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header10.xml" ContentType="application/vnd.openxmlformats-officedocument.wordprocessingml.header+xml"/>
  <Override PartName="/word/footer29.xml" ContentType="application/vnd.openxmlformats-officedocument.wordprocessingml.footer+xml"/>
  <Override PartName="/word/header11.xml" ContentType="application/vnd.openxmlformats-officedocument.wordprocessingml.header+xml"/>
  <Override PartName="/word/footer30.xml" ContentType="application/vnd.openxmlformats-officedocument.wordprocessingml.footer+xml"/>
  <Override PartName="/word/header1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5"/>
        <w:ind w:right="0"/>
        <w:rPr>
          <w:rFonts w:ascii="Times New Roman" w:hAnsi="Times New Roman" w:cs="Times New Roman" w:eastAsia="Times New Roman" w:hint="default"/>
          <w:sz w:val="17"/>
          <w:szCs w:val="17"/>
        </w:rPr>
      </w:pPr>
      <w:r>
        <w:rPr/>
        <w:pict>
          <v:group style="position:absolute;margin-left:0pt;margin-top:0pt;width:612pt;height:792pt;mso-position-horizontal-relative:page;mso-position-vertical-relative:page;z-index:-452272" coordorigin="0,0" coordsize="12240,15840">
            <v:shape style="position:absolute;left:17;top:0;width:12223;height:854" type="#_x0000_t75" stroked="false">
              <v:imagedata r:id="rId5" o:title=""/>
            </v:shape>
            <v:shape style="position:absolute;left:0;top:44;width:12240;height:15796" type="#_x0000_t75" stroked="false">
              <v:imagedata r:id="rId6" o:title=""/>
            </v:shape>
            <w10:wrap type="none"/>
          </v:group>
        </w:pict>
      </w:r>
    </w:p>
    <w:p>
      <w:pPr>
        <w:spacing w:after="0" w:line="240" w:lineRule="auto"/>
        <w:rPr>
          <w:rFonts w:ascii="Times New Roman" w:hAnsi="Times New Roman" w:cs="Times New Roman" w:eastAsia="Times New Roman" w:hint="default"/>
          <w:sz w:val="17"/>
          <w:szCs w:val="17"/>
        </w:rPr>
        <w:sectPr>
          <w:type w:val="continuous"/>
          <w:pgSz w:w="12240" w:h="15840"/>
          <w:pgMar w:top="1500" w:bottom="280" w:left="1720" w:right="1720"/>
        </w:sectPr>
      </w:pPr>
    </w:p>
    <w:p>
      <w:pPr>
        <w:spacing w:line="240" w:lineRule="auto" w:before="1" w:after="0"/>
        <w:ind w:right="0"/>
        <w:rPr>
          <w:rFonts w:ascii="Times New Roman" w:hAnsi="Times New Roman" w:cs="Times New Roman" w:eastAsia="Times New Roman" w:hint="default"/>
          <w:sz w:val="16"/>
          <w:szCs w:val="16"/>
        </w:rPr>
      </w:pPr>
    </w:p>
    <w:p>
      <w:pPr>
        <w:pStyle w:val="BodyText"/>
        <w:tabs>
          <w:tab w:pos="6901" w:val="left" w:leader="none"/>
        </w:tabs>
        <w:spacing w:line="240" w:lineRule="auto"/>
        <w:ind w:left="829" w:right="0"/>
        <w:jc w:val="left"/>
        <w:rPr>
          <w:rFonts w:ascii="Times New Roman" w:hAnsi="Times New Roman" w:cs="Times New Roman" w:eastAsia="Times New Roman" w:hint="default"/>
        </w:rPr>
      </w:pPr>
      <w:r>
        <w:rPr>
          <w:rFonts w:ascii="Times New Roman"/>
        </w:rPr>
        <w:drawing>
          <wp:inline distT="0" distB="0" distL="0" distR="0">
            <wp:extent cx="2733834" cy="1722501"/>
            <wp:effectExtent l="0" t="0" r="0" b="0"/>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2733834" cy="1722501"/>
                    </a:xfrm>
                    <a:prstGeom prst="rect">
                      <a:avLst/>
                    </a:prstGeom>
                  </pic:spPr>
                </pic:pic>
              </a:graphicData>
            </a:graphic>
          </wp:inline>
        </w:drawing>
      </w:r>
      <w:r>
        <w:rPr>
          <w:rFonts w:ascii="Times New Roman"/>
        </w:rPr>
      </w:r>
      <w:r>
        <w:rPr>
          <w:rFonts w:ascii="Times New Roman"/>
        </w:rPr>
        <w:tab/>
      </w:r>
      <w:r>
        <w:rPr>
          <w:rFonts w:ascii="Times New Roman"/>
        </w:rPr>
        <w:drawing>
          <wp:inline distT="0" distB="0" distL="0" distR="0">
            <wp:extent cx="1170175" cy="1867661"/>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1170175" cy="1867661"/>
                    </a:xfrm>
                    <a:prstGeom prst="rect">
                      <a:avLst/>
                    </a:prstGeom>
                  </pic:spPr>
                </pic:pic>
              </a:graphicData>
            </a:graphic>
          </wp:inline>
        </w:drawing>
      </w:r>
      <w:r>
        <w:rPr>
          <w:rFonts w:ascii="Times New Roman"/>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3"/>
        <w:ind w:right="0"/>
        <w:rPr>
          <w:rFonts w:ascii="Times New Roman" w:hAnsi="Times New Roman" w:cs="Times New Roman" w:eastAsia="Times New Roman" w:hint="default"/>
          <w:sz w:val="17"/>
          <w:szCs w:val="17"/>
        </w:rPr>
      </w:pPr>
    </w:p>
    <w:p>
      <w:pPr>
        <w:pStyle w:val="Heading9"/>
        <w:spacing w:line="240" w:lineRule="auto" w:before="59"/>
        <w:ind w:left="100" w:right="0"/>
        <w:jc w:val="left"/>
        <w:rPr>
          <w:rFonts w:ascii="Calibri" w:hAnsi="Calibri" w:cs="Calibri" w:eastAsia="Calibri" w:hint="default"/>
          <w:b w:val="0"/>
          <w:bCs w:val="0"/>
        </w:rPr>
      </w:pPr>
      <w:r>
        <w:rPr>
          <w:rFonts w:ascii="Calibri" w:hAnsi="Calibri"/>
        </w:rPr>
        <w:t>©2015</w:t>
      </w:r>
      <w:r>
        <w:rPr>
          <w:rFonts w:ascii="Calibri" w:hAnsi="Calibri"/>
          <w:b w:val="0"/>
        </w:rPr>
      </w:r>
    </w:p>
    <w:p>
      <w:pPr>
        <w:pStyle w:val="Heading9"/>
        <w:spacing w:line="240" w:lineRule="auto"/>
        <w:ind w:left="100" w:right="0"/>
        <w:jc w:val="left"/>
        <w:rPr>
          <w:rFonts w:ascii="Calibri" w:hAnsi="Calibri" w:cs="Calibri" w:eastAsia="Calibri" w:hint="default"/>
          <w:b w:val="0"/>
          <w:bCs w:val="0"/>
        </w:rPr>
      </w:pPr>
      <w:r>
        <w:rPr>
          <w:rFonts w:ascii="Calibri"/>
        </w:rPr>
        <w:t>The Dick Pope Sr. Institute </w:t>
      </w:r>
      <w:r>
        <w:rPr>
          <w:rFonts w:ascii="Calibri"/>
          <w:i/>
        </w:rPr>
        <w:t>for </w:t>
      </w:r>
      <w:r>
        <w:rPr>
          <w:rFonts w:ascii="Calibri"/>
        </w:rPr>
        <w:t>Tourism</w:t>
      </w:r>
      <w:r>
        <w:rPr>
          <w:rFonts w:ascii="Calibri"/>
          <w:spacing w:val="-22"/>
        </w:rPr>
        <w:t> </w:t>
      </w:r>
      <w:r>
        <w:rPr>
          <w:rFonts w:ascii="Calibri"/>
        </w:rPr>
        <w:t>Studies</w:t>
      </w:r>
      <w:r>
        <w:rPr>
          <w:rFonts w:ascii="Calibri"/>
          <w:b w:val="0"/>
        </w:rPr>
      </w:r>
    </w:p>
    <w:p>
      <w:pPr>
        <w:spacing w:line="240" w:lineRule="auto" w:before="11"/>
        <w:ind w:right="0"/>
        <w:rPr>
          <w:rFonts w:ascii="Calibri" w:hAnsi="Calibri" w:cs="Calibri" w:eastAsia="Calibri" w:hint="default"/>
          <w:b/>
          <w:bCs/>
          <w:sz w:val="19"/>
          <w:szCs w:val="19"/>
        </w:rPr>
      </w:pPr>
    </w:p>
    <w:p>
      <w:pPr>
        <w:pStyle w:val="Heading9"/>
        <w:spacing w:line="240" w:lineRule="auto"/>
        <w:ind w:left="100" w:right="5971"/>
        <w:jc w:val="left"/>
        <w:rPr>
          <w:rFonts w:ascii="Calibri" w:hAnsi="Calibri" w:cs="Calibri" w:eastAsia="Calibri" w:hint="default"/>
          <w:b w:val="0"/>
          <w:bCs w:val="0"/>
        </w:rPr>
      </w:pPr>
      <w:r>
        <w:rPr>
          <w:rFonts w:ascii="Calibri"/>
        </w:rPr>
        <w:t>Rosen College of Hospitality</w:t>
      </w:r>
      <w:r>
        <w:rPr>
          <w:rFonts w:ascii="Calibri"/>
          <w:spacing w:val="-14"/>
        </w:rPr>
        <w:t> </w:t>
      </w:r>
      <w:r>
        <w:rPr>
          <w:rFonts w:ascii="Calibri"/>
        </w:rPr>
        <w:t>Management </w:t>
      </w:r>
      <w:r>
        <w:rPr>
          <w:rFonts w:ascii="Calibri"/>
        </w:rPr>
        <w:t>University of Central</w:t>
      </w:r>
      <w:r>
        <w:rPr>
          <w:rFonts w:ascii="Calibri"/>
          <w:spacing w:val="-15"/>
        </w:rPr>
        <w:t> </w:t>
      </w:r>
      <w:r>
        <w:rPr>
          <w:rFonts w:ascii="Calibri"/>
        </w:rPr>
        <w:t>Florida</w:t>
      </w:r>
      <w:r>
        <w:rPr>
          <w:rFonts w:ascii="Calibri"/>
          <w:b w:val="0"/>
        </w:rPr>
      </w:r>
    </w:p>
    <w:p>
      <w:pPr>
        <w:pStyle w:val="Heading9"/>
        <w:spacing w:line="243" w:lineRule="exact"/>
        <w:ind w:left="100" w:right="0"/>
        <w:jc w:val="left"/>
        <w:rPr>
          <w:rFonts w:ascii="Calibri" w:hAnsi="Calibri" w:cs="Calibri" w:eastAsia="Calibri" w:hint="default"/>
          <w:b w:val="0"/>
          <w:bCs w:val="0"/>
        </w:rPr>
      </w:pPr>
      <w:r>
        <w:rPr>
          <w:rFonts w:ascii="Calibri"/>
        </w:rPr>
        <w:t>9907 Universal</w:t>
      </w:r>
      <w:r>
        <w:rPr>
          <w:rFonts w:ascii="Calibri"/>
          <w:spacing w:val="-12"/>
        </w:rPr>
        <w:t> </w:t>
      </w:r>
      <w:r>
        <w:rPr>
          <w:rFonts w:ascii="Calibri"/>
        </w:rPr>
        <w:t>Boulevard</w:t>
      </w:r>
      <w:r>
        <w:rPr>
          <w:rFonts w:ascii="Calibri"/>
          <w:b w:val="0"/>
        </w:rPr>
      </w:r>
    </w:p>
    <w:p>
      <w:pPr>
        <w:pStyle w:val="Heading9"/>
        <w:spacing w:line="243" w:lineRule="exact"/>
        <w:ind w:left="100" w:right="0"/>
        <w:jc w:val="left"/>
        <w:rPr>
          <w:rFonts w:ascii="Calibri" w:hAnsi="Calibri" w:cs="Calibri" w:eastAsia="Calibri" w:hint="default"/>
          <w:b w:val="0"/>
          <w:bCs w:val="0"/>
        </w:rPr>
      </w:pPr>
      <w:r>
        <w:rPr>
          <w:rFonts w:ascii="Calibri"/>
        </w:rPr>
        <w:t>Orlando, Florida</w:t>
      </w:r>
      <w:r>
        <w:rPr>
          <w:rFonts w:ascii="Calibri"/>
          <w:spacing w:val="-13"/>
        </w:rPr>
        <w:t> </w:t>
      </w:r>
      <w:r>
        <w:rPr>
          <w:rFonts w:ascii="Calibri"/>
        </w:rPr>
        <w:t>32819</w:t>
      </w:r>
      <w:r>
        <w:rPr>
          <w:rFonts w:ascii="Calibri"/>
          <w:b w:val="0"/>
        </w:rPr>
      </w:r>
    </w:p>
    <w:p>
      <w:pPr>
        <w:spacing w:line="240" w:lineRule="auto" w:before="1"/>
        <w:ind w:right="0"/>
        <w:rPr>
          <w:rFonts w:ascii="Calibri" w:hAnsi="Calibri" w:cs="Calibri" w:eastAsia="Calibri" w:hint="default"/>
          <w:b/>
          <w:bCs/>
          <w:sz w:val="20"/>
          <w:szCs w:val="20"/>
        </w:rPr>
      </w:pPr>
    </w:p>
    <w:p>
      <w:pPr>
        <w:spacing w:before="0"/>
        <w:ind w:left="100" w:right="7537" w:firstLine="0"/>
        <w:jc w:val="left"/>
        <w:rPr>
          <w:rFonts w:ascii="Calibri" w:hAnsi="Calibri" w:cs="Calibri" w:eastAsia="Calibri" w:hint="default"/>
          <w:sz w:val="20"/>
          <w:szCs w:val="20"/>
        </w:rPr>
      </w:pPr>
      <w:r>
        <w:rPr>
          <w:rFonts w:ascii="Calibri"/>
          <w:b/>
          <w:sz w:val="20"/>
        </w:rPr>
        <w:t>Main Investigators: </w:t>
      </w:r>
      <w:r>
        <w:rPr>
          <w:rFonts w:ascii="Calibri"/>
          <w:sz w:val="20"/>
        </w:rPr>
        <w:t>Robertico Croes, Ph.D. Kelly Semrad, Ph.D. Manuel A. Rivera,</w:t>
      </w:r>
      <w:r>
        <w:rPr>
          <w:rFonts w:ascii="Calibri"/>
          <w:spacing w:val="-14"/>
          <w:sz w:val="20"/>
        </w:rPr>
        <w:t> </w:t>
      </w:r>
      <w:r>
        <w:rPr>
          <w:rFonts w:ascii="Calibri"/>
          <w:sz w:val="20"/>
        </w:rPr>
        <w:t>Ph.D.</w:t>
      </w:r>
    </w:p>
    <w:p>
      <w:pPr>
        <w:spacing w:line="240" w:lineRule="auto" w:before="0"/>
        <w:ind w:right="0"/>
        <w:rPr>
          <w:rFonts w:ascii="Calibri" w:hAnsi="Calibri" w:cs="Calibri" w:eastAsia="Calibri" w:hint="default"/>
          <w:sz w:val="20"/>
          <w:szCs w:val="20"/>
        </w:rPr>
      </w:pPr>
    </w:p>
    <w:p>
      <w:pPr>
        <w:spacing w:line="240" w:lineRule="auto" w:before="12"/>
        <w:ind w:right="0"/>
        <w:rPr>
          <w:rFonts w:ascii="Calibri" w:hAnsi="Calibri" w:cs="Calibri" w:eastAsia="Calibri" w:hint="default"/>
          <w:sz w:val="19"/>
          <w:szCs w:val="19"/>
        </w:rPr>
      </w:pPr>
    </w:p>
    <w:p>
      <w:pPr>
        <w:spacing w:before="0"/>
        <w:ind w:left="100" w:right="7647" w:firstLine="0"/>
        <w:jc w:val="left"/>
        <w:rPr>
          <w:rFonts w:ascii="Calibri" w:hAnsi="Calibri" w:cs="Calibri" w:eastAsia="Calibri" w:hint="default"/>
          <w:sz w:val="20"/>
          <w:szCs w:val="20"/>
        </w:rPr>
      </w:pPr>
      <w:r>
        <w:rPr>
          <w:rFonts w:ascii="Calibri"/>
          <w:b/>
          <w:sz w:val="20"/>
        </w:rPr>
        <w:t>With the support of: </w:t>
      </w:r>
      <w:r>
        <w:rPr>
          <w:rFonts w:ascii="Calibri"/>
          <w:sz w:val="20"/>
        </w:rPr>
        <w:t>Abraham Pizam,</w:t>
      </w:r>
      <w:r>
        <w:rPr>
          <w:rFonts w:ascii="Calibri"/>
          <w:spacing w:val="-11"/>
          <w:sz w:val="20"/>
        </w:rPr>
        <w:t> </w:t>
      </w:r>
      <w:r>
        <w:rPr>
          <w:rFonts w:ascii="Calibri"/>
          <w:sz w:val="20"/>
        </w:rPr>
        <w:t>Ph.D. </w:t>
      </w:r>
      <w:r>
        <w:rPr>
          <w:rFonts w:ascii="Calibri"/>
          <w:sz w:val="20"/>
        </w:rPr>
        <w:t>Asli Tasci,</w:t>
      </w:r>
      <w:r>
        <w:rPr>
          <w:rFonts w:ascii="Calibri"/>
          <w:spacing w:val="-11"/>
          <w:sz w:val="20"/>
        </w:rPr>
        <w:t> </w:t>
      </w:r>
      <w:r>
        <w:rPr>
          <w:rFonts w:ascii="Calibri"/>
          <w:sz w:val="20"/>
        </w:rPr>
        <w:t>Ph.D.</w:t>
      </w:r>
    </w:p>
    <w:p>
      <w:pPr>
        <w:pStyle w:val="BodyText"/>
        <w:spacing w:line="240" w:lineRule="auto"/>
        <w:ind w:left="100" w:right="7743"/>
        <w:jc w:val="left"/>
        <w:rPr>
          <w:rFonts w:ascii="Calibri" w:hAnsi="Calibri" w:cs="Calibri" w:eastAsia="Calibri" w:hint="default"/>
        </w:rPr>
      </w:pPr>
      <w:r>
        <w:rPr>
          <w:rFonts w:ascii="Calibri"/>
        </w:rPr>
        <w:t>Edwin Torres, Ph.D. Kevin Murphy, Ph.D. Murat Kizildag, Ph.D. Amy Gregory,</w:t>
      </w:r>
      <w:r>
        <w:rPr>
          <w:rFonts w:ascii="Calibri"/>
          <w:spacing w:val="-8"/>
        </w:rPr>
        <w:t> </w:t>
      </w:r>
      <w:r>
        <w:rPr>
          <w:rFonts w:ascii="Calibri"/>
        </w:rPr>
        <w:t>Ph.D.</w:t>
      </w:r>
    </w:p>
    <w:p>
      <w:pPr>
        <w:spacing w:line="240" w:lineRule="auto" w:before="1"/>
        <w:ind w:right="0"/>
        <w:rPr>
          <w:rFonts w:ascii="Calibri" w:hAnsi="Calibri" w:cs="Calibri" w:eastAsia="Calibri" w:hint="default"/>
          <w:sz w:val="20"/>
          <w:szCs w:val="20"/>
        </w:rPr>
      </w:pPr>
    </w:p>
    <w:p>
      <w:pPr>
        <w:pStyle w:val="BodyText"/>
        <w:spacing w:line="240" w:lineRule="auto"/>
        <w:ind w:left="100" w:right="7842"/>
        <w:jc w:val="left"/>
        <w:rPr>
          <w:rFonts w:ascii="Calibri" w:hAnsi="Calibri" w:cs="Calibri" w:eastAsia="Calibri" w:hint="default"/>
        </w:rPr>
      </w:pPr>
      <w:r>
        <w:rPr>
          <w:rFonts w:ascii="Calibri"/>
        </w:rPr>
        <w:t>Valeriya Shapoval Jalayer Khalilzadeh Marissa Orlowski William Ingram Amanda</w:t>
      </w:r>
      <w:r>
        <w:rPr>
          <w:rFonts w:ascii="Calibri"/>
          <w:spacing w:val="-10"/>
        </w:rPr>
        <w:t> </w:t>
      </w:r>
      <w:r>
        <w:rPr>
          <w:rFonts w:ascii="Calibri"/>
        </w:rPr>
        <w:t>Templeton</w:t>
      </w:r>
    </w:p>
    <w:p>
      <w:pPr>
        <w:spacing w:line="240" w:lineRule="auto" w:before="11"/>
        <w:ind w:right="0"/>
        <w:rPr>
          <w:rFonts w:ascii="Calibri" w:hAnsi="Calibri" w:cs="Calibri" w:eastAsia="Calibri" w:hint="default"/>
          <w:sz w:val="19"/>
          <w:szCs w:val="19"/>
        </w:rPr>
      </w:pPr>
    </w:p>
    <w:p>
      <w:pPr>
        <w:pStyle w:val="Heading9"/>
        <w:spacing w:line="240" w:lineRule="auto"/>
        <w:ind w:left="100" w:right="0"/>
        <w:jc w:val="left"/>
        <w:rPr>
          <w:rFonts w:ascii="Calibri" w:hAnsi="Calibri" w:cs="Calibri" w:eastAsia="Calibri" w:hint="default"/>
          <w:b w:val="0"/>
          <w:bCs w:val="0"/>
        </w:rPr>
      </w:pPr>
      <w:r>
        <w:rPr>
          <w:rFonts w:ascii="Calibri"/>
        </w:rPr>
        <w:t>Acknowledgment:</w:t>
      </w:r>
      <w:r>
        <w:rPr>
          <w:rFonts w:ascii="Calibri"/>
          <w:b w:val="0"/>
        </w:rPr>
      </w:r>
    </w:p>
    <w:p>
      <w:pPr>
        <w:spacing w:line="240" w:lineRule="auto" w:before="3"/>
        <w:ind w:right="0"/>
        <w:rPr>
          <w:rFonts w:ascii="Calibri" w:hAnsi="Calibri" w:cs="Calibri" w:eastAsia="Calibri" w:hint="default"/>
          <w:b/>
          <w:bCs/>
          <w:sz w:val="15"/>
          <w:szCs w:val="15"/>
        </w:rPr>
      </w:pPr>
    </w:p>
    <w:p>
      <w:pPr>
        <w:pStyle w:val="BodyText"/>
        <w:spacing w:line="240" w:lineRule="auto" w:before="59"/>
        <w:ind w:left="100" w:right="105"/>
        <w:jc w:val="both"/>
        <w:rPr>
          <w:rFonts w:ascii="Calibri" w:hAnsi="Calibri" w:cs="Calibri" w:eastAsia="Calibri" w:hint="default"/>
        </w:rPr>
      </w:pPr>
      <w:r>
        <w:rPr>
          <w:rFonts w:ascii="Calibri" w:hAnsi="Calibri"/>
        </w:rPr>
        <w:t>The</w:t>
      </w:r>
      <w:r>
        <w:rPr>
          <w:rFonts w:ascii="Calibri" w:hAnsi="Calibri"/>
          <w:spacing w:val="-11"/>
        </w:rPr>
        <w:t> </w:t>
      </w:r>
      <w:r>
        <w:rPr>
          <w:rFonts w:ascii="Calibri" w:hAnsi="Calibri"/>
        </w:rPr>
        <w:t>Dick</w:t>
      </w:r>
      <w:r>
        <w:rPr>
          <w:rFonts w:ascii="Calibri" w:hAnsi="Calibri"/>
          <w:spacing w:val="-10"/>
        </w:rPr>
        <w:t> </w:t>
      </w:r>
      <w:r>
        <w:rPr>
          <w:rFonts w:ascii="Calibri" w:hAnsi="Calibri"/>
        </w:rPr>
        <w:t>Pope</w:t>
      </w:r>
      <w:r>
        <w:rPr>
          <w:rFonts w:ascii="Calibri" w:hAnsi="Calibri"/>
          <w:spacing w:val="-11"/>
        </w:rPr>
        <w:t> </w:t>
      </w:r>
      <w:r>
        <w:rPr>
          <w:rFonts w:ascii="Calibri" w:hAnsi="Calibri"/>
        </w:rPr>
        <w:t>Sr.</w:t>
      </w:r>
      <w:r>
        <w:rPr>
          <w:rFonts w:ascii="Calibri" w:hAnsi="Calibri"/>
          <w:spacing w:val="-10"/>
        </w:rPr>
        <w:t> </w:t>
      </w:r>
      <w:r>
        <w:rPr>
          <w:rFonts w:ascii="Calibri" w:hAnsi="Calibri"/>
        </w:rPr>
        <w:t>Institute</w:t>
      </w:r>
      <w:r>
        <w:rPr>
          <w:rFonts w:ascii="Calibri" w:hAnsi="Calibri"/>
          <w:spacing w:val="-10"/>
        </w:rPr>
        <w:t> </w:t>
      </w:r>
      <w:r>
        <w:rPr>
          <w:rFonts w:ascii="Calibri" w:hAnsi="Calibri"/>
          <w:i/>
        </w:rPr>
        <w:t>for</w:t>
      </w:r>
      <w:r>
        <w:rPr>
          <w:rFonts w:ascii="Calibri" w:hAnsi="Calibri"/>
          <w:i/>
          <w:spacing w:val="-9"/>
        </w:rPr>
        <w:t> </w:t>
      </w:r>
      <w:r>
        <w:rPr>
          <w:rFonts w:ascii="Calibri" w:hAnsi="Calibri"/>
        </w:rPr>
        <w:t>Tourism</w:t>
      </w:r>
      <w:r>
        <w:rPr>
          <w:rFonts w:ascii="Calibri" w:hAnsi="Calibri"/>
          <w:spacing w:val="-11"/>
        </w:rPr>
        <w:t> </w:t>
      </w:r>
      <w:r>
        <w:rPr>
          <w:rFonts w:ascii="Calibri" w:hAnsi="Calibri"/>
        </w:rPr>
        <w:t>Studies</w:t>
      </w:r>
      <w:r>
        <w:rPr>
          <w:rFonts w:ascii="Calibri" w:hAnsi="Calibri"/>
          <w:spacing w:val="-9"/>
        </w:rPr>
        <w:t> </w:t>
      </w:r>
      <w:r>
        <w:rPr>
          <w:rFonts w:ascii="Calibri" w:hAnsi="Calibri"/>
        </w:rPr>
        <w:t>would</w:t>
      </w:r>
      <w:r>
        <w:rPr>
          <w:rFonts w:ascii="Calibri" w:hAnsi="Calibri"/>
          <w:spacing w:val="-10"/>
        </w:rPr>
        <w:t> </w:t>
      </w:r>
      <w:r>
        <w:rPr>
          <w:rFonts w:ascii="Calibri" w:hAnsi="Calibri"/>
        </w:rPr>
        <w:t>like</w:t>
      </w:r>
      <w:r>
        <w:rPr>
          <w:rFonts w:ascii="Calibri" w:hAnsi="Calibri"/>
          <w:spacing w:val="-11"/>
        </w:rPr>
        <w:t> </w:t>
      </w:r>
      <w:r>
        <w:rPr>
          <w:rFonts w:ascii="Calibri" w:hAnsi="Calibri"/>
        </w:rPr>
        <w:t>to</w:t>
      </w:r>
      <w:r>
        <w:rPr>
          <w:rFonts w:ascii="Calibri" w:hAnsi="Calibri"/>
          <w:spacing w:val="-10"/>
        </w:rPr>
        <w:t> </w:t>
      </w:r>
      <w:r>
        <w:rPr>
          <w:rFonts w:ascii="Calibri" w:hAnsi="Calibri"/>
        </w:rPr>
        <w:t>acknowledge</w:t>
      </w:r>
      <w:r>
        <w:rPr>
          <w:rFonts w:ascii="Calibri" w:hAnsi="Calibri"/>
          <w:spacing w:val="-11"/>
        </w:rPr>
        <w:t> </w:t>
      </w:r>
      <w:r>
        <w:rPr>
          <w:rFonts w:ascii="Calibri" w:hAnsi="Calibri"/>
        </w:rPr>
        <w:t>the</w:t>
      </w:r>
      <w:r>
        <w:rPr>
          <w:rFonts w:ascii="Calibri" w:hAnsi="Calibri"/>
          <w:spacing w:val="-9"/>
        </w:rPr>
        <w:t> </w:t>
      </w:r>
      <w:r>
        <w:rPr>
          <w:rFonts w:ascii="Calibri" w:hAnsi="Calibri"/>
        </w:rPr>
        <w:t>support</w:t>
      </w:r>
      <w:r>
        <w:rPr>
          <w:rFonts w:ascii="Calibri" w:hAnsi="Calibri"/>
          <w:spacing w:val="-10"/>
        </w:rPr>
        <w:t> </w:t>
      </w:r>
      <w:r>
        <w:rPr>
          <w:rFonts w:ascii="Calibri" w:hAnsi="Calibri"/>
        </w:rPr>
        <w:t>of</w:t>
      </w:r>
      <w:r>
        <w:rPr>
          <w:rFonts w:ascii="Calibri" w:hAnsi="Calibri"/>
          <w:spacing w:val="-11"/>
        </w:rPr>
        <w:t> </w:t>
      </w:r>
      <w:r>
        <w:rPr>
          <w:rFonts w:ascii="Calibri" w:hAnsi="Calibri"/>
        </w:rPr>
        <w:t>the</w:t>
      </w:r>
      <w:r>
        <w:rPr>
          <w:rFonts w:ascii="Calibri" w:hAnsi="Calibri"/>
          <w:spacing w:val="-11"/>
        </w:rPr>
        <w:t> </w:t>
      </w:r>
      <w:r>
        <w:rPr>
          <w:rFonts w:ascii="Calibri" w:hAnsi="Calibri"/>
        </w:rPr>
        <w:t>Curaçao</w:t>
      </w:r>
      <w:r>
        <w:rPr>
          <w:rFonts w:ascii="Calibri" w:hAnsi="Calibri"/>
          <w:spacing w:val="-10"/>
        </w:rPr>
        <w:t> </w:t>
      </w:r>
      <w:r>
        <w:rPr>
          <w:rFonts w:ascii="Calibri" w:hAnsi="Calibri"/>
        </w:rPr>
        <w:t>Tourism</w:t>
      </w:r>
      <w:r>
        <w:rPr>
          <w:rFonts w:ascii="Calibri" w:hAnsi="Calibri"/>
          <w:spacing w:val="-11"/>
        </w:rPr>
        <w:t> </w:t>
      </w:r>
      <w:r>
        <w:rPr>
          <w:rFonts w:ascii="Calibri" w:hAnsi="Calibri"/>
        </w:rPr>
        <w:t>Board, </w:t>
      </w:r>
      <w:r>
        <w:rPr>
          <w:rFonts w:ascii="Calibri" w:hAnsi="Calibri"/>
        </w:rPr>
        <w:t>in particular the valuable assistance of Ms. Christine Campagnard and her staff during the data collection and tabulation process. A special thank you to Dr. Jenna</w:t>
      </w:r>
      <w:r>
        <w:rPr>
          <w:rFonts w:ascii="Calibri" w:hAnsi="Calibri"/>
          <w:spacing w:val="-22"/>
        </w:rPr>
        <w:t> </w:t>
      </w:r>
      <w:r>
        <w:rPr>
          <w:rFonts w:ascii="Calibri" w:hAnsi="Calibri"/>
        </w:rPr>
        <w:t>Lee.</w:t>
      </w:r>
    </w:p>
    <w:p>
      <w:pPr>
        <w:spacing w:after="0" w:line="240" w:lineRule="auto"/>
        <w:jc w:val="both"/>
        <w:rPr>
          <w:rFonts w:ascii="Calibri" w:hAnsi="Calibri" w:cs="Calibri" w:eastAsia="Calibri" w:hint="default"/>
        </w:rPr>
        <w:sectPr>
          <w:pgSz w:w="12240" w:h="15840"/>
          <w:pgMar w:top="1500" w:bottom="280" w:left="1340" w:right="134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0"/>
        <w:ind w:right="0"/>
        <w:rPr>
          <w:rFonts w:ascii="Calibri" w:hAnsi="Calibri" w:cs="Calibri" w:eastAsia="Calibri" w:hint="default"/>
          <w:sz w:val="17"/>
          <w:szCs w:val="17"/>
        </w:rPr>
      </w:pPr>
    </w:p>
    <w:p>
      <w:pPr>
        <w:spacing w:line="439" w:lineRule="exact" w:before="27"/>
        <w:ind w:left="26" w:right="26" w:firstLine="0"/>
        <w:jc w:val="center"/>
        <w:rPr>
          <w:rFonts w:ascii="Calibri" w:hAnsi="Calibri" w:cs="Calibri" w:eastAsia="Calibri" w:hint="default"/>
          <w:sz w:val="36"/>
          <w:szCs w:val="36"/>
        </w:rPr>
      </w:pPr>
      <w:r>
        <w:rPr>
          <w:rFonts w:ascii="Calibri"/>
          <w:b/>
          <w:sz w:val="36"/>
        </w:rPr>
        <w:t>Table of</w:t>
      </w:r>
      <w:r>
        <w:rPr>
          <w:rFonts w:ascii="Calibri"/>
          <w:b/>
          <w:spacing w:val="-10"/>
          <w:sz w:val="36"/>
        </w:rPr>
        <w:t> </w:t>
      </w:r>
      <w:r>
        <w:rPr>
          <w:rFonts w:ascii="Calibri"/>
          <w:b/>
          <w:sz w:val="36"/>
        </w:rPr>
        <w:t>Contents</w:t>
      </w:r>
      <w:r>
        <w:rPr>
          <w:rFonts w:ascii="Calibri"/>
          <w:sz w:val="36"/>
        </w:rPr>
      </w:r>
    </w:p>
    <w:p>
      <w:pPr>
        <w:spacing w:after="0" w:line="439" w:lineRule="exact"/>
        <w:jc w:val="center"/>
        <w:rPr>
          <w:rFonts w:ascii="Calibri" w:hAnsi="Calibri" w:cs="Calibri" w:eastAsia="Calibri" w:hint="default"/>
          <w:sz w:val="36"/>
          <w:szCs w:val="36"/>
        </w:rPr>
        <w:sectPr>
          <w:headerReference w:type="default" r:id="rId9"/>
          <w:pgSz w:w="12240" w:h="15840"/>
          <w:pgMar w:header="0" w:footer="0" w:top="840" w:bottom="1585" w:left="0" w:right="0"/>
        </w:sectPr>
      </w:pPr>
    </w:p>
    <w:sdt>
      <w:sdtPr>
        <w:docPartObj>
          <w:docPartGallery w:val="Table of Contents"/>
          <w:docPartUnique/>
        </w:docPartObj>
      </w:sdtPr>
      <w:sdtEndPr/>
      <w:sdtContent>
        <w:p>
          <w:pPr>
            <w:pStyle w:val="TOC1"/>
            <w:tabs>
              <w:tab w:pos="10792" w:val="right" w:leader="dot"/>
            </w:tabs>
            <w:spacing w:line="243" w:lineRule="exact"/>
            <w:ind w:right="0"/>
            <w:jc w:val="left"/>
          </w:pPr>
          <w:hyperlink w:history="true" w:anchor="_bookmark0">
            <w:r>
              <w:rPr/>
              <w:t>Executive Summary</w:t>
              <w:tab/>
              <w:t>1</w:t>
            </w:r>
          </w:hyperlink>
        </w:p>
        <w:p>
          <w:pPr>
            <w:pStyle w:val="TOC2"/>
            <w:tabs>
              <w:tab w:pos="10792" w:val="right" w:leader="dot"/>
            </w:tabs>
            <w:spacing w:line="243" w:lineRule="exact"/>
            <w:ind w:right="0"/>
            <w:jc w:val="left"/>
          </w:pPr>
          <w:hyperlink w:history="true" w:anchor="_bookmark1">
            <w:r>
              <w:rPr/>
              <w:t>The</w:t>
            </w:r>
            <w:r>
              <w:rPr>
                <w:spacing w:val="-2"/>
              </w:rPr>
              <w:t> </w:t>
            </w:r>
            <w:r>
              <w:rPr/>
              <w:t>Rationale</w:t>
              <w:tab/>
              <w:t>1</w:t>
            </w:r>
          </w:hyperlink>
        </w:p>
        <w:p>
          <w:pPr>
            <w:pStyle w:val="TOC2"/>
            <w:tabs>
              <w:tab w:pos="10792" w:val="right" w:leader="dot"/>
            </w:tabs>
            <w:spacing w:line="243" w:lineRule="exact"/>
            <w:ind w:right="0"/>
            <w:jc w:val="left"/>
          </w:pPr>
          <w:hyperlink w:history="true" w:anchor="_bookmark2">
            <w:r>
              <w:rPr/>
              <w:t>Tourism is the</w:t>
            </w:r>
            <w:r>
              <w:rPr>
                <w:spacing w:val="-4"/>
              </w:rPr>
              <w:t> </w:t>
            </w:r>
            <w:r>
              <w:rPr/>
              <w:t>Right</w:t>
            </w:r>
            <w:r>
              <w:rPr>
                <w:spacing w:val="-1"/>
              </w:rPr>
              <w:t> </w:t>
            </w:r>
            <w:r>
              <w:rPr/>
              <w:t>Choice</w:t>
              <w:tab/>
              <w:t>1</w:t>
            </w:r>
          </w:hyperlink>
        </w:p>
        <w:p>
          <w:pPr>
            <w:pStyle w:val="TOC2"/>
            <w:tabs>
              <w:tab w:pos="10792" w:val="right" w:leader="dot"/>
            </w:tabs>
            <w:spacing w:line="240" w:lineRule="auto"/>
            <w:ind w:right="0"/>
            <w:jc w:val="left"/>
          </w:pPr>
          <w:hyperlink w:history="true" w:anchor="_bookmark3">
            <w:r>
              <w:rPr>
                <w:rFonts w:ascii="Calibri" w:hAnsi="Calibri" w:cs="Calibri" w:eastAsia="Calibri" w:hint="default"/>
              </w:rPr>
              <w:t>Curaçao’s</w:t>
            </w:r>
            <w:r>
              <w:rPr>
                <w:rFonts w:ascii="Calibri" w:hAnsi="Calibri" w:cs="Calibri" w:eastAsia="Calibri" w:hint="default"/>
                <w:spacing w:val="-3"/>
              </w:rPr>
              <w:t> </w:t>
            </w:r>
            <w:r>
              <w:rPr>
                <w:rFonts w:ascii="Calibri" w:hAnsi="Calibri" w:cs="Calibri" w:eastAsia="Calibri" w:hint="default"/>
              </w:rPr>
              <w:t>Opportunity</w:t>
            </w:r>
            <w:r>
              <w:rPr/>
              <w:tab/>
              <w:t>1</w:t>
            </w:r>
          </w:hyperlink>
        </w:p>
        <w:p>
          <w:pPr>
            <w:pStyle w:val="TOC2"/>
            <w:tabs>
              <w:tab w:pos="10792" w:val="right" w:leader="dot"/>
            </w:tabs>
            <w:spacing w:line="243" w:lineRule="exact"/>
            <w:ind w:right="0"/>
            <w:jc w:val="left"/>
          </w:pPr>
          <w:hyperlink w:history="true" w:anchor="_bookmark4">
            <w:r>
              <w:rPr/>
              <w:t>The</w:t>
            </w:r>
            <w:r>
              <w:rPr>
                <w:spacing w:val="-1"/>
              </w:rPr>
              <w:t> </w:t>
            </w:r>
            <w:r>
              <w:rPr/>
              <w:t>Process</w:t>
              <w:tab/>
              <w:t>2</w:t>
            </w:r>
          </w:hyperlink>
        </w:p>
        <w:p>
          <w:pPr>
            <w:pStyle w:val="TOC2"/>
            <w:tabs>
              <w:tab w:pos="10792" w:val="right" w:leader="dot"/>
            </w:tabs>
            <w:spacing w:line="243" w:lineRule="exact"/>
            <w:ind w:right="0"/>
            <w:jc w:val="left"/>
          </w:pPr>
          <w:hyperlink w:history="true" w:anchor="_bookmark5">
            <w:r>
              <w:rPr/>
              <w:t>The</w:t>
            </w:r>
            <w:r>
              <w:rPr>
                <w:spacing w:val="-1"/>
              </w:rPr>
              <w:t> </w:t>
            </w:r>
            <w:r>
              <w:rPr/>
              <w:t>What</w:t>
              <w:tab/>
              <w:t>2</w:t>
            </w:r>
          </w:hyperlink>
        </w:p>
        <w:p>
          <w:pPr>
            <w:pStyle w:val="TOC2"/>
            <w:tabs>
              <w:tab w:pos="10792" w:val="right" w:leader="dot"/>
            </w:tabs>
            <w:spacing w:line="240" w:lineRule="auto"/>
            <w:ind w:right="0"/>
            <w:jc w:val="left"/>
          </w:pPr>
          <w:hyperlink w:history="true" w:anchor="_bookmark6">
            <w:r>
              <w:rPr/>
              <w:t>The</w:t>
            </w:r>
            <w:r>
              <w:rPr>
                <w:spacing w:val="-2"/>
              </w:rPr>
              <w:t> </w:t>
            </w:r>
            <w:r>
              <w:rPr/>
              <w:t>Value</w:t>
            </w:r>
            <w:r>
              <w:rPr>
                <w:spacing w:val="-2"/>
              </w:rPr>
              <w:t> </w:t>
            </w:r>
            <w:r>
              <w:rPr/>
              <w:t>Proposition</w:t>
              <w:tab/>
              <w:t>2</w:t>
            </w:r>
          </w:hyperlink>
        </w:p>
        <w:p>
          <w:pPr>
            <w:pStyle w:val="TOC2"/>
            <w:tabs>
              <w:tab w:pos="10792" w:val="right" w:leader="dot"/>
            </w:tabs>
            <w:spacing w:line="240" w:lineRule="auto"/>
            <w:ind w:right="0"/>
            <w:jc w:val="left"/>
          </w:pPr>
          <w:hyperlink w:history="true" w:anchor="_bookmark7">
            <w:r>
              <w:rPr/>
              <w:t>The Goals of the</w:t>
            </w:r>
            <w:r>
              <w:rPr>
                <w:spacing w:val="-7"/>
              </w:rPr>
              <w:t> </w:t>
            </w:r>
            <w:r>
              <w:rPr/>
              <w:t>Value</w:t>
            </w:r>
            <w:r>
              <w:rPr>
                <w:spacing w:val="-2"/>
              </w:rPr>
              <w:t> </w:t>
            </w:r>
            <w:r>
              <w:rPr/>
              <w:t>Proposition</w:t>
              <w:tab/>
              <w:t>3</w:t>
            </w:r>
          </w:hyperlink>
        </w:p>
        <w:p>
          <w:pPr>
            <w:pStyle w:val="TOC2"/>
            <w:tabs>
              <w:tab w:pos="10792" w:val="right" w:leader="dot"/>
            </w:tabs>
            <w:spacing w:line="243" w:lineRule="exact"/>
            <w:ind w:right="0"/>
            <w:jc w:val="left"/>
          </w:pPr>
          <w:hyperlink w:history="true" w:anchor="_bookmark8">
            <w:r>
              <w:rPr/>
              <w:t>The</w:t>
            </w:r>
            <w:r>
              <w:rPr>
                <w:spacing w:val="-1"/>
              </w:rPr>
              <w:t> </w:t>
            </w:r>
            <w:r>
              <w:rPr/>
              <w:t>How</w:t>
              <w:tab/>
              <w:t>3</w:t>
            </w:r>
          </w:hyperlink>
        </w:p>
        <w:p>
          <w:pPr>
            <w:pStyle w:val="TOC2"/>
            <w:tabs>
              <w:tab w:pos="10792" w:val="right" w:leader="dot"/>
            </w:tabs>
            <w:spacing w:line="243" w:lineRule="exact"/>
            <w:ind w:right="0"/>
            <w:jc w:val="left"/>
          </w:pPr>
          <w:hyperlink w:history="true" w:anchor="_bookmark9">
            <w:r>
              <w:rPr/>
              <w:t>When</w:t>
              <w:tab/>
              <w:t>4</w:t>
            </w:r>
          </w:hyperlink>
        </w:p>
        <w:p>
          <w:pPr>
            <w:pStyle w:val="TOC2"/>
            <w:tabs>
              <w:tab w:pos="10792" w:val="right" w:leader="dot"/>
            </w:tabs>
            <w:spacing w:line="240" w:lineRule="auto"/>
            <w:ind w:right="0"/>
            <w:jc w:val="left"/>
          </w:pPr>
          <w:hyperlink w:history="true" w:anchor="_bookmark10">
            <w:r>
              <w:rPr/>
              <w:t>The Role of</w:t>
            </w:r>
            <w:r>
              <w:rPr>
                <w:spacing w:val="-6"/>
              </w:rPr>
              <w:t> </w:t>
            </w:r>
            <w:r>
              <w:rPr/>
              <w:t>the</w:t>
            </w:r>
            <w:r>
              <w:rPr>
                <w:spacing w:val="-2"/>
              </w:rPr>
              <w:t> </w:t>
            </w:r>
            <w:r>
              <w:rPr/>
              <w:t>CTB</w:t>
              <w:tab/>
              <w:t>4</w:t>
            </w:r>
          </w:hyperlink>
        </w:p>
        <w:p>
          <w:pPr>
            <w:pStyle w:val="TOC2"/>
            <w:tabs>
              <w:tab w:pos="10792" w:val="right" w:leader="dot"/>
            </w:tabs>
            <w:spacing w:line="240" w:lineRule="auto" w:before="1"/>
            <w:ind w:right="0"/>
            <w:jc w:val="left"/>
          </w:pPr>
          <w:hyperlink w:history="true" w:anchor="_bookmark11">
            <w:r>
              <w:rPr/>
              <w:t>The</w:t>
            </w:r>
            <w:r>
              <w:rPr>
                <w:spacing w:val="-2"/>
              </w:rPr>
              <w:t> </w:t>
            </w:r>
            <w:r>
              <w:rPr/>
              <w:t>Way Forward</w:t>
              <w:tab/>
              <w:t>4</w:t>
            </w:r>
          </w:hyperlink>
        </w:p>
        <w:p>
          <w:pPr>
            <w:pStyle w:val="TOC1"/>
            <w:tabs>
              <w:tab w:pos="10792" w:val="right" w:leader="dot"/>
            </w:tabs>
            <w:spacing w:line="243" w:lineRule="exact"/>
            <w:ind w:right="0"/>
            <w:jc w:val="left"/>
          </w:pPr>
          <w:hyperlink w:history="true" w:anchor="_bookmark12">
            <w:r>
              <w:rPr/>
              <w:t>Chapter 1:  Strategic Tourism Master</w:t>
            </w:r>
            <w:r>
              <w:rPr>
                <w:spacing w:val="-4"/>
              </w:rPr>
              <w:t> </w:t>
            </w:r>
            <w:r>
              <w:rPr/>
              <w:t>Plan</w:t>
            </w:r>
            <w:r>
              <w:rPr>
                <w:spacing w:val="-1"/>
              </w:rPr>
              <w:t> </w:t>
            </w:r>
            <w:r>
              <w:rPr/>
              <w:t>Framework</w:t>
              <w:tab/>
              <w:t>6</w:t>
            </w:r>
          </w:hyperlink>
        </w:p>
        <w:p>
          <w:pPr>
            <w:pStyle w:val="TOC2"/>
            <w:tabs>
              <w:tab w:pos="10792" w:val="right" w:leader="dot"/>
            </w:tabs>
            <w:spacing w:line="243" w:lineRule="exact"/>
            <w:ind w:right="0"/>
            <w:jc w:val="left"/>
          </w:pPr>
          <w:hyperlink w:history="true" w:anchor="_bookmark13">
            <w:r>
              <w:rPr/>
              <w:t>Overview</w:t>
              <w:tab/>
              <w:t>6</w:t>
            </w:r>
          </w:hyperlink>
        </w:p>
        <w:p>
          <w:pPr>
            <w:pStyle w:val="TOC2"/>
            <w:tabs>
              <w:tab w:pos="10792" w:val="right" w:leader="dot"/>
            </w:tabs>
            <w:spacing w:line="240" w:lineRule="auto"/>
            <w:ind w:right="0"/>
            <w:jc w:val="left"/>
          </w:pPr>
          <w:hyperlink w:history="true" w:anchor="_bookmark14">
            <w:r>
              <w:rPr/>
              <w:t>Purpose of</w:t>
            </w:r>
            <w:r>
              <w:rPr>
                <w:spacing w:val="-4"/>
              </w:rPr>
              <w:t> </w:t>
            </w:r>
            <w:r>
              <w:rPr/>
              <w:t>the</w:t>
            </w:r>
            <w:r>
              <w:rPr>
                <w:spacing w:val="-2"/>
              </w:rPr>
              <w:t> </w:t>
            </w:r>
            <w:r>
              <w:rPr/>
              <w:t>plan</w:t>
              <w:tab/>
              <w:t>6</w:t>
            </w:r>
          </w:hyperlink>
        </w:p>
        <w:p>
          <w:pPr>
            <w:pStyle w:val="TOC2"/>
            <w:tabs>
              <w:tab w:pos="10792" w:val="right" w:leader="dot"/>
            </w:tabs>
            <w:spacing w:line="243" w:lineRule="exact"/>
            <w:ind w:right="0"/>
            <w:jc w:val="left"/>
          </w:pPr>
          <w:hyperlink w:history="true" w:anchor="_bookmark15">
            <w:r>
              <w:rPr/>
              <w:t>Development</w:t>
            </w:r>
            <w:r>
              <w:rPr>
                <w:spacing w:val="-1"/>
              </w:rPr>
              <w:t> </w:t>
            </w:r>
            <w:r>
              <w:rPr/>
              <w:t>process</w:t>
              <w:tab/>
              <w:t>7</w:t>
            </w:r>
          </w:hyperlink>
        </w:p>
        <w:p>
          <w:pPr>
            <w:pStyle w:val="TOC1"/>
            <w:tabs>
              <w:tab w:pos="10792" w:val="right" w:leader="dot"/>
            </w:tabs>
            <w:spacing w:line="243" w:lineRule="exact"/>
            <w:ind w:right="0"/>
            <w:jc w:val="left"/>
          </w:pPr>
          <w:hyperlink w:history="true" w:anchor="_bookmark17">
            <w:r>
              <w:rPr>
                <w:rFonts w:ascii="Calibri" w:hAnsi="Calibri" w:cs="Calibri" w:eastAsia="Calibri" w:hint="default"/>
              </w:rPr>
              <w:t>Chapter 2: Curaçao’s Opportunities for</w:t>
            </w:r>
            <w:r>
              <w:rPr>
                <w:rFonts w:ascii="Calibri" w:hAnsi="Calibri" w:cs="Calibri" w:eastAsia="Calibri" w:hint="default"/>
                <w:spacing w:val="-7"/>
              </w:rPr>
              <w:t> </w:t>
            </w:r>
            <w:r>
              <w:rPr>
                <w:rFonts w:ascii="Calibri" w:hAnsi="Calibri" w:cs="Calibri" w:eastAsia="Calibri" w:hint="default"/>
              </w:rPr>
              <w:t>Forward</w:t>
            </w:r>
            <w:r>
              <w:rPr>
                <w:rFonts w:ascii="Calibri" w:hAnsi="Calibri" w:cs="Calibri" w:eastAsia="Calibri" w:hint="default"/>
                <w:spacing w:val="-1"/>
              </w:rPr>
              <w:t> </w:t>
            </w:r>
            <w:r>
              <w:rPr>
                <w:rFonts w:ascii="Calibri" w:hAnsi="Calibri" w:cs="Calibri" w:eastAsia="Calibri" w:hint="default"/>
              </w:rPr>
              <w:t>Movement</w:t>
            </w:r>
            <w:r>
              <w:rPr/>
              <w:tab/>
              <w:t>10</w:t>
            </w:r>
          </w:hyperlink>
        </w:p>
        <w:p>
          <w:pPr>
            <w:pStyle w:val="TOC2"/>
            <w:tabs>
              <w:tab w:pos="10792" w:val="right" w:leader="dot"/>
            </w:tabs>
            <w:spacing w:line="240" w:lineRule="auto"/>
            <w:ind w:right="0"/>
            <w:jc w:val="left"/>
          </w:pPr>
          <w:hyperlink w:history="true" w:anchor="_bookmark18">
            <w:r>
              <w:rPr>
                <w:rFonts w:ascii="Calibri" w:hAnsi="Calibri" w:cs="Calibri" w:eastAsia="Calibri" w:hint="default"/>
              </w:rPr>
              <w:t>Curaçao’s</w:t>
            </w:r>
            <w:r>
              <w:rPr>
                <w:rFonts w:ascii="Calibri" w:hAnsi="Calibri" w:cs="Calibri" w:eastAsia="Calibri" w:hint="default"/>
                <w:spacing w:val="-3"/>
              </w:rPr>
              <w:t> </w:t>
            </w:r>
            <w:r>
              <w:rPr>
                <w:rFonts w:ascii="Calibri" w:hAnsi="Calibri" w:cs="Calibri" w:eastAsia="Calibri" w:hint="default"/>
              </w:rPr>
              <w:t>strong</w:t>
            </w:r>
            <w:r>
              <w:rPr>
                <w:rFonts w:ascii="Calibri" w:hAnsi="Calibri" w:cs="Calibri" w:eastAsia="Calibri" w:hint="default"/>
                <w:spacing w:val="-2"/>
              </w:rPr>
              <w:t> </w:t>
            </w:r>
            <w:r>
              <w:rPr>
                <w:rFonts w:ascii="Calibri" w:hAnsi="Calibri" w:cs="Calibri" w:eastAsia="Calibri" w:hint="default"/>
              </w:rPr>
              <w:t>past</w:t>
            </w:r>
            <w:r>
              <w:rPr/>
              <w:tab/>
              <w:t>10</w:t>
            </w:r>
          </w:hyperlink>
        </w:p>
        <w:p>
          <w:pPr>
            <w:pStyle w:val="TOC2"/>
            <w:tabs>
              <w:tab w:pos="10792" w:val="right" w:leader="dot"/>
            </w:tabs>
            <w:spacing w:line="240" w:lineRule="auto"/>
            <w:ind w:right="0"/>
            <w:jc w:val="left"/>
          </w:pPr>
          <w:hyperlink w:history="true" w:anchor="_bookmark21">
            <w:r>
              <w:rPr>
                <w:rFonts w:ascii="Calibri" w:hAnsi="Calibri" w:cs="Calibri" w:eastAsia="Calibri" w:hint="default"/>
              </w:rPr>
              <w:t>Curaçao’s tourism</w:t>
            </w:r>
            <w:r>
              <w:rPr>
                <w:rFonts w:ascii="Calibri" w:hAnsi="Calibri" w:cs="Calibri" w:eastAsia="Calibri" w:hint="default"/>
                <w:spacing w:val="-4"/>
              </w:rPr>
              <w:t> </w:t>
            </w:r>
            <w:r>
              <w:rPr>
                <w:rFonts w:ascii="Calibri" w:hAnsi="Calibri" w:cs="Calibri" w:eastAsia="Calibri" w:hint="default"/>
              </w:rPr>
              <w:t>industry today</w:t>
            </w:r>
            <w:r>
              <w:rPr/>
              <w:tab/>
              <w:t>11</w:t>
            </w:r>
          </w:hyperlink>
        </w:p>
        <w:p>
          <w:pPr>
            <w:pStyle w:val="TOC2"/>
            <w:tabs>
              <w:tab w:pos="10792" w:val="right" w:leader="dot"/>
            </w:tabs>
            <w:spacing w:line="243" w:lineRule="exact"/>
            <w:ind w:right="0"/>
            <w:jc w:val="left"/>
          </w:pPr>
          <w:hyperlink w:history="true" w:anchor="_bookmark27">
            <w:r>
              <w:rPr>
                <w:rFonts w:ascii="Calibri" w:hAnsi="Calibri" w:cs="Calibri" w:eastAsia="Calibri" w:hint="default"/>
              </w:rPr>
              <w:t>Curaçao’s destination image compared to other</w:t>
            </w:r>
            <w:r>
              <w:rPr>
                <w:rFonts w:ascii="Calibri" w:hAnsi="Calibri" w:cs="Calibri" w:eastAsia="Calibri" w:hint="default"/>
                <w:spacing w:val="-2"/>
              </w:rPr>
              <w:t> </w:t>
            </w:r>
            <w:r>
              <w:rPr/>
              <w:t>Caribbean competitors</w:t>
              <w:tab/>
              <w:t>13</w:t>
            </w:r>
          </w:hyperlink>
        </w:p>
        <w:p>
          <w:pPr>
            <w:pStyle w:val="TOC2"/>
            <w:tabs>
              <w:tab w:pos="10792" w:val="right" w:leader="dot"/>
            </w:tabs>
            <w:spacing w:line="243" w:lineRule="exact"/>
            <w:ind w:right="0"/>
            <w:jc w:val="left"/>
          </w:pPr>
          <w:hyperlink w:history="true" w:anchor="_bookmark29">
            <w:r>
              <w:rPr>
                <w:rFonts w:ascii="Calibri" w:hAnsi="Calibri" w:cs="Calibri" w:eastAsia="Calibri" w:hint="default"/>
              </w:rPr>
              <w:t>Tourists’ perceptions after</w:t>
            </w:r>
            <w:r>
              <w:rPr>
                <w:rFonts w:ascii="Calibri" w:hAnsi="Calibri" w:cs="Calibri" w:eastAsia="Calibri" w:hint="default"/>
                <w:spacing w:val="-1"/>
              </w:rPr>
              <w:t> </w:t>
            </w:r>
            <w:r>
              <w:rPr>
                <w:rFonts w:ascii="Calibri" w:hAnsi="Calibri" w:cs="Calibri" w:eastAsia="Calibri" w:hint="default"/>
              </w:rPr>
              <w:t>visiting</w:t>
            </w:r>
            <w:r>
              <w:rPr>
                <w:rFonts w:ascii="Calibri" w:hAnsi="Calibri" w:cs="Calibri" w:eastAsia="Calibri" w:hint="default"/>
                <w:spacing w:val="-2"/>
              </w:rPr>
              <w:t> </w:t>
            </w:r>
            <w:r>
              <w:rPr>
                <w:rFonts w:ascii="Calibri" w:hAnsi="Calibri" w:cs="Calibri" w:eastAsia="Calibri" w:hint="default"/>
              </w:rPr>
              <w:t>Curaçao</w:t>
            </w:r>
            <w:r>
              <w:rPr/>
              <w:tab/>
              <w:t>15</w:t>
            </w:r>
          </w:hyperlink>
        </w:p>
        <w:p>
          <w:pPr>
            <w:pStyle w:val="TOC2"/>
            <w:tabs>
              <w:tab w:pos="10792" w:val="right" w:leader="dot"/>
            </w:tabs>
            <w:spacing w:line="240" w:lineRule="auto"/>
            <w:ind w:right="0"/>
            <w:jc w:val="left"/>
          </w:pPr>
          <w:hyperlink w:history="true" w:anchor="_bookmark32">
            <w:r>
              <w:rPr/>
              <w:t>Online reviews</w:t>
            </w:r>
            <w:r>
              <w:rPr>
                <w:spacing w:val="-1"/>
              </w:rPr>
              <w:t> </w:t>
            </w:r>
            <w:r>
              <w:rPr/>
              <w:t>for</w:t>
            </w:r>
            <w:r>
              <w:rPr>
                <w:spacing w:val="-1"/>
              </w:rPr>
              <w:t> </w:t>
            </w:r>
            <w:r>
              <w:rPr/>
              <w:t>Curaçao</w:t>
              <w:tab/>
              <w:t>16</w:t>
            </w:r>
          </w:hyperlink>
        </w:p>
        <w:p>
          <w:pPr>
            <w:pStyle w:val="TOC2"/>
            <w:tabs>
              <w:tab w:pos="10792" w:val="right" w:leader="dot"/>
            </w:tabs>
            <w:spacing w:line="240" w:lineRule="auto"/>
            <w:ind w:right="0"/>
            <w:jc w:val="left"/>
          </w:pPr>
          <w:hyperlink w:history="true" w:anchor="_bookmark36">
            <w:r>
              <w:rPr>
                <w:rFonts w:ascii="Calibri" w:hAnsi="Calibri" w:cs="Calibri" w:eastAsia="Calibri" w:hint="default"/>
              </w:rPr>
              <w:t>Performance gap between tourists’ perceptions and Curaçao’s</w:t>
            </w:r>
            <w:r>
              <w:rPr>
                <w:rFonts w:ascii="Calibri" w:hAnsi="Calibri" w:cs="Calibri" w:eastAsia="Calibri" w:hint="default"/>
                <w:spacing w:val="-10"/>
              </w:rPr>
              <w:t> </w:t>
            </w:r>
            <w:r>
              <w:rPr>
                <w:rFonts w:ascii="Calibri" w:hAnsi="Calibri" w:cs="Calibri" w:eastAsia="Calibri" w:hint="default"/>
              </w:rPr>
              <w:t>industry stakeholders</w:t>
            </w:r>
            <w:r>
              <w:rPr/>
              <w:tab/>
              <w:t>18</w:t>
            </w:r>
          </w:hyperlink>
        </w:p>
        <w:p>
          <w:pPr>
            <w:pStyle w:val="TOC2"/>
            <w:tabs>
              <w:tab w:pos="10792" w:val="right" w:leader="dot"/>
            </w:tabs>
            <w:spacing w:line="243" w:lineRule="exact"/>
            <w:ind w:right="0"/>
            <w:jc w:val="left"/>
          </w:pPr>
          <w:hyperlink w:history="true" w:anchor="_bookmark38">
            <w:r>
              <w:rPr>
                <w:rFonts w:ascii="Calibri" w:hAnsi="Calibri" w:cs="Calibri" w:eastAsia="Calibri" w:hint="default"/>
              </w:rPr>
              <w:t>Local residents’ perceptions of the Curaçao</w:t>
            </w:r>
            <w:r>
              <w:rPr>
                <w:rFonts w:ascii="Calibri" w:hAnsi="Calibri" w:cs="Calibri" w:eastAsia="Calibri" w:hint="default"/>
                <w:spacing w:val="-6"/>
              </w:rPr>
              <w:t> </w:t>
            </w:r>
            <w:r>
              <w:rPr>
                <w:rFonts w:ascii="Calibri" w:hAnsi="Calibri" w:cs="Calibri" w:eastAsia="Calibri" w:hint="default"/>
              </w:rPr>
              <w:t>tourism</w:t>
            </w:r>
            <w:r>
              <w:rPr>
                <w:rFonts w:ascii="Calibri" w:hAnsi="Calibri" w:cs="Calibri" w:eastAsia="Calibri" w:hint="default"/>
                <w:spacing w:val="-2"/>
              </w:rPr>
              <w:t> </w:t>
            </w:r>
            <w:r>
              <w:rPr>
                <w:rFonts w:ascii="Calibri" w:hAnsi="Calibri" w:cs="Calibri" w:eastAsia="Calibri" w:hint="default"/>
              </w:rPr>
              <w:t>industry</w:t>
            </w:r>
            <w:r>
              <w:rPr/>
              <w:tab/>
              <w:t>19</w:t>
            </w:r>
          </w:hyperlink>
        </w:p>
        <w:p>
          <w:pPr>
            <w:pStyle w:val="TOC2"/>
            <w:tabs>
              <w:tab w:pos="10792" w:val="right" w:leader="dot"/>
            </w:tabs>
            <w:spacing w:line="243" w:lineRule="exact"/>
            <w:ind w:right="0"/>
            <w:jc w:val="left"/>
          </w:pPr>
          <w:hyperlink w:history="true" w:anchor="_bookmark39">
            <w:r>
              <w:rPr>
                <w:rFonts w:ascii="Calibri" w:hAnsi="Calibri" w:cs="Calibri" w:eastAsia="Calibri" w:hint="default"/>
              </w:rPr>
              <w:t>Tourists’ future intentions to</w:t>
            </w:r>
            <w:r>
              <w:rPr>
                <w:rFonts w:ascii="Calibri" w:hAnsi="Calibri" w:cs="Calibri" w:eastAsia="Calibri" w:hint="default"/>
                <w:spacing w:val="-1"/>
              </w:rPr>
              <w:t> </w:t>
            </w:r>
            <w:r>
              <w:rPr>
                <w:rFonts w:ascii="Calibri" w:hAnsi="Calibri" w:cs="Calibri" w:eastAsia="Calibri" w:hint="default"/>
              </w:rPr>
              <w:t>visit</w:t>
            </w:r>
            <w:r>
              <w:rPr>
                <w:rFonts w:ascii="Calibri" w:hAnsi="Calibri" w:cs="Calibri" w:eastAsia="Calibri" w:hint="default"/>
                <w:spacing w:val="1"/>
              </w:rPr>
              <w:t> </w:t>
            </w:r>
            <w:r>
              <w:rPr>
                <w:rFonts w:ascii="Calibri" w:hAnsi="Calibri" w:cs="Calibri" w:eastAsia="Calibri" w:hint="default"/>
              </w:rPr>
              <w:t>Curaçao</w:t>
            </w:r>
            <w:r>
              <w:rPr/>
              <w:tab/>
              <w:t>21</w:t>
            </w:r>
          </w:hyperlink>
        </w:p>
        <w:p>
          <w:pPr>
            <w:pStyle w:val="TOC2"/>
            <w:tabs>
              <w:tab w:pos="10792" w:val="right" w:leader="dot"/>
            </w:tabs>
            <w:spacing w:line="240" w:lineRule="auto" w:before="1"/>
            <w:ind w:right="0"/>
            <w:jc w:val="left"/>
          </w:pPr>
          <w:hyperlink w:history="true" w:anchor="_bookmark41">
            <w:r>
              <w:rPr/>
              <w:t>Perception</w:t>
            </w:r>
            <w:r>
              <w:rPr>
                <w:spacing w:val="-1"/>
              </w:rPr>
              <w:t> </w:t>
            </w:r>
            <w:r>
              <w:rPr/>
              <w:t>Cruise</w:t>
            </w:r>
            <w:r>
              <w:rPr>
                <w:spacing w:val="-2"/>
              </w:rPr>
              <w:t> </w:t>
            </w:r>
            <w:r>
              <w:rPr/>
              <w:t>Visitors</w:t>
              <w:tab/>
              <w:t>21</w:t>
            </w:r>
          </w:hyperlink>
        </w:p>
        <w:p>
          <w:pPr>
            <w:pStyle w:val="TOC2"/>
            <w:tabs>
              <w:tab w:pos="10792" w:val="right" w:leader="dot"/>
            </w:tabs>
            <w:spacing w:line="243" w:lineRule="exact"/>
            <w:ind w:right="0"/>
            <w:jc w:val="left"/>
          </w:pPr>
          <w:hyperlink w:history="true" w:anchor="_bookmark42">
            <w:r>
              <w:rPr>
                <w:rFonts w:ascii="Calibri" w:hAnsi="Calibri" w:cs="Calibri" w:eastAsia="Calibri" w:hint="default"/>
              </w:rPr>
              <w:t>Tourism’s</w:t>
            </w:r>
            <w:r>
              <w:rPr>
                <w:rFonts w:ascii="Calibri" w:hAnsi="Calibri" w:cs="Calibri" w:eastAsia="Calibri" w:hint="default"/>
                <w:spacing w:val="-3"/>
              </w:rPr>
              <w:t> </w:t>
            </w:r>
            <w:r>
              <w:rPr>
                <w:rFonts w:ascii="Calibri" w:hAnsi="Calibri" w:cs="Calibri" w:eastAsia="Calibri" w:hint="default"/>
              </w:rPr>
              <w:t>new</w:t>
            </w:r>
            <w:r>
              <w:rPr>
                <w:rFonts w:ascii="Calibri" w:hAnsi="Calibri" w:cs="Calibri" w:eastAsia="Calibri" w:hint="default"/>
                <w:spacing w:val="-2"/>
              </w:rPr>
              <w:t> </w:t>
            </w:r>
            <w:r>
              <w:rPr>
                <w:rFonts w:ascii="Calibri" w:hAnsi="Calibri" w:cs="Calibri" w:eastAsia="Calibri" w:hint="default"/>
              </w:rPr>
              <w:t>promise</w:t>
            </w:r>
            <w:r>
              <w:rPr/>
              <w:tab/>
              <w:t>22</w:t>
            </w:r>
          </w:hyperlink>
        </w:p>
        <w:p>
          <w:pPr>
            <w:pStyle w:val="TOC1"/>
            <w:tabs>
              <w:tab w:pos="10792" w:val="right" w:leader="dot"/>
            </w:tabs>
            <w:spacing w:line="243" w:lineRule="exact"/>
            <w:ind w:right="0"/>
            <w:jc w:val="left"/>
          </w:pPr>
          <w:hyperlink w:history="true" w:anchor="_bookmark43">
            <w:r>
              <w:rPr/>
              <w:t>Chapter 3: The Economic Contribution</w:t>
            </w:r>
            <w:r>
              <w:rPr>
                <w:spacing w:val="-5"/>
              </w:rPr>
              <w:t> </w:t>
            </w:r>
            <w:r>
              <w:rPr/>
              <w:t>of</w:t>
            </w:r>
            <w:r>
              <w:rPr>
                <w:spacing w:val="-3"/>
              </w:rPr>
              <w:t> </w:t>
            </w:r>
            <w:r>
              <w:rPr/>
              <w:t>Tourism</w:t>
              <w:tab/>
              <w:t>23</w:t>
            </w:r>
          </w:hyperlink>
        </w:p>
        <w:p>
          <w:pPr>
            <w:pStyle w:val="TOC2"/>
            <w:tabs>
              <w:tab w:pos="10792" w:val="right" w:leader="dot"/>
            </w:tabs>
            <w:spacing w:line="240" w:lineRule="auto"/>
            <w:ind w:right="0"/>
            <w:jc w:val="left"/>
          </w:pPr>
          <w:hyperlink w:history="true" w:anchor="_bookmark44">
            <w:r>
              <w:rPr/>
              <w:t>Tourism</w:t>
            </w:r>
            <w:r>
              <w:rPr>
                <w:spacing w:val="-2"/>
              </w:rPr>
              <w:t> </w:t>
            </w:r>
            <w:r>
              <w:rPr/>
              <w:t>spending</w:t>
              <w:tab/>
              <w:t>23</w:t>
            </w:r>
          </w:hyperlink>
        </w:p>
        <w:p>
          <w:pPr>
            <w:pStyle w:val="TOC2"/>
            <w:tabs>
              <w:tab w:pos="10792" w:val="right" w:leader="dot"/>
            </w:tabs>
            <w:spacing w:line="240" w:lineRule="auto"/>
            <w:ind w:right="0"/>
            <w:jc w:val="left"/>
          </w:pPr>
          <w:hyperlink w:history="true" w:anchor="_bookmark46">
            <w:r>
              <w:rPr/>
              <w:t>The spending impact in the</w:t>
            </w:r>
            <w:r>
              <w:rPr>
                <w:spacing w:val="-4"/>
              </w:rPr>
              <w:t> </w:t>
            </w:r>
            <w:r>
              <w:rPr/>
              <w:t>local</w:t>
            </w:r>
            <w:r>
              <w:rPr>
                <w:spacing w:val="-1"/>
              </w:rPr>
              <w:t> </w:t>
            </w:r>
            <w:r>
              <w:rPr/>
              <w:t>economy</w:t>
              <w:tab/>
              <w:t>23</w:t>
            </w:r>
          </w:hyperlink>
        </w:p>
        <w:p>
          <w:pPr>
            <w:pStyle w:val="TOC2"/>
            <w:tabs>
              <w:tab w:pos="10792" w:val="right" w:leader="dot"/>
            </w:tabs>
            <w:spacing w:line="243" w:lineRule="exact"/>
            <w:ind w:right="0"/>
            <w:jc w:val="left"/>
          </w:pPr>
          <w:hyperlink w:history="true" w:anchor="_bookmark54">
            <w:r>
              <w:rPr/>
              <w:t>The</w:t>
            </w:r>
            <w:r>
              <w:rPr>
                <w:spacing w:val="-2"/>
              </w:rPr>
              <w:t> </w:t>
            </w:r>
            <w:r>
              <w:rPr/>
              <w:t>cruise</w:t>
            </w:r>
            <w:r>
              <w:rPr>
                <w:spacing w:val="-2"/>
              </w:rPr>
              <w:t> </w:t>
            </w:r>
            <w:r>
              <w:rPr/>
              <w:t>business</w:t>
              <w:tab/>
              <w:t>28</w:t>
            </w:r>
          </w:hyperlink>
        </w:p>
        <w:p>
          <w:pPr>
            <w:pStyle w:val="TOC2"/>
            <w:tabs>
              <w:tab w:pos="10792" w:val="right" w:leader="dot"/>
            </w:tabs>
            <w:spacing w:line="243" w:lineRule="exact"/>
            <w:ind w:right="0"/>
            <w:jc w:val="left"/>
          </w:pPr>
          <w:hyperlink w:history="true" w:anchor="_bookmark58">
            <w:r>
              <w:rPr/>
              <w:t>The economic impact</w:t>
            </w:r>
            <w:r>
              <w:rPr>
                <w:spacing w:val="-3"/>
              </w:rPr>
              <w:t> </w:t>
            </w:r>
            <w:r>
              <w:rPr/>
              <w:t>of</w:t>
            </w:r>
            <w:r>
              <w:rPr>
                <w:spacing w:val="-3"/>
              </w:rPr>
              <w:t> </w:t>
            </w:r>
            <w:r>
              <w:rPr/>
              <w:t>tourism</w:t>
              <w:tab/>
              <w:t>29</w:t>
            </w:r>
          </w:hyperlink>
        </w:p>
        <w:p>
          <w:pPr>
            <w:pStyle w:val="TOC2"/>
            <w:tabs>
              <w:tab w:pos="10792" w:val="right" w:leader="dot"/>
            </w:tabs>
            <w:spacing w:line="240" w:lineRule="auto"/>
            <w:ind w:right="0"/>
            <w:jc w:val="left"/>
          </w:pPr>
          <w:hyperlink w:history="true" w:anchor="_bookmark61">
            <w:r>
              <w:rPr>
                <w:rFonts w:ascii="Calibri" w:hAnsi="Calibri" w:cs="Calibri" w:eastAsia="Calibri" w:hint="default"/>
              </w:rPr>
              <w:t>Residents’ perceptions of</w:t>
            </w:r>
            <w:r>
              <w:rPr>
                <w:rFonts w:ascii="Calibri" w:hAnsi="Calibri" w:cs="Calibri" w:eastAsia="Calibri" w:hint="default"/>
                <w:spacing w:val="-4"/>
              </w:rPr>
              <w:t> </w:t>
            </w:r>
            <w:r>
              <w:rPr>
                <w:rFonts w:ascii="Calibri" w:hAnsi="Calibri" w:cs="Calibri" w:eastAsia="Calibri" w:hint="default"/>
              </w:rPr>
              <w:t>tourism’s</w:t>
            </w:r>
            <w:r>
              <w:rPr>
                <w:rFonts w:ascii="Calibri" w:hAnsi="Calibri" w:cs="Calibri" w:eastAsia="Calibri" w:hint="default"/>
                <w:spacing w:val="-3"/>
              </w:rPr>
              <w:t> </w:t>
            </w:r>
            <w:r>
              <w:rPr>
                <w:rFonts w:ascii="Calibri" w:hAnsi="Calibri" w:cs="Calibri" w:eastAsia="Calibri" w:hint="default"/>
              </w:rPr>
              <w:t>contribution</w:t>
            </w:r>
            <w:r>
              <w:rPr/>
              <w:tab/>
              <w:t>30</w:t>
            </w:r>
          </w:hyperlink>
        </w:p>
        <w:p>
          <w:pPr>
            <w:pStyle w:val="TOC2"/>
            <w:tabs>
              <w:tab w:pos="10792" w:val="right" w:leader="dot"/>
            </w:tabs>
            <w:spacing w:line="240" w:lineRule="auto"/>
            <w:ind w:right="0"/>
            <w:jc w:val="left"/>
          </w:pPr>
          <w:hyperlink w:history="true" w:anchor="_bookmark63">
            <w:r>
              <w:rPr>
                <w:rFonts w:ascii="Calibri" w:hAnsi="Calibri" w:cs="Calibri" w:eastAsia="Calibri" w:hint="default"/>
              </w:rPr>
              <w:t>Employees’ perceptions of career opportunities in the</w:t>
            </w:r>
            <w:r>
              <w:rPr>
                <w:rFonts w:ascii="Calibri" w:hAnsi="Calibri" w:cs="Calibri" w:eastAsia="Calibri" w:hint="default"/>
                <w:spacing w:val="-7"/>
              </w:rPr>
              <w:t> </w:t>
            </w:r>
            <w:r>
              <w:rPr>
                <w:rFonts w:ascii="Calibri" w:hAnsi="Calibri" w:cs="Calibri" w:eastAsia="Calibri" w:hint="default"/>
              </w:rPr>
              <w:t>tourism</w:t>
            </w:r>
            <w:r>
              <w:rPr>
                <w:rFonts w:ascii="Calibri" w:hAnsi="Calibri" w:cs="Calibri" w:eastAsia="Calibri" w:hint="default"/>
                <w:spacing w:val="-2"/>
              </w:rPr>
              <w:t> </w:t>
            </w:r>
            <w:r>
              <w:rPr>
                <w:rFonts w:ascii="Calibri" w:hAnsi="Calibri" w:cs="Calibri" w:eastAsia="Calibri" w:hint="default"/>
              </w:rPr>
              <w:t>industry</w:t>
            </w:r>
            <w:r>
              <w:rPr/>
              <w:tab/>
              <w:t>31</w:t>
            </w:r>
          </w:hyperlink>
        </w:p>
        <w:p>
          <w:pPr>
            <w:pStyle w:val="TOC2"/>
            <w:tabs>
              <w:tab w:pos="10792" w:val="right" w:leader="dot"/>
            </w:tabs>
            <w:spacing w:line="243" w:lineRule="exact"/>
            <w:ind w:right="0"/>
            <w:jc w:val="left"/>
          </w:pPr>
          <w:hyperlink w:history="true" w:anchor="_bookmark65">
            <w:r>
              <w:rPr/>
              <w:t>Tourism works with misaligned</w:t>
            </w:r>
            <w:r>
              <w:rPr>
                <w:spacing w:val="-4"/>
              </w:rPr>
              <w:t> </w:t>
            </w:r>
            <w:r>
              <w:rPr/>
              <w:t>local</w:t>
            </w:r>
            <w:r>
              <w:rPr>
                <w:spacing w:val="-1"/>
              </w:rPr>
              <w:t> </w:t>
            </w:r>
            <w:r>
              <w:rPr/>
              <w:t>perceptions</w:t>
              <w:tab/>
              <w:t>32</w:t>
            </w:r>
          </w:hyperlink>
        </w:p>
        <w:p>
          <w:pPr>
            <w:pStyle w:val="TOC1"/>
            <w:tabs>
              <w:tab w:pos="10792" w:val="right" w:leader="dot"/>
            </w:tabs>
            <w:spacing w:line="243" w:lineRule="exact"/>
            <w:ind w:right="0"/>
            <w:jc w:val="left"/>
          </w:pPr>
          <w:hyperlink w:history="true" w:anchor="_bookmark66">
            <w:r>
              <w:rPr/>
              <w:t>Chapter 4: The Effectiveness of the Tourism Industry, Human Capital, and</w:t>
            </w:r>
            <w:r>
              <w:rPr>
                <w:spacing w:val="-13"/>
              </w:rPr>
              <w:t> </w:t>
            </w:r>
            <w:r>
              <w:rPr/>
              <w:t>Institutional</w:t>
            </w:r>
            <w:r>
              <w:rPr>
                <w:spacing w:val="-1"/>
              </w:rPr>
              <w:t> </w:t>
            </w:r>
            <w:r>
              <w:rPr/>
              <w:t>Support</w:t>
              <w:tab/>
              <w:t>33</w:t>
            </w:r>
          </w:hyperlink>
        </w:p>
        <w:p>
          <w:pPr>
            <w:pStyle w:val="TOC2"/>
            <w:tabs>
              <w:tab w:pos="10792" w:val="right" w:leader="dot"/>
            </w:tabs>
            <w:spacing w:line="240" w:lineRule="auto"/>
            <w:ind w:right="0"/>
            <w:jc w:val="left"/>
          </w:pPr>
          <w:hyperlink w:history="true" w:anchor="_bookmark67">
            <w:r>
              <w:rPr/>
              <w:t>The ROI of the tourism industry</w:t>
            </w:r>
            <w:r>
              <w:rPr>
                <w:spacing w:val="-6"/>
              </w:rPr>
              <w:t> </w:t>
            </w:r>
            <w:r>
              <w:rPr/>
              <w:t>in</w:t>
            </w:r>
            <w:r>
              <w:rPr>
                <w:spacing w:val="-1"/>
              </w:rPr>
              <w:t> </w:t>
            </w:r>
            <w:r>
              <w:rPr/>
              <w:t>Curaçao</w:t>
              <w:tab/>
              <w:t>33</w:t>
            </w:r>
          </w:hyperlink>
        </w:p>
        <w:p>
          <w:pPr>
            <w:pStyle w:val="TOC2"/>
            <w:tabs>
              <w:tab w:pos="10792" w:val="right" w:leader="dot"/>
            </w:tabs>
            <w:spacing w:line="243" w:lineRule="exact"/>
            <w:ind w:right="0"/>
            <w:jc w:val="left"/>
          </w:pPr>
          <w:hyperlink w:history="true" w:anchor="_bookmark70">
            <w:r>
              <w:rPr/>
              <w:t>Cause and effects of declining ROI in the</w:t>
            </w:r>
            <w:r>
              <w:rPr>
                <w:spacing w:val="-7"/>
              </w:rPr>
              <w:t> </w:t>
            </w:r>
            <w:r>
              <w:rPr/>
              <w:t>tourism</w:t>
            </w:r>
            <w:r>
              <w:rPr>
                <w:spacing w:val="-2"/>
              </w:rPr>
              <w:t> </w:t>
            </w:r>
            <w:r>
              <w:rPr/>
              <w:t>industry</w:t>
              <w:tab/>
              <w:t>35</w:t>
            </w:r>
          </w:hyperlink>
        </w:p>
        <w:p>
          <w:pPr>
            <w:pStyle w:val="TOC2"/>
            <w:tabs>
              <w:tab w:pos="10792" w:val="right" w:leader="dot"/>
            </w:tabs>
            <w:spacing w:line="243" w:lineRule="exact"/>
            <w:ind w:right="0"/>
            <w:jc w:val="left"/>
          </w:pPr>
          <w:hyperlink w:history="true" w:anchor="_bookmark76">
            <w:r>
              <w:rPr/>
              <w:t>The business environment and the low</w:t>
            </w:r>
            <w:r>
              <w:rPr>
                <w:spacing w:val="-4"/>
              </w:rPr>
              <w:t> </w:t>
            </w:r>
            <w:r>
              <w:rPr/>
              <w:t>economic</w:t>
            </w:r>
            <w:r>
              <w:rPr>
                <w:spacing w:val="-2"/>
              </w:rPr>
              <w:t> </w:t>
            </w:r>
            <w:r>
              <w:rPr/>
              <w:t>return</w:t>
              <w:tab/>
              <w:t>37</w:t>
            </w:r>
          </w:hyperlink>
        </w:p>
        <w:p>
          <w:pPr>
            <w:pStyle w:val="TOC2"/>
            <w:tabs>
              <w:tab w:pos="10792" w:val="right" w:leader="dot"/>
            </w:tabs>
            <w:spacing w:line="240" w:lineRule="auto"/>
            <w:ind w:right="0"/>
            <w:jc w:val="left"/>
          </w:pPr>
          <w:hyperlink w:history="true" w:anchor="_bookmark77">
            <w:r>
              <w:rPr/>
              <w:t>Human capital</w:t>
            </w:r>
            <w:r>
              <w:rPr>
                <w:spacing w:val="-2"/>
              </w:rPr>
              <w:t> </w:t>
            </w:r>
            <w:r>
              <w:rPr/>
              <w:t>analysis</w:t>
              <w:tab/>
              <w:t>38</w:t>
            </w:r>
          </w:hyperlink>
        </w:p>
        <w:p>
          <w:pPr>
            <w:pStyle w:val="TOC2"/>
            <w:tabs>
              <w:tab w:pos="10792" w:val="right" w:leader="dot"/>
            </w:tabs>
            <w:spacing w:line="240" w:lineRule="auto" w:before="1"/>
            <w:ind w:right="0"/>
            <w:jc w:val="left"/>
          </w:pPr>
          <w:hyperlink w:history="true" w:anchor="_bookmark81">
            <w:r>
              <w:rPr>
                <w:rFonts w:ascii="Calibri" w:hAnsi="Calibri" w:cs="Calibri" w:eastAsia="Calibri" w:hint="default"/>
              </w:rPr>
              <w:t>The</w:t>
            </w:r>
            <w:r>
              <w:rPr>
                <w:rFonts w:ascii="Calibri" w:hAnsi="Calibri" w:cs="Calibri" w:eastAsia="Calibri" w:hint="default"/>
                <w:spacing w:val="-2"/>
              </w:rPr>
              <w:t> </w:t>
            </w:r>
            <w:r>
              <w:rPr>
                <w:rFonts w:ascii="Calibri" w:hAnsi="Calibri" w:cs="Calibri" w:eastAsia="Calibri" w:hint="default"/>
              </w:rPr>
              <w:t>CTB’s conundrum</w:t>
            </w:r>
            <w:r>
              <w:rPr/>
              <w:tab/>
              <w:t>41</w:t>
            </w:r>
          </w:hyperlink>
        </w:p>
        <w:p>
          <w:pPr>
            <w:pStyle w:val="TOC1"/>
            <w:tabs>
              <w:tab w:pos="10792" w:val="right" w:leader="dot"/>
            </w:tabs>
            <w:spacing w:line="243" w:lineRule="exact"/>
            <w:ind w:right="0"/>
            <w:jc w:val="left"/>
          </w:pPr>
          <w:hyperlink w:history="true" w:anchor="_bookmark84">
            <w:r>
              <w:rPr/>
              <w:t>Chapter 5: Challenges looming on</w:t>
            </w:r>
            <w:r>
              <w:rPr>
                <w:spacing w:val="-6"/>
              </w:rPr>
              <w:t> </w:t>
            </w:r>
            <w:r>
              <w:rPr/>
              <w:t>the</w:t>
            </w:r>
            <w:r>
              <w:rPr>
                <w:spacing w:val="-2"/>
              </w:rPr>
              <w:t> </w:t>
            </w:r>
            <w:r>
              <w:rPr/>
              <w:t>horizon</w:t>
              <w:tab/>
              <w:t>45</w:t>
            </w:r>
          </w:hyperlink>
        </w:p>
        <w:p>
          <w:pPr>
            <w:pStyle w:val="TOC2"/>
            <w:tabs>
              <w:tab w:pos="10792" w:val="right" w:leader="dot"/>
            </w:tabs>
            <w:spacing w:line="243" w:lineRule="exact"/>
            <w:ind w:right="0"/>
            <w:jc w:val="left"/>
          </w:pPr>
          <w:hyperlink w:history="true" w:anchor="_bookmark85">
            <w:r>
              <w:rPr/>
              <w:t>Tourism as best promise for</w:t>
            </w:r>
            <w:r>
              <w:rPr>
                <w:spacing w:val="-5"/>
              </w:rPr>
              <w:t> </w:t>
            </w:r>
            <w:r>
              <w:rPr/>
              <w:t>the</w:t>
            </w:r>
            <w:r>
              <w:rPr>
                <w:spacing w:val="-2"/>
              </w:rPr>
              <w:t> </w:t>
            </w:r>
            <w:r>
              <w:rPr/>
              <w:t>future</w:t>
              <w:tab/>
              <w:t>45</w:t>
            </w:r>
          </w:hyperlink>
        </w:p>
        <w:p>
          <w:pPr>
            <w:pStyle w:val="TOC2"/>
            <w:tabs>
              <w:tab w:pos="10792" w:val="right" w:leader="dot"/>
            </w:tabs>
            <w:spacing w:line="240" w:lineRule="auto"/>
            <w:ind w:right="0"/>
            <w:jc w:val="left"/>
          </w:pPr>
          <w:hyperlink w:history="true" w:anchor="_bookmark87">
            <w:r>
              <w:rPr/>
              <w:t>Tourism and the</w:t>
            </w:r>
            <w:r>
              <w:rPr>
                <w:spacing w:val="-3"/>
              </w:rPr>
              <w:t> </w:t>
            </w:r>
            <w:r>
              <w:rPr/>
              <w:t>economic</w:t>
            </w:r>
            <w:r>
              <w:rPr>
                <w:spacing w:val="-2"/>
              </w:rPr>
              <w:t> </w:t>
            </w:r>
            <w:r>
              <w:rPr/>
              <w:t>link</w:t>
              <w:tab/>
              <w:t>46</w:t>
            </w:r>
          </w:hyperlink>
        </w:p>
        <w:p>
          <w:pPr>
            <w:pStyle w:val="TOC2"/>
            <w:tabs>
              <w:tab w:pos="10792" w:val="right" w:leader="dot"/>
            </w:tabs>
            <w:spacing w:line="240" w:lineRule="auto"/>
            <w:ind w:right="0"/>
            <w:jc w:val="left"/>
          </w:pPr>
          <w:hyperlink w:history="true" w:anchor="_bookmark90">
            <w:r>
              <w:rPr/>
              <w:t>The soft component of tourism is</w:t>
            </w:r>
            <w:r>
              <w:rPr>
                <w:spacing w:val="-6"/>
              </w:rPr>
              <w:t> </w:t>
            </w:r>
            <w:r>
              <w:rPr/>
              <w:t>under</w:t>
            </w:r>
            <w:r>
              <w:rPr>
                <w:spacing w:val="-1"/>
              </w:rPr>
              <w:t> </w:t>
            </w:r>
            <w:r>
              <w:rPr/>
              <w:t>pressure</w:t>
              <w:tab/>
              <w:t>48</w:t>
            </w:r>
          </w:hyperlink>
        </w:p>
        <w:p>
          <w:pPr>
            <w:pStyle w:val="TOC2"/>
            <w:tabs>
              <w:tab w:pos="10792" w:val="right" w:leader="dot"/>
            </w:tabs>
            <w:spacing w:line="243" w:lineRule="exact"/>
            <w:ind w:right="0"/>
            <w:jc w:val="left"/>
          </w:pPr>
          <w:hyperlink w:history="true" w:anchor="_bookmark92">
            <w:r>
              <w:rPr/>
              <w:t>Direction</w:t>
            </w:r>
            <w:r>
              <w:rPr>
                <w:spacing w:val="-1"/>
              </w:rPr>
              <w:t> </w:t>
            </w:r>
            <w:r>
              <w:rPr/>
              <w:t>needed</w:t>
              <w:tab/>
              <w:t>49</w:t>
            </w:r>
          </w:hyperlink>
        </w:p>
        <w:p>
          <w:pPr>
            <w:pStyle w:val="TOC2"/>
            <w:tabs>
              <w:tab w:pos="10792" w:val="right" w:leader="dot"/>
            </w:tabs>
            <w:spacing w:line="243" w:lineRule="exact"/>
            <w:ind w:right="0"/>
            <w:jc w:val="left"/>
          </w:pPr>
          <w:hyperlink w:history="true" w:anchor="_bookmark93">
            <w:r>
              <w:rPr>
                <w:rFonts w:ascii="Calibri" w:hAnsi="Calibri" w:cs="Calibri" w:eastAsia="Calibri" w:hint="default"/>
              </w:rPr>
              <w:t>Curaçao’s</w:t>
            </w:r>
            <w:r>
              <w:rPr>
                <w:rFonts w:ascii="Calibri" w:hAnsi="Calibri" w:cs="Calibri" w:eastAsia="Calibri" w:hint="default"/>
                <w:spacing w:val="-3"/>
              </w:rPr>
              <w:t> </w:t>
            </w:r>
            <w:r>
              <w:rPr>
                <w:rFonts w:ascii="Calibri" w:hAnsi="Calibri" w:cs="Calibri" w:eastAsia="Calibri" w:hint="default"/>
              </w:rPr>
              <w:t>competitive</w:t>
            </w:r>
            <w:r>
              <w:rPr>
                <w:rFonts w:ascii="Calibri" w:hAnsi="Calibri" w:cs="Calibri" w:eastAsia="Calibri" w:hint="default"/>
                <w:spacing w:val="-2"/>
              </w:rPr>
              <w:t> </w:t>
            </w:r>
            <w:r>
              <w:rPr>
                <w:rFonts w:ascii="Calibri" w:hAnsi="Calibri" w:cs="Calibri" w:eastAsia="Calibri" w:hint="default"/>
              </w:rPr>
              <w:t>position</w:t>
            </w:r>
            <w:r>
              <w:rPr/>
              <w:tab/>
              <w:t>49</w:t>
            </w:r>
          </w:hyperlink>
        </w:p>
        <w:p>
          <w:pPr>
            <w:pStyle w:val="TOC2"/>
            <w:tabs>
              <w:tab w:pos="10792" w:val="right" w:leader="dot"/>
            </w:tabs>
            <w:spacing w:line="240" w:lineRule="auto"/>
            <w:ind w:right="0"/>
            <w:jc w:val="left"/>
          </w:pPr>
          <w:hyperlink w:history="true" w:anchor="_bookmark95">
            <w:r>
              <w:rPr/>
              <w:t>A need</w:t>
            </w:r>
            <w:r>
              <w:rPr>
                <w:spacing w:val="-2"/>
              </w:rPr>
              <w:t> </w:t>
            </w:r>
            <w:r>
              <w:rPr/>
              <w:t>for</w:t>
            </w:r>
            <w:r>
              <w:rPr>
                <w:spacing w:val="-1"/>
              </w:rPr>
              <w:t> </w:t>
            </w:r>
            <w:r>
              <w:rPr/>
              <w:t>change</w:t>
              <w:tab/>
              <w:t>51</w:t>
            </w:r>
          </w:hyperlink>
        </w:p>
        <w:p>
          <w:pPr>
            <w:pStyle w:val="TOC1"/>
            <w:tabs>
              <w:tab w:pos="10792" w:val="right" w:leader="dot"/>
            </w:tabs>
            <w:spacing w:line="240" w:lineRule="auto"/>
            <w:ind w:right="0"/>
            <w:jc w:val="left"/>
          </w:pPr>
          <w:hyperlink w:history="true" w:anchor="_bookmark97">
            <w:r>
              <w:rPr>
                <w:rFonts w:ascii="Calibri" w:hAnsi="Calibri" w:cs="Calibri" w:eastAsia="Calibri" w:hint="default"/>
              </w:rPr>
              <w:t>Chapter 6: Profiling Curaçao’s Tourists, Satisfaction, and Intention</w:t>
            </w:r>
            <w:r>
              <w:rPr>
                <w:rFonts w:ascii="Calibri" w:hAnsi="Calibri" w:cs="Calibri" w:eastAsia="Calibri" w:hint="default"/>
                <w:spacing w:val="-2"/>
              </w:rPr>
              <w:t> </w:t>
            </w:r>
            <w:r>
              <w:rPr>
                <w:rFonts w:ascii="Calibri" w:hAnsi="Calibri" w:cs="Calibri" w:eastAsia="Calibri" w:hint="default"/>
              </w:rPr>
              <w:t>to</w:t>
            </w:r>
            <w:r>
              <w:rPr>
                <w:rFonts w:ascii="Calibri" w:hAnsi="Calibri" w:cs="Calibri" w:eastAsia="Calibri" w:hint="default"/>
                <w:spacing w:val="-1"/>
              </w:rPr>
              <w:t> </w:t>
            </w:r>
            <w:r>
              <w:rPr>
                <w:rFonts w:ascii="Calibri" w:hAnsi="Calibri" w:cs="Calibri" w:eastAsia="Calibri" w:hint="default"/>
              </w:rPr>
              <w:t>Return</w:t>
            </w:r>
            <w:r>
              <w:rPr/>
              <w:tab/>
              <w:t>52</w:t>
            </w:r>
          </w:hyperlink>
        </w:p>
        <w:p>
          <w:pPr>
            <w:pStyle w:val="TOC2"/>
            <w:tabs>
              <w:tab w:pos="10792" w:val="right" w:leader="dot"/>
            </w:tabs>
            <w:spacing w:line="240" w:lineRule="auto" w:before="585"/>
            <w:ind w:right="0"/>
            <w:jc w:val="left"/>
          </w:pPr>
          <w:hyperlink w:history="true" w:anchor="_bookmark98">
            <w:r>
              <w:rPr/>
              <w:t>Demographic</w:t>
            </w:r>
            <w:r>
              <w:rPr>
                <w:spacing w:val="-2"/>
              </w:rPr>
              <w:t> </w:t>
            </w:r>
            <w:r>
              <w:rPr/>
              <w:t>tourist</w:t>
            </w:r>
            <w:r>
              <w:rPr>
                <w:spacing w:val="-1"/>
              </w:rPr>
              <w:t> </w:t>
            </w:r>
            <w:r>
              <w:rPr/>
              <w:t>profile</w:t>
              <w:tab/>
              <w:t>52</w:t>
            </w:r>
          </w:hyperlink>
        </w:p>
        <w:p>
          <w:pPr>
            <w:pStyle w:val="TOC2"/>
            <w:tabs>
              <w:tab w:pos="10792" w:val="right" w:leader="dot"/>
            </w:tabs>
            <w:spacing w:line="243" w:lineRule="exact"/>
            <w:ind w:right="0"/>
            <w:jc w:val="left"/>
          </w:pPr>
          <w:hyperlink w:history="true" w:anchor="_bookmark100">
            <w:r>
              <w:rPr/>
              <w:t>Information search and</w:t>
            </w:r>
            <w:r>
              <w:rPr>
                <w:spacing w:val="-1"/>
              </w:rPr>
              <w:t> </w:t>
            </w:r>
            <w:r>
              <w:rPr/>
              <w:t>booking</w:t>
            </w:r>
            <w:r>
              <w:rPr>
                <w:spacing w:val="-2"/>
              </w:rPr>
              <w:t> </w:t>
            </w:r>
            <w:r>
              <w:rPr/>
              <w:t>behavior</w:t>
              <w:tab/>
              <w:t>52</w:t>
            </w:r>
          </w:hyperlink>
        </w:p>
        <w:p>
          <w:pPr>
            <w:pStyle w:val="TOC2"/>
            <w:tabs>
              <w:tab w:pos="10792" w:val="right" w:leader="dot"/>
            </w:tabs>
            <w:spacing w:line="243" w:lineRule="exact"/>
            <w:ind w:right="0"/>
            <w:jc w:val="left"/>
          </w:pPr>
          <w:hyperlink w:history="true" w:anchor="_bookmark104">
            <w:r>
              <w:rPr/>
              <w:t>Activities enjoyed while at</w:t>
            </w:r>
            <w:r>
              <w:rPr>
                <w:spacing w:val="-2"/>
              </w:rPr>
              <w:t> </w:t>
            </w:r>
            <w:r>
              <w:rPr/>
              <w:t>the destination</w:t>
              <w:tab/>
              <w:t>55</w:t>
            </w:r>
          </w:hyperlink>
        </w:p>
        <w:p>
          <w:pPr>
            <w:pStyle w:val="TOC2"/>
            <w:tabs>
              <w:tab w:pos="10792" w:val="right" w:leader="dot"/>
            </w:tabs>
            <w:spacing w:line="240" w:lineRule="auto"/>
            <w:ind w:right="0"/>
            <w:jc w:val="left"/>
          </w:pPr>
          <w:hyperlink w:history="true" w:anchor="_bookmark108">
            <w:r>
              <w:rPr/>
              <w:t>From satisfaction to intention</w:t>
            </w:r>
            <w:r>
              <w:rPr>
                <w:spacing w:val="-1"/>
              </w:rPr>
              <w:t> </w:t>
            </w:r>
            <w:r>
              <w:rPr/>
              <w:t>to</w:t>
            </w:r>
            <w:r>
              <w:rPr>
                <w:spacing w:val="-1"/>
              </w:rPr>
              <w:t> </w:t>
            </w:r>
            <w:r>
              <w:rPr/>
              <w:t>return</w:t>
              <w:tab/>
              <w:t>57</w:t>
            </w:r>
          </w:hyperlink>
        </w:p>
        <w:p>
          <w:pPr>
            <w:pStyle w:val="TOC1"/>
            <w:tabs>
              <w:tab w:pos="10792" w:val="right" w:leader="dot"/>
            </w:tabs>
            <w:spacing w:line="240" w:lineRule="auto"/>
            <w:ind w:right="0"/>
            <w:jc w:val="left"/>
          </w:pPr>
          <w:hyperlink w:history="true" w:anchor="_bookmark116">
            <w:r>
              <w:rPr/>
              <w:t>Chapter 7 Solidifying the</w:t>
            </w:r>
            <w:r>
              <w:rPr>
                <w:spacing w:val="-4"/>
              </w:rPr>
              <w:t> </w:t>
            </w:r>
            <w:r>
              <w:rPr/>
              <w:t>Tourist</w:t>
            </w:r>
            <w:r>
              <w:rPr>
                <w:spacing w:val="-1"/>
              </w:rPr>
              <w:t> </w:t>
            </w:r>
            <w:r>
              <w:rPr/>
              <w:t>Experience</w:t>
              <w:tab/>
              <w:t>63</w:t>
            </w:r>
          </w:hyperlink>
        </w:p>
        <w:p>
          <w:pPr>
            <w:pStyle w:val="TOC2"/>
            <w:tabs>
              <w:tab w:pos="10792" w:val="right" w:leader="dot"/>
            </w:tabs>
            <w:spacing w:line="243" w:lineRule="exact"/>
            <w:ind w:right="0"/>
            <w:jc w:val="left"/>
          </w:pPr>
          <w:hyperlink w:history="true" w:anchor="_bookmark117">
            <w:r>
              <w:rPr/>
              <w:t>Paths toward</w:t>
            </w:r>
            <w:r>
              <w:rPr>
                <w:spacing w:val="-3"/>
              </w:rPr>
              <w:t> </w:t>
            </w:r>
            <w:r>
              <w:rPr/>
              <w:t>collective</w:t>
            </w:r>
            <w:r>
              <w:rPr>
                <w:spacing w:val="-2"/>
              </w:rPr>
              <w:t> </w:t>
            </w:r>
            <w:r>
              <w:rPr/>
              <w:t>prosperity</w:t>
              <w:tab/>
              <w:t>63</w:t>
            </w:r>
          </w:hyperlink>
        </w:p>
        <w:p>
          <w:pPr>
            <w:pStyle w:val="TOC2"/>
            <w:tabs>
              <w:tab w:pos="10792" w:val="right" w:leader="dot"/>
            </w:tabs>
            <w:spacing w:line="243" w:lineRule="exact"/>
            <w:ind w:right="0"/>
            <w:jc w:val="left"/>
          </w:pPr>
          <w:hyperlink w:history="true" w:anchor="_bookmark118">
            <w:r>
              <w:rPr/>
              <w:t>The</w:t>
            </w:r>
            <w:r>
              <w:rPr>
                <w:spacing w:val="-2"/>
              </w:rPr>
              <w:t> </w:t>
            </w:r>
            <w:r>
              <w:rPr/>
              <w:t>strategic</w:t>
            </w:r>
            <w:r>
              <w:rPr>
                <w:spacing w:val="-2"/>
              </w:rPr>
              <w:t> </w:t>
            </w:r>
            <w:r>
              <w:rPr/>
              <w:t>plan</w:t>
              <w:tab/>
              <w:t>63</w:t>
            </w:r>
          </w:hyperlink>
        </w:p>
        <w:p>
          <w:pPr>
            <w:pStyle w:val="TOC2"/>
            <w:tabs>
              <w:tab w:pos="10792" w:val="right" w:leader="dot"/>
            </w:tabs>
            <w:spacing w:line="240" w:lineRule="auto"/>
            <w:ind w:right="0"/>
            <w:jc w:val="left"/>
          </w:pPr>
          <w:hyperlink w:history="true" w:anchor="_bookmark122">
            <w:r>
              <w:rPr/>
              <w:t>Phase</w:t>
            </w:r>
            <w:r>
              <w:rPr>
                <w:spacing w:val="-3"/>
              </w:rPr>
              <w:t> </w:t>
            </w:r>
            <w:r>
              <w:rPr/>
              <w:t>1:</w:t>
            </w:r>
            <w:r>
              <w:rPr>
                <w:spacing w:val="1"/>
              </w:rPr>
              <w:t> </w:t>
            </w:r>
            <w:r>
              <w:rPr/>
              <w:t>Traction</w:t>
              <w:tab/>
              <w:t>65</w:t>
            </w:r>
          </w:hyperlink>
        </w:p>
        <w:p>
          <w:pPr>
            <w:pStyle w:val="TOC2"/>
            <w:tabs>
              <w:tab w:pos="10792" w:val="right" w:leader="dot"/>
            </w:tabs>
            <w:spacing w:line="240" w:lineRule="auto"/>
            <w:ind w:right="0"/>
            <w:jc w:val="left"/>
          </w:pPr>
          <w:hyperlink w:history="true" w:anchor="_bookmark123">
            <w:r>
              <w:rPr/>
              <w:t>Phase</w:t>
            </w:r>
            <w:r>
              <w:rPr>
                <w:spacing w:val="-3"/>
              </w:rPr>
              <w:t> </w:t>
            </w:r>
            <w:r>
              <w:rPr/>
              <w:t>2:</w:t>
            </w:r>
            <w:r>
              <w:rPr>
                <w:spacing w:val="-2"/>
              </w:rPr>
              <w:t> </w:t>
            </w:r>
            <w:r>
              <w:rPr/>
              <w:t>Solidification</w:t>
              <w:tab/>
              <w:t>65</w:t>
            </w:r>
          </w:hyperlink>
        </w:p>
        <w:p>
          <w:pPr>
            <w:pStyle w:val="TOC2"/>
            <w:tabs>
              <w:tab w:pos="10792" w:val="right" w:leader="dot"/>
            </w:tabs>
            <w:spacing w:line="243" w:lineRule="exact"/>
            <w:ind w:right="0"/>
            <w:jc w:val="left"/>
          </w:pPr>
          <w:hyperlink w:history="true" w:anchor="_bookmark124">
            <w:r>
              <w:rPr/>
              <w:t>Phase 3:</w:t>
            </w:r>
            <w:r>
              <w:rPr>
                <w:spacing w:val="-4"/>
              </w:rPr>
              <w:t> </w:t>
            </w:r>
            <w:r>
              <w:rPr/>
              <w:t>New</w:t>
            </w:r>
            <w:r>
              <w:rPr>
                <w:spacing w:val="-2"/>
              </w:rPr>
              <w:t> </w:t>
            </w:r>
            <w:r>
              <w:rPr/>
              <w:t>horizons</w:t>
              <w:tab/>
              <w:t>66</w:t>
            </w:r>
          </w:hyperlink>
        </w:p>
        <w:p>
          <w:pPr>
            <w:pStyle w:val="TOC2"/>
            <w:tabs>
              <w:tab w:pos="10792" w:val="right" w:leader="dot"/>
            </w:tabs>
            <w:spacing w:line="243" w:lineRule="exact"/>
            <w:ind w:right="0"/>
            <w:jc w:val="left"/>
          </w:pPr>
          <w:hyperlink w:history="true" w:anchor="_bookmark127">
            <w:r>
              <w:rPr/>
              <w:t>Getting the American tourists</w:t>
            </w:r>
            <w:r>
              <w:rPr>
                <w:spacing w:val="-2"/>
              </w:rPr>
              <w:t> </w:t>
            </w:r>
            <w:r>
              <w:rPr/>
              <w:t>to</w:t>
            </w:r>
            <w:r>
              <w:rPr>
                <w:spacing w:val="-1"/>
              </w:rPr>
              <w:t> </w:t>
            </w:r>
            <w:r>
              <w:rPr/>
              <w:t>Curaçao</w:t>
              <w:tab/>
              <w:t>67</w:t>
            </w:r>
          </w:hyperlink>
        </w:p>
        <w:p>
          <w:pPr>
            <w:pStyle w:val="TOC2"/>
            <w:tabs>
              <w:tab w:pos="10792" w:val="right" w:leader="dot"/>
            </w:tabs>
            <w:spacing w:line="240" w:lineRule="auto"/>
            <w:ind w:right="0"/>
            <w:jc w:val="left"/>
          </w:pPr>
          <w:hyperlink w:history="true" w:anchor="_bookmark130">
            <w:r>
              <w:rPr>
                <w:rFonts w:ascii="Calibri" w:hAnsi="Calibri" w:cs="Calibri" w:eastAsia="Calibri" w:hint="default"/>
              </w:rPr>
              <w:t>Curaçao’s American</w:t>
            </w:r>
            <w:r>
              <w:rPr>
                <w:rFonts w:ascii="Calibri" w:hAnsi="Calibri" w:cs="Calibri" w:eastAsia="Calibri" w:hint="default"/>
                <w:spacing w:val="-3"/>
              </w:rPr>
              <w:t> </w:t>
            </w:r>
            <w:r>
              <w:rPr>
                <w:rFonts w:ascii="Calibri" w:hAnsi="Calibri" w:cs="Calibri" w:eastAsia="Calibri" w:hint="default"/>
              </w:rPr>
              <w:t>market</w:t>
            </w:r>
            <w:r>
              <w:rPr>
                <w:rFonts w:ascii="Calibri" w:hAnsi="Calibri" w:cs="Calibri" w:eastAsia="Calibri" w:hint="default"/>
                <w:spacing w:val="-1"/>
              </w:rPr>
              <w:t> </w:t>
            </w:r>
            <w:r>
              <w:rPr>
                <w:rFonts w:ascii="Calibri" w:hAnsi="Calibri" w:cs="Calibri" w:eastAsia="Calibri" w:hint="default"/>
              </w:rPr>
              <w:t>competi</w:t>
            </w:r>
            <w:r>
              <w:rPr/>
              <w:t>tors</w:t>
              <w:tab/>
              <w:t>68</w:t>
            </w:r>
          </w:hyperlink>
        </w:p>
        <w:p>
          <w:pPr>
            <w:pStyle w:val="TOC2"/>
            <w:tabs>
              <w:tab w:pos="10792" w:val="right" w:leader="dot"/>
            </w:tabs>
            <w:spacing w:line="243" w:lineRule="exact"/>
            <w:ind w:right="0"/>
            <w:jc w:val="left"/>
          </w:pPr>
          <w:hyperlink w:history="true" w:anchor="_bookmark134">
            <w:r>
              <w:rPr>
                <w:rFonts w:ascii="Calibri" w:hAnsi="Calibri" w:cs="Calibri" w:eastAsia="Calibri" w:hint="default"/>
              </w:rPr>
              <w:t>Curaçao’s tourism strategy in the</w:t>
            </w:r>
            <w:r>
              <w:rPr>
                <w:rFonts w:ascii="Calibri" w:hAnsi="Calibri" w:cs="Calibri" w:eastAsia="Calibri" w:hint="default"/>
                <w:spacing w:val="-2"/>
              </w:rPr>
              <w:t> </w:t>
            </w:r>
            <w:r>
              <w:rPr>
                <w:rFonts w:ascii="Calibri" w:hAnsi="Calibri" w:cs="Calibri" w:eastAsia="Calibri" w:hint="default"/>
              </w:rPr>
              <w:t>American market</w:t>
            </w:r>
            <w:r>
              <w:rPr/>
              <w:tab/>
              <w:t>71</w:t>
            </w:r>
          </w:hyperlink>
        </w:p>
        <w:p>
          <w:pPr>
            <w:pStyle w:val="TOC2"/>
            <w:tabs>
              <w:tab w:pos="10792" w:val="right" w:leader="dot"/>
            </w:tabs>
            <w:spacing w:line="243" w:lineRule="exact"/>
            <w:ind w:right="0"/>
            <w:jc w:val="left"/>
          </w:pPr>
          <w:hyperlink w:history="true" w:anchor="_bookmark135">
            <w:r>
              <w:rPr/>
              <w:t>Segmentation strategies conquering the</w:t>
            </w:r>
            <w:r>
              <w:rPr>
                <w:spacing w:val="-5"/>
              </w:rPr>
              <w:t> </w:t>
            </w:r>
            <w:r>
              <w:rPr/>
              <w:t>American</w:t>
            </w:r>
            <w:r>
              <w:rPr>
                <w:spacing w:val="-1"/>
              </w:rPr>
              <w:t> </w:t>
            </w:r>
            <w:r>
              <w:rPr/>
              <w:t>market</w:t>
              <w:tab/>
              <w:t>71</w:t>
            </w:r>
          </w:hyperlink>
        </w:p>
        <w:p>
          <w:pPr>
            <w:pStyle w:val="TOC2"/>
            <w:tabs>
              <w:tab w:pos="10792" w:val="right" w:leader="dot"/>
            </w:tabs>
            <w:spacing w:line="240" w:lineRule="auto"/>
            <w:ind w:right="0"/>
            <w:jc w:val="left"/>
          </w:pPr>
          <w:hyperlink w:history="true" w:anchor="_bookmark136">
            <w:r>
              <w:rPr/>
              <w:t>Innovative American</w:t>
            </w:r>
            <w:r>
              <w:rPr>
                <w:spacing w:val="-2"/>
              </w:rPr>
              <w:t> </w:t>
            </w:r>
            <w:r>
              <w:rPr/>
              <w:t>tourist</w:t>
            </w:r>
            <w:r>
              <w:rPr>
                <w:spacing w:val="-1"/>
              </w:rPr>
              <w:t> </w:t>
            </w:r>
            <w:r>
              <w:rPr/>
              <w:t>segment</w:t>
              <w:tab/>
              <w:t>72</w:t>
            </w:r>
          </w:hyperlink>
        </w:p>
        <w:p>
          <w:pPr>
            <w:pStyle w:val="TOC3"/>
            <w:tabs>
              <w:tab w:pos="10792" w:val="right" w:leader="dot"/>
            </w:tabs>
            <w:spacing w:line="240" w:lineRule="auto" w:before="1"/>
            <w:ind w:right="0"/>
            <w:jc w:val="left"/>
          </w:pPr>
          <w:hyperlink w:history="true" w:anchor="_bookmark137">
            <w:r>
              <w:rPr/>
              <w:t>Demographic and</w:t>
            </w:r>
            <w:r>
              <w:rPr>
                <w:spacing w:val="-2"/>
              </w:rPr>
              <w:t> </w:t>
            </w:r>
            <w:r>
              <w:rPr/>
              <w:t>geographic</w:t>
            </w:r>
            <w:r>
              <w:rPr>
                <w:spacing w:val="-2"/>
              </w:rPr>
              <w:t> </w:t>
            </w:r>
            <w:r>
              <w:rPr/>
              <w:t>traits</w:t>
              <w:tab/>
              <w:t>72</w:t>
            </w:r>
          </w:hyperlink>
        </w:p>
        <w:p>
          <w:pPr>
            <w:pStyle w:val="TOC3"/>
            <w:tabs>
              <w:tab w:pos="10792" w:val="right" w:leader="dot"/>
            </w:tabs>
            <w:spacing w:line="243" w:lineRule="exact"/>
            <w:ind w:right="0"/>
            <w:jc w:val="left"/>
          </w:pPr>
          <w:hyperlink w:history="true" w:anchor="_bookmark138">
            <w:r>
              <w:rPr/>
              <w:t>Psychographic</w:t>
            </w:r>
            <w:r>
              <w:rPr>
                <w:spacing w:val="-2"/>
              </w:rPr>
              <w:t> </w:t>
            </w:r>
            <w:r>
              <w:rPr/>
              <w:t>traits</w:t>
              <w:tab/>
              <w:t>72</w:t>
            </w:r>
          </w:hyperlink>
        </w:p>
        <w:p>
          <w:pPr>
            <w:pStyle w:val="TOC2"/>
            <w:tabs>
              <w:tab w:pos="10792" w:val="right" w:leader="dot"/>
            </w:tabs>
            <w:spacing w:line="243" w:lineRule="exact"/>
            <w:ind w:right="0"/>
            <w:jc w:val="left"/>
          </w:pPr>
          <w:hyperlink w:history="true" w:anchor="_bookmark139">
            <w:r>
              <w:rPr/>
              <w:t>The quality, market maven</w:t>
            </w:r>
            <w:r>
              <w:rPr>
                <w:spacing w:val="-2"/>
              </w:rPr>
              <w:t> </w:t>
            </w:r>
            <w:r>
              <w:rPr/>
              <w:t>American</w:t>
            </w:r>
            <w:r>
              <w:rPr>
                <w:spacing w:val="-1"/>
              </w:rPr>
              <w:t> </w:t>
            </w:r>
            <w:r>
              <w:rPr/>
              <w:t>tourist</w:t>
              <w:tab/>
              <w:t>73</w:t>
            </w:r>
          </w:hyperlink>
        </w:p>
        <w:p>
          <w:pPr>
            <w:pStyle w:val="TOC3"/>
            <w:tabs>
              <w:tab w:pos="10792" w:val="right" w:leader="dot"/>
            </w:tabs>
            <w:spacing w:line="240" w:lineRule="auto"/>
            <w:ind w:right="0"/>
            <w:jc w:val="left"/>
          </w:pPr>
          <w:hyperlink w:history="true" w:anchor="_bookmark140">
            <w:r>
              <w:rPr/>
              <w:t>Demographic and</w:t>
            </w:r>
            <w:r>
              <w:rPr>
                <w:spacing w:val="-2"/>
              </w:rPr>
              <w:t> </w:t>
            </w:r>
            <w:r>
              <w:rPr/>
              <w:t>geographic</w:t>
            </w:r>
            <w:r>
              <w:rPr>
                <w:spacing w:val="-2"/>
              </w:rPr>
              <w:t> </w:t>
            </w:r>
            <w:r>
              <w:rPr/>
              <w:t>traits</w:t>
              <w:tab/>
              <w:t>73</w:t>
            </w:r>
          </w:hyperlink>
        </w:p>
        <w:p>
          <w:pPr>
            <w:pStyle w:val="TOC3"/>
            <w:tabs>
              <w:tab w:pos="10792" w:val="right" w:leader="dot"/>
            </w:tabs>
            <w:spacing w:line="240" w:lineRule="auto"/>
            <w:ind w:right="0"/>
            <w:jc w:val="left"/>
          </w:pPr>
          <w:hyperlink w:history="true" w:anchor="_bookmark141">
            <w:r>
              <w:rPr/>
              <w:t>Psychographic</w:t>
            </w:r>
            <w:r>
              <w:rPr>
                <w:spacing w:val="-2"/>
              </w:rPr>
              <w:t> </w:t>
            </w:r>
            <w:r>
              <w:rPr/>
              <w:t>traits</w:t>
              <w:tab/>
              <w:t>73</w:t>
            </w:r>
          </w:hyperlink>
        </w:p>
        <w:p>
          <w:pPr>
            <w:pStyle w:val="TOC2"/>
            <w:tabs>
              <w:tab w:pos="10792" w:val="right" w:leader="dot"/>
            </w:tabs>
            <w:spacing w:line="243" w:lineRule="exact"/>
            <w:ind w:right="0"/>
            <w:jc w:val="left"/>
          </w:pPr>
          <w:hyperlink w:history="true" w:anchor="_bookmark142">
            <w:r>
              <w:rPr>
                <w:rFonts w:ascii="Calibri" w:hAnsi="Calibri" w:cs="Calibri" w:eastAsia="Calibri" w:hint="default"/>
              </w:rPr>
              <w:t>“Curaçao, a different</w:t>
            </w:r>
            <w:r>
              <w:rPr>
                <w:rFonts w:ascii="Calibri" w:hAnsi="Calibri" w:cs="Calibri" w:eastAsia="Calibri" w:hint="default"/>
                <w:spacing w:val="-1"/>
              </w:rPr>
              <w:t> </w:t>
            </w:r>
            <w:r>
              <w:rPr>
                <w:rFonts w:ascii="Calibri" w:hAnsi="Calibri" w:cs="Calibri" w:eastAsia="Calibri" w:hint="default"/>
              </w:rPr>
              <w:t>Dutch</w:t>
            </w:r>
            <w:r>
              <w:rPr>
                <w:rFonts w:ascii="Calibri" w:hAnsi="Calibri" w:cs="Calibri" w:eastAsia="Calibri" w:hint="default"/>
                <w:spacing w:val="-1"/>
              </w:rPr>
              <w:t> </w:t>
            </w:r>
            <w:r>
              <w:rPr>
                <w:rFonts w:ascii="Calibri" w:hAnsi="Calibri" w:cs="Calibri" w:eastAsia="Calibri" w:hint="default"/>
              </w:rPr>
              <w:t>Caribbean”</w:t>
            </w:r>
            <w:r>
              <w:rPr/>
              <w:tab/>
              <w:t>74</w:t>
            </w:r>
          </w:hyperlink>
        </w:p>
        <w:p>
          <w:pPr>
            <w:pStyle w:val="TOC2"/>
            <w:tabs>
              <w:tab w:pos="10792" w:val="right" w:leader="dot"/>
            </w:tabs>
            <w:spacing w:line="243" w:lineRule="exact"/>
            <w:ind w:right="0"/>
            <w:jc w:val="left"/>
          </w:pPr>
          <w:hyperlink w:history="true" w:anchor="_bookmark144">
            <w:r>
              <w:rPr/>
              <w:t>The</w:t>
            </w:r>
            <w:r>
              <w:rPr>
                <w:spacing w:val="-2"/>
              </w:rPr>
              <w:t> </w:t>
            </w:r>
            <w:r>
              <w:rPr/>
              <w:t>new</w:t>
            </w:r>
            <w:r>
              <w:rPr>
                <w:spacing w:val="-2"/>
              </w:rPr>
              <w:t> </w:t>
            </w:r>
            <w:r>
              <w:rPr/>
              <w:t>CTB</w:t>
              <w:tab/>
              <w:t>75</w:t>
            </w:r>
          </w:hyperlink>
        </w:p>
        <w:p>
          <w:pPr>
            <w:pStyle w:val="TOC3"/>
            <w:tabs>
              <w:tab w:pos="10792" w:val="right" w:leader="dot"/>
            </w:tabs>
            <w:spacing w:line="240" w:lineRule="auto"/>
            <w:ind w:right="0"/>
            <w:jc w:val="left"/>
          </w:pPr>
          <w:hyperlink w:history="true" w:anchor="_bookmark145">
            <w:r>
              <w:rPr/>
              <w:t>Modifying the current tourism</w:t>
            </w:r>
            <w:r>
              <w:rPr>
                <w:spacing w:val="-4"/>
              </w:rPr>
              <w:t> </w:t>
            </w:r>
            <w:r>
              <w:rPr/>
              <w:t>organization</w:t>
            </w:r>
            <w:r>
              <w:rPr>
                <w:spacing w:val="-1"/>
              </w:rPr>
              <w:t> </w:t>
            </w:r>
            <w:r>
              <w:rPr/>
              <w:t>framework</w:t>
              <w:tab/>
              <w:t>75</w:t>
            </w:r>
          </w:hyperlink>
        </w:p>
        <w:p>
          <w:pPr>
            <w:pStyle w:val="TOC3"/>
            <w:tabs>
              <w:tab w:pos="10792" w:val="right" w:leader="dot"/>
            </w:tabs>
            <w:spacing w:line="243" w:lineRule="exact"/>
            <w:ind w:right="0"/>
            <w:jc w:val="left"/>
          </w:pPr>
          <w:hyperlink w:history="true" w:anchor="_bookmark146">
            <w:r>
              <w:rPr/>
              <w:t>The role of</w:t>
            </w:r>
            <w:r>
              <w:rPr>
                <w:spacing w:val="-6"/>
              </w:rPr>
              <w:t> </w:t>
            </w:r>
            <w:r>
              <w:rPr/>
              <w:t>the</w:t>
            </w:r>
            <w:r>
              <w:rPr>
                <w:spacing w:val="-2"/>
              </w:rPr>
              <w:t> </w:t>
            </w:r>
            <w:r>
              <w:rPr/>
              <w:t>CTB</w:t>
              <w:tab/>
              <w:t>76</w:t>
            </w:r>
          </w:hyperlink>
        </w:p>
        <w:p>
          <w:pPr>
            <w:pStyle w:val="TOC2"/>
            <w:tabs>
              <w:tab w:pos="10792" w:val="right" w:leader="dot"/>
            </w:tabs>
            <w:spacing w:line="243" w:lineRule="exact"/>
            <w:ind w:right="0"/>
            <w:jc w:val="left"/>
          </w:pPr>
          <w:hyperlink w:history="true" w:anchor="_bookmark148">
            <w:r>
              <w:rPr/>
              <w:t>Financial</w:t>
            </w:r>
            <w:r>
              <w:rPr>
                <w:spacing w:val="-2"/>
              </w:rPr>
              <w:t> </w:t>
            </w:r>
            <w:r>
              <w:rPr/>
              <w:t>sustainability</w:t>
              <w:tab/>
              <w:t>77</w:t>
            </w:r>
          </w:hyperlink>
        </w:p>
        <w:p>
          <w:pPr>
            <w:pStyle w:val="TOC1"/>
            <w:tabs>
              <w:tab w:pos="10792" w:val="right" w:leader="dot"/>
            </w:tabs>
            <w:spacing w:line="240" w:lineRule="auto"/>
            <w:ind w:right="0"/>
            <w:jc w:val="left"/>
          </w:pPr>
          <w:hyperlink w:history="true" w:anchor="_bookmark150">
            <w:r>
              <w:rPr>
                <w:rFonts w:ascii="Calibri" w:hAnsi="Calibri" w:cs="Calibri" w:eastAsia="Calibri" w:hint="default"/>
              </w:rPr>
              <w:t>Chapter 8: Traversing Tourisms’ Possibilities: kindling the economy</w:t>
            </w:r>
            <w:r>
              <w:rPr>
                <w:rFonts w:ascii="Calibri" w:hAnsi="Calibri" w:cs="Calibri" w:eastAsia="Calibri" w:hint="default"/>
                <w:spacing w:val="-5"/>
              </w:rPr>
              <w:t> </w:t>
            </w:r>
            <w:r>
              <w:rPr>
                <w:rFonts w:ascii="Calibri" w:hAnsi="Calibri" w:cs="Calibri" w:eastAsia="Calibri" w:hint="default"/>
              </w:rPr>
              <w:t>and</w:t>
            </w:r>
            <w:r>
              <w:rPr>
                <w:rFonts w:ascii="Calibri" w:hAnsi="Calibri" w:cs="Calibri" w:eastAsia="Calibri" w:hint="default"/>
                <w:spacing w:val="-1"/>
              </w:rPr>
              <w:t> </w:t>
            </w:r>
            <w:r>
              <w:rPr>
                <w:rFonts w:ascii="Calibri" w:hAnsi="Calibri" w:cs="Calibri" w:eastAsia="Calibri" w:hint="default"/>
              </w:rPr>
              <w:t>jobs</w:t>
            </w:r>
            <w:r>
              <w:rPr/>
              <w:tab/>
              <w:t>79</w:t>
            </w:r>
          </w:hyperlink>
        </w:p>
        <w:p>
          <w:pPr>
            <w:pStyle w:val="TOC2"/>
            <w:tabs>
              <w:tab w:pos="10792" w:val="right" w:leader="dot"/>
            </w:tabs>
            <w:spacing w:line="240" w:lineRule="auto"/>
            <w:ind w:right="0"/>
            <w:jc w:val="left"/>
          </w:pPr>
          <w:hyperlink w:history="true" w:anchor="_bookmark151">
            <w:r>
              <w:rPr/>
              <w:t>Introduction</w:t>
              <w:tab/>
              <w:t>79</w:t>
            </w:r>
          </w:hyperlink>
        </w:p>
        <w:p>
          <w:pPr>
            <w:pStyle w:val="TOC2"/>
            <w:tabs>
              <w:tab w:pos="10792" w:val="right" w:leader="dot"/>
            </w:tabs>
            <w:spacing w:line="243" w:lineRule="exact"/>
            <w:ind w:right="0"/>
            <w:jc w:val="left"/>
          </w:pPr>
          <w:hyperlink w:history="true" w:anchor="_bookmark152">
            <w:r>
              <w:rPr/>
              <w:t>The</w:t>
            </w:r>
            <w:r>
              <w:rPr>
                <w:spacing w:val="-2"/>
              </w:rPr>
              <w:t> </w:t>
            </w:r>
            <w:r>
              <w:rPr/>
              <w:t>destination</w:t>
            </w:r>
            <w:r>
              <w:rPr>
                <w:spacing w:val="-1"/>
              </w:rPr>
              <w:t> </w:t>
            </w:r>
            <w:r>
              <w:rPr/>
              <w:t>vision</w:t>
              <w:tab/>
              <w:t>79</w:t>
            </w:r>
          </w:hyperlink>
        </w:p>
        <w:p>
          <w:pPr>
            <w:pStyle w:val="TOC2"/>
            <w:tabs>
              <w:tab w:pos="10792" w:val="right" w:leader="dot"/>
            </w:tabs>
            <w:spacing w:line="243" w:lineRule="exact"/>
            <w:ind w:right="0"/>
            <w:jc w:val="left"/>
          </w:pPr>
          <w:hyperlink w:history="true" w:anchor="_bookmark153">
            <w:r>
              <w:rPr/>
              <w:t>The</w:t>
            </w:r>
            <w:r>
              <w:rPr>
                <w:spacing w:val="-2"/>
              </w:rPr>
              <w:t> </w:t>
            </w:r>
            <w:r>
              <w:rPr/>
              <w:t>destination</w:t>
            </w:r>
            <w:r>
              <w:rPr>
                <w:spacing w:val="-1"/>
              </w:rPr>
              <w:t> </w:t>
            </w:r>
            <w:r>
              <w:rPr/>
              <w:t>mission</w:t>
              <w:tab/>
              <w:t>80</w:t>
            </w:r>
          </w:hyperlink>
        </w:p>
        <w:p>
          <w:pPr>
            <w:pStyle w:val="TOC2"/>
            <w:tabs>
              <w:tab w:pos="10792" w:val="right" w:leader="dot"/>
            </w:tabs>
            <w:spacing w:line="240" w:lineRule="auto" w:before="1"/>
            <w:ind w:right="0"/>
            <w:jc w:val="left"/>
          </w:pPr>
          <w:hyperlink w:history="true" w:anchor="_bookmark154">
            <w:r>
              <w:rPr/>
              <w:t>The</w:t>
            </w:r>
            <w:r>
              <w:rPr>
                <w:spacing w:val="-2"/>
              </w:rPr>
              <w:t> </w:t>
            </w:r>
            <w:r>
              <w:rPr/>
              <w:t>strategic</w:t>
            </w:r>
            <w:r>
              <w:rPr>
                <w:spacing w:val="-2"/>
              </w:rPr>
              <w:t> </w:t>
            </w:r>
            <w:r>
              <w:rPr/>
              <w:t>framework</w:t>
              <w:tab/>
              <w:t>81</w:t>
            </w:r>
          </w:hyperlink>
        </w:p>
        <w:p>
          <w:pPr>
            <w:pStyle w:val="TOC2"/>
            <w:tabs>
              <w:tab w:pos="10792" w:val="right" w:leader="dot"/>
            </w:tabs>
            <w:spacing w:line="243" w:lineRule="exact"/>
            <w:ind w:right="0"/>
            <w:jc w:val="left"/>
          </w:pPr>
          <w:hyperlink w:history="true" w:anchor="_bookmark155">
            <w:r>
              <w:rPr/>
              <w:t>The underpinnings of the</w:t>
            </w:r>
            <w:r>
              <w:rPr>
                <w:spacing w:val="-7"/>
              </w:rPr>
              <w:t> </w:t>
            </w:r>
            <w:r>
              <w:rPr/>
              <w:t>strategic</w:t>
            </w:r>
            <w:r>
              <w:rPr>
                <w:spacing w:val="-2"/>
              </w:rPr>
              <w:t> </w:t>
            </w:r>
            <w:r>
              <w:rPr/>
              <w:t>map</w:t>
              <w:tab/>
              <w:t>82</w:t>
            </w:r>
          </w:hyperlink>
        </w:p>
        <w:p>
          <w:pPr>
            <w:pStyle w:val="TOC2"/>
            <w:tabs>
              <w:tab w:pos="10792" w:val="right" w:leader="dot"/>
            </w:tabs>
            <w:spacing w:line="243" w:lineRule="exact"/>
            <w:ind w:right="0"/>
            <w:jc w:val="left"/>
          </w:pPr>
          <w:hyperlink w:history="true" w:anchor="_bookmark156">
            <w:r>
              <w:rPr/>
              <w:t>Main goals: Economic and</w:t>
            </w:r>
            <w:r>
              <w:rPr>
                <w:spacing w:val="-3"/>
              </w:rPr>
              <w:t> </w:t>
            </w:r>
            <w:r>
              <w:rPr/>
              <w:t>job</w:t>
            </w:r>
            <w:r>
              <w:rPr>
                <w:spacing w:val="-1"/>
              </w:rPr>
              <w:t> </w:t>
            </w:r>
            <w:r>
              <w:rPr/>
              <w:t>growth</w:t>
              <w:tab/>
              <w:t>84</w:t>
            </w:r>
          </w:hyperlink>
        </w:p>
        <w:p>
          <w:pPr>
            <w:pStyle w:val="TOC2"/>
            <w:tabs>
              <w:tab w:pos="10792" w:val="right" w:leader="dot"/>
            </w:tabs>
            <w:spacing w:line="240" w:lineRule="auto"/>
            <w:ind w:right="0"/>
            <w:jc w:val="left"/>
          </w:pPr>
          <w:hyperlink w:history="true" w:anchor="_bookmark158">
            <w:r>
              <w:rPr/>
              <w:t>Strategy #1:  Refocus</w:t>
            </w:r>
            <w:r>
              <w:rPr>
                <w:spacing w:val="-4"/>
              </w:rPr>
              <w:t> </w:t>
            </w:r>
            <w:r>
              <w:rPr/>
              <w:t>demand</w:t>
            </w:r>
            <w:r>
              <w:rPr>
                <w:spacing w:val="1"/>
              </w:rPr>
              <w:t> </w:t>
            </w:r>
            <w:r>
              <w:rPr/>
              <w:t>structure</w:t>
              <w:tab/>
              <w:t>86</w:t>
            </w:r>
          </w:hyperlink>
        </w:p>
        <w:p>
          <w:pPr>
            <w:pStyle w:val="TOC2"/>
            <w:tabs>
              <w:tab w:pos="10792" w:val="right" w:leader="dot"/>
            </w:tabs>
            <w:spacing w:line="240" w:lineRule="auto"/>
            <w:ind w:right="0"/>
            <w:jc w:val="left"/>
          </w:pPr>
          <w:hyperlink w:history="true" w:anchor="_bookmark162">
            <w:r>
              <w:rPr/>
              <w:t>Strategy #2:  Airlift and</w:t>
            </w:r>
            <w:r>
              <w:rPr>
                <w:spacing w:val="-2"/>
              </w:rPr>
              <w:t> </w:t>
            </w:r>
            <w:r>
              <w:rPr/>
              <w:t>hotel</w:t>
            </w:r>
            <w:r>
              <w:rPr>
                <w:spacing w:val="-2"/>
              </w:rPr>
              <w:t> </w:t>
            </w:r>
            <w:r>
              <w:rPr/>
              <w:t>optimization</w:t>
              <w:tab/>
              <w:t>88</w:t>
            </w:r>
          </w:hyperlink>
        </w:p>
        <w:p>
          <w:pPr>
            <w:pStyle w:val="TOC2"/>
            <w:tabs>
              <w:tab w:pos="10792" w:val="right" w:leader="dot"/>
            </w:tabs>
            <w:spacing w:line="243" w:lineRule="exact"/>
            <w:ind w:right="0"/>
            <w:jc w:val="left"/>
          </w:pPr>
          <w:hyperlink w:history="true" w:anchor="_bookmark164">
            <w:r>
              <w:rPr/>
              <w:t>Strategy #3:  Human</w:t>
            </w:r>
            <w:r>
              <w:rPr>
                <w:spacing w:val="-2"/>
              </w:rPr>
              <w:t> </w:t>
            </w:r>
            <w:r>
              <w:rPr/>
              <w:t>capital</w:t>
            </w:r>
            <w:r>
              <w:rPr>
                <w:spacing w:val="-2"/>
              </w:rPr>
              <w:t> </w:t>
            </w:r>
            <w:r>
              <w:rPr/>
              <w:t>investment</w:t>
              <w:tab/>
              <w:t>88</w:t>
            </w:r>
          </w:hyperlink>
        </w:p>
        <w:p>
          <w:pPr>
            <w:pStyle w:val="TOC2"/>
            <w:tabs>
              <w:tab w:pos="10792" w:val="right" w:leader="dot"/>
            </w:tabs>
            <w:spacing w:line="243" w:lineRule="exact"/>
            <w:ind w:right="0"/>
            <w:jc w:val="left"/>
          </w:pPr>
          <w:hyperlink w:history="true" w:anchor="_bookmark165">
            <w:r>
              <w:rPr/>
              <w:t>Strategy #4: Investing in the future: Sustainable</w:t>
            </w:r>
            <w:r>
              <w:rPr>
                <w:spacing w:val="-8"/>
              </w:rPr>
              <w:t> </w:t>
            </w:r>
            <w:r>
              <w:rPr/>
              <w:t>financial</w:t>
            </w:r>
            <w:r>
              <w:rPr>
                <w:spacing w:val="-2"/>
              </w:rPr>
              <w:t> </w:t>
            </w:r>
            <w:r>
              <w:rPr/>
              <w:t>resources</w:t>
              <w:tab/>
              <w:t>90</w:t>
            </w:r>
          </w:hyperlink>
        </w:p>
        <w:p>
          <w:pPr>
            <w:pStyle w:val="TOC2"/>
            <w:tabs>
              <w:tab w:pos="10792" w:val="right" w:leader="dot"/>
            </w:tabs>
            <w:spacing w:line="240" w:lineRule="auto"/>
            <w:ind w:right="0"/>
            <w:jc w:val="left"/>
          </w:pPr>
          <w:hyperlink w:history="true" w:anchor="_bookmark166">
            <w:r>
              <w:rPr/>
              <w:t>Strategy #5: Punda/Otrabanda as C</w:t>
            </w:r>
            <w:r>
              <w:rPr>
                <w:rFonts w:ascii="Calibri" w:hAnsi="Calibri" w:cs="Calibri" w:eastAsia="Calibri" w:hint="default"/>
              </w:rPr>
              <w:t>uraçao’s</w:t>
            </w:r>
            <w:r>
              <w:rPr>
                <w:rFonts w:ascii="Calibri" w:hAnsi="Calibri" w:cs="Calibri" w:eastAsia="Calibri" w:hint="default"/>
                <w:spacing w:val="-6"/>
              </w:rPr>
              <w:t> </w:t>
            </w:r>
            <w:r>
              <w:rPr>
                <w:rFonts w:ascii="Calibri" w:hAnsi="Calibri" w:cs="Calibri" w:eastAsia="Calibri" w:hint="default"/>
              </w:rPr>
              <w:t>tourist</w:t>
            </w:r>
            <w:r>
              <w:rPr>
                <w:rFonts w:ascii="Calibri" w:hAnsi="Calibri" w:cs="Calibri" w:eastAsia="Calibri" w:hint="default"/>
                <w:spacing w:val="-1"/>
              </w:rPr>
              <w:t> </w:t>
            </w:r>
            <w:r>
              <w:rPr>
                <w:rFonts w:ascii="Calibri" w:hAnsi="Calibri" w:cs="Calibri" w:eastAsia="Calibri" w:hint="default"/>
              </w:rPr>
              <w:t>rendezvous</w:t>
            </w:r>
            <w:r>
              <w:rPr/>
              <w:tab/>
              <w:t>91</w:t>
            </w:r>
          </w:hyperlink>
        </w:p>
        <w:p>
          <w:pPr>
            <w:pStyle w:val="TOC2"/>
            <w:tabs>
              <w:tab w:pos="10792" w:val="right" w:leader="dot"/>
            </w:tabs>
            <w:spacing w:line="240" w:lineRule="auto"/>
            <w:ind w:right="0"/>
            <w:jc w:val="left"/>
          </w:pPr>
          <w:hyperlink w:history="true" w:anchor="_bookmark168">
            <w:r>
              <w:rPr>
                <w:rFonts w:ascii="Calibri" w:hAnsi="Calibri" w:cs="Calibri" w:eastAsia="Calibri" w:hint="default"/>
              </w:rPr>
              <w:t>Strategy #6:  Oospunt as</w:t>
            </w:r>
            <w:r>
              <w:rPr>
                <w:rFonts w:ascii="Calibri" w:hAnsi="Calibri" w:cs="Calibri" w:eastAsia="Calibri" w:hint="default"/>
                <w:spacing w:val="-3"/>
              </w:rPr>
              <w:t> </w:t>
            </w:r>
            <w:r>
              <w:rPr>
                <w:rFonts w:ascii="Calibri" w:hAnsi="Calibri" w:cs="Calibri" w:eastAsia="Calibri" w:hint="default"/>
              </w:rPr>
              <w:t>Curaçao’s</w:t>
            </w:r>
            <w:r>
              <w:rPr>
                <w:rFonts w:ascii="Calibri" w:hAnsi="Calibri" w:cs="Calibri" w:eastAsia="Calibri" w:hint="default"/>
                <w:spacing w:val="-3"/>
              </w:rPr>
              <w:t> </w:t>
            </w:r>
            <w:r>
              <w:rPr>
                <w:rFonts w:ascii="Calibri" w:hAnsi="Calibri" w:cs="Calibri" w:eastAsia="Calibri" w:hint="default"/>
              </w:rPr>
              <w:t>wildcard</w:t>
            </w:r>
            <w:r>
              <w:rPr/>
              <w:tab/>
              <w:t>93</w:t>
            </w:r>
          </w:hyperlink>
        </w:p>
        <w:p>
          <w:pPr>
            <w:pStyle w:val="TOC2"/>
            <w:tabs>
              <w:tab w:pos="10792" w:val="right" w:leader="dot"/>
            </w:tabs>
            <w:spacing w:line="243" w:lineRule="exact"/>
            <w:ind w:right="0"/>
            <w:jc w:val="left"/>
          </w:pPr>
          <w:hyperlink w:history="true" w:anchor="_bookmark170">
            <w:r>
              <w:rPr/>
              <w:t>Strategic</w:t>
            </w:r>
            <w:r>
              <w:rPr>
                <w:spacing w:val="1"/>
              </w:rPr>
              <w:t> </w:t>
            </w:r>
            <w:r>
              <w:rPr/>
              <w:t>supporting</w:t>
            </w:r>
            <w:r>
              <w:rPr>
                <w:spacing w:val="-2"/>
              </w:rPr>
              <w:t> </w:t>
            </w:r>
            <w:r>
              <w:rPr/>
              <w:t>actions</w:t>
              <w:tab/>
              <w:t>94</w:t>
            </w:r>
          </w:hyperlink>
        </w:p>
        <w:p>
          <w:pPr>
            <w:pStyle w:val="TOC3"/>
            <w:tabs>
              <w:tab w:pos="10792" w:val="right" w:leader="dot"/>
            </w:tabs>
            <w:spacing w:line="243" w:lineRule="exact"/>
            <w:ind w:right="0"/>
            <w:jc w:val="left"/>
          </w:pPr>
          <w:hyperlink w:history="true" w:anchor="_bookmark171">
            <w:r>
              <w:rPr/>
              <w:t>Actions to improve</w:t>
            </w:r>
            <w:r>
              <w:rPr>
                <w:spacing w:val="-4"/>
              </w:rPr>
              <w:t> </w:t>
            </w:r>
            <w:r>
              <w:rPr/>
              <w:t>hotel</w:t>
            </w:r>
            <w:r>
              <w:rPr>
                <w:spacing w:val="-2"/>
              </w:rPr>
              <w:t> </w:t>
            </w:r>
            <w:r>
              <w:rPr/>
              <w:t>productivity</w:t>
              <w:tab/>
              <w:t>94</w:t>
            </w:r>
          </w:hyperlink>
        </w:p>
        <w:p>
          <w:pPr>
            <w:pStyle w:val="TOC3"/>
            <w:tabs>
              <w:tab w:pos="10792" w:val="right" w:leader="dot"/>
            </w:tabs>
            <w:spacing w:line="240" w:lineRule="auto"/>
            <w:ind w:right="0"/>
            <w:jc w:val="left"/>
          </w:pPr>
          <w:hyperlink w:history="true" w:anchor="_bookmark172">
            <w:r>
              <w:rPr/>
              <w:t>Actions to enhance</w:t>
            </w:r>
            <w:r>
              <w:rPr>
                <w:spacing w:val="-5"/>
              </w:rPr>
              <w:t> </w:t>
            </w:r>
            <w:r>
              <w:rPr/>
              <w:t>human capital</w:t>
              <w:tab/>
              <w:t>95</w:t>
            </w:r>
          </w:hyperlink>
        </w:p>
        <w:p>
          <w:pPr>
            <w:pStyle w:val="TOC2"/>
            <w:tabs>
              <w:tab w:pos="10792" w:val="right" w:leader="dot"/>
            </w:tabs>
            <w:spacing w:line="243" w:lineRule="exact"/>
            <w:ind w:right="0"/>
            <w:jc w:val="left"/>
          </w:pPr>
          <w:hyperlink w:history="true" w:anchor="_bookmark173">
            <w:r>
              <w:rPr/>
              <w:t>Embracing product staging at the mid-term:  Acquiring</w:t>
            </w:r>
            <w:r>
              <w:rPr>
                <w:spacing w:val="-2"/>
              </w:rPr>
              <w:t> </w:t>
            </w:r>
            <w:r>
              <w:rPr/>
              <w:t>sustainable</w:t>
            </w:r>
            <w:r>
              <w:rPr>
                <w:spacing w:val="-3"/>
              </w:rPr>
              <w:t> </w:t>
            </w:r>
            <w:r>
              <w:rPr/>
              <w:t>products</w:t>
              <w:tab/>
              <w:t>96</w:t>
            </w:r>
          </w:hyperlink>
        </w:p>
        <w:p>
          <w:pPr>
            <w:pStyle w:val="TOC2"/>
            <w:tabs>
              <w:tab w:pos="10789" w:val="right" w:leader="dot"/>
            </w:tabs>
            <w:spacing w:line="243" w:lineRule="exact"/>
            <w:ind w:right="0"/>
            <w:jc w:val="left"/>
          </w:pPr>
          <w:hyperlink w:history="true" w:anchor="_bookmark175">
            <w:r>
              <w:rPr/>
              <w:t>The long-term perspective: Accountability</w:t>
            </w:r>
            <w:r>
              <w:rPr>
                <w:spacing w:val="-3"/>
              </w:rPr>
              <w:t> </w:t>
            </w:r>
            <w:r>
              <w:rPr/>
              <w:t>and</w:t>
            </w:r>
            <w:r>
              <w:rPr>
                <w:spacing w:val="-3"/>
              </w:rPr>
              <w:t> </w:t>
            </w:r>
            <w:r>
              <w:rPr/>
              <w:t>transparency</w:t>
              <w:tab/>
              <w:t>100</w:t>
            </w:r>
          </w:hyperlink>
        </w:p>
        <w:p>
          <w:pPr>
            <w:pStyle w:val="TOC1"/>
            <w:tabs>
              <w:tab w:pos="10789" w:val="right" w:leader="dot"/>
            </w:tabs>
            <w:spacing w:line="240" w:lineRule="auto" w:before="1"/>
            <w:ind w:right="0"/>
            <w:jc w:val="left"/>
          </w:pPr>
          <w:hyperlink w:history="true" w:anchor="_bookmark176">
            <w:r>
              <w:rPr/>
              <w:t>References</w:t>
              <w:tab/>
              <w:t>101</w:t>
            </w:r>
          </w:hyperlink>
        </w:p>
      </w:sdtContent>
    </w:sdt>
    <w:p>
      <w:pPr>
        <w:spacing w:after="0" w:line="240" w:lineRule="auto"/>
        <w:jc w:val="left"/>
        <w:sectPr>
          <w:type w:val="continuous"/>
          <w:pgSz w:w="12240" w:h="15840"/>
          <w:pgMar w:top="1419" w:bottom="1585" w:left="0" w:right="0"/>
        </w:sectPr>
      </w:pPr>
    </w:p>
    <w:p>
      <w:pPr>
        <w:pStyle w:val="BodyText"/>
        <w:spacing w:line="240" w:lineRule="auto"/>
        <w:ind w:right="0"/>
        <w:jc w:val="left"/>
      </w:pPr>
      <w:hyperlink w:history="true" w:anchor="_bookmark177">
        <w:r>
          <w:rPr/>
          <w:t>ANNEX</w:t>
        </w:r>
        <w:r>
          <w:rPr>
            <w:spacing w:val="-13"/>
          </w:rPr>
          <w:t> </w:t>
        </w:r>
        <w:r>
          <w:rPr/>
          <w:t>A:</w:t>
        </w:r>
        <w:r>
          <w:rPr>
            <w:spacing w:val="-13"/>
          </w:rPr>
          <w:t> </w:t>
        </w:r>
        <w:r>
          <w:rPr/>
          <w:t>ACKNOWLEDGEMENTS</w:t>
        </w:r>
        <w:r>
          <w:rPr>
            <w:spacing w:val="-23"/>
          </w:rPr>
          <w:t> </w:t>
        </w:r>
        <w:r>
          <w:rPr/>
          <w:t>................................................................................................................................</w:t>
        </w:r>
        <w:r>
          <w:rPr>
            <w:spacing w:val="-15"/>
          </w:rPr>
          <w:t> </w:t>
        </w:r>
        <w:r>
          <w:rPr/>
          <w:t>A</w:t>
        </w:r>
      </w:hyperlink>
    </w:p>
    <w:p>
      <w:pPr>
        <w:pStyle w:val="BodyText"/>
        <w:spacing w:line="243" w:lineRule="exact"/>
        <w:ind w:right="0"/>
        <w:jc w:val="left"/>
      </w:pPr>
      <w:hyperlink w:history="true" w:anchor="_bookmark178">
        <w:r>
          <w:rPr/>
          <w:t>ANNEX</w:t>
        </w:r>
        <w:r>
          <w:rPr>
            <w:spacing w:val="-12"/>
          </w:rPr>
          <w:t> </w:t>
        </w:r>
        <w:r>
          <w:rPr/>
          <w:t>B:</w:t>
        </w:r>
        <w:r>
          <w:rPr>
            <w:spacing w:val="-12"/>
          </w:rPr>
          <w:t> </w:t>
        </w:r>
        <w:r>
          <w:rPr/>
          <w:t>SURVEY</w:t>
        </w:r>
        <w:r>
          <w:rPr>
            <w:spacing w:val="-32"/>
          </w:rPr>
          <w:t> </w:t>
        </w:r>
        <w:r>
          <w:rPr/>
          <w:t>.........................................................................................................................................................</w:t>
        </w:r>
        <w:r>
          <w:rPr>
            <w:spacing w:val="-10"/>
          </w:rPr>
          <w:t> </w:t>
        </w:r>
        <w:r>
          <w:rPr/>
          <w:t>B</w:t>
        </w:r>
      </w:hyperlink>
    </w:p>
    <w:p>
      <w:pPr>
        <w:pStyle w:val="BodyText"/>
        <w:spacing w:line="243" w:lineRule="exact"/>
        <w:ind w:right="0"/>
        <w:jc w:val="left"/>
      </w:pPr>
      <w:hyperlink w:history="true" w:anchor="_bookmark179">
        <w:r>
          <w:rPr/>
          <w:t>ANNEX</w:t>
        </w:r>
        <w:r>
          <w:rPr>
            <w:spacing w:val="-10"/>
          </w:rPr>
          <w:t> </w:t>
        </w:r>
        <w:r>
          <w:rPr/>
          <w:t>C:</w:t>
        </w:r>
        <w:r>
          <w:rPr>
            <w:spacing w:val="-11"/>
          </w:rPr>
          <w:t> </w:t>
        </w:r>
        <w:r>
          <w:rPr/>
          <w:t>RESULTS</w:t>
        </w:r>
        <w:r>
          <w:rPr>
            <w:spacing w:val="-11"/>
          </w:rPr>
          <w:t> </w:t>
        </w:r>
        <w:r>
          <w:rPr/>
          <w:t>FACTOR</w:t>
        </w:r>
        <w:r>
          <w:rPr>
            <w:spacing w:val="-11"/>
          </w:rPr>
          <w:t> </w:t>
        </w:r>
        <w:r>
          <w:rPr/>
          <w:t>ANALYSIS...........................................................................................................................C</w:t>
        </w:r>
      </w:hyperlink>
    </w:p>
    <w:p>
      <w:pPr>
        <w:pStyle w:val="BodyText"/>
        <w:spacing w:line="240" w:lineRule="auto"/>
        <w:ind w:right="0"/>
        <w:jc w:val="left"/>
      </w:pPr>
      <w:hyperlink w:history="true" w:anchor="_bookmark180">
        <w:r>
          <w:rPr/>
          <w:t>ANNEX</w:t>
        </w:r>
        <w:r>
          <w:rPr>
            <w:spacing w:val="-10"/>
          </w:rPr>
          <w:t> </w:t>
        </w:r>
        <w:r>
          <w:rPr/>
          <w:t>D:</w:t>
        </w:r>
        <w:r>
          <w:rPr>
            <w:spacing w:val="-10"/>
          </w:rPr>
          <w:t> </w:t>
        </w:r>
        <w:r>
          <w:rPr/>
          <w:t>CRUISE</w:t>
        </w:r>
        <w:r>
          <w:rPr>
            <w:spacing w:val="-9"/>
          </w:rPr>
          <w:t> </w:t>
        </w:r>
        <w:r>
          <w:rPr/>
          <w:t>CONJOINT</w:t>
        </w:r>
        <w:r>
          <w:rPr>
            <w:spacing w:val="-11"/>
          </w:rPr>
          <w:t> </w:t>
        </w:r>
        <w:r>
          <w:rPr/>
          <w:t>ANALYSIS</w:t>
        </w:r>
        <w:r>
          <w:rPr>
            <w:spacing w:val="-31"/>
          </w:rPr>
          <w:t> </w:t>
        </w:r>
        <w:r>
          <w:rPr/>
          <w:t>........................................................................................................................</w:t>
        </w:r>
        <w:r>
          <w:rPr>
            <w:spacing w:val="-19"/>
          </w:rPr>
          <w:t> </w:t>
        </w:r>
        <w:r>
          <w:rPr/>
          <w:t>D</w:t>
        </w:r>
      </w:hyperlink>
    </w:p>
    <w:p>
      <w:pPr>
        <w:spacing w:after="0" w:line="240" w:lineRule="auto"/>
        <w:jc w:val="left"/>
        <w:sectPr>
          <w:type w:val="continuous"/>
          <w:pgSz w:w="12240" w:h="15840"/>
          <w:pgMar w:top="840" w:bottom="280" w:left="0" w:right="0"/>
        </w:sectPr>
      </w:pPr>
    </w:p>
    <w:p>
      <w:pPr>
        <w:spacing w:line="240" w:lineRule="auto" w:before="0"/>
        <w:ind w:right="0"/>
        <w:rPr>
          <w:rFonts w:ascii="Calibri" w:hAnsi="Calibri" w:cs="Calibri" w:eastAsia="Calibri" w:hint="default"/>
          <w:sz w:val="20"/>
          <w:szCs w:val="20"/>
        </w:rPr>
      </w:pPr>
    </w:p>
    <w:p>
      <w:pPr>
        <w:spacing w:line="240" w:lineRule="auto" w:before="3"/>
        <w:ind w:right="0"/>
        <w:rPr>
          <w:rFonts w:ascii="Calibri" w:hAnsi="Calibri" w:cs="Calibri" w:eastAsia="Calibri" w:hint="default"/>
          <w:sz w:val="26"/>
          <w:szCs w:val="26"/>
        </w:rPr>
      </w:pPr>
    </w:p>
    <w:p>
      <w:pPr>
        <w:spacing w:before="19" w:after="33"/>
        <w:ind w:left="26" w:right="26" w:firstLine="0"/>
        <w:jc w:val="center"/>
        <w:rPr>
          <w:rFonts w:ascii="Calibri" w:hAnsi="Calibri" w:cs="Calibri" w:eastAsia="Calibri" w:hint="default"/>
          <w:sz w:val="40"/>
          <w:szCs w:val="40"/>
        </w:rPr>
      </w:pPr>
      <w:r>
        <w:rPr>
          <w:rFonts w:ascii="Calibri"/>
          <w:b/>
          <w:sz w:val="40"/>
        </w:rPr>
        <w:t>List of</w:t>
      </w:r>
      <w:r>
        <w:rPr>
          <w:rFonts w:ascii="Calibri"/>
          <w:b/>
          <w:spacing w:val="-6"/>
          <w:sz w:val="40"/>
        </w:rPr>
        <w:t> </w:t>
      </w:r>
      <w:r>
        <w:rPr>
          <w:rFonts w:ascii="Calibri"/>
          <w:b/>
          <w:sz w:val="40"/>
        </w:rPr>
        <w:t>Tables</w:t>
      </w:r>
      <w:r>
        <w:rPr>
          <w:rFonts w:ascii="Calibri"/>
          <w:sz w:val="40"/>
        </w:rPr>
      </w:r>
    </w:p>
    <w:tbl>
      <w:tblPr>
        <w:tblW w:w="0" w:type="auto"/>
        <w:jc w:val="left"/>
        <w:tblInd w:w="1405" w:type="dxa"/>
        <w:tblLayout w:type="fixed"/>
        <w:tblCellMar>
          <w:top w:w="0" w:type="dxa"/>
          <w:left w:w="0" w:type="dxa"/>
          <w:bottom w:w="0" w:type="dxa"/>
          <w:right w:w="0" w:type="dxa"/>
        </w:tblCellMar>
        <w:tblLook w:val="01E0"/>
      </w:tblPr>
      <w:tblGrid>
        <w:gridCol w:w="7845"/>
        <w:gridCol w:w="1578"/>
      </w:tblGrid>
      <w:tr>
        <w:trPr>
          <w:trHeight w:val="204"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187" w:lineRule="exact"/>
              <w:ind w:left="35" w:right="0"/>
              <w:jc w:val="left"/>
              <w:rPr>
                <w:rFonts w:ascii="Calibri" w:hAnsi="Calibri" w:cs="Calibri" w:eastAsia="Calibri" w:hint="default"/>
                <w:sz w:val="18"/>
                <w:szCs w:val="18"/>
              </w:rPr>
            </w:pPr>
            <w:hyperlink w:history="true" w:anchor="_bookmark19">
              <w:r>
                <w:rPr>
                  <w:rFonts w:ascii="Calibri" w:hAnsi="Calibri" w:cs="Calibri" w:eastAsia="Calibri" w:hint="default"/>
                  <w:sz w:val="18"/>
                  <w:szCs w:val="18"/>
                </w:rPr>
                <w:t>Table 1:  Curaçao’s position in the 1960’s </w:t>
              </w:r>
              <w:r>
                <w:rPr>
                  <w:rFonts w:ascii="Calibri" w:hAnsi="Calibri" w:cs="Calibri" w:eastAsia="Calibri" w:hint="default"/>
                  <w:sz w:val="18"/>
                  <w:szCs w:val="18"/>
                </w:rPr>
                <w:t>-</w:t>
              </w:r>
              <w:r>
                <w:rPr>
                  <w:rFonts w:ascii="Calibri" w:hAnsi="Calibri" w:cs="Calibri" w:eastAsia="Calibri" w:hint="default"/>
                  <w:spacing w:val="-9"/>
                  <w:sz w:val="18"/>
                  <w:szCs w:val="18"/>
                </w:rPr>
                <w:t> </w:t>
              </w:r>
              <w:r>
                <w:rPr>
                  <w:rFonts w:ascii="Calibri" w:hAnsi="Calibri" w:cs="Calibri" w:eastAsia="Calibri" w:hint="default"/>
                  <w:sz w:val="18"/>
                  <w:szCs w:val="18"/>
                </w:rPr>
                <w:t>1970’s</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187" w:lineRule="exact"/>
              <w:ind w:right="33"/>
              <w:jc w:val="right"/>
              <w:rPr>
                <w:rFonts w:ascii="Calibri" w:hAnsi="Calibri" w:cs="Calibri" w:eastAsia="Calibri" w:hint="default"/>
                <w:sz w:val="18"/>
                <w:szCs w:val="18"/>
              </w:rPr>
            </w:pPr>
            <w:hyperlink w:history="true" w:anchor="_bookmark19">
              <w:r>
                <w:rPr>
                  <w:rFonts w:ascii="Calibri"/>
                  <w:spacing w:val="-1"/>
                  <w:w w:val="95"/>
                  <w:sz w:val="18"/>
                </w:rPr>
                <w:t>10</w:t>
              </w:r>
              <w:r>
                <w:rPr>
                  <w:rFonts w:ascii="Calibri"/>
                  <w:w w:val="95"/>
                  <w:sz w:val="18"/>
                </w:rPr>
              </w:r>
            </w:hyperlink>
          </w:p>
        </w:tc>
      </w:tr>
      <w:tr>
        <w:trPr>
          <w:trHeight w:val="221"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26">
              <w:r>
                <w:rPr>
                  <w:rFonts w:ascii="Calibri" w:hAnsi="Calibri" w:cs="Calibri" w:eastAsia="Calibri" w:hint="default"/>
                  <w:sz w:val="18"/>
                  <w:szCs w:val="18"/>
                </w:rPr>
                <w:t>Table 2:  Curaçao vs. St. Maarten’s tourism performance over</w:t>
              </w:r>
              <w:r>
                <w:rPr>
                  <w:rFonts w:ascii="Calibri" w:hAnsi="Calibri" w:cs="Calibri" w:eastAsia="Calibri" w:hint="default"/>
                  <w:spacing w:val="-17"/>
                  <w:sz w:val="18"/>
                  <w:szCs w:val="18"/>
                </w:rPr>
                <w:t> </w:t>
              </w:r>
              <w:r>
                <w:rPr>
                  <w:rFonts w:ascii="Calibri" w:hAnsi="Calibri" w:cs="Calibri" w:eastAsia="Calibri" w:hint="default"/>
                  <w:sz w:val="18"/>
                  <w:szCs w:val="18"/>
                </w:rPr>
                <w:t>time</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26">
              <w:r>
                <w:rPr>
                  <w:rFonts w:ascii="Calibri"/>
                  <w:spacing w:val="-1"/>
                  <w:w w:val="95"/>
                  <w:sz w:val="18"/>
                </w:rPr>
                <w:t>12</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28">
              <w:r>
                <w:rPr>
                  <w:rFonts w:ascii="Calibri" w:hAnsi="Calibri"/>
                  <w:sz w:val="18"/>
                </w:rPr>
                <w:t>Table 3:  Impressions about</w:t>
              </w:r>
              <w:r>
                <w:rPr>
                  <w:rFonts w:ascii="Calibri" w:hAnsi="Calibri"/>
                  <w:spacing w:val="-9"/>
                  <w:sz w:val="18"/>
                </w:rPr>
                <w:t> </w:t>
              </w:r>
              <w:r>
                <w:rPr>
                  <w:rFonts w:ascii="Calibri" w:hAnsi="Calibri"/>
                  <w:sz w:val="18"/>
                </w:rPr>
                <w:t>Curaçao</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28">
              <w:r>
                <w:rPr>
                  <w:rFonts w:ascii="Calibri"/>
                  <w:spacing w:val="-1"/>
                  <w:w w:val="95"/>
                  <w:sz w:val="18"/>
                </w:rPr>
                <w:t>14</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30">
              <w:r>
                <w:rPr>
                  <w:rFonts w:ascii="Calibri" w:hAnsi="Calibri" w:cs="Calibri" w:eastAsia="Calibri" w:hint="default"/>
                  <w:sz w:val="18"/>
                  <w:szCs w:val="18"/>
                </w:rPr>
                <w:t>Table 4:  Tourists’ rating of Curaçao’s destination</w:t>
              </w:r>
              <w:r>
                <w:rPr>
                  <w:rFonts w:ascii="Calibri" w:hAnsi="Calibri" w:cs="Calibri" w:eastAsia="Calibri" w:hint="default"/>
                  <w:spacing w:val="-16"/>
                  <w:sz w:val="18"/>
                  <w:szCs w:val="18"/>
                </w:rPr>
                <w:t> </w:t>
              </w:r>
              <w:r>
                <w:rPr>
                  <w:rFonts w:ascii="Calibri" w:hAnsi="Calibri" w:cs="Calibri" w:eastAsia="Calibri" w:hint="default"/>
                  <w:sz w:val="18"/>
                  <w:szCs w:val="18"/>
                </w:rPr>
                <w:t>attributes</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30">
              <w:r>
                <w:rPr>
                  <w:rFonts w:ascii="Calibri"/>
                  <w:spacing w:val="-1"/>
                  <w:w w:val="95"/>
                  <w:sz w:val="18"/>
                </w:rPr>
                <w:t>15</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31">
              <w:r>
                <w:rPr>
                  <w:rFonts w:ascii="Calibri" w:hAnsi="Calibri" w:cs="Calibri" w:eastAsia="Calibri" w:hint="default"/>
                  <w:sz w:val="18"/>
                  <w:szCs w:val="18"/>
                </w:rPr>
                <w:t>Table 5:  Tourists’ satisfaction and value for tou</w:t>
              </w:r>
              <w:r>
                <w:rPr>
                  <w:rFonts w:ascii="Calibri" w:hAnsi="Calibri" w:cs="Calibri" w:eastAsia="Calibri" w:hint="default"/>
                  <w:sz w:val="18"/>
                  <w:szCs w:val="18"/>
                </w:rPr>
                <w:t>rism-related</w:t>
              </w:r>
              <w:r>
                <w:rPr>
                  <w:rFonts w:ascii="Calibri" w:hAnsi="Calibri" w:cs="Calibri" w:eastAsia="Calibri" w:hint="default"/>
                  <w:spacing w:val="-15"/>
                  <w:sz w:val="18"/>
                  <w:szCs w:val="18"/>
                </w:rPr>
                <w:t> </w:t>
              </w:r>
              <w:r>
                <w:rPr>
                  <w:rFonts w:ascii="Calibri" w:hAnsi="Calibri" w:cs="Calibri" w:eastAsia="Calibri" w:hint="default"/>
                  <w:sz w:val="18"/>
                  <w:szCs w:val="18"/>
                </w:rPr>
                <w:t>products</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31">
              <w:r>
                <w:rPr>
                  <w:rFonts w:ascii="Calibri"/>
                  <w:spacing w:val="-1"/>
                  <w:w w:val="95"/>
                  <w:sz w:val="18"/>
                </w:rPr>
                <w:t>16</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35">
              <w:r>
                <w:rPr>
                  <w:rFonts w:ascii="Calibri" w:hAnsi="Calibri" w:cs="Calibri" w:eastAsia="Calibri" w:hint="default"/>
                  <w:sz w:val="18"/>
                  <w:szCs w:val="18"/>
                </w:rPr>
                <w:t>Table 6:  “Curaçao” word correlations with other</w:t>
              </w:r>
              <w:r>
                <w:rPr>
                  <w:rFonts w:ascii="Calibri" w:hAnsi="Calibri" w:cs="Calibri" w:eastAsia="Calibri" w:hint="default"/>
                  <w:spacing w:val="-18"/>
                  <w:sz w:val="18"/>
                  <w:szCs w:val="18"/>
                </w:rPr>
                <w:t> </w:t>
              </w:r>
              <w:r>
                <w:rPr>
                  <w:rFonts w:ascii="Calibri" w:hAnsi="Calibri" w:cs="Calibri" w:eastAsia="Calibri" w:hint="default"/>
                  <w:sz w:val="18"/>
                  <w:szCs w:val="18"/>
                </w:rPr>
                <w:t>terms</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35">
              <w:r>
                <w:rPr>
                  <w:rFonts w:ascii="Calibri"/>
                  <w:spacing w:val="-1"/>
                  <w:w w:val="95"/>
                  <w:sz w:val="18"/>
                </w:rPr>
                <w:t>18</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37">
              <w:r>
                <w:rPr>
                  <w:rFonts w:ascii="Calibri" w:hAnsi="Calibri" w:cs="Calibri" w:eastAsia="Calibri" w:hint="default"/>
                  <w:sz w:val="18"/>
                  <w:szCs w:val="18"/>
                </w:rPr>
                <w:t>Table 7:  Tourists’ perceptions vs. Curaçao stakeholders’</w:t>
              </w:r>
              <w:r>
                <w:rPr>
                  <w:rFonts w:ascii="Calibri" w:hAnsi="Calibri" w:cs="Calibri" w:eastAsia="Calibri" w:hint="default"/>
                  <w:spacing w:val="-18"/>
                  <w:sz w:val="18"/>
                  <w:szCs w:val="18"/>
                </w:rPr>
                <w:t> </w:t>
              </w:r>
              <w:r>
                <w:rPr>
                  <w:rFonts w:ascii="Calibri" w:hAnsi="Calibri" w:cs="Calibri" w:eastAsia="Calibri" w:hint="default"/>
                  <w:sz w:val="18"/>
                  <w:szCs w:val="18"/>
                </w:rPr>
                <w:t>perceptions</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37">
              <w:r>
                <w:rPr>
                  <w:rFonts w:ascii="Calibri"/>
                  <w:spacing w:val="-1"/>
                  <w:w w:val="95"/>
                  <w:sz w:val="18"/>
                </w:rPr>
                <w:t>18</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40">
              <w:r>
                <w:rPr>
                  <w:rFonts w:ascii="Calibri"/>
                  <w:sz w:val="18"/>
                </w:rPr>
                <w:t>Table 8:  Most important destination attributes that predict visits from potential</w:t>
              </w:r>
              <w:r>
                <w:rPr>
                  <w:rFonts w:ascii="Calibri"/>
                  <w:spacing w:val="-23"/>
                  <w:sz w:val="18"/>
                </w:rPr>
                <w:t> </w:t>
              </w:r>
              <w:r>
                <w:rPr>
                  <w:rFonts w:ascii="Calibri"/>
                  <w:sz w:val="18"/>
                </w:rPr>
                <w:t>tourists</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40">
              <w:r>
                <w:rPr>
                  <w:rFonts w:ascii="Calibri"/>
                  <w:spacing w:val="-1"/>
                  <w:w w:val="95"/>
                  <w:sz w:val="18"/>
                </w:rPr>
                <w:t>21</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47">
              <w:r>
                <w:rPr>
                  <w:rFonts w:ascii="Calibri" w:hAnsi="Calibri" w:cs="Calibri" w:eastAsia="Calibri" w:hint="default"/>
                  <w:sz w:val="18"/>
                  <w:szCs w:val="18"/>
                </w:rPr>
                <w:t>Table 9:  </w:t>
              </w:r>
              <w:r>
                <w:rPr>
                  <w:rFonts w:ascii="Calibri" w:hAnsi="Calibri" w:cs="Calibri" w:eastAsia="Calibri" w:hint="default"/>
                  <w:sz w:val="18"/>
                  <w:szCs w:val="18"/>
                </w:rPr>
                <w:t>Curacao’s Demand Accommodation</w:t>
              </w:r>
              <w:r>
                <w:rPr>
                  <w:rFonts w:ascii="Calibri" w:hAnsi="Calibri" w:cs="Calibri" w:eastAsia="Calibri" w:hint="default"/>
                  <w:spacing w:val="-11"/>
                  <w:sz w:val="18"/>
                  <w:szCs w:val="18"/>
                </w:rPr>
                <w:t> </w:t>
              </w:r>
              <w:r>
                <w:rPr>
                  <w:rFonts w:ascii="Calibri" w:hAnsi="Calibri" w:cs="Calibri" w:eastAsia="Calibri" w:hint="default"/>
                  <w:sz w:val="18"/>
                  <w:szCs w:val="18"/>
                </w:rPr>
                <w:t>mix</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47">
              <w:r>
                <w:rPr>
                  <w:rFonts w:ascii="Calibri"/>
                  <w:spacing w:val="-1"/>
                  <w:w w:val="95"/>
                  <w:sz w:val="18"/>
                </w:rPr>
                <w:t>24</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48">
              <w:r>
                <w:rPr>
                  <w:rFonts w:ascii="Calibri"/>
                  <w:sz w:val="18"/>
                </w:rPr>
                <w:t>Table 10:  Distribution of hotel</w:t>
              </w:r>
              <w:r>
                <w:rPr>
                  <w:rFonts w:ascii="Calibri"/>
                  <w:spacing w:val="-10"/>
                  <w:sz w:val="18"/>
                </w:rPr>
                <w:t> </w:t>
              </w:r>
              <w:r>
                <w:rPr>
                  <w:rFonts w:ascii="Calibri"/>
                  <w:sz w:val="18"/>
                </w:rPr>
                <w:t>stays</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48">
              <w:r>
                <w:rPr>
                  <w:rFonts w:ascii="Calibri"/>
                  <w:spacing w:val="-1"/>
                  <w:w w:val="95"/>
                  <w:sz w:val="18"/>
                </w:rPr>
                <w:t>24</w:t>
              </w:r>
              <w:r>
                <w:rPr>
                  <w:rFonts w:ascii="Calibri"/>
                  <w:w w:val="95"/>
                  <w:sz w:val="18"/>
                </w:rPr>
              </w:r>
            </w:hyperlink>
          </w:p>
        </w:tc>
      </w:tr>
      <w:tr>
        <w:trPr>
          <w:trHeight w:val="221"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49">
              <w:r>
                <w:rPr>
                  <w:rFonts w:ascii="Calibri" w:hAnsi="Calibri" w:cs="Calibri" w:eastAsia="Calibri" w:hint="default"/>
                  <w:sz w:val="18"/>
                  <w:szCs w:val="18"/>
                </w:rPr>
                <w:t>Table 11:  Hotel vs. non-</w:t>
              </w:r>
              <w:r>
                <w:rPr>
                  <w:rFonts w:ascii="Calibri" w:hAnsi="Calibri" w:cs="Calibri" w:eastAsia="Calibri" w:hint="default"/>
                  <w:sz w:val="18"/>
                  <w:szCs w:val="18"/>
                </w:rPr>
                <w:t>hotel tourists’</w:t>
              </w:r>
              <w:r>
                <w:rPr>
                  <w:rFonts w:ascii="Calibri" w:hAnsi="Calibri" w:cs="Calibri" w:eastAsia="Calibri" w:hint="default"/>
                  <w:spacing w:val="-17"/>
                  <w:sz w:val="18"/>
                  <w:szCs w:val="18"/>
                </w:rPr>
                <w:t> </w:t>
              </w:r>
              <w:r>
                <w:rPr>
                  <w:rFonts w:ascii="Calibri" w:hAnsi="Calibri" w:cs="Calibri" w:eastAsia="Calibri" w:hint="default"/>
                  <w:sz w:val="18"/>
                  <w:szCs w:val="18"/>
                </w:rPr>
                <w:t>spending</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49">
              <w:r>
                <w:rPr>
                  <w:rFonts w:ascii="Calibri"/>
                  <w:spacing w:val="-1"/>
                  <w:w w:val="95"/>
                  <w:sz w:val="18"/>
                </w:rPr>
                <w:t>25</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51">
              <w:r>
                <w:rPr>
                  <w:rFonts w:ascii="Calibri"/>
                  <w:sz w:val="18"/>
                </w:rPr>
                <w:t>Table 12:  Hotel tourists by</w:t>
              </w:r>
              <w:r>
                <w:rPr>
                  <w:rFonts w:ascii="Calibri"/>
                  <w:spacing w:val="-8"/>
                  <w:sz w:val="18"/>
                </w:rPr>
                <w:t> </w:t>
              </w:r>
              <w:r>
                <w:rPr>
                  <w:rFonts w:ascii="Calibri"/>
                  <w:sz w:val="18"/>
                </w:rPr>
                <w:t>country</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51">
              <w:r>
                <w:rPr>
                  <w:rFonts w:ascii="Calibri"/>
                  <w:spacing w:val="-1"/>
                  <w:w w:val="95"/>
                  <w:sz w:val="18"/>
                </w:rPr>
                <w:t>26</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52">
              <w:r>
                <w:rPr>
                  <w:rFonts w:ascii="Calibri"/>
                  <w:sz w:val="18"/>
                </w:rPr>
                <w:t>Table 13:  Non-hotel tourists by</w:t>
              </w:r>
              <w:r>
                <w:rPr>
                  <w:rFonts w:ascii="Calibri"/>
                  <w:spacing w:val="-9"/>
                  <w:sz w:val="18"/>
                </w:rPr>
                <w:t> </w:t>
              </w:r>
              <w:r>
                <w:rPr>
                  <w:rFonts w:ascii="Calibri"/>
                  <w:sz w:val="18"/>
                </w:rPr>
                <w:t>country</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52">
              <w:r>
                <w:rPr>
                  <w:rFonts w:ascii="Calibri"/>
                  <w:spacing w:val="-1"/>
                  <w:w w:val="95"/>
                  <w:sz w:val="18"/>
                </w:rPr>
                <w:t>27</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57">
              <w:r>
                <w:rPr>
                  <w:rFonts w:ascii="Calibri"/>
                  <w:sz w:val="18"/>
                </w:rPr>
                <w:t>Table 14:  Spending profile of the cruise</w:t>
              </w:r>
              <w:r>
                <w:rPr>
                  <w:rFonts w:ascii="Calibri"/>
                  <w:spacing w:val="-18"/>
                  <w:sz w:val="18"/>
                </w:rPr>
                <w:t> </w:t>
              </w:r>
              <w:r>
                <w:rPr>
                  <w:rFonts w:ascii="Calibri"/>
                  <w:sz w:val="18"/>
                </w:rPr>
                <w:t>industry</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57">
              <w:r>
                <w:rPr>
                  <w:rFonts w:ascii="Calibri"/>
                  <w:spacing w:val="-1"/>
                  <w:w w:val="95"/>
                  <w:sz w:val="18"/>
                </w:rPr>
                <w:t>29</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59">
              <w:r>
                <w:rPr>
                  <w:rFonts w:ascii="Calibri" w:hAnsi="Calibri" w:cs="Calibri" w:eastAsia="Calibri" w:hint="default"/>
                  <w:sz w:val="18"/>
                  <w:szCs w:val="18"/>
                </w:rPr>
                <w:t>Table 15:  Tourism’s economic impact in</w:t>
              </w:r>
              <w:r>
                <w:rPr>
                  <w:rFonts w:ascii="Calibri" w:hAnsi="Calibri" w:cs="Calibri" w:eastAsia="Calibri" w:hint="default"/>
                  <w:spacing w:val="-15"/>
                  <w:sz w:val="18"/>
                  <w:szCs w:val="18"/>
                </w:rPr>
                <w:t> </w:t>
              </w:r>
              <w:r>
                <w:rPr>
                  <w:rFonts w:ascii="Calibri" w:hAnsi="Calibri" w:cs="Calibri" w:eastAsia="Calibri" w:hint="default"/>
                  <w:sz w:val="18"/>
                  <w:szCs w:val="18"/>
                </w:rPr>
                <w:t>Curaçao</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59">
              <w:r>
                <w:rPr>
                  <w:rFonts w:ascii="Calibri"/>
                  <w:spacing w:val="-1"/>
                  <w:w w:val="95"/>
                  <w:sz w:val="18"/>
                </w:rPr>
                <w:t>30</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60">
              <w:r>
                <w:rPr>
                  <w:rFonts w:ascii="Calibri" w:hAnsi="Calibri" w:cs="Calibri" w:eastAsia="Calibri" w:hint="default"/>
                  <w:sz w:val="18"/>
                  <w:szCs w:val="18"/>
                </w:rPr>
                <w:t>Tabl</w:t>
              </w:r>
              <w:r>
                <w:rPr>
                  <w:rFonts w:ascii="Calibri" w:hAnsi="Calibri" w:cs="Calibri" w:eastAsia="Calibri" w:hint="default"/>
                  <w:sz w:val="18"/>
                  <w:szCs w:val="18"/>
                </w:rPr>
                <w:t>e 16:  Tourism’s economic spillover</w:t>
              </w:r>
              <w:r>
                <w:rPr>
                  <w:rFonts w:ascii="Calibri" w:hAnsi="Calibri" w:cs="Calibri" w:eastAsia="Calibri" w:hint="default"/>
                  <w:spacing w:val="-18"/>
                  <w:sz w:val="18"/>
                  <w:szCs w:val="18"/>
                </w:rPr>
                <w:t> </w:t>
              </w:r>
              <w:r>
                <w:rPr>
                  <w:rFonts w:ascii="Calibri" w:hAnsi="Calibri" w:cs="Calibri" w:eastAsia="Calibri" w:hint="default"/>
                  <w:sz w:val="18"/>
                  <w:szCs w:val="18"/>
                </w:rPr>
                <w:t>effect</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60">
              <w:r>
                <w:rPr>
                  <w:rFonts w:ascii="Calibri"/>
                  <w:spacing w:val="-1"/>
                  <w:w w:val="95"/>
                  <w:sz w:val="18"/>
                </w:rPr>
                <w:t>30</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62">
              <w:r>
                <w:rPr>
                  <w:rFonts w:ascii="Calibri" w:hAnsi="Calibri" w:cs="Calibri" w:eastAsia="Calibri" w:hint="default"/>
                  <w:sz w:val="18"/>
                  <w:szCs w:val="18"/>
                </w:rPr>
                <w:t>Table 17:  Residents’ perceptions of tourism</w:t>
              </w:r>
              <w:r>
                <w:rPr>
                  <w:rFonts w:ascii="Calibri" w:hAnsi="Calibri" w:cs="Calibri" w:eastAsia="Calibri" w:hint="default"/>
                  <w:spacing w:val="-20"/>
                  <w:sz w:val="18"/>
                  <w:szCs w:val="18"/>
                </w:rPr>
                <w:t> </w:t>
              </w:r>
              <w:r>
                <w:rPr>
                  <w:rFonts w:ascii="Calibri" w:hAnsi="Calibri" w:cs="Calibri" w:eastAsia="Calibri" w:hint="default"/>
                  <w:sz w:val="18"/>
                  <w:szCs w:val="18"/>
                </w:rPr>
                <w:t>opportunities</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62">
              <w:r>
                <w:rPr>
                  <w:rFonts w:ascii="Calibri"/>
                  <w:spacing w:val="-1"/>
                  <w:w w:val="95"/>
                  <w:sz w:val="18"/>
                </w:rPr>
                <w:t>30</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64">
              <w:r>
                <w:rPr>
                  <w:rFonts w:ascii="Calibri"/>
                  <w:sz w:val="18"/>
                </w:rPr>
                <w:t>Table 18:  Attitudes towards tourism and customer</w:t>
              </w:r>
              <w:r>
                <w:rPr>
                  <w:rFonts w:ascii="Calibri"/>
                  <w:spacing w:val="-16"/>
                  <w:sz w:val="18"/>
                </w:rPr>
                <w:t> </w:t>
              </w:r>
              <w:r>
                <w:rPr>
                  <w:rFonts w:ascii="Calibri"/>
                  <w:sz w:val="18"/>
                </w:rPr>
                <w:t>service</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64">
              <w:r>
                <w:rPr>
                  <w:rFonts w:ascii="Calibri"/>
                  <w:spacing w:val="-1"/>
                  <w:w w:val="95"/>
                  <w:sz w:val="18"/>
                </w:rPr>
                <w:t>31</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69">
              <w:r>
                <w:rPr>
                  <w:rFonts w:ascii="Calibri"/>
                  <w:sz w:val="18"/>
                </w:rPr>
                <w:t>Table 19:  Total revenue</w:t>
              </w:r>
              <w:r>
                <w:rPr>
                  <w:rFonts w:ascii="Calibri"/>
                  <w:spacing w:val="-8"/>
                  <w:sz w:val="18"/>
                </w:rPr>
                <w:t> </w:t>
              </w:r>
              <w:r>
                <w:rPr>
                  <w:rFonts w:ascii="Calibri"/>
                  <w:sz w:val="18"/>
                </w:rPr>
                <w:t>gap</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69">
              <w:r>
                <w:rPr>
                  <w:rFonts w:ascii="Calibri"/>
                  <w:spacing w:val="-1"/>
                  <w:w w:val="95"/>
                  <w:sz w:val="18"/>
                </w:rPr>
                <w:t>34</w:t>
              </w:r>
              <w:r>
                <w:rPr>
                  <w:rFonts w:ascii="Calibri"/>
                  <w:w w:val="95"/>
                  <w:sz w:val="18"/>
                </w:rPr>
              </w:r>
            </w:hyperlink>
          </w:p>
        </w:tc>
      </w:tr>
      <w:tr>
        <w:trPr>
          <w:trHeight w:val="221"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71">
              <w:r>
                <w:rPr>
                  <w:rFonts w:ascii="Calibri"/>
                  <w:sz w:val="18"/>
                </w:rPr>
                <w:t>Table 20:  Comparison of corporate income tax</w:t>
              </w:r>
              <w:r>
                <w:rPr>
                  <w:rFonts w:ascii="Calibri"/>
                  <w:spacing w:val="-15"/>
                  <w:sz w:val="18"/>
                </w:rPr>
                <w:t> </w:t>
              </w:r>
              <w:r>
                <w:rPr>
                  <w:rFonts w:ascii="Calibri"/>
                  <w:sz w:val="18"/>
                </w:rPr>
                <w:t>rate</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71">
              <w:r>
                <w:rPr>
                  <w:rFonts w:ascii="Calibri"/>
                  <w:spacing w:val="-1"/>
                  <w:w w:val="95"/>
                  <w:sz w:val="18"/>
                </w:rPr>
                <w:t>35</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72">
              <w:r>
                <w:rPr>
                  <w:rFonts w:ascii="Calibri"/>
                  <w:sz w:val="18"/>
                </w:rPr>
                <w:t>Table 21: Panel A:  Income from direct taxes (</w:t>
              </w:r>
              <w:r>
                <w:rPr>
                  <w:rFonts w:ascii="Calibri"/>
                  <w:i/>
                  <w:sz w:val="18"/>
                </w:rPr>
                <w:t>x mln</w:t>
              </w:r>
              <w:r>
                <w:rPr>
                  <w:rFonts w:ascii="Calibri"/>
                  <w:i/>
                  <w:spacing w:val="-18"/>
                  <w:sz w:val="18"/>
                </w:rPr>
                <w:t> </w:t>
              </w:r>
              <w:r>
                <w:rPr>
                  <w:rFonts w:ascii="Calibri"/>
                  <w:i/>
                  <w:sz w:val="18"/>
                </w:rPr>
                <w:t>NAf)</w:t>
              </w:r>
              <w:r>
                <w:rPr>
                  <w:rFonts w:ascii="Calibri"/>
                  <w:sz w:val="18"/>
                </w:rPr>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72">
              <w:r>
                <w:rPr>
                  <w:rFonts w:ascii="Calibri"/>
                  <w:spacing w:val="-1"/>
                  <w:w w:val="95"/>
                  <w:sz w:val="18"/>
                </w:rPr>
                <w:t>35</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73">
              <w:r>
                <w:rPr>
                  <w:rFonts w:ascii="Calibri"/>
                  <w:sz w:val="18"/>
                </w:rPr>
                <w:t>Table 22: Panel B:  Income from indirect taxes </w:t>
              </w:r>
              <w:r>
                <w:rPr>
                  <w:rFonts w:ascii="Calibri"/>
                  <w:spacing w:val="2"/>
                  <w:sz w:val="18"/>
                </w:rPr>
                <w:t>(</w:t>
              </w:r>
              <w:r>
                <w:rPr>
                  <w:rFonts w:ascii="Calibri"/>
                  <w:i/>
                  <w:spacing w:val="2"/>
                  <w:sz w:val="18"/>
                </w:rPr>
                <w:t>x </w:t>
              </w:r>
              <w:r>
                <w:rPr>
                  <w:rFonts w:ascii="Calibri"/>
                  <w:i/>
                  <w:sz w:val="18"/>
                </w:rPr>
                <w:t>mln</w:t>
              </w:r>
              <w:r>
                <w:rPr>
                  <w:rFonts w:ascii="Calibri"/>
                  <w:i/>
                  <w:spacing w:val="-26"/>
                  <w:sz w:val="18"/>
                </w:rPr>
                <w:t> </w:t>
              </w:r>
              <w:r>
                <w:rPr>
                  <w:rFonts w:ascii="Calibri"/>
                  <w:i/>
                  <w:sz w:val="18"/>
                </w:rPr>
                <w:t>NAf</w:t>
              </w:r>
              <w:r>
                <w:rPr>
                  <w:rFonts w:ascii="Calibri"/>
                  <w:sz w:val="18"/>
                </w:rPr>
                <w:t>)</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73">
              <w:r>
                <w:rPr>
                  <w:rFonts w:ascii="Calibri"/>
                  <w:spacing w:val="-1"/>
                  <w:w w:val="95"/>
                  <w:sz w:val="18"/>
                </w:rPr>
                <w:t>36</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78">
              <w:r>
                <w:rPr>
                  <w:rFonts w:ascii="Calibri"/>
                  <w:sz w:val="18"/>
                </w:rPr>
                <w:t>Table 23:  Employee</w:t>
              </w:r>
              <w:r>
                <w:rPr>
                  <w:rFonts w:ascii="Calibri"/>
                  <w:spacing w:val="-11"/>
                  <w:sz w:val="18"/>
                </w:rPr>
                <w:t> </w:t>
              </w:r>
              <w:r>
                <w:rPr>
                  <w:rFonts w:ascii="Calibri"/>
                  <w:sz w:val="18"/>
                </w:rPr>
                <w:t>perspectives</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78">
              <w:r>
                <w:rPr>
                  <w:rFonts w:ascii="Calibri"/>
                  <w:spacing w:val="-1"/>
                  <w:w w:val="95"/>
                  <w:sz w:val="18"/>
                </w:rPr>
                <w:t>39</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80">
              <w:r>
                <w:rPr>
                  <w:rFonts w:ascii="Calibri"/>
                  <w:sz w:val="18"/>
                </w:rPr>
                <w:t>Table 24: Measurement items of job</w:t>
              </w:r>
              <w:r>
                <w:rPr>
                  <w:rFonts w:ascii="Calibri"/>
                  <w:spacing w:val="-15"/>
                  <w:sz w:val="18"/>
                </w:rPr>
                <w:t> </w:t>
              </w:r>
              <w:r>
                <w:rPr>
                  <w:rFonts w:ascii="Calibri"/>
                  <w:sz w:val="18"/>
                </w:rPr>
                <w:t>congeniality</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80">
              <w:r>
                <w:rPr>
                  <w:rFonts w:ascii="Calibri"/>
                  <w:spacing w:val="-1"/>
                  <w:w w:val="95"/>
                  <w:sz w:val="18"/>
                </w:rPr>
                <w:t>40</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91">
              <w:r>
                <w:rPr>
                  <w:rFonts w:ascii="Calibri"/>
                  <w:sz w:val="18"/>
                </w:rPr>
                <w:t>Table 25:  Supervision in hospitality and</w:t>
              </w:r>
              <w:r>
                <w:rPr>
                  <w:rFonts w:ascii="Calibri"/>
                  <w:spacing w:val="-13"/>
                  <w:sz w:val="18"/>
                </w:rPr>
                <w:t> </w:t>
              </w:r>
              <w:r>
                <w:rPr>
                  <w:rFonts w:ascii="Calibri"/>
                  <w:sz w:val="18"/>
                </w:rPr>
                <w:t>tourism</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91">
              <w:r>
                <w:rPr>
                  <w:rFonts w:ascii="Calibri"/>
                  <w:spacing w:val="-1"/>
                  <w:w w:val="95"/>
                  <w:sz w:val="18"/>
                </w:rPr>
                <w:t>49</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99">
              <w:r>
                <w:rPr>
                  <w:rFonts w:ascii="Calibri"/>
                  <w:sz w:val="18"/>
                </w:rPr>
                <w:t>Table 26:  Purpose of</w:t>
              </w:r>
              <w:r>
                <w:rPr>
                  <w:rFonts w:ascii="Calibri"/>
                  <w:spacing w:val="-11"/>
                  <w:sz w:val="18"/>
                </w:rPr>
                <w:t> </w:t>
              </w:r>
              <w:r>
                <w:rPr>
                  <w:rFonts w:ascii="Calibri"/>
                  <w:sz w:val="18"/>
                </w:rPr>
                <w:t>visit</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99">
              <w:r>
                <w:rPr>
                  <w:rFonts w:ascii="Calibri"/>
                  <w:spacing w:val="-1"/>
                  <w:w w:val="95"/>
                  <w:sz w:val="18"/>
                </w:rPr>
                <w:t>52</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101">
              <w:r>
                <w:rPr>
                  <w:rFonts w:ascii="Calibri"/>
                  <w:sz w:val="18"/>
                </w:rPr>
                <w:t>Table 27:  Sources of</w:t>
              </w:r>
              <w:r>
                <w:rPr>
                  <w:rFonts w:ascii="Calibri"/>
                  <w:spacing w:val="-11"/>
                  <w:sz w:val="18"/>
                </w:rPr>
                <w:t> </w:t>
              </w:r>
              <w:r>
                <w:rPr>
                  <w:rFonts w:ascii="Calibri"/>
                  <w:sz w:val="18"/>
                </w:rPr>
                <w:t>information</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101">
              <w:r>
                <w:rPr>
                  <w:rFonts w:ascii="Calibri"/>
                  <w:spacing w:val="-1"/>
                  <w:w w:val="95"/>
                  <w:sz w:val="18"/>
                </w:rPr>
                <w:t>53</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102">
              <w:r>
                <w:rPr>
                  <w:rFonts w:ascii="Calibri"/>
                  <w:sz w:val="18"/>
                </w:rPr>
                <w:t>Table 28:  Reservation and payment</w:t>
              </w:r>
              <w:r>
                <w:rPr>
                  <w:rFonts w:ascii="Calibri"/>
                  <w:spacing w:val="-10"/>
                  <w:sz w:val="18"/>
                </w:rPr>
                <w:t> </w:t>
              </w:r>
              <w:r>
                <w:rPr>
                  <w:rFonts w:ascii="Calibri"/>
                  <w:sz w:val="18"/>
                </w:rPr>
                <w:t>methods</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102">
              <w:r>
                <w:rPr>
                  <w:rFonts w:ascii="Calibri"/>
                  <w:spacing w:val="-1"/>
                  <w:w w:val="95"/>
                  <w:sz w:val="18"/>
                </w:rPr>
                <w:t>54</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105">
              <w:r>
                <w:rPr>
                  <w:rFonts w:ascii="Calibri" w:hAnsi="Calibri"/>
                  <w:sz w:val="18"/>
                </w:rPr>
                <w:t>Table 29: Activities in</w:t>
              </w:r>
              <w:r>
                <w:rPr>
                  <w:rFonts w:ascii="Calibri" w:hAnsi="Calibri"/>
                  <w:spacing w:val="-9"/>
                  <w:sz w:val="18"/>
                </w:rPr>
                <w:t> </w:t>
              </w:r>
              <w:r>
                <w:rPr>
                  <w:rFonts w:ascii="Calibri" w:hAnsi="Calibri"/>
                  <w:sz w:val="18"/>
                </w:rPr>
                <w:t>Curaçao</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105">
              <w:r>
                <w:rPr>
                  <w:rFonts w:ascii="Calibri"/>
                  <w:spacing w:val="-1"/>
                  <w:w w:val="95"/>
                  <w:sz w:val="18"/>
                </w:rPr>
                <w:t>56</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107">
              <w:r>
                <w:rPr>
                  <w:rFonts w:ascii="Calibri"/>
                  <w:sz w:val="18"/>
                </w:rPr>
                <w:t>Table 30:  Arrivals by</w:t>
              </w:r>
              <w:r>
                <w:rPr>
                  <w:rFonts w:ascii="Calibri"/>
                  <w:spacing w:val="-9"/>
                  <w:sz w:val="18"/>
                </w:rPr>
                <w:t> </w:t>
              </w:r>
              <w:r>
                <w:rPr>
                  <w:rFonts w:ascii="Calibri"/>
                  <w:sz w:val="18"/>
                </w:rPr>
                <w:t>country</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107">
              <w:r>
                <w:rPr>
                  <w:rFonts w:ascii="Calibri"/>
                  <w:spacing w:val="-1"/>
                  <w:w w:val="95"/>
                  <w:sz w:val="18"/>
                </w:rPr>
                <w:t>57</w:t>
              </w:r>
              <w:r>
                <w:rPr>
                  <w:rFonts w:ascii="Calibri"/>
                  <w:w w:val="95"/>
                  <w:sz w:val="18"/>
                </w:rPr>
              </w:r>
            </w:hyperlink>
          </w:p>
        </w:tc>
      </w:tr>
      <w:tr>
        <w:trPr>
          <w:trHeight w:val="221"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109">
              <w:r>
                <w:rPr>
                  <w:rFonts w:ascii="Calibri"/>
                  <w:sz w:val="18"/>
                </w:rPr>
                <w:t>Table 31:  Overall</w:t>
              </w:r>
              <w:r>
                <w:rPr>
                  <w:rFonts w:ascii="Calibri"/>
                  <w:spacing w:val="-10"/>
                  <w:sz w:val="18"/>
                </w:rPr>
                <w:t> </w:t>
              </w:r>
              <w:r>
                <w:rPr>
                  <w:rFonts w:ascii="Calibri"/>
                  <w:sz w:val="18"/>
                </w:rPr>
                <w:t>satisfaction</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109">
              <w:r>
                <w:rPr>
                  <w:rFonts w:ascii="Calibri"/>
                  <w:spacing w:val="-1"/>
                  <w:w w:val="95"/>
                  <w:sz w:val="18"/>
                </w:rPr>
                <w:t>58</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110">
              <w:r>
                <w:rPr>
                  <w:rFonts w:ascii="Calibri"/>
                  <w:sz w:val="18"/>
                </w:rPr>
                <w:t>Table 32:  Overall</w:t>
              </w:r>
              <w:r>
                <w:rPr>
                  <w:rFonts w:ascii="Calibri"/>
                  <w:spacing w:val="-7"/>
                  <w:sz w:val="18"/>
                </w:rPr>
                <w:t> </w:t>
              </w:r>
              <w:r>
                <w:rPr>
                  <w:rFonts w:ascii="Calibri"/>
                  <w:sz w:val="18"/>
                </w:rPr>
                <w:t>quality</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110">
              <w:r>
                <w:rPr>
                  <w:rFonts w:ascii="Calibri"/>
                  <w:spacing w:val="-1"/>
                  <w:w w:val="95"/>
                  <w:sz w:val="18"/>
                </w:rPr>
                <w:t>59</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111">
              <w:r>
                <w:rPr>
                  <w:rFonts w:ascii="Calibri"/>
                  <w:sz w:val="18"/>
                </w:rPr>
                <w:t>Table 33:  Overall</w:t>
              </w:r>
              <w:r>
                <w:rPr>
                  <w:rFonts w:ascii="Calibri"/>
                  <w:spacing w:val="-7"/>
                  <w:sz w:val="18"/>
                </w:rPr>
                <w:t> </w:t>
              </w:r>
              <w:r>
                <w:rPr>
                  <w:rFonts w:ascii="Calibri"/>
                  <w:sz w:val="18"/>
                </w:rPr>
                <w:t>value</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111">
              <w:r>
                <w:rPr>
                  <w:rFonts w:ascii="Calibri"/>
                  <w:spacing w:val="-1"/>
                  <w:w w:val="95"/>
                  <w:sz w:val="18"/>
                </w:rPr>
                <w:t>60</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112">
              <w:r>
                <w:rPr>
                  <w:rFonts w:ascii="Calibri"/>
                  <w:sz w:val="18"/>
                </w:rPr>
                <w:t>Table 34:  Overall</w:t>
              </w:r>
              <w:r>
                <w:rPr>
                  <w:rFonts w:ascii="Calibri"/>
                  <w:spacing w:val="-6"/>
                  <w:sz w:val="18"/>
                </w:rPr>
                <w:t> </w:t>
              </w:r>
              <w:r>
                <w:rPr>
                  <w:rFonts w:ascii="Calibri"/>
                  <w:sz w:val="18"/>
                </w:rPr>
                <w:t>price</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112">
              <w:r>
                <w:rPr>
                  <w:rFonts w:ascii="Calibri"/>
                  <w:spacing w:val="-1"/>
                  <w:w w:val="95"/>
                  <w:sz w:val="18"/>
                </w:rPr>
                <w:t>60</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113">
              <w:r>
                <w:rPr>
                  <w:rFonts w:ascii="Calibri"/>
                  <w:sz w:val="18"/>
                </w:rPr>
                <w:t>Table 35:  Overall</w:t>
              </w:r>
              <w:r>
                <w:rPr>
                  <w:rFonts w:ascii="Calibri"/>
                  <w:spacing w:val="-9"/>
                  <w:sz w:val="18"/>
                </w:rPr>
                <w:t> </w:t>
              </w:r>
              <w:r>
                <w:rPr>
                  <w:rFonts w:ascii="Calibri"/>
                  <w:sz w:val="18"/>
                </w:rPr>
                <w:t>satisfaction</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113">
              <w:r>
                <w:rPr>
                  <w:rFonts w:ascii="Calibri"/>
                  <w:spacing w:val="-1"/>
                  <w:w w:val="95"/>
                  <w:sz w:val="18"/>
                </w:rPr>
                <w:t>60</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114">
              <w:r>
                <w:rPr>
                  <w:rFonts w:ascii="Calibri"/>
                  <w:sz w:val="18"/>
                </w:rPr>
                <w:t>Table 36:  Overall perceptions on</w:t>
              </w:r>
              <w:r>
                <w:rPr>
                  <w:rFonts w:ascii="Calibri"/>
                  <w:spacing w:val="-9"/>
                  <w:sz w:val="18"/>
                </w:rPr>
                <w:t> </w:t>
              </w:r>
              <w:r>
                <w:rPr>
                  <w:rFonts w:ascii="Calibri"/>
                  <w:sz w:val="18"/>
                </w:rPr>
                <w:t>loyalty</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114">
              <w:r>
                <w:rPr>
                  <w:rFonts w:ascii="Calibri"/>
                  <w:spacing w:val="-1"/>
                  <w:w w:val="95"/>
                  <w:sz w:val="18"/>
                </w:rPr>
                <w:t>61</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115">
              <w:r>
                <w:rPr>
                  <w:rFonts w:ascii="Calibri"/>
                  <w:sz w:val="18"/>
                </w:rPr>
                <w:t>Table 37: Overall tourist</w:t>
              </w:r>
              <w:r>
                <w:rPr>
                  <w:rFonts w:ascii="Calibri"/>
                  <w:spacing w:val="-11"/>
                  <w:sz w:val="18"/>
                </w:rPr>
                <w:t> </w:t>
              </w:r>
              <w:r>
                <w:rPr>
                  <w:rFonts w:ascii="Calibri"/>
                  <w:sz w:val="18"/>
                </w:rPr>
                <w:t>satisfaction</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115">
              <w:r>
                <w:rPr>
                  <w:rFonts w:ascii="Calibri"/>
                  <w:spacing w:val="-1"/>
                  <w:w w:val="95"/>
                  <w:sz w:val="18"/>
                </w:rPr>
                <w:t>61</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120">
              <w:r>
                <w:rPr>
                  <w:rFonts w:ascii="Calibri"/>
                  <w:sz w:val="18"/>
                </w:rPr>
                <w:t>Table 38:  Additional tourists staying in hotels</w:t>
              </w:r>
              <w:r>
                <w:rPr>
                  <w:rFonts w:ascii="Calibri"/>
                  <w:spacing w:val="-18"/>
                  <w:sz w:val="18"/>
                </w:rPr>
                <w:t> </w:t>
              </w:r>
              <w:r>
                <w:rPr>
                  <w:rFonts w:ascii="Calibri"/>
                  <w:sz w:val="18"/>
                </w:rPr>
                <w:t>2016-2020</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120">
              <w:r>
                <w:rPr>
                  <w:rFonts w:ascii="Calibri"/>
                  <w:spacing w:val="-1"/>
                  <w:w w:val="95"/>
                  <w:sz w:val="18"/>
                </w:rPr>
                <w:t>65</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121">
              <w:r>
                <w:rPr>
                  <w:rFonts w:ascii="Calibri"/>
                  <w:sz w:val="18"/>
                </w:rPr>
                <w:t>Table 39:  Additional tourists staying elsewhere</w:t>
              </w:r>
              <w:r>
                <w:rPr>
                  <w:rFonts w:ascii="Calibri"/>
                  <w:spacing w:val="-17"/>
                  <w:sz w:val="18"/>
                </w:rPr>
                <w:t> </w:t>
              </w:r>
              <w:r>
                <w:rPr>
                  <w:rFonts w:ascii="Calibri"/>
                  <w:sz w:val="18"/>
                </w:rPr>
                <w:t>2016-2020</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121">
              <w:r>
                <w:rPr>
                  <w:rFonts w:ascii="Calibri"/>
                  <w:spacing w:val="-1"/>
                  <w:w w:val="95"/>
                  <w:sz w:val="18"/>
                </w:rPr>
                <w:t>65</w:t>
              </w:r>
              <w:r>
                <w:rPr>
                  <w:rFonts w:ascii="Calibri"/>
                  <w:w w:val="95"/>
                  <w:sz w:val="18"/>
                </w:rPr>
              </w:r>
            </w:hyperlink>
          </w:p>
        </w:tc>
      </w:tr>
      <w:tr>
        <w:trPr>
          <w:trHeight w:val="221"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126">
              <w:r>
                <w:rPr>
                  <w:rFonts w:ascii="Calibri"/>
                  <w:sz w:val="18"/>
                </w:rPr>
                <w:t>Table 40:  Overall economic</w:t>
              </w:r>
              <w:r>
                <w:rPr>
                  <w:rFonts w:ascii="Calibri"/>
                  <w:spacing w:val="-8"/>
                  <w:sz w:val="18"/>
                </w:rPr>
                <w:t> </w:t>
              </w:r>
              <w:r>
                <w:rPr>
                  <w:rFonts w:ascii="Calibri"/>
                  <w:sz w:val="18"/>
                </w:rPr>
                <w:t>impact</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126">
              <w:r>
                <w:rPr>
                  <w:rFonts w:ascii="Calibri"/>
                  <w:spacing w:val="-1"/>
                  <w:w w:val="95"/>
                  <w:sz w:val="18"/>
                </w:rPr>
                <w:t>67</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128">
              <w:r>
                <w:rPr>
                  <w:rFonts w:ascii="Calibri" w:hAnsi="Calibri"/>
                  <w:sz w:val="18"/>
                </w:rPr>
                <w:t>Table 41:  Curaçao image in the US</w:t>
              </w:r>
              <w:r>
                <w:rPr>
                  <w:rFonts w:ascii="Calibri" w:hAnsi="Calibri"/>
                  <w:spacing w:val="-11"/>
                  <w:sz w:val="18"/>
                </w:rPr>
                <w:t> </w:t>
              </w:r>
              <w:r>
                <w:rPr>
                  <w:rFonts w:ascii="Calibri" w:hAnsi="Calibri"/>
                  <w:sz w:val="18"/>
                </w:rPr>
                <w:t>regions</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128">
              <w:r>
                <w:rPr>
                  <w:rFonts w:ascii="Calibri"/>
                  <w:spacing w:val="-1"/>
                  <w:w w:val="95"/>
                  <w:sz w:val="18"/>
                </w:rPr>
                <w:t>67</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129">
              <w:r>
                <w:rPr>
                  <w:rFonts w:ascii="Calibri" w:hAnsi="Calibri"/>
                  <w:sz w:val="18"/>
                </w:rPr>
                <w:t>Table 42:  Drives of intention to visit</w:t>
              </w:r>
              <w:r>
                <w:rPr>
                  <w:rFonts w:ascii="Calibri" w:hAnsi="Calibri"/>
                  <w:spacing w:val="-15"/>
                  <w:sz w:val="18"/>
                </w:rPr>
                <w:t> </w:t>
              </w:r>
              <w:r>
                <w:rPr>
                  <w:rFonts w:ascii="Calibri" w:hAnsi="Calibri"/>
                  <w:sz w:val="18"/>
                </w:rPr>
                <w:t>Curaçao</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129">
              <w:r>
                <w:rPr>
                  <w:rFonts w:ascii="Calibri"/>
                  <w:spacing w:val="-1"/>
                  <w:w w:val="95"/>
                  <w:sz w:val="18"/>
                </w:rPr>
                <w:t>68</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131">
              <w:r>
                <w:rPr>
                  <w:rFonts w:ascii="Calibri" w:hAnsi="Calibri" w:cs="Calibri" w:eastAsia="Calibri" w:hint="default"/>
                  <w:sz w:val="18"/>
                  <w:szCs w:val="18"/>
                </w:rPr>
                <w:t>Table 43:  Curaçao’s US market</w:t>
              </w:r>
              <w:r>
                <w:rPr>
                  <w:rFonts w:ascii="Calibri" w:hAnsi="Calibri" w:cs="Calibri" w:eastAsia="Calibri" w:hint="default"/>
                  <w:spacing w:val="-11"/>
                  <w:sz w:val="18"/>
                  <w:szCs w:val="18"/>
                </w:rPr>
                <w:t> </w:t>
              </w:r>
              <w:r>
                <w:rPr>
                  <w:rFonts w:ascii="Calibri" w:hAnsi="Calibri" w:cs="Calibri" w:eastAsia="Calibri" w:hint="default"/>
                  <w:sz w:val="18"/>
                  <w:szCs w:val="18"/>
                </w:rPr>
                <w:t>competitors</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131">
              <w:r>
                <w:rPr>
                  <w:rFonts w:ascii="Calibri"/>
                  <w:spacing w:val="-1"/>
                  <w:w w:val="95"/>
                  <w:sz w:val="18"/>
                </w:rPr>
                <w:t>69</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132">
              <w:r>
                <w:rPr>
                  <w:rFonts w:ascii="Calibri"/>
                  <w:sz w:val="18"/>
                </w:rPr>
                <w:t>Table 44:  Image perception of the competitive</w:t>
              </w:r>
              <w:r>
                <w:rPr>
                  <w:rFonts w:ascii="Calibri"/>
                  <w:spacing w:val="-14"/>
                  <w:sz w:val="18"/>
                </w:rPr>
                <w:t> </w:t>
              </w:r>
              <w:r>
                <w:rPr>
                  <w:rFonts w:ascii="Calibri"/>
                  <w:sz w:val="18"/>
                </w:rPr>
                <w:t>set</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132">
              <w:r>
                <w:rPr>
                  <w:rFonts w:ascii="Calibri"/>
                  <w:spacing w:val="-1"/>
                  <w:w w:val="95"/>
                  <w:sz w:val="18"/>
                </w:rPr>
                <w:t>70</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133">
              <w:r>
                <w:rPr>
                  <w:rFonts w:ascii="Calibri"/>
                  <w:sz w:val="18"/>
                </w:rPr>
                <w:t>Table 45:  Factor analysis for beaches, duty-free and</w:t>
              </w:r>
              <w:r>
                <w:rPr>
                  <w:rFonts w:ascii="Calibri"/>
                  <w:spacing w:val="-18"/>
                  <w:sz w:val="18"/>
                </w:rPr>
                <w:t> </w:t>
              </w:r>
              <w:r>
                <w:rPr>
                  <w:rFonts w:ascii="Calibri"/>
                  <w:sz w:val="18"/>
                </w:rPr>
                <w:t>hospitality</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133">
              <w:r>
                <w:rPr>
                  <w:rFonts w:ascii="Calibri"/>
                  <w:spacing w:val="-1"/>
                  <w:w w:val="95"/>
                  <w:sz w:val="18"/>
                </w:rPr>
                <w:t>70</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143">
              <w:r>
                <w:rPr>
                  <w:rFonts w:ascii="Calibri"/>
                  <w:sz w:val="18"/>
                </w:rPr>
                <w:t>Table 46:  Comparison of two suggested American</w:t>
              </w:r>
              <w:r>
                <w:rPr>
                  <w:rFonts w:ascii="Calibri"/>
                  <w:spacing w:val="-12"/>
                  <w:sz w:val="18"/>
                </w:rPr>
                <w:t> </w:t>
              </w:r>
              <w:r>
                <w:rPr>
                  <w:rFonts w:ascii="Calibri"/>
                  <w:sz w:val="18"/>
                </w:rPr>
                <w:t>markets</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143">
              <w:r>
                <w:rPr>
                  <w:rFonts w:ascii="Calibri"/>
                  <w:spacing w:val="-1"/>
                  <w:w w:val="95"/>
                  <w:sz w:val="18"/>
                </w:rPr>
                <w:t>75</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149">
              <w:r>
                <w:rPr>
                  <w:rFonts w:ascii="Calibri"/>
                  <w:sz w:val="18"/>
                </w:rPr>
                <w:t>Table 47: Loan Payment Structure for</w:t>
              </w:r>
              <w:r>
                <w:rPr>
                  <w:rFonts w:ascii="Calibri"/>
                  <w:spacing w:val="-13"/>
                  <w:sz w:val="18"/>
                </w:rPr>
                <w:t> </w:t>
              </w:r>
              <w:r>
                <w:rPr>
                  <w:rFonts w:ascii="Calibri"/>
                  <w:sz w:val="18"/>
                </w:rPr>
                <w:t>Budget</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149">
              <w:r>
                <w:rPr>
                  <w:rFonts w:ascii="Calibri"/>
                  <w:spacing w:val="-1"/>
                  <w:w w:val="95"/>
                  <w:sz w:val="18"/>
                </w:rPr>
                <w:t>78</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159">
              <w:r>
                <w:rPr>
                  <w:rFonts w:ascii="Calibri"/>
                  <w:sz w:val="18"/>
                </w:rPr>
                <w:t>Table 48:  Total arrivals forecast</w:t>
              </w:r>
              <w:r>
                <w:rPr>
                  <w:rFonts w:ascii="Calibri"/>
                  <w:spacing w:val="-14"/>
                  <w:sz w:val="18"/>
                </w:rPr>
                <w:t> </w:t>
              </w:r>
              <w:r>
                <w:rPr>
                  <w:rFonts w:ascii="Calibri"/>
                  <w:sz w:val="18"/>
                </w:rPr>
                <w:t>2016-2020</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159">
              <w:r>
                <w:rPr>
                  <w:rFonts w:ascii="Calibri"/>
                  <w:spacing w:val="-1"/>
                  <w:w w:val="95"/>
                  <w:sz w:val="18"/>
                </w:rPr>
                <w:t>86</w:t>
              </w:r>
              <w:r>
                <w:rPr>
                  <w:rFonts w:ascii="Calibri"/>
                  <w:w w:val="95"/>
                  <w:sz w:val="18"/>
                </w:rPr>
              </w:r>
            </w:hyperlink>
          </w:p>
        </w:tc>
      </w:tr>
      <w:tr>
        <w:trPr>
          <w:trHeight w:val="221"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161">
              <w:r>
                <w:rPr>
                  <w:rFonts w:ascii="Calibri"/>
                  <w:sz w:val="18"/>
                </w:rPr>
                <w:t>Table 49:  Expected RevPAR from</w:t>
              </w:r>
              <w:r>
                <w:rPr>
                  <w:rFonts w:ascii="Calibri"/>
                  <w:spacing w:val="-13"/>
                  <w:sz w:val="18"/>
                </w:rPr>
                <w:t> </w:t>
              </w:r>
              <w:r>
                <w:rPr>
                  <w:rFonts w:ascii="Calibri"/>
                  <w:sz w:val="18"/>
                </w:rPr>
                <w:t>2016-2020</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161">
              <w:r>
                <w:rPr>
                  <w:rFonts w:ascii="Calibri"/>
                  <w:spacing w:val="-1"/>
                  <w:w w:val="95"/>
                  <w:sz w:val="18"/>
                </w:rPr>
                <w:t>87</w:t>
              </w:r>
              <w:r>
                <w:rPr>
                  <w:rFonts w:ascii="Calibri"/>
                  <w:w w:val="95"/>
                  <w:sz w:val="18"/>
                </w:rPr>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181">
              <w:r>
                <w:rPr>
                  <w:rFonts w:ascii="Calibri"/>
                  <w:sz w:val="18"/>
                </w:rPr>
                <w:t>Table 50: Attribute</w:t>
              </w:r>
              <w:r>
                <w:rPr>
                  <w:rFonts w:ascii="Calibri"/>
                  <w:spacing w:val="-11"/>
                  <w:sz w:val="18"/>
                </w:rPr>
                <w:t> </w:t>
              </w:r>
              <w:r>
                <w:rPr>
                  <w:rFonts w:ascii="Calibri"/>
                  <w:sz w:val="18"/>
                </w:rPr>
                <w:t>Preferences</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3"/>
              <w:jc w:val="right"/>
              <w:rPr>
                <w:rFonts w:ascii="Calibri" w:hAnsi="Calibri" w:cs="Calibri" w:eastAsia="Calibri" w:hint="default"/>
                <w:sz w:val="18"/>
                <w:szCs w:val="18"/>
              </w:rPr>
            </w:pPr>
            <w:hyperlink w:history="true" w:anchor="_bookmark181">
              <w:r>
                <w:rPr>
                  <w:rFonts w:ascii="Calibri"/>
                  <w:sz w:val="18"/>
                </w:rPr>
                <w:t>A</w:t>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182">
              <w:r>
                <w:rPr>
                  <w:rFonts w:ascii="Calibri"/>
                  <w:sz w:val="18"/>
                </w:rPr>
                <w:t>Table 51: Utilities by</w:t>
              </w:r>
              <w:r>
                <w:rPr>
                  <w:rFonts w:ascii="Calibri"/>
                  <w:spacing w:val="-10"/>
                  <w:sz w:val="18"/>
                </w:rPr>
                <w:t> </w:t>
              </w:r>
              <w:r>
                <w:rPr>
                  <w:rFonts w:ascii="Calibri"/>
                  <w:sz w:val="18"/>
                </w:rPr>
                <w:t>Country</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3"/>
              <w:jc w:val="right"/>
              <w:rPr>
                <w:rFonts w:ascii="Calibri" w:hAnsi="Calibri" w:cs="Calibri" w:eastAsia="Calibri" w:hint="default"/>
                <w:sz w:val="18"/>
                <w:szCs w:val="18"/>
              </w:rPr>
            </w:pPr>
            <w:hyperlink w:history="true" w:anchor="_bookmark182">
              <w:r>
                <w:rPr>
                  <w:rFonts w:ascii="Calibri"/>
                  <w:sz w:val="18"/>
                </w:rPr>
                <w:t>A</w:t>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183">
              <w:r>
                <w:rPr>
                  <w:rFonts w:ascii="Calibri"/>
                  <w:sz w:val="18"/>
                </w:rPr>
                <w:t>Table 52: Expectations by</w:t>
              </w:r>
              <w:r>
                <w:rPr>
                  <w:rFonts w:ascii="Calibri"/>
                  <w:spacing w:val="-10"/>
                  <w:sz w:val="18"/>
                </w:rPr>
                <w:t> </w:t>
              </w:r>
              <w:r>
                <w:rPr>
                  <w:rFonts w:ascii="Calibri"/>
                  <w:sz w:val="18"/>
                </w:rPr>
                <w:t>country</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4"/>
              <w:jc w:val="right"/>
              <w:rPr>
                <w:rFonts w:ascii="Calibri" w:hAnsi="Calibri" w:cs="Calibri" w:eastAsia="Calibri" w:hint="default"/>
                <w:sz w:val="18"/>
                <w:szCs w:val="18"/>
              </w:rPr>
            </w:pPr>
            <w:hyperlink w:history="true" w:anchor="_bookmark183">
              <w:r>
                <w:rPr>
                  <w:rFonts w:ascii="Calibri"/>
                  <w:sz w:val="18"/>
                </w:rPr>
                <w:t>B</w:t>
              </w:r>
            </w:hyperlink>
          </w:p>
        </w:tc>
      </w:tr>
      <w:tr>
        <w:trPr>
          <w:trHeight w:val="22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hyperlink w:history="true" w:anchor="_bookmark184">
              <w:r>
                <w:rPr>
                  <w:rFonts w:ascii="Calibri"/>
                  <w:sz w:val="18"/>
                </w:rPr>
                <w:t>Table 53: Loyalty</w:t>
              </w:r>
              <w:r>
                <w:rPr>
                  <w:rFonts w:ascii="Calibri"/>
                  <w:spacing w:val="-7"/>
                  <w:sz w:val="18"/>
                </w:rPr>
                <w:t> </w:t>
              </w:r>
              <w:r>
                <w:rPr>
                  <w:rFonts w:ascii="Calibri"/>
                  <w:sz w:val="18"/>
                </w:rPr>
                <w:t>drivers</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right="34"/>
              <w:jc w:val="right"/>
              <w:rPr>
                <w:rFonts w:ascii="Calibri" w:hAnsi="Calibri" w:cs="Calibri" w:eastAsia="Calibri" w:hint="default"/>
                <w:sz w:val="18"/>
                <w:szCs w:val="18"/>
              </w:rPr>
            </w:pPr>
            <w:hyperlink w:history="true" w:anchor="_bookmark184">
              <w:r>
                <w:rPr>
                  <w:rFonts w:ascii="Calibri"/>
                  <w:sz w:val="18"/>
                </w:rPr>
                <w:t>B</w:t>
              </w:r>
            </w:hyperlink>
          </w:p>
        </w:tc>
      </w:tr>
      <w:tr>
        <w:trPr>
          <w:trHeight w:val="300" w:hRule="exact"/>
        </w:trPr>
        <w:tc>
          <w:tcPr>
            <w:tcW w:w="7845"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hyperlink w:history="true" w:anchor="_bookmark185">
              <w:r>
                <w:rPr>
                  <w:rFonts w:ascii="Calibri"/>
                  <w:sz w:val="18"/>
                </w:rPr>
                <w:t>Table 54: Demographic</w:t>
              </w:r>
              <w:r>
                <w:rPr>
                  <w:rFonts w:ascii="Calibri"/>
                  <w:spacing w:val="-8"/>
                  <w:sz w:val="18"/>
                </w:rPr>
                <w:t> </w:t>
              </w:r>
              <w:r>
                <w:rPr>
                  <w:rFonts w:ascii="Calibri"/>
                  <w:sz w:val="18"/>
                </w:rPr>
                <w:t>information</w:t>
              </w:r>
            </w:hyperlink>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right="34"/>
              <w:jc w:val="right"/>
              <w:rPr>
                <w:rFonts w:ascii="Calibri" w:hAnsi="Calibri" w:cs="Calibri" w:eastAsia="Calibri" w:hint="default"/>
                <w:sz w:val="18"/>
                <w:szCs w:val="18"/>
              </w:rPr>
            </w:pPr>
            <w:hyperlink w:history="true" w:anchor="_bookmark185">
              <w:r>
                <w:rPr>
                  <w:rFonts w:ascii="Calibri"/>
                  <w:sz w:val="18"/>
                </w:rPr>
                <w:t>B</w:t>
              </w:r>
            </w:hyperlink>
          </w:p>
        </w:tc>
      </w:tr>
    </w:tbl>
    <w:p>
      <w:pPr>
        <w:spacing w:after="0" w:line="204" w:lineRule="exact"/>
        <w:jc w:val="right"/>
        <w:rPr>
          <w:rFonts w:ascii="Calibri" w:hAnsi="Calibri" w:cs="Calibri" w:eastAsia="Calibri" w:hint="default"/>
          <w:sz w:val="18"/>
          <w:szCs w:val="18"/>
        </w:rPr>
        <w:sectPr>
          <w:pgSz w:w="12240" w:h="15840"/>
          <w:pgMar w:header="0" w:footer="0" w:top="840" w:bottom="280" w:left="0" w:right="0"/>
        </w:sectPr>
      </w:pPr>
    </w:p>
    <w:p>
      <w:pPr>
        <w:spacing w:line="240" w:lineRule="auto" w:before="0"/>
        <w:ind w:right="0"/>
        <w:rPr>
          <w:rFonts w:ascii="Calibri" w:hAnsi="Calibri" w:cs="Calibri" w:eastAsia="Calibri" w:hint="default"/>
          <w:b/>
          <w:bCs/>
          <w:sz w:val="20"/>
          <w:szCs w:val="20"/>
        </w:rPr>
      </w:pPr>
    </w:p>
    <w:p>
      <w:pPr>
        <w:spacing w:line="240" w:lineRule="auto" w:before="3"/>
        <w:ind w:right="0"/>
        <w:rPr>
          <w:rFonts w:ascii="Calibri" w:hAnsi="Calibri" w:cs="Calibri" w:eastAsia="Calibri" w:hint="default"/>
          <w:b/>
          <w:bCs/>
          <w:sz w:val="26"/>
          <w:szCs w:val="26"/>
        </w:rPr>
      </w:pPr>
    </w:p>
    <w:p>
      <w:pPr>
        <w:spacing w:line="488" w:lineRule="exact" w:before="19"/>
        <w:ind w:left="27" w:right="26" w:firstLine="0"/>
        <w:jc w:val="center"/>
        <w:rPr>
          <w:rFonts w:ascii="Calibri" w:hAnsi="Calibri" w:cs="Calibri" w:eastAsia="Calibri" w:hint="default"/>
          <w:sz w:val="40"/>
          <w:szCs w:val="40"/>
        </w:rPr>
      </w:pPr>
      <w:r>
        <w:rPr>
          <w:rFonts w:ascii="Calibri"/>
          <w:b/>
          <w:sz w:val="40"/>
        </w:rPr>
        <w:t>List of</w:t>
      </w:r>
      <w:r>
        <w:rPr>
          <w:rFonts w:ascii="Calibri"/>
          <w:b/>
          <w:spacing w:val="-2"/>
          <w:sz w:val="40"/>
        </w:rPr>
        <w:t> </w:t>
      </w:r>
      <w:r>
        <w:rPr>
          <w:rFonts w:ascii="Calibri"/>
          <w:b/>
          <w:sz w:val="40"/>
        </w:rPr>
        <w:t>Figures</w:t>
      </w:r>
      <w:r>
        <w:rPr>
          <w:rFonts w:ascii="Calibri"/>
          <w:sz w:val="40"/>
        </w:rPr>
      </w:r>
    </w:p>
    <w:p>
      <w:pPr>
        <w:tabs>
          <w:tab w:pos="10792" w:val="right" w:leader="none"/>
        </w:tabs>
        <w:spacing w:line="220" w:lineRule="exact" w:before="0"/>
        <w:ind w:left="1440" w:right="0" w:firstLine="0"/>
        <w:jc w:val="left"/>
        <w:rPr>
          <w:rFonts w:ascii="Calibri" w:hAnsi="Calibri" w:cs="Calibri" w:eastAsia="Calibri" w:hint="default"/>
          <w:sz w:val="18"/>
          <w:szCs w:val="18"/>
        </w:rPr>
      </w:pPr>
      <w:hyperlink w:history="true" w:anchor="_bookmark16">
        <w:r>
          <w:rPr>
            <w:rFonts w:ascii="Calibri"/>
            <w:sz w:val="18"/>
          </w:rPr>
          <w:t>Figure 1:  Methodology used to construct the 2015-2020 Tourism</w:t>
        </w:r>
        <w:r>
          <w:rPr>
            <w:rFonts w:ascii="Calibri"/>
            <w:spacing w:val="-5"/>
            <w:sz w:val="18"/>
          </w:rPr>
          <w:t> </w:t>
        </w:r>
        <w:r>
          <w:rPr>
            <w:rFonts w:ascii="Calibri"/>
            <w:sz w:val="18"/>
          </w:rPr>
          <w:t>Master</w:t>
        </w:r>
        <w:r>
          <w:rPr>
            <w:rFonts w:ascii="Calibri"/>
            <w:spacing w:val="-1"/>
            <w:sz w:val="18"/>
          </w:rPr>
          <w:t> </w:t>
        </w:r>
        <w:r>
          <w:rPr>
            <w:rFonts w:ascii="Calibri"/>
            <w:sz w:val="18"/>
          </w:rPr>
          <w:t>Plan</w:t>
          <w:tab/>
          <w:t>8</w:t>
        </w:r>
      </w:hyperlink>
    </w:p>
    <w:p>
      <w:pPr>
        <w:tabs>
          <w:tab w:pos="10792" w:val="right" w:leader="none"/>
        </w:tabs>
        <w:spacing w:before="1"/>
        <w:ind w:left="1440" w:right="0" w:firstLine="0"/>
        <w:jc w:val="left"/>
        <w:rPr>
          <w:rFonts w:ascii="Calibri" w:hAnsi="Calibri" w:cs="Calibri" w:eastAsia="Calibri" w:hint="default"/>
          <w:sz w:val="18"/>
          <w:szCs w:val="18"/>
        </w:rPr>
      </w:pPr>
      <w:hyperlink w:history="true" w:anchor="_bookmark20">
        <w:r>
          <w:rPr>
            <w:rFonts w:ascii="Calibri" w:hAnsi="Calibri" w:cs="Calibri" w:eastAsia="Calibri" w:hint="default"/>
            <w:sz w:val="18"/>
            <w:szCs w:val="18"/>
          </w:rPr>
          <w:t>Figure 2:  Curaçao’s primary market</w:t>
        </w:r>
        <w:r>
          <w:rPr>
            <w:rFonts w:ascii="Calibri" w:hAnsi="Calibri" w:cs="Calibri" w:eastAsia="Calibri" w:hint="default"/>
            <w:spacing w:val="-5"/>
            <w:sz w:val="18"/>
            <w:szCs w:val="18"/>
          </w:rPr>
          <w:t> </w:t>
        </w:r>
        <w:r>
          <w:rPr>
            <w:rFonts w:ascii="Calibri" w:hAnsi="Calibri" w:cs="Calibri" w:eastAsia="Calibri" w:hint="default"/>
            <w:sz w:val="18"/>
            <w:szCs w:val="18"/>
          </w:rPr>
          <w:t>segments</w:t>
        </w:r>
        <w:r>
          <w:rPr>
            <w:rFonts w:ascii="Calibri" w:hAnsi="Calibri" w:cs="Calibri" w:eastAsia="Calibri" w:hint="default"/>
            <w:spacing w:val="-2"/>
            <w:sz w:val="18"/>
            <w:szCs w:val="18"/>
          </w:rPr>
          <w:t> </w:t>
        </w:r>
        <w:r>
          <w:rPr>
            <w:rFonts w:ascii="Calibri" w:hAnsi="Calibri" w:cs="Calibri" w:eastAsia="Calibri" w:hint="default"/>
            <w:sz w:val="18"/>
            <w:szCs w:val="18"/>
          </w:rPr>
          <w:t>overtime</w:t>
        </w:r>
        <w:r>
          <w:rPr>
            <w:rFonts w:ascii="Calibri" w:hAnsi="Calibri" w:cs="Calibri" w:eastAsia="Calibri" w:hint="default"/>
            <w:sz w:val="18"/>
            <w:szCs w:val="18"/>
          </w:rPr>
          <w:tab/>
          <w:t>10</w:t>
        </w:r>
      </w:hyperlink>
    </w:p>
    <w:p>
      <w:pPr>
        <w:tabs>
          <w:tab w:pos="10792" w:val="right" w:leader="none"/>
        </w:tabs>
        <w:spacing w:line="219" w:lineRule="exact" w:before="1"/>
        <w:ind w:left="1440" w:right="0" w:firstLine="0"/>
        <w:jc w:val="left"/>
        <w:rPr>
          <w:rFonts w:ascii="Calibri" w:hAnsi="Calibri" w:cs="Calibri" w:eastAsia="Calibri" w:hint="default"/>
          <w:sz w:val="18"/>
          <w:szCs w:val="18"/>
        </w:rPr>
      </w:pPr>
      <w:hyperlink w:history="true" w:anchor="_bookmark22">
        <w:r>
          <w:rPr>
            <w:rFonts w:ascii="Calibri" w:hAnsi="Calibri" w:cs="Calibri" w:eastAsia="Calibri" w:hint="default"/>
            <w:sz w:val="18"/>
            <w:szCs w:val="18"/>
          </w:rPr>
          <w:t>Figure 3:  Growth</w:t>
        </w:r>
        <w:r>
          <w:rPr>
            <w:rFonts w:ascii="Calibri" w:hAnsi="Calibri" w:cs="Calibri" w:eastAsia="Calibri" w:hint="default"/>
            <w:spacing w:val="-6"/>
            <w:sz w:val="18"/>
            <w:szCs w:val="18"/>
          </w:rPr>
          <w:t> </w:t>
        </w:r>
        <w:r>
          <w:rPr>
            <w:rFonts w:ascii="Calibri" w:hAnsi="Calibri" w:cs="Calibri" w:eastAsia="Calibri" w:hint="default"/>
            <w:sz w:val="18"/>
            <w:szCs w:val="18"/>
          </w:rPr>
          <w:t>of</w:t>
        </w:r>
        <w:r>
          <w:rPr>
            <w:rFonts w:ascii="Calibri" w:hAnsi="Calibri" w:cs="Calibri" w:eastAsia="Calibri" w:hint="default"/>
            <w:spacing w:val="-1"/>
            <w:sz w:val="18"/>
            <w:szCs w:val="18"/>
          </w:rPr>
          <w:t> </w:t>
        </w:r>
        <w:r>
          <w:rPr>
            <w:rFonts w:ascii="Calibri" w:hAnsi="Calibri" w:cs="Calibri" w:eastAsia="Calibri" w:hint="default"/>
            <w:sz w:val="18"/>
            <w:szCs w:val="18"/>
          </w:rPr>
          <w:t>Curaçao’s</w:t>
        </w:r>
        <w:r>
          <w:rPr>
            <w:rFonts w:ascii="Calibri" w:hAnsi="Calibri" w:cs="Calibri" w:eastAsia="Calibri" w:hint="default"/>
            <w:sz w:val="18"/>
            <w:szCs w:val="18"/>
          </w:rPr>
          <w:tab/>
          <w:t>11</w:t>
        </w:r>
      </w:hyperlink>
    </w:p>
    <w:p>
      <w:pPr>
        <w:tabs>
          <w:tab w:pos="10792" w:val="right" w:leader="none"/>
        </w:tabs>
        <w:spacing w:line="219" w:lineRule="exact" w:before="0"/>
        <w:ind w:left="1440" w:right="0" w:firstLine="0"/>
        <w:jc w:val="left"/>
        <w:rPr>
          <w:rFonts w:ascii="Calibri" w:hAnsi="Calibri" w:cs="Calibri" w:eastAsia="Calibri" w:hint="default"/>
          <w:sz w:val="18"/>
          <w:szCs w:val="18"/>
        </w:rPr>
      </w:pPr>
      <w:hyperlink w:history="true" w:anchor="_bookmark23">
        <w:r>
          <w:rPr>
            <w:rFonts w:ascii="Calibri" w:hAnsi="Calibri" w:cs="Calibri" w:eastAsia="Calibri" w:hint="default"/>
            <w:sz w:val="18"/>
            <w:szCs w:val="18"/>
          </w:rPr>
          <w:t>Figure 4:  C</w:t>
        </w:r>
        <w:r>
          <w:rPr>
            <w:rFonts w:ascii="Calibri" w:hAnsi="Calibri" w:cs="Calibri" w:eastAsia="Calibri" w:hint="default"/>
            <w:sz w:val="18"/>
            <w:szCs w:val="18"/>
          </w:rPr>
          <w:t>ontributions of Curaçao’s</w:t>
        </w:r>
        <w:r>
          <w:rPr>
            <w:rFonts w:ascii="Calibri" w:hAnsi="Calibri" w:cs="Calibri" w:eastAsia="Calibri" w:hint="default"/>
            <w:spacing w:val="-5"/>
            <w:sz w:val="18"/>
            <w:szCs w:val="18"/>
          </w:rPr>
          <w:t> </w:t>
        </w:r>
        <w:r>
          <w:rPr>
            <w:rFonts w:ascii="Calibri" w:hAnsi="Calibri" w:cs="Calibri" w:eastAsia="Calibri" w:hint="default"/>
            <w:sz w:val="18"/>
            <w:szCs w:val="18"/>
          </w:rPr>
          <w:t>economic</w:t>
        </w:r>
        <w:r>
          <w:rPr>
            <w:rFonts w:ascii="Calibri" w:hAnsi="Calibri" w:cs="Calibri" w:eastAsia="Calibri" w:hint="default"/>
            <w:spacing w:val="-1"/>
            <w:sz w:val="18"/>
            <w:szCs w:val="18"/>
          </w:rPr>
          <w:t> </w:t>
        </w:r>
        <w:r>
          <w:rPr>
            <w:rFonts w:ascii="Calibri" w:hAnsi="Calibri" w:cs="Calibri" w:eastAsia="Calibri" w:hint="default"/>
            <w:sz w:val="18"/>
            <w:szCs w:val="18"/>
          </w:rPr>
          <w:t>sectors</w:t>
        </w:r>
        <w:r>
          <w:rPr>
            <w:rFonts w:ascii="Calibri" w:hAnsi="Calibri" w:cs="Calibri" w:eastAsia="Calibri" w:hint="default"/>
            <w:sz w:val="18"/>
            <w:szCs w:val="18"/>
          </w:rPr>
          <w:tab/>
          <w:t>11</w:t>
        </w:r>
      </w:hyperlink>
    </w:p>
    <w:p>
      <w:pPr>
        <w:tabs>
          <w:tab w:pos="10792" w:val="right" w:leader="none"/>
        </w:tabs>
        <w:spacing w:line="219" w:lineRule="exact" w:before="1"/>
        <w:ind w:left="1440" w:right="0" w:firstLine="0"/>
        <w:jc w:val="left"/>
        <w:rPr>
          <w:rFonts w:ascii="Calibri" w:hAnsi="Calibri" w:cs="Calibri" w:eastAsia="Calibri" w:hint="default"/>
          <w:sz w:val="18"/>
          <w:szCs w:val="18"/>
        </w:rPr>
      </w:pPr>
      <w:hyperlink w:history="true" w:anchor="_bookmark24">
        <w:r>
          <w:rPr>
            <w:rFonts w:ascii="Calibri" w:hAnsi="Calibri" w:cs="Calibri" w:eastAsia="Calibri" w:hint="default"/>
            <w:sz w:val="18"/>
            <w:szCs w:val="18"/>
          </w:rPr>
          <w:t>Figure 5:  Curaçao’s</w:t>
        </w:r>
        <w:r>
          <w:rPr>
            <w:rFonts w:ascii="Calibri" w:hAnsi="Calibri" w:cs="Calibri" w:eastAsia="Calibri" w:hint="default"/>
            <w:spacing w:val="-5"/>
            <w:sz w:val="18"/>
            <w:szCs w:val="18"/>
          </w:rPr>
          <w:t> </w:t>
        </w:r>
        <w:r>
          <w:rPr>
            <w:rFonts w:ascii="Calibri" w:hAnsi="Calibri" w:cs="Calibri" w:eastAsia="Calibri" w:hint="default"/>
            <w:sz w:val="18"/>
            <w:szCs w:val="18"/>
          </w:rPr>
          <w:t>tourist</w:t>
        </w:r>
        <w:r>
          <w:rPr>
            <w:rFonts w:ascii="Calibri" w:hAnsi="Calibri" w:cs="Calibri" w:eastAsia="Calibri" w:hint="default"/>
            <w:spacing w:val="-1"/>
            <w:sz w:val="18"/>
            <w:szCs w:val="18"/>
          </w:rPr>
          <w:t> </w:t>
        </w:r>
        <w:r>
          <w:rPr>
            <w:rFonts w:ascii="Calibri" w:hAnsi="Calibri" w:cs="Calibri" w:eastAsia="Calibri" w:hint="default"/>
            <w:sz w:val="18"/>
            <w:szCs w:val="18"/>
          </w:rPr>
          <w:t>arrivals</w:t>
        </w:r>
        <w:r>
          <w:rPr>
            <w:rFonts w:ascii="Calibri" w:hAnsi="Calibri" w:cs="Calibri" w:eastAsia="Calibri" w:hint="default"/>
            <w:sz w:val="18"/>
            <w:szCs w:val="18"/>
          </w:rPr>
          <w:tab/>
          <w:t>12</w:t>
        </w:r>
      </w:hyperlink>
    </w:p>
    <w:p>
      <w:pPr>
        <w:tabs>
          <w:tab w:pos="10792" w:val="right" w:leader="none"/>
        </w:tabs>
        <w:spacing w:line="219" w:lineRule="exact" w:before="0"/>
        <w:ind w:left="1440" w:right="0" w:firstLine="0"/>
        <w:jc w:val="left"/>
        <w:rPr>
          <w:rFonts w:ascii="Calibri" w:hAnsi="Calibri" w:cs="Calibri" w:eastAsia="Calibri" w:hint="default"/>
          <w:sz w:val="18"/>
          <w:szCs w:val="18"/>
        </w:rPr>
      </w:pPr>
      <w:hyperlink w:history="true" w:anchor="_bookmark25">
        <w:r>
          <w:rPr>
            <w:rFonts w:ascii="Calibri" w:hAnsi="Calibri" w:cs="Calibri" w:eastAsia="Calibri" w:hint="default"/>
            <w:sz w:val="18"/>
            <w:szCs w:val="18"/>
          </w:rPr>
          <w:t>Figure 6:  Curaçao’s</w:t>
        </w:r>
        <w:r>
          <w:rPr>
            <w:rFonts w:ascii="Calibri" w:hAnsi="Calibri" w:cs="Calibri" w:eastAsia="Calibri" w:hint="default"/>
            <w:spacing w:val="-5"/>
            <w:sz w:val="18"/>
            <w:szCs w:val="18"/>
          </w:rPr>
          <w:t> </w:t>
        </w:r>
        <w:r>
          <w:rPr>
            <w:rFonts w:ascii="Calibri" w:hAnsi="Calibri" w:cs="Calibri" w:eastAsia="Calibri" w:hint="default"/>
            <w:sz w:val="18"/>
            <w:szCs w:val="18"/>
          </w:rPr>
          <w:t>tourist receipts</w:t>
        </w:r>
        <w:r>
          <w:rPr>
            <w:rFonts w:ascii="Calibri" w:hAnsi="Calibri" w:cs="Calibri" w:eastAsia="Calibri" w:hint="default"/>
            <w:sz w:val="18"/>
            <w:szCs w:val="18"/>
          </w:rPr>
          <w:tab/>
          <w:t>12</w:t>
        </w:r>
      </w:hyperlink>
    </w:p>
    <w:p>
      <w:pPr>
        <w:tabs>
          <w:tab w:pos="10792" w:val="right" w:leader="none"/>
        </w:tabs>
        <w:spacing w:line="219" w:lineRule="exact" w:before="1"/>
        <w:ind w:left="1440" w:right="0" w:firstLine="0"/>
        <w:jc w:val="left"/>
        <w:rPr>
          <w:rFonts w:ascii="Calibri" w:hAnsi="Calibri" w:cs="Calibri" w:eastAsia="Calibri" w:hint="default"/>
          <w:sz w:val="18"/>
          <w:szCs w:val="18"/>
        </w:rPr>
      </w:pPr>
      <w:hyperlink w:history="true" w:anchor="_bookmark33">
        <w:r>
          <w:rPr>
            <w:rFonts w:ascii="Calibri" w:hAnsi="Calibri"/>
            <w:sz w:val="18"/>
          </w:rPr>
          <w:t>Figure 7:  Curaçao tourism</w:t>
        </w:r>
        <w:r>
          <w:rPr>
            <w:rFonts w:ascii="Calibri" w:hAnsi="Calibri"/>
            <w:spacing w:val="-3"/>
            <w:sz w:val="18"/>
          </w:rPr>
          <w:t> </w:t>
        </w:r>
        <w:r>
          <w:rPr>
            <w:rFonts w:ascii="Calibri" w:hAnsi="Calibri"/>
            <w:sz w:val="18"/>
          </w:rPr>
          <w:t>on</w:t>
        </w:r>
        <w:r>
          <w:rPr>
            <w:rFonts w:ascii="Calibri" w:hAnsi="Calibri"/>
            <w:spacing w:val="-2"/>
            <w:sz w:val="18"/>
          </w:rPr>
          <w:t> </w:t>
        </w:r>
        <w:r>
          <w:rPr>
            <w:rFonts w:ascii="Calibri" w:hAnsi="Calibri"/>
            <w:sz w:val="18"/>
          </w:rPr>
          <w:t>TripAdvisor®</w:t>
          <w:tab/>
          <w:t>16</w:t>
        </w:r>
      </w:hyperlink>
    </w:p>
    <w:p>
      <w:pPr>
        <w:tabs>
          <w:tab w:pos="10792" w:val="right" w:leader="none"/>
        </w:tabs>
        <w:spacing w:line="219" w:lineRule="exact" w:before="0"/>
        <w:ind w:left="1440" w:right="0" w:firstLine="0"/>
        <w:jc w:val="left"/>
        <w:rPr>
          <w:rFonts w:ascii="Calibri" w:hAnsi="Calibri" w:cs="Calibri" w:eastAsia="Calibri" w:hint="default"/>
          <w:sz w:val="18"/>
          <w:szCs w:val="18"/>
        </w:rPr>
      </w:pPr>
      <w:hyperlink w:history="true" w:anchor="_bookmark34">
        <w:r>
          <w:rPr>
            <w:rFonts w:ascii="Calibri" w:hAnsi="Calibri" w:cs="Calibri" w:eastAsia="Calibri" w:hint="default"/>
            <w:sz w:val="18"/>
            <w:szCs w:val="18"/>
          </w:rPr>
          <w:t>Figure 8:  Curaçao’s</w:t>
        </w:r>
        <w:r>
          <w:rPr>
            <w:rFonts w:ascii="Calibri" w:hAnsi="Calibri" w:cs="Calibri" w:eastAsia="Calibri" w:hint="default"/>
            <w:spacing w:val="-5"/>
            <w:sz w:val="18"/>
            <w:szCs w:val="18"/>
          </w:rPr>
          <w:t> </w:t>
        </w:r>
        <w:r>
          <w:rPr>
            <w:rFonts w:ascii="Calibri" w:hAnsi="Calibri" w:cs="Calibri" w:eastAsia="Calibri" w:hint="default"/>
            <w:sz w:val="18"/>
            <w:szCs w:val="18"/>
          </w:rPr>
          <w:t>word</w:t>
        </w:r>
        <w:r>
          <w:rPr>
            <w:rFonts w:ascii="Calibri" w:hAnsi="Calibri" w:cs="Calibri" w:eastAsia="Calibri" w:hint="default"/>
            <w:spacing w:val="-3"/>
            <w:sz w:val="18"/>
            <w:szCs w:val="18"/>
          </w:rPr>
          <w:t> </w:t>
        </w:r>
        <w:r>
          <w:rPr>
            <w:rFonts w:ascii="Calibri" w:hAnsi="Calibri" w:cs="Calibri" w:eastAsia="Calibri" w:hint="default"/>
            <w:sz w:val="18"/>
            <w:szCs w:val="18"/>
          </w:rPr>
          <w:t>cloud</w:t>
        </w:r>
        <w:r>
          <w:rPr>
            <w:rFonts w:ascii="Calibri" w:hAnsi="Calibri" w:cs="Calibri" w:eastAsia="Calibri" w:hint="default"/>
            <w:sz w:val="18"/>
            <w:szCs w:val="18"/>
          </w:rPr>
          <w:tab/>
          <w:t>17</w:t>
        </w:r>
      </w:hyperlink>
    </w:p>
    <w:p>
      <w:pPr>
        <w:tabs>
          <w:tab w:pos="10792" w:val="right" w:leader="none"/>
        </w:tabs>
        <w:spacing w:line="219" w:lineRule="exact" w:before="1"/>
        <w:ind w:left="1440" w:right="0" w:firstLine="0"/>
        <w:jc w:val="left"/>
        <w:rPr>
          <w:rFonts w:ascii="Calibri" w:hAnsi="Calibri" w:cs="Calibri" w:eastAsia="Calibri" w:hint="default"/>
          <w:sz w:val="18"/>
          <w:szCs w:val="18"/>
        </w:rPr>
      </w:pPr>
      <w:hyperlink w:history="true" w:anchor="_bookmark45">
        <w:r>
          <w:rPr>
            <w:rFonts w:ascii="Calibri" w:hAnsi="Calibri" w:cs="Calibri" w:eastAsia="Calibri" w:hint="default"/>
            <w:sz w:val="18"/>
            <w:szCs w:val="18"/>
          </w:rPr>
          <w:t>Figure 9:  Curaçao’s</w:t>
        </w:r>
        <w:r>
          <w:rPr>
            <w:rFonts w:ascii="Calibri" w:hAnsi="Calibri" w:cs="Calibri" w:eastAsia="Calibri" w:hint="default"/>
            <w:spacing w:val="-5"/>
            <w:sz w:val="18"/>
            <w:szCs w:val="18"/>
          </w:rPr>
          <w:t> </w:t>
        </w:r>
        <w:r>
          <w:rPr>
            <w:rFonts w:ascii="Calibri" w:hAnsi="Calibri" w:cs="Calibri" w:eastAsia="Calibri" w:hint="default"/>
            <w:sz w:val="18"/>
            <w:szCs w:val="18"/>
          </w:rPr>
          <w:t>tourism</w:t>
        </w:r>
        <w:r>
          <w:rPr>
            <w:rFonts w:ascii="Calibri" w:hAnsi="Calibri" w:cs="Calibri" w:eastAsia="Calibri" w:hint="default"/>
            <w:spacing w:val="-1"/>
            <w:sz w:val="18"/>
            <w:szCs w:val="18"/>
          </w:rPr>
          <w:t> </w:t>
        </w:r>
        <w:r>
          <w:rPr>
            <w:rFonts w:ascii="Calibri" w:hAnsi="Calibri" w:cs="Calibri" w:eastAsia="Calibri" w:hint="default"/>
            <w:sz w:val="18"/>
            <w:szCs w:val="18"/>
          </w:rPr>
          <w:t>specialization</w:t>
        </w:r>
        <w:r>
          <w:rPr>
            <w:rFonts w:ascii="Calibri" w:hAnsi="Calibri" w:cs="Calibri" w:eastAsia="Calibri" w:hint="default"/>
            <w:sz w:val="18"/>
            <w:szCs w:val="18"/>
          </w:rPr>
          <w:tab/>
          <w:t>23</w:t>
        </w:r>
      </w:hyperlink>
    </w:p>
    <w:p>
      <w:pPr>
        <w:tabs>
          <w:tab w:pos="10792" w:val="right" w:leader="none"/>
        </w:tabs>
        <w:spacing w:line="219" w:lineRule="exact" w:before="0"/>
        <w:ind w:left="1440" w:right="0" w:firstLine="0"/>
        <w:jc w:val="left"/>
        <w:rPr>
          <w:rFonts w:ascii="Calibri" w:hAnsi="Calibri" w:cs="Calibri" w:eastAsia="Calibri" w:hint="default"/>
          <w:sz w:val="18"/>
          <w:szCs w:val="18"/>
        </w:rPr>
      </w:pPr>
      <w:hyperlink w:history="true" w:anchor="_bookmark50">
        <w:r>
          <w:rPr>
            <w:rFonts w:ascii="Calibri"/>
            <w:sz w:val="18"/>
          </w:rPr>
          <w:t>Figure 10:  Length of stay of hotel vs.</w:t>
        </w:r>
        <w:r>
          <w:rPr>
            <w:rFonts w:ascii="Calibri"/>
            <w:spacing w:val="-7"/>
            <w:sz w:val="18"/>
          </w:rPr>
          <w:t> </w:t>
        </w:r>
        <w:r>
          <w:rPr>
            <w:rFonts w:ascii="Calibri"/>
            <w:sz w:val="18"/>
          </w:rPr>
          <w:t>non-hotel</w:t>
        </w:r>
        <w:r>
          <w:rPr>
            <w:rFonts w:ascii="Calibri"/>
            <w:spacing w:val="-2"/>
            <w:sz w:val="18"/>
          </w:rPr>
          <w:t> </w:t>
        </w:r>
        <w:r>
          <w:rPr>
            <w:rFonts w:ascii="Calibri"/>
            <w:sz w:val="18"/>
          </w:rPr>
          <w:t>tourists</w:t>
          <w:tab/>
          <w:t>26</w:t>
        </w:r>
      </w:hyperlink>
    </w:p>
    <w:p>
      <w:pPr>
        <w:tabs>
          <w:tab w:pos="10792" w:val="right" w:leader="none"/>
        </w:tabs>
        <w:spacing w:before="1"/>
        <w:ind w:left="1440" w:right="0" w:firstLine="0"/>
        <w:jc w:val="left"/>
        <w:rPr>
          <w:rFonts w:ascii="Calibri" w:hAnsi="Calibri" w:cs="Calibri" w:eastAsia="Calibri" w:hint="default"/>
          <w:sz w:val="18"/>
          <w:szCs w:val="18"/>
        </w:rPr>
      </w:pPr>
      <w:hyperlink w:history="true" w:anchor="_bookmark53">
        <w:r>
          <w:rPr>
            <w:rFonts w:ascii="Calibri"/>
            <w:sz w:val="18"/>
          </w:rPr>
          <w:t>Figure 11:  Seasonality in</w:t>
        </w:r>
        <w:r>
          <w:rPr>
            <w:rFonts w:ascii="Calibri"/>
            <w:spacing w:val="-4"/>
            <w:sz w:val="18"/>
          </w:rPr>
          <w:t> </w:t>
        </w:r>
        <w:r>
          <w:rPr>
            <w:rFonts w:ascii="Calibri"/>
            <w:sz w:val="18"/>
          </w:rPr>
          <w:t>occupancy</w:t>
        </w:r>
        <w:r>
          <w:rPr>
            <w:rFonts w:ascii="Calibri"/>
            <w:spacing w:val="-1"/>
            <w:sz w:val="18"/>
          </w:rPr>
          <w:t> </w:t>
        </w:r>
        <w:r>
          <w:rPr>
            <w:rFonts w:ascii="Calibri"/>
            <w:sz w:val="18"/>
          </w:rPr>
          <w:t>rates</w:t>
          <w:tab/>
          <w:t>27</w:t>
        </w:r>
      </w:hyperlink>
    </w:p>
    <w:p>
      <w:pPr>
        <w:tabs>
          <w:tab w:pos="10792" w:val="right" w:leader="none"/>
        </w:tabs>
        <w:spacing w:line="219" w:lineRule="exact" w:before="1"/>
        <w:ind w:left="1440" w:right="0" w:firstLine="0"/>
        <w:jc w:val="left"/>
        <w:rPr>
          <w:rFonts w:ascii="Calibri" w:hAnsi="Calibri" w:cs="Calibri" w:eastAsia="Calibri" w:hint="default"/>
          <w:sz w:val="18"/>
          <w:szCs w:val="18"/>
        </w:rPr>
      </w:pPr>
      <w:hyperlink w:history="true" w:anchor="_bookmark55">
        <w:r>
          <w:rPr>
            <w:rFonts w:ascii="Calibri" w:hAnsi="Calibri" w:cs="Calibri" w:eastAsia="Calibri" w:hint="default"/>
            <w:sz w:val="18"/>
            <w:szCs w:val="18"/>
          </w:rPr>
          <w:t>Figure 12:  Curaçao’s cruise business</w:t>
        </w:r>
        <w:r>
          <w:rPr>
            <w:rFonts w:ascii="Calibri" w:hAnsi="Calibri" w:cs="Calibri" w:eastAsia="Calibri" w:hint="default"/>
            <w:spacing w:val="-7"/>
            <w:sz w:val="18"/>
            <w:szCs w:val="18"/>
          </w:rPr>
          <w:t> </w:t>
        </w:r>
        <w:r>
          <w:rPr>
            <w:rFonts w:ascii="Calibri" w:hAnsi="Calibri" w:cs="Calibri" w:eastAsia="Calibri" w:hint="default"/>
            <w:sz w:val="18"/>
            <w:szCs w:val="18"/>
          </w:rPr>
          <w:t>over</w:t>
        </w:r>
        <w:r>
          <w:rPr>
            <w:rFonts w:ascii="Calibri" w:hAnsi="Calibri" w:cs="Calibri" w:eastAsia="Calibri" w:hint="default"/>
            <w:spacing w:val="-1"/>
            <w:sz w:val="18"/>
            <w:szCs w:val="18"/>
          </w:rPr>
          <w:t> </w:t>
        </w:r>
        <w:r>
          <w:rPr>
            <w:rFonts w:ascii="Calibri" w:hAnsi="Calibri" w:cs="Calibri" w:eastAsia="Calibri" w:hint="default"/>
            <w:sz w:val="18"/>
            <w:szCs w:val="18"/>
          </w:rPr>
          <w:t>time</w:t>
        </w:r>
        <w:r>
          <w:rPr>
            <w:rFonts w:ascii="Calibri" w:hAnsi="Calibri" w:cs="Calibri" w:eastAsia="Calibri" w:hint="default"/>
            <w:sz w:val="18"/>
            <w:szCs w:val="18"/>
          </w:rPr>
          <w:tab/>
          <w:t>28</w:t>
        </w:r>
      </w:hyperlink>
    </w:p>
    <w:p>
      <w:pPr>
        <w:tabs>
          <w:tab w:pos="10792" w:val="right" w:leader="none"/>
        </w:tabs>
        <w:spacing w:line="219" w:lineRule="exact" w:before="0"/>
        <w:ind w:left="1440" w:right="0" w:firstLine="0"/>
        <w:jc w:val="left"/>
        <w:rPr>
          <w:rFonts w:ascii="Calibri" w:hAnsi="Calibri" w:cs="Calibri" w:eastAsia="Calibri" w:hint="default"/>
          <w:sz w:val="18"/>
          <w:szCs w:val="18"/>
        </w:rPr>
      </w:pPr>
      <w:hyperlink w:history="true" w:anchor="_bookmark56">
        <w:r>
          <w:rPr>
            <w:rFonts w:ascii="Calibri"/>
            <w:sz w:val="18"/>
          </w:rPr>
          <w:t>Figure 13:  Increase in ports</w:t>
        </w:r>
        <w:r>
          <w:rPr>
            <w:rFonts w:ascii="Calibri"/>
            <w:spacing w:val="-5"/>
            <w:sz w:val="18"/>
          </w:rPr>
          <w:t> </w:t>
        </w:r>
        <w:r>
          <w:rPr>
            <w:rFonts w:ascii="Calibri"/>
            <w:sz w:val="18"/>
          </w:rPr>
          <w:t>of</w:t>
        </w:r>
        <w:r>
          <w:rPr>
            <w:rFonts w:ascii="Calibri"/>
            <w:spacing w:val="-2"/>
            <w:sz w:val="18"/>
          </w:rPr>
          <w:t> </w:t>
        </w:r>
        <w:r>
          <w:rPr>
            <w:rFonts w:ascii="Calibri"/>
            <w:sz w:val="18"/>
          </w:rPr>
          <w:t>call</w:t>
          <w:tab/>
          <w:t>28</w:t>
        </w:r>
      </w:hyperlink>
    </w:p>
    <w:p>
      <w:pPr>
        <w:tabs>
          <w:tab w:pos="10792" w:val="right" w:leader="none"/>
        </w:tabs>
        <w:spacing w:line="219" w:lineRule="exact" w:before="1"/>
        <w:ind w:left="1440" w:right="0" w:firstLine="0"/>
        <w:jc w:val="left"/>
        <w:rPr>
          <w:rFonts w:ascii="Calibri" w:hAnsi="Calibri" w:cs="Calibri" w:eastAsia="Calibri" w:hint="default"/>
          <w:sz w:val="18"/>
          <w:szCs w:val="18"/>
        </w:rPr>
      </w:pPr>
      <w:hyperlink w:history="true" w:anchor="_bookmark68">
        <w:r>
          <w:rPr>
            <w:rFonts w:ascii="Calibri"/>
            <w:sz w:val="18"/>
          </w:rPr>
          <w:t>Figure 14:  Return on</w:t>
        </w:r>
        <w:r>
          <w:rPr>
            <w:rFonts w:ascii="Calibri"/>
            <w:spacing w:val="-6"/>
            <w:sz w:val="18"/>
          </w:rPr>
          <w:t> </w:t>
        </w:r>
        <w:r>
          <w:rPr>
            <w:rFonts w:ascii="Calibri"/>
            <w:sz w:val="18"/>
          </w:rPr>
          <w:t>investment (ROI)</w:t>
          <w:tab/>
          <w:t>34</w:t>
        </w:r>
      </w:hyperlink>
    </w:p>
    <w:p>
      <w:pPr>
        <w:tabs>
          <w:tab w:pos="10792" w:val="right" w:leader="none"/>
        </w:tabs>
        <w:spacing w:line="219" w:lineRule="exact" w:before="0"/>
        <w:ind w:left="1440" w:right="0" w:firstLine="0"/>
        <w:jc w:val="left"/>
        <w:rPr>
          <w:rFonts w:ascii="Calibri" w:hAnsi="Calibri" w:cs="Calibri" w:eastAsia="Calibri" w:hint="default"/>
          <w:sz w:val="18"/>
          <w:szCs w:val="18"/>
        </w:rPr>
      </w:pPr>
      <w:hyperlink w:history="true" w:anchor="_bookmark74">
        <w:r>
          <w:rPr>
            <w:rFonts w:ascii="Calibri"/>
            <w:sz w:val="18"/>
          </w:rPr>
          <w:t>Figure 15:  Relationship Marketing Budget (LRBUD) and Tourism</w:t>
        </w:r>
        <w:r>
          <w:rPr>
            <w:rFonts w:ascii="Calibri"/>
            <w:spacing w:val="-7"/>
            <w:sz w:val="18"/>
          </w:rPr>
          <w:t> </w:t>
        </w:r>
        <w:r>
          <w:rPr>
            <w:rFonts w:ascii="Calibri"/>
            <w:sz w:val="18"/>
          </w:rPr>
          <w:t>Receipts</w:t>
        </w:r>
        <w:r>
          <w:rPr>
            <w:rFonts w:ascii="Calibri"/>
            <w:spacing w:val="-3"/>
            <w:sz w:val="18"/>
          </w:rPr>
          <w:t> </w:t>
        </w:r>
        <w:r>
          <w:rPr>
            <w:rFonts w:ascii="Calibri"/>
            <w:sz w:val="18"/>
          </w:rPr>
          <w:t>(LRTOURREC)</w:t>
          <w:tab/>
          <w:t>36</w:t>
        </w:r>
      </w:hyperlink>
    </w:p>
    <w:p>
      <w:pPr>
        <w:tabs>
          <w:tab w:pos="10792" w:val="right" w:leader="none"/>
        </w:tabs>
        <w:spacing w:line="219" w:lineRule="exact" w:before="1"/>
        <w:ind w:left="1440" w:right="0" w:firstLine="0"/>
        <w:jc w:val="left"/>
        <w:rPr>
          <w:rFonts w:ascii="Calibri" w:hAnsi="Calibri" w:cs="Calibri" w:eastAsia="Calibri" w:hint="default"/>
          <w:sz w:val="18"/>
          <w:szCs w:val="18"/>
        </w:rPr>
      </w:pPr>
      <w:hyperlink w:history="true" w:anchor="_bookmark75">
        <w:r>
          <w:rPr>
            <w:rFonts w:ascii="Calibri"/>
            <w:sz w:val="18"/>
          </w:rPr>
          <w:t>Figure 16:  Correlation Marketing Budget (LRBUD) and Tourism</w:t>
        </w:r>
        <w:r>
          <w:rPr>
            <w:rFonts w:ascii="Calibri"/>
            <w:spacing w:val="-4"/>
            <w:sz w:val="18"/>
          </w:rPr>
          <w:t> </w:t>
        </w:r>
        <w:r>
          <w:rPr>
            <w:rFonts w:ascii="Calibri"/>
            <w:sz w:val="18"/>
          </w:rPr>
          <w:t>Receipts</w:t>
        </w:r>
        <w:r>
          <w:rPr>
            <w:rFonts w:ascii="Calibri"/>
            <w:spacing w:val="-3"/>
            <w:sz w:val="18"/>
          </w:rPr>
          <w:t> </w:t>
        </w:r>
        <w:r>
          <w:rPr>
            <w:rFonts w:ascii="Calibri"/>
            <w:sz w:val="18"/>
          </w:rPr>
          <w:t>(LRTOURREC)</w:t>
          <w:tab/>
          <w:t>37</w:t>
        </w:r>
      </w:hyperlink>
    </w:p>
    <w:p>
      <w:pPr>
        <w:tabs>
          <w:tab w:pos="10792" w:val="right" w:leader="none"/>
        </w:tabs>
        <w:spacing w:line="219" w:lineRule="exact" w:before="0"/>
        <w:ind w:left="1440" w:right="0" w:firstLine="0"/>
        <w:jc w:val="left"/>
        <w:rPr>
          <w:rFonts w:ascii="Calibri" w:hAnsi="Calibri" w:cs="Calibri" w:eastAsia="Calibri" w:hint="default"/>
          <w:sz w:val="18"/>
          <w:szCs w:val="18"/>
        </w:rPr>
      </w:pPr>
      <w:hyperlink w:history="true" w:anchor="_bookmark79">
        <w:r>
          <w:rPr>
            <w:rFonts w:ascii="Calibri"/>
            <w:sz w:val="18"/>
          </w:rPr>
          <w:t>Figure 17:  Job satisfaction and</w:t>
        </w:r>
        <w:r>
          <w:rPr>
            <w:rFonts w:ascii="Calibri"/>
            <w:spacing w:val="-6"/>
            <w:sz w:val="18"/>
          </w:rPr>
          <w:t> </w:t>
        </w:r>
        <w:r>
          <w:rPr>
            <w:rFonts w:ascii="Calibri"/>
            <w:sz w:val="18"/>
          </w:rPr>
          <w:t>turnover</w:t>
        </w:r>
        <w:r>
          <w:rPr>
            <w:rFonts w:ascii="Calibri"/>
            <w:spacing w:val="-1"/>
            <w:sz w:val="18"/>
          </w:rPr>
          <w:t> </w:t>
        </w:r>
        <w:r>
          <w:rPr>
            <w:rFonts w:ascii="Calibri"/>
            <w:sz w:val="18"/>
          </w:rPr>
          <w:t>intentions</w:t>
          <w:tab/>
          <w:t>40</w:t>
        </w:r>
      </w:hyperlink>
    </w:p>
    <w:p>
      <w:pPr>
        <w:tabs>
          <w:tab w:pos="10792" w:val="right" w:leader="none"/>
        </w:tabs>
        <w:spacing w:line="219" w:lineRule="exact" w:before="1"/>
        <w:ind w:left="1440" w:right="0" w:firstLine="0"/>
        <w:jc w:val="left"/>
        <w:rPr>
          <w:rFonts w:ascii="Calibri" w:hAnsi="Calibri" w:cs="Calibri" w:eastAsia="Calibri" w:hint="default"/>
          <w:sz w:val="18"/>
          <w:szCs w:val="18"/>
        </w:rPr>
      </w:pPr>
      <w:hyperlink w:history="true" w:anchor="_bookmark82">
        <w:r>
          <w:rPr>
            <w:rFonts w:ascii="Calibri"/>
            <w:sz w:val="18"/>
          </w:rPr>
          <w:t>Figure 18:  Relationship between marketing budget and</w:t>
        </w:r>
        <w:r>
          <w:rPr>
            <w:rFonts w:ascii="Calibri"/>
            <w:spacing w:val="-4"/>
            <w:sz w:val="18"/>
          </w:rPr>
          <w:t> </w:t>
        </w:r>
        <w:r>
          <w:rPr>
            <w:rFonts w:ascii="Calibri"/>
            <w:sz w:val="18"/>
          </w:rPr>
          <w:t>arrivals,</w:t>
        </w:r>
        <w:r>
          <w:rPr>
            <w:rFonts w:ascii="Calibri"/>
            <w:spacing w:val="-1"/>
            <w:sz w:val="18"/>
          </w:rPr>
          <w:t> </w:t>
        </w:r>
        <w:r>
          <w:rPr>
            <w:rFonts w:ascii="Calibri"/>
            <w:sz w:val="18"/>
          </w:rPr>
          <w:t>2002-2014</w:t>
          <w:tab/>
          <w:t>43</w:t>
        </w:r>
      </w:hyperlink>
    </w:p>
    <w:p>
      <w:pPr>
        <w:tabs>
          <w:tab w:pos="10792" w:val="right" w:leader="none"/>
        </w:tabs>
        <w:spacing w:line="219" w:lineRule="exact" w:before="0"/>
        <w:ind w:left="1440" w:right="0" w:firstLine="0"/>
        <w:jc w:val="left"/>
        <w:rPr>
          <w:rFonts w:ascii="Calibri" w:hAnsi="Calibri" w:cs="Calibri" w:eastAsia="Calibri" w:hint="default"/>
          <w:sz w:val="18"/>
          <w:szCs w:val="18"/>
        </w:rPr>
      </w:pPr>
      <w:hyperlink w:history="true" w:anchor="_bookmark83">
        <w:r>
          <w:rPr>
            <w:rFonts w:ascii="Calibri"/>
            <w:sz w:val="18"/>
          </w:rPr>
          <w:t>Figure 19:  Marketing mindset for a market</w:t>
        </w:r>
        <w:r>
          <w:rPr>
            <w:rFonts w:ascii="Calibri"/>
            <w:spacing w:val="-3"/>
            <w:sz w:val="18"/>
          </w:rPr>
          <w:t> </w:t>
        </w:r>
        <w:r>
          <w:rPr>
            <w:rFonts w:ascii="Calibri"/>
            <w:sz w:val="18"/>
          </w:rPr>
          <w:t>oriented</w:t>
        </w:r>
        <w:r>
          <w:rPr>
            <w:rFonts w:ascii="Calibri"/>
            <w:spacing w:val="-2"/>
            <w:sz w:val="18"/>
          </w:rPr>
          <w:t> </w:t>
        </w:r>
        <w:r>
          <w:rPr>
            <w:rFonts w:ascii="Calibri"/>
            <w:sz w:val="18"/>
          </w:rPr>
          <w:t>organization</w:t>
          <w:tab/>
          <w:t>44</w:t>
        </w:r>
      </w:hyperlink>
    </w:p>
    <w:p>
      <w:pPr>
        <w:tabs>
          <w:tab w:pos="10792" w:val="right" w:leader="none"/>
        </w:tabs>
        <w:spacing w:before="1"/>
        <w:ind w:left="1440" w:right="0" w:firstLine="0"/>
        <w:jc w:val="left"/>
        <w:rPr>
          <w:rFonts w:ascii="Calibri" w:hAnsi="Calibri" w:cs="Calibri" w:eastAsia="Calibri" w:hint="default"/>
          <w:sz w:val="18"/>
          <w:szCs w:val="18"/>
        </w:rPr>
      </w:pPr>
      <w:hyperlink w:history="true" w:anchor="_bookmark86">
        <w:r>
          <w:rPr>
            <w:rFonts w:ascii="Calibri" w:hAnsi="Calibri" w:cs="Calibri" w:eastAsia="Calibri" w:hint="default"/>
            <w:sz w:val="18"/>
            <w:szCs w:val="18"/>
          </w:rPr>
          <w:t>Figure 20:  Growth of Curaçao’s economic</w:t>
        </w:r>
        <w:r>
          <w:rPr>
            <w:rFonts w:ascii="Calibri" w:hAnsi="Calibri" w:cs="Calibri" w:eastAsia="Calibri" w:hint="default"/>
            <w:spacing w:val="-7"/>
            <w:sz w:val="18"/>
            <w:szCs w:val="18"/>
          </w:rPr>
          <w:t> </w:t>
        </w:r>
        <w:r>
          <w:rPr>
            <w:rFonts w:ascii="Calibri" w:hAnsi="Calibri" w:cs="Calibri" w:eastAsia="Calibri" w:hint="default"/>
            <w:sz w:val="18"/>
            <w:szCs w:val="18"/>
          </w:rPr>
          <w:t>sectors</w:t>
        </w:r>
        <w:r>
          <w:rPr>
            <w:rFonts w:ascii="Calibri" w:hAnsi="Calibri" w:cs="Calibri" w:eastAsia="Calibri" w:hint="default"/>
            <w:spacing w:val="-3"/>
            <w:sz w:val="18"/>
            <w:szCs w:val="18"/>
          </w:rPr>
          <w:t> </w:t>
        </w:r>
        <w:r>
          <w:rPr>
            <w:rFonts w:ascii="Calibri" w:hAnsi="Calibri" w:cs="Calibri" w:eastAsia="Calibri" w:hint="default"/>
            <w:sz w:val="18"/>
            <w:szCs w:val="18"/>
          </w:rPr>
          <w:t>2009</w:t>
        </w:r>
        <w:r>
          <w:rPr>
            <w:rFonts w:ascii="Calibri" w:hAnsi="Calibri" w:cs="Calibri" w:eastAsia="Calibri" w:hint="default"/>
            <w:sz w:val="18"/>
            <w:szCs w:val="18"/>
          </w:rPr>
          <w:t>-2013</w:t>
          <w:tab/>
          <w:t>45</w:t>
        </w:r>
      </w:hyperlink>
    </w:p>
    <w:p>
      <w:pPr>
        <w:tabs>
          <w:tab w:pos="10792" w:val="right" w:leader="none"/>
        </w:tabs>
        <w:spacing w:line="219" w:lineRule="exact" w:before="1"/>
        <w:ind w:left="1440" w:right="0" w:firstLine="0"/>
        <w:jc w:val="left"/>
        <w:rPr>
          <w:rFonts w:ascii="Calibri" w:hAnsi="Calibri" w:cs="Calibri" w:eastAsia="Calibri" w:hint="default"/>
          <w:sz w:val="18"/>
          <w:szCs w:val="18"/>
        </w:rPr>
      </w:pPr>
      <w:hyperlink w:history="true" w:anchor="_bookmark88">
        <w:r>
          <w:rPr>
            <w:rFonts w:ascii="Calibri" w:hAnsi="Calibri" w:cs="Calibri" w:eastAsia="Calibri" w:hint="default"/>
            <w:sz w:val="18"/>
            <w:szCs w:val="18"/>
          </w:rPr>
          <w:t>Figure 21:  Curaçao’s tourism receipts vs.</w:t>
        </w:r>
        <w:r>
          <w:rPr>
            <w:rFonts w:ascii="Calibri" w:hAnsi="Calibri" w:cs="Calibri" w:eastAsia="Calibri" w:hint="default"/>
            <w:spacing w:val="-7"/>
            <w:sz w:val="18"/>
            <w:szCs w:val="18"/>
          </w:rPr>
          <w:t> </w:t>
        </w:r>
        <w:r>
          <w:rPr>
            <w:rFonts w:ascii="Calibri" w:hAnsi="Calibri" w:cs="Calibri" w:eastAsia="Calibri" w:hint="default"/>
            <w:sz w:val="18"/>
            <w:szCs w:val="18"/>
          </w:rPr>
          <w:t>ec</w:t>
        </w:r>
        <w:r>
          <w:rPr>
            <w:rFonts w:ascii="Calibri" w:hAnsi="Calibri" w:cs="Calibri" w:eastAsia="Calibri" w:hint="default"/>
            <w:sz w:val="18"/>
            <w:szCs w:val="18"/>
          </w:rPr>
          <w:t>onomic</w:t>
        </w:r>
        <w:r>
          <w:rPr>
            <w:rFonts w:ascii="Calibri" w:hAnsi="Calibri" w:cs="Calibri" w:eastAsia="Calibri" w:hint="default"/>
            <w:spacing w:val="-1"/>
            <w:sz w:val="18"/>
            <w:szCs w:val="18"/>
          </w:rPr>
          <w:t> </w:t>
        </w:r>
        <w:r>
          <w:rPr>
            <w:rFonts w:ascii="Calibri" w:hAnsi="Calibri" w:cs="Calibri" w:eastAsia="Calibri" w:hint="default"/>
            <w:sz w:val="18"/>
            <w:szCs w:val="18"/>
          </w:rPr>
          <w:t>growth</w:t>
          <w:tab/>
          <w:t>46</w:t>
        </w:r>
      </w:hyperlink>
    </w:p>
    <w:p>
      <w:pPr>
        <w:tabs>
          <w:tab w:pos="10792" w:val="right" w:leader="none"/>
        </w:tabs>
        <w:spacing w:line="219" w:lineRule="exact" w:before="0"/>
        <w:ind w:left="1440" w:right="0" w:firstLine="0"/>
        <w:jc w:val="left"/>
        <w:rPr>
          <w:rFonts w:ascii="Calibri" w:hAnsi="Calibri" w:cs="Calibri" w:eastAsia="Calibri" w:hint="default"/>
          <w:sz w:val="18"/>
          <w:szCs w:val="18"/>
        </w:rPr>
      </w:pPr>
      <w:hyperlink w:history="true" w:anchor="_bookmark89">
        <w:r>
          <w:rPr>
            <w:rFonts w:ascii="Calibri"/>
            <w:sz w:val="18"/>
          </w:rPr>
          <w:t>Figure 22:  Moving correlations between real tourism expenditures and real</w:t>
        </w:r>
        <w:r>
          <w:rPr>
            <w:rFonts w:ascii="Calibri"/>
            <w:spacing w:val="-10"/>
            <w:sz w:val="18"/>
          </w:rPr>
          <w:t> </w:t>
        </w:r>
        <w:r>
          <w:rPr>
            <w:rFonts w:ascii="Calibri"/>
            <w:sz w:val="18"/>
          </w:rPr>
          <w:t>economic</w:t>
        </w:r>
        <w:r>
          <w:rPr>
            <w:rFonts w:ascii="Calibri"/>
            <w:spacing w:val="-1"/>
            <w:sz w:val="18"/>
          </w:rPr>
          <w:t> </w:t>
        </w:r>
        <w:r>
          <w:rPr>
            <w:rFonts w:ascii="Calibri"/>
            <w:sz w:val="18"/>
          </w:rPr>
          <w:t>growth</w:t>
          <w:tab/>
          <w:t>47</w:t>
        </w:r>
      </w:hyperlink>
    </w:p>
    <w:p>
      <w:pPr>
        <w:tabs>
          <w:tab w:pos="10792" w:val="right" w:leader="none"/>
        </w:tabs>
        <w:spacing w:line="219" w:lineRule="exact" w:before="1"/>
        <w:ind w:left="1440" w:right="0" w:firstLine="0"/>
        <w:jc w:val="left"/>
        <w:rPr>
          <w:rFonts w:ascii="Calibri" w:hAnsi="Calibri" w:cs="Calibri" w:eastAsia="Calibri" w:hint="default"/>
          <w:sz w:val="18"/>
          <w:szCs w:val="18"/>
        </w:rPr>
      </w:pPr>
      <w:hyperlink w:history="true" w:anchor="_bookmark94">
        <w:r>
          <w:rPr>
            <w:rFonts w:ascii="Calibri" w:hAnsi="Calibri" w:cs="Calibri" w:eastAsia="Calibri" w:hint="default"/>
            <w:sz w:val="18"/>
            <w:szCs w:val="18"/>
          </w:rPr>
          <w:t>Figure 23:  Curaçao</w:t>
        </w:r>
        <w:r>
          <w:rPr>
            <w:rFonts w:ascii="Calibri" w:hAnsi="Calibri" w:cs="Calibri" w:eastAsia="Calibri" w:hint="default"/>
            <w:sz w:val="18"/>
            <w:szCs w:val="18"/>
          </w:rPr>
          <w:t>’s</w:t>
        </w:r>
        <w:r>
          <w:rPr>
            <w:rFonts w:ascii="Calibri" w:hAnsi="Calibri" w:cs="Calibri" w:eastAsia="Calibri" w:hint="default"/>
            <w:spacing w:val="-4"/>
            <w:sz w:val="18"/>
            <w:szCs w:val="18"/>
          </w:rPr>
          <w:t> </w:t>
        </w:r>
        <w:r>
          <w:rPr>
            <w:rFonts w:ascii="Calibri" w:hAnsi="Calibri" w:cs="Calibri" w:eastAsia="Calibri" w:hint="default"/>
            <w:sz w:val="18"/>
            <w:szCs w:val="18"/>
          </w:rPr>
          <w:t>competitive position</w:t>
        </w:r>
        <w:r>
          <w:rPr>
            <w:rFonts w:ascii="Calibri" w:hAnsi="Calibri" w:cs="Calibri" w:eastAsia="Calibri" w:hint="default"/>
            <w:sz w:val="18"/>
            <w:szCs w:val="18"/>
          </w:rPr>
          <w:tab/>
          <w:t>50</w:t>
        </w:r>
      </w:hyperlink>
    </w:p>
    <w:p>
      <w:pPr>
        <w:tabs>
          <w:tab w:pos="10792" w:val="right" w:leader="none"/>
        </w:tabs>
        <w:spacing w:line="219" w:lineRule="exact" w:before="0"/>
        <w:ind w:left="1440" w:right="0" w:firstLine="0"/>
        <w:jc w:val="left"/>
        <w:rPr>
          <w:rFonts w:ascii="Calibri" w:hAnsi="Calibri" w:cs="Calibri" w:eastAsia="Calibri" w:hint="default"/>
          <w:sz w:val="18"/>
          <w:szCs w:val="18"/>
        </w:rPr>
      </w:pPr>
      <w:hyperlink w:history="true" w:anchor="_bookmark96">
        <w:r>
          <w:rPr>
            <w:rFonts w:ascii="Calibri" w:hAnsi="Calibri" w:cs="Calibri" w:eastAsia="Calibri" w:hint="default"/>
            <w:sz w:val="18"/>
            <w:szCs w:val="18"/>
          </w:rPr>
          <w:t>Figure 24:  Parameters for</w:t>
        </w:r>
        <w:r>
          <w:rPr>
            <w:rFonts w:ascii="Calibri" w:hAnsi="Calibri" w:cs="Calibri" w:eastAsia="Calibri" w:hint="default"/>
            <w:spacing w:val="-5"/>
            <w:sz w:val="18"/>
            <w:szCs w:val="18"/>
          </w:rPr>
          <w:t> </w:t>
        </w:r>
        <w:r>
          <w:rPr>
            <w:rFonts w:ascii="Calibri" w:hAnsi="Calibri" w:cs="Calibri" w:eastAsia="Calibri" w:hint="default"/>
            <w:sz w:val="18"/>
            <w:szCs w:val="18"/>
          </w:rPr>
          <w:t>Curaçao’s</w:t>
        </w:r>
        <w:r>
          <w:rPr>
            <w:rFonts w:ascii="Calibri" w:hAnsi="Calibri" w:cs="Calibri" w:eastAsia="Calibri" w:hint="default"/>
            <w:spacing w:val="-2"/>
            <w:sz w:val="18"/>
            <w:szCs w:val="18"/>
          </w:rPr>
          <w:t> </w:t>
        </w:r>
        <w:r>
          <w:rPr>
            <w:rFonts w:ascii="Calibri" w:hAnsi="Calibri" w:cs="Calibri" w:eastAsia="Calibri" w:hint="default"/>
            <w:sz w:val="18"/>
            <w:szCs w:val="18"/>
          </w:rPr>
          <w:t>position</w:t>
        </w:r>
        <w:r>
          <w:rPr>
            <w:rFonts w:ascii="Calibri" w:hAnsi="Calibri" w:cs="Calibri" w:eastAsia="Calibri" w:hint="default"/>
            <w:sz w:val="18"/>
            <w:szCs w:val="18"/>
          </w:rPr>
          <w:tab/>
          <w:t>51</w:t>
        </w:r>
      </w:hyperlink>
    </w:p>
    <w:p>
      <w:pPr>
        <w:tabs>
          <w:tab w:pos="10792" w:val="right" w:leader="none"/>
        </w:tabs>
        <w:spacing w:line="219" w:lineRule="exact" w:before="1"/>
        <w:ind w:left="1440" w:right="0" w:firstLine="0"/>
        <w:jc w:val="left"/>
        <w:rPr>
          <w:rFonts w:ascii="Calibri" w:hAnsi="Calibri" w:cs="Calibri" w:eastAsia="Calibri" w:hint="default"/>
          <w:sz w:val="18"/>
          <w:szCs w:val="18"/>
        </w:rPr>
      </w:pPr>
      <w:hyperlink w:history="true" w:anchor="_bookmark103">
        <w:r>
          <w:rPr>
            <w:rFonts w:ascii="Calibri" w:hAnsi="Calibri"/>
            <w:sz w:val="18"/>
          </w:rPr>
          <w:t>Figure 25:  Booking behavior of</w:t>
        </w:r>
        <w:r>
          <w:rPr>
            <w:rFonts w:ascii="Calibri" w:hAnsi="Calibri"/>
            <w:spacing w:val="-5"/>
            <w:sz w:val="18"/>
          </w:rPr>
          <w:t> </w:t>
        </w:r>
        <w:r>
          <w:rPr>
            <w:rFonts w:ascii="Calibri" w:hAnsi="Calibri"/>
            <w:sz w:val="18"/>
          </w:rPr>
          <w:t>Curaçao tourists</w:t>
          <w:tab/>
          <w:t>54</w:t>
        </w:r>
      </w:hyperlink>
    </w:p>
    <w:p>
      <w:pPr>
        <w:tabs>
          <w:tab w:pos="10792" w:val="right" w:leader="none"/>
        </w:tabs>
        <w:spacing w:line="219" w:lineRule="exact" w:before="0"/>
        <w:ind w:left="1440" w:right="0" w:firstLine="0"/>
        <w:jc w:val="left"/>
        <w:rPr>
          <w:rFonts w:ascii="Calibri" w:hAnsi="Calibri" w:cs="Calibri" w:eastAsia="Calibri" w:hint="default"/>
          <w:sz w:val="18"/>
          <w:szCs w:val="18"/>
        </w:rPr>
      </w:pPr>
      <w:hyperlink w:history="true" w:anchor="_bookmark106">
        <w:r>
          <w:rPr>
            <w:rFonts w:ascii="Calibri"/>
            <w:sz w:val="18"/>
          </w:rPr>
          <w:t>Figure 26:  Food</w:t>
        </w:r>
        <w:r>
          <w:rPr>
            <w:rFonts w:ascii="Calibri"/>
            <w:spacing w:val="-4"/>
            <w:sz w:val="18"/>
          </w:rPr>
          <w:t> </w:t>
        </w:r>
        <w:r>
          <w:rPr>
            <w:rFonts w:ascii="Calibri"/>
            <w:sz w:val="18"/>
          </w:rPr>
          <w:t>consumption</w:t>
        </w:r>
        <w:r>
          <w:rPr>
            <w:rFonts w:ascii="Calibri"/>
            <w:spacing w:val="-2"/>
            <w:sz w:val="18"/>
          </w:rPr>
          <w:t> </w:t>
        </w:r>
        <w:r>
          <w:rPr>
            <w:rFonts w:ascii="Calibri"/>
            <w:sz w:val="18"/>
          </w:rPr>
          <w:t>patterns</w:t>
          <w:tab/>
          <w:t>57</w:t>
        </w:r>
      </w:hyperlink>
    </w:p>
    <w:p>
      <w:pPr>
        <w:tabs>
          <w:tab w:pos="10792" w:val="right" w:leader="none"/>
        </w:tabs>
        <w:spacing w:line="219" w:lineRule="exact" w:before="1"/>
        <w:ind w:left="1440" w:right="0" w:firstLine="0"/>
        <w:jc w:val="left"/>
        <w:rPr>
          <w:rFonts w:ascii="Calibri" w:hAnsi="Calibri" w:cs="Calibri" w:eastAsia="Calibri" w:hint="default"/>
          <w:sz w:val="18"/>
          <w:szCs w:val="18"/>
        </w:rPr>
      </w:pPr>
      <w:hyperlink w:history="true" w:anchor="_bookmark119">
        <w:r>
          <w:rPr>
            <w:rFonts w:ascii="Calibri"/>
            <w:sz w:val="18"/>
          </w:rPr>
          <w:t>Figure 27:  Accommodation types selected by tourists</w:t>
        </w:r>
        <w:r>
          <w:rPr>
            <w:rFonts w:ascii="Calibri"/>
            <w:spacing w:val="-6"/>
            <w:sz w:val="18"/>
          </w:rPr>
          <w:t> </w:t>
        </w:r>
        <w:r>
          <w:rPr>
            <w:rFonts w:ascii="Calibri"/>
            <w:sz w:val="18"/>
          </w:rPr>
          <w:t>from</w:t>
        </w:r>
        <w:r>
          <w:rPr>
            <w:rFonts w:ascii="Calibri"/>
            <w:spacing w:val="-1"/>
            <w:sz w:val="18"/>
          </w:rPr>
          <w:t> </w:t>
        </w:r>
        <w:r>
          <w:rPr>
            <w:rFonts w:ascii="Calibri"/>
            <w:sz w:val="18"/>
          </w:rPr>
          <w:t>2000-2013</w:t>
          <w:tab/>
          <w:t>64</w:t>
        </w:r>
      </w:hyperlink>
    </w:p>
    <w:p>
      <w:pPr>
        <w:tabs>
          <w:tab w:pos="10792" w:val="right" w:leader="none"/>
        </w:tabs>
        <w:spacing w:line="219" w:lineRule="exact" w:before="0"/>
        <w:ind w:left="1440" w:right="0" w:firstLine="0"/>
        <w:jc w:val="left"/>
        <w:rPr>
          <w:rFonts w:ascii="Calibri" w:hAnsi="Calibri" w:cs="Calibri" w:eastAsia="Calibri" w:hint="default"/>
          <w:sz w:val="18"/>
          <w:szCs w:val="18"/>
        </w:rPr>
      </w:pPr>
      <w:hyperlink w:history="true" w:anchor="_bookmark125">
        <w:r>
          <w:rPr>
            <w:rFonts w:ascii="Calibri"/>
            <w:sz w:val="18"/>
          </w:rPr>
          <w:t>Figure 28: The strategic focus of</w:t>
        </w:r>
        <w:r>
          <w:rPr>
            <w:rFonts w:ascii="Calibri"/>
            <w:spacing w:val="-6"/>
            <w:sz w:val="18"/>
          </w:rPr>
          <w:t> </w:t>
        </w:r>
        <w:r>
          <w:rPr>
            <w:rFonts w:ascii="Calibri"/>
            <w:sz w:val="18"/>
          </w:rPr>
          <w:t>target</w:t>
        </w:r>
        <w:r>
          <w:rPr>
            <w:rFonts w:ascii="Calibri"/>
            <w:spacing w:val="-1"/>
            <w:sz w:val="18"/>
          </w:rPr>
          <w:t> </w:t>
        </w:r>
        <w:r>
          <w:rPr>
            <w:rFonts w:ascii="Calibri"/>
            <w:sz w:val="18"/>
          </w:rPr>
          <w:t>audience</w:t>
          <w:tab/>
          <w:t>66</w:t>
        </w:r>
      </w:hyperlink>
    </w:p>
    <w:p>
      <w:pPr>
        <w:tabs>
          <w:tab w:pos="10792" w:val="right" w:leader="none"/>
        </w:tabs>
        <w:spacing w:line="219" w:lineRule="exact" w:before="1"/>
        <w:ind w:left="1440" w:right="0" w:firstLine="0"/>
        <w:jc w:val="left"/>
        <w:rPr>
          <w:rFonts w:ascii="Calibri" w:hAnsi="Calibri" w:cs="Calibri" w:eastAsia="Calibri" w:hint="default"/>
          <w:sz w:val="18"/>
          <w:szCs w:val="18"/>
        </w:rPr>
      </w:pPr>
      <w:hyperlink w:history="true" w:anchor="_bookmark147">
        <w:r>
          <w:rPr>
            <w:rFonts w:ascii="Calibri" w:hAnsi="Calibri" w:cs="Calibri" w:eastAsia="Calibri" w:hint="default"/>
            <w:sz w:val="18"/>
            <w:szCs w:val="18"/>
          </w:rPr>
          <w:t>Figure 29:  CTB’s two main areas</w:t>
        </w:r>
        <w:r>
          <w:rPr>
            <w:rFonts w:ascii="Calibri" w:hAnsi="Calibri" w:cs="Calibri" w:eastAsia="Calibri" w:hint="default"/>
            <w:spacing w:val="-8"/>
            <w:sz w:val="18"/>
            <w:szCs w:val="18"/>
          </w:rPr>
          <w:t> </w:t>
        </w:r>
        <w:r>
          <w:rPr>
            <w:rFonts w:ascii="Calibri" w:hAnsi="Calibri" w:cs="Calibri" w:eastAsia="Calibri" w:hint="default"/>
            <w:sz w:val="18"/>
            <w:szCs w:val="18"/>
          </w:rPr>
          <w:t>of</w:t>
        </w:r>
        <w:r>
          <w:rPr>
            <w:rFonts w:ascii="Calibri" w:hAnsi="Calibri" w:cs="Calibri" w:eastAsia="Calibri" w:hint="default"/>
            <w:spacing w:val="-1"/>
            <w:sz w:val="18"/>
            <w:szCs w:val="18"/>
          </w:rPr>
          <w:t> </w:t>
        </w:r>
        <w:r>
          <w:rPr>
            <w:rFonts w:ascii="Calibri" w:hAnsi="Calibri" w:cs="Calibri" w:eastAsia="Calibri" w:hint="default"/>
            <w:sz w:val="18"/>
            <w:szCs w:val="18"/>
          </w:rPr>
          <w:t>activities</w:t>
        </w:r>
        <w:r>
          <w:rPr>
            <w:rFonts w:ascii="Calibri" w:hAnsi="Calibri" w:cs="Calibri" w:eastAsia="Calibri" w:hint="default"/>
            <w:sz w:val="18"/>
            <w:szCs w:val="18"/>
          </w:rPr>
          <w:tab/>
          <w:t>77</w:t>
        </w:r>
      </w:hyperlink>
    </w:p>
    <w:p>
      <w:pPr>
        <w:tabs>
          <w:tab w:pos="10792" w:val="right" w:leader="none"/>
        </w:tabs>
        <w:spacing w:line="219" w:lineRule="exact" w:before="0"/>
        <w:ind w:left="1440" w:right="0" w:firstLine="0"/>
        <w:jc w:val="left"/>
        <w:rPr>
          <w:rFonts w:ascii="Calibri" w:hAnsi="Calibri" w:cs="Calibri" w:eastAsia="Calibri" w:hint="default"/>
          <w:sz w:val="18"/>
          <w:szCs w:val="18"/>
        </w:rPr>
      </w:pPr>
      <w:hyperlink w:history="true" w:anchor="_bookmark157">
        <w:r>
          <w:rPr>
            <w:rFonts w:ascii="Calibri"/>
            <w:sz w:val="18"/>
          </w:rPr>
          <w:t>Figure 30:  Strategic</w:t>
        </w:r>
        <w:r>
          <w:rPr>
            <w:rFonts w:ascii="Calibri"/>
            <w:spacing w:val="-3"/>
            <w:sz w:val="18"/>
          </w:rPr>
          <w:t> </w:t>
        </w:r>
        <w:r>
          <w:rPr>
            <w:rFonts w:ascii="Calibri"/>
            <w:sz w:val="18"/>
          </w:rPr>
          <w:t>framework</w:t>
        </w:r>
        <w:r>
          <w:rPr>
            <w:rFonts w:ascii="Calibri"/>
            <w:spacing w:val="-2"/>
            <w:sz w:val="18"/>
          </w:rPr>
          <w:t> </w:t>
        </w:r>
        <w:r>
          <w:rPr>
            <w:rFonts w:ascii="Calibri"/>
            <w:sz w:val="18"/>
          </w:rPr>
          <w:t>2015-2020</w:t>
          <w:tab/>
          <w:t>85</w:t>
        </w:r>
      </w:hyperlink>
    </w:p>
    <w:p>
      <w:pPr>
        <w:tabs>
          <w:tab w:pos="10792" w:val="right" w:leader="none"/>
        </w:tabs>
        <w:spacing w:before="1"/>
        <w:ind w:left="1440" w:right="0" w:firstLine="0"/>
        <w:jc w:val="left"/>
        <w:rPr>
          <w:rFonts w:ascii="Calibri" w:hAnsi="Calibri" w:cs="Calibri" w:eastAsia="Calibri" w:hint="default"/>
          <w:sz w:val="18"/>
          <w:szCs w:val="18"/>
        </w:rPr>
      </w:pPr>
      <w:hyperlink w:history="true" w:anchor="_bookmark160">
        <w:r>
          <w:rPr>
            <w:rFonts w:ascii="Calibri"/>
            <w:sz w:val="18"/>
          </w:rPr>
          <w:t>Figure 31:   The new demand structure</w:t>
        </w:r>
        <w:r>
          <w:rPr>
            <w:rFonts w:ascii="Calibri"/>
            <w:spacing w:val="-8"/>
            <w:sz w:val="18"/>
          </w:rPr>
          <w:t> </w:t>
        </w:r>
        <w:r>
          <w:rPr>
            <w:rFonts w:ascii="Calibri"/>
            <w:sz w:val="18"/>
          </w:rPr>
          <w:t>by</w:t>
        </w:r>
        <w:r>
          <w:rPr>
            <w:rFonts w:ascii="Calibri"/>
            <w:spacing w:val="-1"/>
            <w:sz w:val="18"/>
          </w:rPr>
          <w:t> </w:t>
        </w:r>
        <w:r>
          <w:rPr>
            <w:rFonts w:ascii="Calibri"/>
            <w:sz w:val="18"/>
          </w:rPr>
          <w:t>2020</w:t>
          <w:tab/>
          <w:t>86</w:t>
        </w:r>
      </w:hyperlink>
    </w:p>
    <w:p>
      <w:pPr>
        <w:tabs>
          <w:tab w:pos="10792" w:val="right" w:leader="none"/>
        </w:tabs>
        <w:spacing w:line="219" w:lineRule="exact" w:before="1"/>
        <w:ind w:left="1440" w:right="0" w:firstLine="0"/>
        <w:jc w:val="left"/>
        <w:rPr>
          <w:rFonts w:ascii="Calibri" w:hAnsi="Calibri" w:cs="Calibri" w:eastAsia="Calibri" w:hint="default"/>
          <w:sz w:val="18"/>
          <w:szCs w:val="18"/>
        </w:rPr>
      </w:pPr>
      <w:hyperlink w:history="true" w:anchor="_bookmark163">
        <w:r>
          <w:rPr>
            <w:rFonts w:ascii="Calibri"/>
            <w:sz w:val="18"/>
          </w:rPr>
          <w:t>Figure 32: US</w:t>
        </w:r>
        <w:r>
          <w:rPr>
            <w:rFonts w:ascii="Calibri"/>
            <w:spacing w:val="-3"/>
            <w:sz w:val="18"/>
          </w:rPr>
          <w:t> </w:t>
        </w:r>
        <w:r>
          <w:rPr>
            <w:rFonts w:ascii="Calibri"/>
            <w:sz w:val="18"/>
          </w:rPr>
          <w:t>potential</w:t>
        </w:r>
        <w:r>
          <w:rPr>
            <w:rFonts w:ascii="Calibri"/>
            <w:spacing w:val="-1"/>
            <w:sz w:val="18"/>
          </w:rPr>
          <w:t> </w:t>
        </w:r>
        <w:r>
          <w:rPr>
            <w:rFonts w:ascii="Calibri"/>
            <w:sz w:val="18"/>
          </w:rPr>
          <w:t>market</w:t>
          <w:tab/>
          <w:t>88</w:t>
        </w:r>
      </w:hyperlink>
    </w:p>
    <w:p>
      <w:pPr>
        <w:tabs>
          <w:tab w:pos="10792" w:val="right" w:leader="none"/>
        </w:tabs>
        <w:spacing w:line="219" w:lineRule="exact" w:before="0"/>
        <w:ind w:left="1440" w:right="0" w:firstLine="0"/>
        <w:jc w:val="left"/>
        <w:rPr>
          <w:rFonts w:ascii="Calibri" w:hAnsi="Calibri" w:cs="Calibri" w:eastAsia="Calibri" w:hint="default"/>
          <w:sz w:val="18"/>
          <w:szCs w:val="18"/>
        </w:rPr>
      </w:pPr>
      <w:hyperlink w:history="true" w:anchor="_bookmark167">
        <w:r>
          <w:rPr>
            <w:rFonts w:ascii="Calibri"/>
            <w:sz w:val="18"/>
          </w:rPr>
          <w:t>Figure 33:</w:t>
        </w:r>
        <w:r>
          <w:rPr>
            <w:rFonts w:ascii="Calibri"/>
            <w:spacing w:val="-3"/>
            <w:sz w:val="18"/>
          </w:rPr>
          <w:t> </w:t>
        </w:r>
        <w:r>
          <w:rPr>
            <w:rFonts w:ascii="Calibri"/>
            <w:sz w:val="18"/>
          </w:rPr>
          <w:t>Punda/Otrabanda</w:t>
        </w:r>
        <w:r>
          <w:rPr>
            <w:rFonts w:ascii="Calibri"/>
            <w:spacing w:val="-1"/>
            <w:sz w:val="18"/>
          </w:rPr>
          <w:t> </w:t>
        </w:r>
        <w:r>
          <w:rPr>
            <w:rFonts w:ascii="Calibri"/>
            <w:sz w:val="18"/>
          </w:rPr>
          <w:t>Map</w:t>
          <w:tab/>
          <w:t>91</w:t>
        </w:r>
      </w:hyperlink>
    </w:p>
    <w:p>
      <w:pPr>
        <w:tabs>
          <w:tab w:pos="10792" w:val="right" w:leader="none"/>
        </w:tabs>
        <w:spacing w:line="219" w:lineRule="exact" w:before="1"/>
        <w:ind w:left="1440" w:right="0" w:firstLine="0"/>
        <w:jc w:val="left"/>
        <w:rPr>
          <w:rFonts w:ascii="Calibri" w:hAnsi="Calibri" w:cs="Calibri" w:eastAsia="Calibri" w:hint="default"/>
          <w:sz w:val="18"/>
          <w:szCs w:val="18"/>
        </w:rPr>
      </w:pPr>
      <w:hyperlink w:history="true" w:anchor="_bookmark169">
        <w:r>
          <w:rPr>
            <w:rFonts w:ascii="Calibri"/>
            <w:sz w:val="18"/>
          </w:rPr>
          <w:t>Figure</w:t>
        </w:r>
        <w:r>
          <w:rPr>
            <w:rFonts w:ascii="Calibri"/>
            <w:spacing w:val="-3"/>
            <w:sz w:val="18"/>
          </w:rPr>
          <w:t> </w:t>
        </w:r>
        <w:r>
          <w:rPr>
            <w:rFonts w:ascii="Calibri"/>
            <w:sz w:val="18"/>
          </w:rPr>
          <w:t>34:</w:t>
        </w:r>
        <w:r>
          <w:rPr>
            <w:rFonts w:ascii="Calibri"/>
            <w:spacing w:val="40"/>
            <w:sz w:val="18"/>
          </w:rPr>
          <w:t> </w:t>
        </w:r>
        <w:r>
          <w:rPr>
            <w:rFonts w:ascii="Calibri"/>
            <w:sz w:val="18"/>
          </w:rPr>
          <w:t>Oostpunt</w:t>
          <w:tab/>
          <w:t>93</w:t>
        </w:r>
      </w:hyperlink>
    </w:p>
    <w:p>
      <w:pPr>
        <w:tabs>
          <w:tab w:pos="10792" w:val="right" w:leader="none"/>
        </w:tabs>
        <w:spacing w:line="219" w:lineRule="exact" w:before="0"/>
        <w:ind w:left="1440" w:right="0" w:firstLine="0"/>
        <w:jc w:val="left"/>
        <w:rPr>
          <w:rFonts w:ascii="Calibri" w:hAnsi="Calibri" w:cs="Calibri" w:eastAsia="Calibri" w:hint="default"/>
          <w:sz w:val="18"/>
          <w:szCs w:val="18"/>
        </w:rPr>
      </w:pPr>
      <w:hyperlink w:history="true" w:anchor="_bookmark174">
        <w:r>
          <w:rPr>
            <w:rFonts w:ascii="Calibri"/>
            <w:sz w:val="18"/>
          </w:rPr>
          <w:t>Figure 35: Objectives and</w:t>
        </w:r>
        <w:r>
          <w:rPr>
            <w:rFonts w:ascii="Calibri"/>
            <w:spacing w:val="-3"/>
            <w:sz w:val="18"/>
          </w:rPr>
          <w:t> </w:t>
        </w:r>
        <w:r>
          <w:rPr>
            <w:rFonts w:ascii="Calibri"/>
            <w:sz w:val="18"/>
          </w:rPr>
          <w:t>strategic</w:t>
        </w:r>
        <w:r>
          <w:rPr>
            <w:rFonts w:ascii="Calibri"/>
            <w:spacing w:val="-1"/>
            <w:sz w:val="18"/>
          </w:rPr>
          <w:t> </w:t>
        </w:r>
        <w:r>
          <w:rPr>
            <w:rFonts w:ascii="Calibri"/>
            <w:sz w:val="18"/>
          </w:rPr>
          <w:t>actions</w:t>
          <w:tab/>
          <w:t>99</w:t>
        </w:r>
      </w:hyperlink>
    </w:p>
    <w:p>
      <w:pPr>
        <w:spacing w:after="0" w:line="219" w:lineRule="exact"/>
        <w:jc w:val="left"/>
        <w:rPr>
          <w:rFonts w:ascii="Calibri" w:hAnsi="Calibri" w:cs="Calibri" w:eastAsia="Calibri" w:hint="default"/>
          <w:sz w:val="18"/>
          <w:szCs w:val="18"/>
        </w:rPr>
        <w:sectPr>
          <w:pgSz w:w="12240" w:h="15840"/>
          <w:pgMar w:header="0" w:footer="0" w:top="840" w:bottom="280" w:left="0" w:right="0"/>
        </w:sectPr>
      </w:pPr>
    </w:p>
    <w:p>
      <w:pPr>
        <w:spacing w:line="240" w:lineRule="auto" w:before="0"/>
        <w:ind w:right="0"/>
        <w:rPr>
          <w:rFonts w:ascii="Calibri" w:hAnsi="Calibri" w:cs="Calibri" w:eastAsia="Calibri" w:hint="default"/>
          <w:sz w:val="32"/>
          <w:szCs w:val="32"/>
        </w:rPr>
      </w:pPr>
    </w:p>
    <w:p>
      <w:pPr>
        <w:spacing w:line="240" w:lineRule="auto" w:before="0"/>
        <w:ind w:right="0"/>
        <w:rPr>
          <w:rFonts w:ascii="Calibri" w:hAnsi="Calibri" w:cs="Calibri" w:eastAsia="Calibri" w:hint="default"/>
          <w:sz w:val="32"/>
          <w:szCs w:val="32"/>
        </w:rPr>
      </w:pPr>
    </w:p>
    <w:p>
      <w:pPr>
        <w:spacing w:line="240" w:lineRule="auto" w:before="7"/>
        <w:ind w:right="0"/>
        <w:rPr>
          <w:rFonts w:ascii="Calibri" w:hAnsi="Calibri" w:cs="Calibri" w:eastAsia="Calibri" w:hint="default"/>
          <w:sz w:val="46"/>
          <w:szCs w:val="46"/>
        </w:rPr>
      </w:pPr>
    </w:p>
    <w:p>
      <w:pPr>
        <w:spacing w:before="0"/>
        <w:ind w:left="1440" w:right="-16" w:firstLine="0"/>
        <w:jc w:val="left"/>
        <w:rPr>
          <w:rFonts w:ascii="Calibri" w:hAnsi="Calibri" w:cs="Calibri" w:eastAsia="Calibri" w:hint="default"/>
          <w:sz w:val="32"/>
          <w:szCs w:val="32"/>
        </w:rPr>
      </w:pPr>
      <w:bookmarkStart w:name="_bookmark0" w:id="1"/>
      <w:bookmarkEnd w:id="1"/>
      <w:r>
        <w:rPr/>
      </w:r>
      <w:bookmarkStart w:name="_bookmark1" w:id="2"/>
      <w:bookmarkEnd w:id="2"/>
      <w:r>
        <w:rPr/>
      </w:r>
      <w:r>
        <w:rPr>
          <w:rFonts w:ascii="Calibri"/>
          <w:b/>
          <w:sz w:val="32"/>
        </w:rPr>
        <w:t>The</w:t>
      </w:r>
      <w:r>
        <w:rPr>
          <w:rFonts w:ascii="Calibri"/>
          <w:b/>
          <w:spacing w:val="-6"/>
          <w:sz w:val="32"/>
        </w:rPr>
        <w:t> </w:t>
      </w:r>
      <w:r>
        <w:rPr>
          <w:rFonts w:ascii="Calibri"/>
          <w:b/>
          <w:sz w:val="32"/>
        </w:rPr>
        <w:t>Rationale</w:t>
      </w:r>
      <w:r>
        <w:rPr>
          <w:rFonts w:ascii="Calibri"/>
          <w:sz w:val="32"/>
        </w:rPr>
      </w:r>
    </w:p>
    <w:p>
      <w:pPr>
        <w:spacing w:line="240" w:lineRule="auto" w:before="0"/>
        <w:ind w:right="0"/>
        <w:rPr>
          <w:rFonts w:ascii="Calibri" w:hAnsi="Calibri" w:cs="Calibri" w:eastAsia="Calibri" w:hint="default"/>
          <w:b/>
          <w:bCs/>
          <w:sz w:val="40"/>
          <w:szCs w:val="40"/>
        </w:rPr>
      </w:pPr>
      <w:r>
        <w:rPr/>
        <w:br w:type="column"/>
      </w:r>
      <w:r>
        <w:rPr>
          <w:rFonts w:ascii="Calibri"/>
          <w:b/>
          <w:sz w:val="40"/>
        </w:rPr>
      </w:r>
    </w:p>
    <w:p>
      <w:pPr>
        <w:pStyle w:val="Heading1"/>
        <w:spacing w:line="240" w:lineRule="auto" w:before="336"/>
        <w:ind w:left="1178" w:right="0"/>
        <w:jc w:val="left"/>
        <w:rPr>
          <w:b w:val="0"/>
          <w:bCs w:val="0"/>
        </w:rPr>
      </w:pPr>
      <w:r>
        <w:rPr/>
        <w:t>Executive</w:t>
      </w:r>
      <w:r>
        <w:rPr>
          <w:spacing w:val="-4"/>
        </w:rPr>
        <w:t> </w:t>
      </w:r>
      <w:r>
        <w:rPr/>
        <w:t>Summary</w:t>
      </w:r>
      <w:r>
        <w:rPr>
          <w:b w:val="0"/>
        </w:rPr>
      </w:r>
    </w:p>
    <w:p>
      <w:pPr>
        <w:spacing w:after="0" w:line="240" w:lineRule="auto"/>
        <w:jc w:val="left"/>
        <w:sectPr>
          <w:footerReference w:type="default" r:id="rId10"/>
          <w:pgSz w:w="12240" w:h="15840"/>
          <w:pgMar w:footer="533" w:header="0" w:top="840" w:bottom="720" w:left="0" w:right="0"/>
          <w:pgNumType w:start="1"/>
          <w:cols w:num="2" w:equalWidth="0">
            <w:col w:w="3271" w:space="40"/>
            <w:col w:w="8929"/>
          </w:cols>
        </w:sectPr>
      </w:pPr>
    </w:p>
    <w:p>
      <w:pPr>
        <w:spacing w:line="240" w:lineRule="auto" w:before="11"/>
        <w:ind w:right="0"/>
        <w:rPr>
          <w:rFonts w:ascii="Calibri" w:hAnsi="Calibri" w:cs="Calibri" w:eastAsia="Calibri" w:hint="default"/>
          <w:b/>
          <w:bCs/>
          <w:sz w:val="10"/>
          <w:szCs w:val="10"/>
        </w:rPr>
      </w:pPr>
    </w:p>
    <w:p>
      <w:pPr>
        <w:pStyle w:val="BodyText"/>
        <w:spacing w:line="240" w:lineRule="auto" w:before="59"/>
        <w:ind w:right="1441"/>
        <w:jc w:val="both"/>
      </w:pPr>
      <w:r>
        <w:rPr/>
        <w:t>Curaçao faces hard choices in the upcoming years. High unemployment (especially among the youth), a stagnant economy, and low confidence levels may spiral the island into dangerous socio-economic waters. These domestic challenges are occurring in the midst of the global economic uncertainties that have been triggered by a shaky Chinese</w:t>
      </w:r>
      <w:r>
        <w:rPr>
          <w:spacing w:val="-16"/>
        </w:rPr>
        <w:t> </w:t>
      </w:r>
      <w:r>
        <w:rPr/>
        <w:t>economy,</w:t>
      </w:r>
      <w:r>
        <w:rPr>
          <w:spacing w:val="-15"/>
        </w:rPr>
        <w:t> </w:t>
      </w:r>
      <w:r>
        <w:rPr/>
        <w:t>a</w:t>
      </w:r>
      <w:r>
        <w:rPr>
          <w:spacing w:val="-14"/>
        </w:rPr>
        <w:t> </w:t>
      </w:r>
      <w:r>
        <w:rPr/>
        <w:t>weakened</w:t>
      </w:r>
      <w:r>
        <w:rPr>
          <w:spacing w:val="-14"/>
        </w:rPr>
        <w:t> </w:t>
      </w:r>
      <w:r>
        <w:rPr/>
        <w:t>European</w:t>
      </w:r>
      <w:r>
        <w:rPr>
          <w:spacing w:val="-14"/>
        </w:rPr>
        <w:t> </w:t>
      </w:r>
      <w:r>
        <w:rPr/>
        <w:t>Union</w:t>
      </w:r>
      <w:r>
        <w:rPr>
          <w:spacing w:val="-14"/>
        </w:rPr>
        <w:t> </w:t>
      </w:r>
      <w:r>
        <w:rPr/>
        <w:t>and</w:t>
      </w:r>
      <w:r>
        <w:rPr>
          <w:spacing w:val="-14"/>
        </w:rPr>
        <w:t> </w:t>
      </w:r>
      <w:r>
        <w:rPr/>
        <w:t>Euro,</w:t>
      </w:r>
      <w:r>
        <w:rPr>
          <w:spacing w:val="-15"/>
        </w:rPr>
        <w:t> </w:t>
      </w:r>
      <w:r>
        <w:rPr/>
        <w:t>and</w:t>
      </w:r>
      <w:r>
        <w:rPr>
          <w:spacing w:val="-14"/>
        </w:rPr>
        <w:t> </w:t>
      </w:r>
      <w:r>
        <w:rPr/>
        <w:t>the</w:t>
      </w:r>
      <w:r>
        <w:rPr>
          <w:spacing w:val="-10"/>
        </w:rPr>
        <w:t> </w:t>
      </w:r>
      <w:r>
        <w:rPr/>
        <w:t>deepening</w:t>
      </w:r>
      <w:r>
        <w:rPr>
          <w:spacing w:val="-13"/>
        </w:rPr>
        <w:t> </w:t>
      </w:r>
      <w:r>
        <w:rPr/>
        <w:t>economic</w:t>
      </w:r>
      <w:r>
        <w:rPr>
          <w:spacing w:val="-15"/>
        </w:rPr>
        <w:t> </w:t>
      </w:r>
      <w:r>
        <w:rPr/>
        <w:t>travails</w:t>
      </w:r>
      <w:r>
        <w:rPr>
          <w:spacing w:val="-14"/>
        </w:rPr>
        <w:t> </w:t>
      </w:r>
      <w:r>
        <w:rPr/>
        <w:t>and</w:t>
      </w:r>
      <w:r>
        <w:rPr>
          <w:spacing w:val="-14"/>
        </w:rPr>
        <w:t> </w:t>
      </w:r>
      <w:r>
        <w:rPr/>
        <w:t>budget</w:t>
      </w:r>
      <w:r>
        <w:rPr>
          <w:spacing w:val="-15"/>
        </w:rPr>
        <w:t> </w:t>
      </w:r>
      <w:r>
        <w:rPr/>
        <w:t>problems </w:t>
      </w:r>
      <w:r>
        <w:rPr/>
        <w:t>of Brazil and</w:t>
      </w:r>
      <w:r>
        <w:rPr>
          <w:spacing w:val="-12"/>
        </w:rPr>
        <w:t> </w:t>
      </w:r>
      <w:r>
        <w:rPr/>
        <w:t>Venezuela.</w:t>
      </w:r>
    </w:p>
    <w:p>
      <w:pPr>
        <w:spacing w:line="240" w:lineRule="auto" w:before="11"/>
        <w:ind w:right="0"/>
        <w:rPr>
          <w:rFonts w:ascii="Calibri" w:hAnsi="Calibri" w:cs="Calibri" w:eastAsia="Calibri" w:hint="default"/>
          <w:sz w:val="19"/>
          <w:szCs w:val="19"/>
        </w:rPr>
      </w:pPr>
    </w:p>
    <w:p>
      <w:pPr>
        <w:pStyle w:val="BodyText"/>
        <w:spacing w:line="240" w:lineRule="auto"/>
        <w:ind w:right="1434"/>
        <w:jc w:val="both"/>
      </w:pPr>
      <w:r>
        <w:rPr/>
        <w:t>Yet, despite these challenges, Curaçao has made great strides in the tourism sector compared to other economic sectors on the island. The tourism sector demonstrated resilience against outside shocks and was able to steadily </w:t>
      </w:r>
      <w:r>
        <w:rPr>
          <w:rFonts w:ascii="Calibri" w:hAnsi="Calibri" w:cs="Calibri" w:eastAsia="Calibri" w:hint="default"/>
        </w:rPr>
        <w:t>increase its prominence in Curaçao’s economy. In fact, today, its share of the island’s economy is nearly </w:t>
      </w:r>
      <w:r>
        <w:rPr>
          <w:rFonts w:ascii="Calibri" w:hAnsi="Calibri" w:cs="Calibri" w:eastAsia="Calibri" w:hint="default"/>
          <w:spacing w:val="2"/>
        </w:rPr>
        <w:t>1</w:t>
      </w:r>
      <w:r>
        <w:rPr>
          <w:spacing w:val="2"/>
        </w:rPr>
        <w:t>8% </w:t>
      </w:r>
      <w:r>
        <w:rPr/>
        <w:t>of the </w:t>
      </w:r>
      <w:r>
        <w:rPr/>
        <w:t>total economy, impacting every economic sector on the island. In addition, the tourism sector has become a substantial source of employment on the island. Nearly 23% of jobs are created and sustained directly or indirectly by the tourism</w:t>
      </w:r>
      <w:r>
        <w:rPr>
          <w:spacing w:val="-12"/>
        </w:rPr>
        <w:t> </w:t>
      </w:r>
      <w:r>
        <w:rPr/>
        <w:t>sector.</w:t>
      </w:r>
    </w:p>
    <w:p>
      <w:pPr>
        <w:spacing w:line="240" w:lineRule="auto" w:before="1"/>
        <w:ind w:right="0"/>
        <w:rPr>
          <w:rFonts w:ascii="Calibri" w:hAnsi="Calibri" w:cs="Calibri" w:eastAsia="Calibri" w:hint="default"/>
          <w:sz w:val="20"/>
          <w:szCs w:val="20"/>
        </w:rPr>
      </w:pPr>
    </w:p>
    <w:p>
      <w:pPr>
        <w:pStyle w:val="BodyText"/>
        <w:spacing w:line="240" w:lineRule="auto"/>
        <w:ind w:right="1436"/>
        <w:jc w:val="both"/>
      </w:pPr>
      <w:r>
        <w:rPr/>
        <w:t>With its buoyant growth, the tourism sector has mushroomed in the past fifteen years. It is more mature, more </w:t>
      </w:r>
      <w:r>
        <w:rPr>
          <w:rFonts w:ascii="Calibri" w:hAnsi="Calibri" w:cs="Calibri" w:eastAsia="Calibri" w:hint="default"/>
        </w:rPr>
        <w:t>desired by tourists, and discloses more promise for the future. Curaçao’s tourism product has changed significantly over time with regard to the product portfolio, market segment mix, and the industry’s overall contribution to the </w:t>
      </w:r>
      <w:r>
        <w:rPr/>
        <w:t>economy. So, fittingly, the current tourism product seems to possess a composition of experiences that are evaluated by tourists as favorable. This favorable evaluation is shared by both actual tourists: those who have visited Curaçao within one year, and those potential tourists who have not visited Curaçao but have visited the Caribbean within the last five</w:t>
      </w:r>
      <w:r>
        <w:rPr>
          <w:spacing w:val="-19"/>
        </w:rPr>
        <w:t> </w:t>
      </w:r>
      <w:r>
        <w:rPr/>
        <w:t>years.</w:t>
      </w:r>
    </w:p>
    <w:p>
      <w:pPr>
        <w:pStyle w:val="Heading2"/>
        <w:spacing w:line="240" w:lineRule="auto" w:before="37"/>
        <w:ind w:right="0"/>
        <w:jc w:val="both"/>
        <w:rPr>
          <w:b w:val="0"/>
          <w:bCs w:val="0"/>
        </w:rPr>
      </w:pPr>
      <w:bookmarkStart w:name="_bookmark2" w:id="3"/>
      <w:bookmarkEnd w:id="3"/>
      <w:r>
        <w:rPr>
          <w:b w:val="0"/>
        </w:rPr>
      </w:r>
      <w:r>
        <w:rPr/>
        <w:t>Tourism is the Right</w:t>
      </w:r>
      <w:r>
        <w:rPr>
          <w:spacing w:val="-16"/>
        </w:rPr>
        <w:t> </w:t>
      </w:r>
      <w:r>
        <w:rPr/>
        <w:t>Choice</w:t>
      </w:r>
      <w:r>
        <w:rPr>
          <w:b w:val="0"/>
        </w:rPr>
      </w:r>
    </w:p>
    <w:p>
      <w:pPr>
        <w:pStyle w:val="BodyText"/>
        <w:spacing w:line="240" w:lineRule="auto" w:before="189"/>
        <w:ind w:right="1444"/>
        <w:jc w:val="both"/>
      </w:pPr>
      <w:r>
        <w:rPr/>
        <w:t>The timing is right to make a choice for tourism to become the strategic spearhead to catapult the island to new favorable</w:t>
      </w:r>
      <w:r>
        <w:rPr>
          <w:spacing w:val="-6"/>
        </w:rPr>
        <w:t> </w:t>
      </w:r>
      <w:r>
        <w:rPr/>
        <w:t>horizons</w:t>
      </w:r>
      <w:r>
        <w:rPr>
          <w:spacing w:val="-6"/>
        </w:rPr>
        <w:t> </w:t>
      </w:r>
      <w:r>
        <w:rPr/>
        <w:t>in</w:t>
      </w:r>
      <w:r>
        <w:rPr>
          <w:spacing w:val="-5"/>
        </w:rPr>
        <w:t> </w:t>
      </w:r>
      <w:r>
        <w:rPr/>
        <w:t>the</w:t>
      </w:r>
      <w:r>
        <w:rPr>
          <w:spacing w:val="-6"/>
        </w:rPr>
        <w:t> </w:t>
      </w:r>
      <w:r>
        <w:rPr/>
        <w:t>coming</w:t>
      </w:r>
      <w:r>
        <w:rPr>
          <w:spacing w:val="-6"/>
        </w:rPr>
        <w:t> </w:t>
      </w:r>
      <w:r>
        <w:rPr/>
        <w:t>years.</w:t>
      </w:r>
      <w:r>
        <w:rPr>
          <w:spacing w:val="35"/>
        </w:rPr>
        <w:t> </w:t>
      </w:r>
      <w:r>
        <w:rPr/>
        <w:t>Moreover,</w:t>
      </w:r>
      <w:r>
        <w:rPr>
          <w:spacing w:val="-5"/>
        </w:rPr>
        <w:t> </w:t>
      </w:r>
      <w:r>
        <w:rPr/>
        <w:t>there</w:t>
      </w:r>
      <w:r>
        <w:rPr>
          <w:spacing w:val="-6"/>
        </w:rPr>
        <w:t> </w:t>
      </w:r>
      <w:r>
        <w:rPr/>
        <w:t>is</w:t>
      </w:r>
      <w:r>
        <w:rPr>
          <w:spacing w:val="-5"/>
        </w:rPr>
        <w:t> </w:t>
      </w:r>
      <w:r>
        <w:rPr/>
        <w:t>ample</w:t>
      </w:r>
      <w:r>
        <w:rPr>
          <w:spacing w:val="-6"/>
        </w:rPr>
        <w:t> </w:t>
      </w:r>
      <w:r>
        <w:rPr/>
        <w:t>evidence</w:t>
      </w:r>
      <w:r>
        <w:rPr>
          <w:spacing w:val="-6"/>
        </w:rPr>
        <w:t> </w:t>
      </w:r>
      <w:r>
        <w:rPr/>
        <w:t>that</w:t>
      </w:r>
      <w:r>
        <w:rPr>
          <w:spacing w:val="-5"/>
        </w:rPr>
        <w:t> </w:t>
      </w:r>
      <w:r>
        <w:rPr/>
        <w:t>small</w:t>
      </w:r>
      <w:r>
        <w:rPr>
          <w:spacing w:val="-5"/>
        </w:rPr>
        <w:t> </w:t>
      </w:r>
      <w:r>
        <w:rPr/>
        <w:t>islands</w:t>
      </w:r>
      <w:r>
        <w:rPr>
          <w:spacing w:val="-6"/>
        </w:rPr>
        <w:t> </w:t>
      </w:r>
      <w:r>
        <w:rPr/>
        <w:t>specializing</w:t>
      </w:r>
      <w:r>
        <w:rPr>
          <w:spacing w:val="-6"/>
        </w:rPr>
        <w:t> </w:t>
      </w:r>
      <w:r>
        <w:rPr/>
        <w:t>in</w:t>
      </w:r>
      <w:r>
        <w:rPr>
          <w:spacing w:val="-5"/>
        </w:rPr>
        <w:t> </w:t>
      </w:r>
      <w:r>
        <w:rPr/>
        <w:t>tourism </w:t>
      </w:r>
      <w:r>
        <w:rPr/>
        <w:t>grow faster than islands less specialized in tourism. Thus, tourism has the prowess and potential to facilitate the solutions to a stagnant economy and unemployment. In other words, tourism can propel economic growth and create the jobs that are so crucial to the welfare of</w:t>
      </w:r>
      <w:r>
        <w:rPr>
          <w:spacing w:val="-26"/>
        </w:rPr>
        <w:t> </w:t>
      </w:r>
      <w:r>
        <w:rPr/>
        <w:t>Curaçao.</w:t>
      </w:r>
    </w:p>
    <w:p>
      <w:pPr>
        <w:spacing w:line="240" w:lineRule="auto" w:before="1"/>
        <w:ind w:right="0"/>
        <w:rPr>
          <w:rFonts w:ascii="Calibri" w:hAnsi="Calibri" w:cs="Calibri" w:eastAsia="Calibri" w:hint="default"/>
          <w:sz w:val="20"/>
          <w:szCs w:val="20"/>
        </w:rPr>
      </w:pPr>
    </w:p>
    <w:p>
      <w:pPr>
        <w:pStyle w:val="BodyText"/>
        <w:spacing w:line="240" w:lineRule="auto"/>
        <w:ind w:right="1443"/>
        <w:jc w:val="both"/>
      </w:pPr>
      <w:r>
        <w:rPr/>
        <w:t>There are a number of factors that prompt optimism regarding the opportunity for Curaçao to continue moving forward.</w:t>
      </w:r>
      <w:r>
        <w:rPr>
          <w:spacing w:val="-7"/>
        </w:rPr>
        <w:t> </w:t>
      </w:r>
      <w:r>
        <w:rPr/>
        <w:t>Despite</w:t>
      </w:r>
      <w:r>
        <w:rPr>
          <w:spacing w:val="-9"/>
        </w:rPr>
        <w:t> </w:t>
      </w:r>
      <w:r>
        <w:rPr/>
        <w:t>the</w:t>
      </w:r>
      <w:r>
        <w:rPr>
          <w:spacing w:val="-9"/>
        </w:rPr>
        <w:t> </w:t>
      </w:r>
      <w:r>
        <w:rPr/>
        <w:t>reigning</w:t>
      </w:r>
      <w:r>
        <w:rPr>
          <w:spacing w:val="-6"/>
        </w:rPr>
        <w:t> </w:t>
      </w:r>
      <w:r>
        <w:rPr/>
        <w:t>global</w:t>
      </w:r>
      <w:r>
        <w:rPr>
          <w:spacing w:val="-7"/>
        </w:rPr>
        <w:t> </w:t>
      </w:r>
      <w:r>
        <w:rPr/>
        <w:t>market</w:t>
      </w:r>
      <w:r>
        <w:rPr>
          <w:spacing w:val="-8"/>
        </w:rPr>
        <w:t> </w:t>
      </w:r>
      <w:r>
        <w:rPr/>
        <w:t>growth</w:t>
      </w:r>
      <w:r>
        <w:rPr>
          <w:spacing w:val="-7"/>
        </w:rPr>
        <w:t> </w:t>
      </w:r>
      <w:r>
        <w:rPr/>
        <w:t>uncertainty</w:t>
      </w:r>
      <w:r>
        <w:rPr>
          <w:spacing w:val="-7"/>
        </w:rPr>
        <w:t> </w:t>
      </w:r>
      <w:r>
        <w:rPr/>
        <w:t>for</w:t>
      </w:r>
      <w:r>
        <w:rPr>
          <w:spacing w:val="-8"/>
        </w:rPr>
        <w:t> </w:t>
      </w:r>
      <w:r>
        <w:rPr/>
        <w:t>destinations,</w:t>
      </w:r>
      <w:r>
        <w:rPr>
          <w:spacing w:val="-7"/>
        </w:rPr>
        <w:t> </w:t>
      </w:r>
      <w:r>
        <w:rPr/>
        <w:t>a</w:t>
      </w:r>
      <w:r>
        <w:rPr>
          <w:spacing w:val="-7"/>
        </w:rPr>
        <w:t> </w:t>
      </w:r>
      <w:r>
        <w:rPr/>
        <w:t>levered</w:t>
      </w:r>
      <w:r>
        <w:rPr>
          <w:spacing w:val="-5"/>
        </w:rPr>
        <w:t> </w:t>
      </w:r>
      <w:r>
        <w:rPr/>
        <w:t>opportunity</w:t>
      </w:r>
      <w:r>
        <w:rPr>
          <w:spacing w:val="-7"/>
        </w:rPr>
        <w:t> </w:t>
      </w:r>
      <w:r>
        <w:rPr/>
        <w:t>has</w:t>
      </w:r>
      <w:r>
        <w:rPr>
          <w:spacing w:val="-8"/>
        </w:rPr>
        <w:t> </w:t>
      </w:r>
      <w:r>
        <w:rPr/>
        <w:t>surfaced </w:t>
      </w:r>
      <w:r>
        <w:rPr/>
        <w:t>for</w:t>
      </w:r>
      <w:r>
        <w:rPr>
          <w:spacing w:val="-4"/>
        </w:rPr>
        <w:t> </w:t>
      </w:r>
      <w:r>
        <w:rPr/>
        <w:t>destinations</w:t>
      </w:r>
      <w:r>
        <w:rPr>
          <w:spacing w:val="-6"/>
        </w:rPr>
        <w:t> </w:t>
      </w:r>
      <w:r>
        <w:rPr/>
        <w:t>located</w:t>
      </w:r>
      <w:r>
        <w:rPr>
          <w:spacing w:val="-4"/>
        </w:rPr>
        <w:t> </w:t>
      </w:r>
      <w:r>
        <w:rPr/>
        <w:t>within</w:t>
      </w:r>
      <w:r>
        <w:rPr>
          <w:spacing w:val="-4"/>
        </w:rPr>
        <w:t> </w:t>
      </w:r>
      <w:r>
        <w:rPr/>
        <w:t>the</w:t>
      </w:r>
      <w:r>
        <w:rPr>
          <w:spacing w:val="-5"/>
        </w:rPr>
        <w:t> </w:t>
      </w:r>
      <w:r>
        <w:rPr/>
        <w:t>Caribbean.</w:t>
      </w:r>
      <w:r>
        <w:rPr>
          <w:spacing w:val="-6"/>
        </w:rPr>
        <w:t> </w:t>
      </w:r>
      <w:r>
        <w:rPr/>
        <w:t>This</w:t>
      </w:r>
      <w:r>
        <w:rPr>
          <w:spacing w:val="-5"/>
        </w:rPr>
        <w:t> </w:t>
      </w:r>
      <w:r>
        <w:rPr/>
        <w:t>opportunity</w:t>
      </w:r>
      <w:r>
        <w:rPr>
          <w:spacing w:val="-4"/>
        </w:rPr>
        <w:t> </w:t>
      </w:r>
      <w:r>
        <w:rPr/>
        <w:t>may</w:t>
      </w:r>
      <w:r>
        <w:rPr>
          <w:spacing w:val="-5"/>
        </w:rPr>
        <w:t> </w:t>
      </w:r>
      <w:r>
        <w:rPr/>
        <w:t>benefit</w:t>
      </w:r>
      <w:r>
        <w:rPr>
          <w:spacing w:val="-4"/>
        </w:rPr>
        <w:t> </w:t>
      </w:r>
      <w:r>
        <w:rPr/>
        <w:t>Curaçao</w:t>
      </w:r>
      <w:r>
        <w:rPr>
          <w:spacing w:val="-4"/>
        </w:rPr>
        <w:t> </w:t>
      </w:r>
      <w:r>
        <w:rPr/>
        <w:t>as</w:t>
      </w:r>
      <w:r>
        <w:rPr>
          <w:spacing w:val="-6"/>
        </w:rPr>
        <w:t> </w:t>
      </w:r>
      <w:r>
        <w:rPr/>
        <w:t>Caribbean</w:t>
      </w:r>
      <w:r>
        <w:rPr>
          <w:spacing w:val="-3"/>
        </w:rPr>
        <w:t> </w:t>
      </w:r>
      <w:r>
        <w:rPr/>
        <w:t>vacations</w:t>
      </w:r>
      <w:r>
        <w:rPr>
          <w:spacing w:val="-6"/>
        </w:rPr>
        <w:t> </w:t>
      </w:r>
      <w:r>
        <w:rPr/>
        <w:t>are</w:t>
      </w:r>
      <w:r>
        <w:rPr>
          <w:spacing w:val="-5"/>
        </w:rPr>
        <w:t> </w:t>
      </w:r>
      <w:r>
        <w:rPr/>
        <w:t>the </w:t>
      </w:r>
      <w:r>
        <w:rPr/>
        <w:t>most desired foreign vacations for US residents. Thus, given its resilience and impact, the tourism sector becomes  a</w:t>
      </w:r>
      <w:r>
        <w:rPr>
          <w:spacing w:val="-2"/>
        </w:rPr>
        <w:t> </w:t>
      </w:r>
      <w:r>
        <w:rPr/>
        <w:t>beacon</w:t>
      </w:r>
      <w:r>
        <w:rPr>
          <w:spacing w:val="-2"/>
        </w:rPr>
        <w:t> </w:t>
      </w:r>
      <w:r>
        <w:rPr/>
        <w:t>that</w:t>
      </w:r>
      <w:r>
        <w:rPr>
          <w:spacing w:val="-2"/>
        </w:rPr>
        <w:t> </w:t>
      </w:r>
      <w:r>
        <w:rPr/>
        <w:t>guides</w:t>
      </w:r>
      <w:r>
        <w:rPr>
          <w:spacing w:val="-4"/>
        </w:rPr>
        <w:t> </w:t>
      </w:r>
      <w:r>
        <w:rPr/>
        <w:t>the</w:t>
      </w:r>
      <w:r>
        <w:rPr>
          <w:spacing w:val="-3"/>
        </w:rPr>
        <w:t> </w:t>
      </w:r>
      <w:r>
        <w:rPr/>
        <w:t>island</w:t>
      </w:r>
      <w:r>
        <w:rPr>
          <w:spacing w:val="-2"/>
        </w:rPr>
        <w:t> </w:t>
      </w:r>
      <w:r>
        <w:rPr/>
        <w:t>as</w:t>
      </w:r>
      <w:r>
        <w:rPr>
          <w:spacing w:val="-4"/>
        </w:rPr>
        <w:t> </w:t>
      </w:r>
      <w:r>
        <w:rPr/>
        <w:t>it</w:t>
      </w:r>
      <w:r>
        <w:rPr>
          <w:spacing w:val="-2"/>
        </w:rPr>
        <w:t> </w:t>
      </w:r>
      <w:r>
        <w:rPr/>
        <w:t>forages</w:t>
      </w:r>
      <w:r>
        <w:rPr>
          <w:spacing w:val="-4"/>
        </w:rPr>
        <w:t> </w:t>
      </w:r>
      <w:r>
        <w:rPr/>
        <w:t>to</w:t>
      </w:r>
      <w:r>
        <w:rPr>
          <w:spacing w:val="-2"/>
        </w:rPr>
        <w:t> </w:t>
      </w:r>
      <w:r>
        <w:rPr/>
        <w:t>capture</w:t>
      </w:r>
      <w:r>
        <w:rPr>
          <w:spacing w:val="-3"/>
        </w:rPr>
        <w:t> </w:t>
      </w:r>
      <w:r>
        <w:rPr/>
        <w:t>more</w:t>
      </w:r>
      <w:r>
        <w:rPr>
          <w:spacing w:val="-3"/>
        </w:rPr>
        <w:t> </w:t>
      </w:r>
      <w:r>
        <w:rPr/>
        <w:t>market</w:t>
      </w:r>
      <w:r>
        <w:rPr>
          <w:spacing w:val="-2"/>
        </w:rPr>
        <w:t> </w:t>
      </w:r>
      <w:r>
        <w:rPr/>
        <w:t>factions</w:t>
      </w:r>
      <w:r>
        <w:rPr>
          <w:spacing w:val="3"/>
        </w:rPr>
        <w:t> </w:t>
      </w:r>
      <w:r>
        <w:rPr>
          <w:rFonts w:ascii="Calibri" w:hAnsi="Calibri" w:cs="Calibri" w:eastAsia="Calibri" w:hint="default"/>
        </w:rPr>
        <w:t>– </w:t>
      </w:r>
      <w:r>
        <w:rPr/>
        <w:t>especially</w:t>
      </w:r>
      <w:r>
        <w:rPr>
          <w:spacing w:val="1"/>
        </w:rPr>
        <w:t> </w:t>
      </w:r>
      <w:r>
        <w:rPr/>
        <w:t>with</w:t>
      </w:r>
      <w:r>
        <w:rPr>
          <w:spacing w:val="-2"/>
        </w:rPr>
        <w:t> </w:t>
      </w:r>
      <w:r>
        <w:rPr/>
        <w:t>regard</w:t>
      </w:r>
      <w:r>
        <w:rPr>
          <w:spacing w:val="-2"/>
        </w:rPr>
        <w:t> </w:t>
      </w:r>
      <w:r>
        <w:rPr/>
        <w:t>to</w:t>
      </w:r>
      <w:r>
        <w:rPr>
          <w:spacing w:val="-2"/>
        </w:rPr>
        <w:t> </w:t>
      </w:r>
      <w:r>
        <w:rPr/>
        <w:t>the</w:t>
      </w:r>
      <w:r>
        <w:rPr>
          <w:spacing w:val="-3"/>
        </w:rPr>
        <w:t> </w:t>
      </w:r>
      <w:r>
        <w:rPr/>
        <w:t>US.</w:t>
      </w:r>
    </w:p>
    <w:p>
      <w:pPr>
        <w:pStyle w:val="Heading2"/>
        <w:spacing w:line="240" w:lineRule="auto" w:before="37"/>
        <w:ind w:right="0"/>
        <w:jc w:val="both"/>
        <w:rPr>
          <w:rFonts w:ascii="Calibri" w:hAnsi="Calibri" w:cs="Calibri" w:eastAsia="Calibri" w:hint="default"/>
          <w:b w:val="0"/>
          <w:bCs w:val="0"/>
        </w:rPr>
      </w:pPr>
      <w:bookmarkStart w:name="_bookmark3" w:id="4"/>
      <w:bookmarkEnd w:id="4"/>
      <w:r>
        <w:rPr>
          <w:b w:val="0"/>
          <w:bCs w:val="0"/>
        </w:rPr>
      </w:r>
      <w:r>
        <w:rPr>
          <w:rFonts w:ascii="Calibri" w:hAnsi="Calibri" w:cs="Calibri" w:eastAsia="Calibri" w:hint="default"/>
        </w:rPr>
        <w:t>Curaçao’s</w:t>
      </w:r>
      <w:r>
        <w:rPr>
          <w:rFonts w:ascii="Calibri" w:hAnsi="Calibri" w:cs="Calibri" w:eastAsia="Calibri" w:hint="default"/>
          <w:spacing w:val="-8"/>
        </w:rPr>
        <w:t> </w:t>
      </w:r>
      <w:r>
        <w:rPr>
          <w:rFonts w:ascii="Calibri" w:hAnsi="Calibri" w:cs="Calibri" w:eastAsia="Calibri" w:hint="default"/>
        </w:rPr>
        <w:t>Opportunity</w:t>
      </w:r>
      <w:r>
        <w:rPr>
          <w:rFonts w:ascii="Calibri" w:hAnsi="Calibri" w:cs="Calibri" w:eastAsia="Calibri" w:hint="default"/>
          <w:b w:val="0"/>
          <w:bCs w:val="0"/>
        </w:rPr>
      </w:r>
    </w:p>
    <w:p>
      <w:pPr>
        <w:pStyle w:val="BodyText"/>
        <w:spacing w:line="240" w:lineRule="auto" w:before="191"/>
        <w:ind w:right="1433"/>
        <w:jc w:val="both"/>
      </w:pPr>
      <w:r>
        <w:rPr/>
        <w:t>Curaçao</w:t>
      </w:r>
      <w:r>
        <w:rPr>
          <w:spacing w:val="-9"/>
        </w:rPr>
        <w:t> </w:t>
      </w:r>
      <w:r>
        <w:rPr/>
        <w:t>has</w:t>
      </w:r>
      <w:r>
        <w:rPr>
          <w:spacing w:val="-10"/>
        </w:rPr>
        <w:t> </w:t>
      </w:r>
      <w:r>
        <w:rPr/>
        <w:t>a</w:t>
      </w:r>
      <w:r>
        <w:rPr>
          <w:spacing w:val="-9"/>
        </w:rPr>
        <w:t> </w:t>
      </w:r>
      <w:r>
        <w:rPr/>
        <w:t>unique</w:t>
      </w:r>
      <w:r>
        <w:rPr>
          <w:spacing w:val="-10"/>
        </w:rPr>
        <w:t> </w:t>
      </w:r>
      <w:r>
        <w:rPr/>
        <w:t>opportunity</w:t>
      </w:r>
      <w:r>
        <w:rPr>
          <w:spacing w:val="-8"/>
        </w:rPr>
        <w:t> </w:t>
      </w:r>
      <w:r>
        <w:rPr/>
        <w:t>if</w:t>
      </w:r>
      <w:r>
        <w:rPr>
          <w:spacing w:val="-10"/>
        </w:rPr>
        <w:t> </w:t>
      </w:r>
      <w:r>
        <w:rPr/>
        <w:t>the</w:t>
      </w:r>
      <w:r>
        <w:rPr>
          <w:spacing w:val="-10"/>
        </w:rPr>
        <w:t> </w:t>
      </w:r>
      <w:r>
        <w:rPr/>
        <w:t>destination</w:t>
      </w:r>
      <w:r>
        <w:rPr>
          <w:spacing w:val="-8"/>
        </w:rPr>
        <w:t> </w:t>
      </w:r>
      <w:r>
        <w:rPr/>
        <w:t>is</w:t>
      </w:r>
      <w:r>
        <w:rPr>
          <w:spacing w:val="-8"/>
        </w:rPr>
        <w:t> </w:t>
      </w:r>
      <w:r>
        <w:rPr/>
        <w:t>willing</w:t>
      </w:r>
      <w:r>
        <w:rPr>
          <w:spacing w:val="-7"/>
        </w:rPr>
        <w:t> </w:t>
      </w:r>
      <w:r>
        <w:rPr/>
        <w:t>to</w:t>
      </w:r>
      <w:r>
        <w:rPr>
          <w:spacing w:val="-9"/>
        </w:rPr>
        <w:t> </w:t>
      </w:r>
      <w:r>
        <w:rPr/>
        <w:t>take</w:t>
      </w:r>
      <w:r>
        <w:rPr>
          <w:spacing w:val="-9"/>
        </w:rPr>
        <w:t> </w:t>
      </w:r>
      <w:r>
        <w:rPr/>
        <w:t>up</w:t>
      </w:r>
      <w:r>
        <w:rPr>
          <w:spacing w:val="-9"/>
        </w:rPr>
        <w:t> </w:t>
      </w:r>
      <w:r>
        <w:rPr/>
        <w:t>the</w:t>
      </w:r>
      <w:r>
        <w:rPr>
          <w:spacing w:val="-10"/>
        </w:rPr>
        <w:t> </w:t>
      </w:r>
      <w:r>
        <w:rPr/>
        <w:t>challenge</w:t>
      </w:r>
      <w:r>
        <w:rPr>
          <w:spacing w:val="-10"/>
        </w:rPr>
        <w:t> </w:t>
      </w:r>
      <w:r>
        <w:rPr/>
        <w:t>to</w:t>
      </w:r>
      <w:r>
        <w:rPr>
          <w:spacing w:val="-9"/>
        </w:rPr>
        <w:t> </w:t>
      </w:r>
      <w:r>
        <w:rPr/>
        <w:t>reposition</w:t>
      </w:r>
      <w:r>
        <w:rPr>
          <w:spacing w:val="-9"/>
        </w:rPr>
        <w:t> </w:t>
      </w:r>
      <w:r>
        <w:rPr/>
        <w:t>itself</w:t>
      </w:r>
      <w:r>
        <w:rPr>
          <w:spacing w:val="-10"/>
        </w:rPr>
        <w:t> </w:t>
      </w:r>
      <w:r>
        <w:rPr/>
        <w:t>in</w:t>
      </w:r>
      <w:r>
        <w:rPr>
          <w:spacing w:val="-9"/>
        </w:rPr>
        <w:t> </w:t>
      </w:r>
      <w:r>
        <w:rPr/>
        <w:t>a</w:t>
      </w:r>
      <w:r>
        <w:rPr>
          <w:spacing w:val="-6"/>
        </w:rPr>
        <w:t> </w:t>
      </w:r>
      <w:r>
        <w:rPr/>
        <w:t>manner </w:t>
      </w:r>
      <w:r>
        <w:rPr/>
        <w:t>that could bring it once again to the forefront of small island destinations. Warm weather continues to be a strong draw for desired vacations, but hospitality factors (i.e., soft components of tourism) have emerged as the most important attribute for tourists in deciding which Caribbean destination they would like to visit. It is clear that visitors</w:t>
      </w:r>
      <w:r>
        <w:rPr>
          <w:spacing w:val="-5"/>
        </w:rPr>
        <w:t> </w:t>
      </w:r>
      <w:r>
        <w:rPr/>
        <w:t>to</w:t>
      </w:r>
      <w:r>
        <w:rPr>
          <w:spacing w:val="-3"/>
        </w:rPr>
        <w:t> </w:t>
      </w:r>
      <w:r>
        <w:rPr/>
        <w:t>Curacao</w:t>
      </w:r>
      <w:r>
        <w:rPr>
          <w:spacing w:val="-3"/>
        </w:rPr>
        <w:t> </w:t>
      </w:r>
      <w:r>
        <w:rPr/>
        <w:t>view</w:t>
      </w:r>
      <w:r>
        <w:rPr>
          <w:spacing w:val="-4"/>
        </w:rPr>
        <w:t> </w:t>
      </w:r>
      <w:r>
        <w:rPr/>
        <w:t>high</w:t>
      </w:r>
      <w:r>
        <w:rPr>
          <w:spacing w:val="-3"/>
        </w:rPr>
        <w:t> </w:t>
      </w:r>
      <w:r>
        <w:rPr/>
        <w:t>quality</w:t>
      </w:r>
      <w:r>
        <w:rPr>
          <w:spacing w:val="-3"/>
        </w:rPr>
        <w:t> </w:t>
      </w:r>
      <w:r>
        <w:rPr/>
        <w:t>service</w:t>
      </w:r>
      <w:r>
        <w:rPr>
          <w:spacing w:val="-5"/>
        </w:rPr>
        <w:t> </w:t>
      </w:r>
      <w:r>
        <w:rPr/>
        <w:t>delivery</w:t>
      </w:r>
      <w:r>
        <w:rPr>
          <w:spacing w:val="-3"/>
        </w:rPr>
        <w:t> </w:t>
      </w:r>
      <w:r>
        <w:rPr/>
        <w:t>and</w:t>
      </w:r>
      <w:r>
        <w:rPr>
          <w:spacing w:val="-3"/>
        </w:rPr>
        <w:t> </w:t>
      </w:r>
      <w:r>
        <w:rPr/>
        <w:t>hospitality</w:t>
      </w:r>
      <w:r>
        <w:rPr>
          <w:spacing w:val="-3"/>
        </w:rPr>
        <w:t> </w:t>
      </w:r>
      <w:r>
        <w:rPr/>
        <w:t>factors</w:t>
      </w:r>
      <w:r>
        <w:rPr>
          <w:spacing w:val="-5"/>
        </w:rPr>
        <w:t> </w:t>
      </w:r>
      <w:r>
        <w:rPr/>
        <w:t>as</w:t>
      </w:r>
      <w:r>
        <w:rPr>
          <w:spacing w:val="-5"/>
        </w:rPr>
        <w:t> </w:t>
      </w:r>
      <w:r>
        <w:rPr/>
        <w:t>characteristics</w:t>
      </w:r>
      <w:r>
        <w:rPr>
          <w:spacing w:val="-5"/>
        </w:rPr>
        <w:t> </w:t>
      </w:r>
      <w:r>
        <w:rPr/>
        <w:t>necessary</w:t>
      </w:r>
      <w:r>
        <w:rPr>
          <w:spacing w:val="-3"/>
        </w:rPr>
        <w:t> </w:t>
      </w:r>
      <w:r>
        <w:rPr/>
        <w:t>to</w:t>
      </w:r>
      <w:r>
        <w:rPr>
          <w:spacing w:val="-3"/>
        </w:rPr>
        <w:t> </w:t>
      </w:r>
      <w:r>
        <w:rPr/>
        <w:t>desirable </w:t>
      </w:r>
      <w:r>
        <w:rPr/>
        <w:t>destinations. In addition, there is strong local support for tourism development amongst the local population. Therefore,</w:t>
      </w:r>
      <w:r>
        <w:rPr>
          <w:spacing w:val="-5"/>
        </w:rPr>
        <w:t> </w:t>
      </w:r>
      <w:r>
        <w:rPr/>
        <w:t>Curaçao</w:t>
      </w:r>
      <w:r>
        <w:rPr>
          <w:spacing w:val="-5"/>
        </w:rPr>
        <w:t> </w:t>
      </w:r>
      <w:r>
        <w:rPr/>
        <w:t>as</w:t>
      </w:r>
      <w:r>
        <w:rPr>
          <w:spacing w:val="-6"/>
        </w:rPr>
        <w:t> </w:t>
      </w:r>
      <w:r>
        <w:rPr/>
        <w:t>a</w:t>
      </w:r>
      <w:r>
        <w:rPr>
          <w:spacing w:val="-5"/>
        </w:rPr>
        <w:t> </w:t>
      </w:r>
      <w:r>
        <w:rPr/>
        <w:t>destination</w:t>
      </w:r>
      <w:r>
        <w:rPr>
          <w:spacing w:val="-5"/>
        </w:rPr>
        <w:t> </w:t>
      </w:r>
      <w:r>
        <w:rPr/>
        <w:t>is</w:t>
      </w:r>
      <w:r>
        <w:rPr>
          <w:spacing w:val="-7"/>
        </w:rPr>
        <w:t> </w:t>
      </w:r>
      <w:r>
        <w:rPr/>
        <w:t>logically</w:t>
      </w:r>
      <w:r>
        <w:rPr>
          <w:spacing w:val="-5"/>
        </w:rPr>
        <w:t> </w:t>
      </w:r>
      <w:r>
        <w:rPr/>
        <w:t>positioned</w:t>
      </w:r>
      <w:r>
        <w:rPr>
          <w:spacing w:val="-5"/>
        </w:rPr>
        <w:t> </w:t>
      </w:r>
      <w:r>
        <w:rPr/>
        <w:t>to</w:t>
      </w:r>
      <w:r>
        <w:rPr>
          <w:spacing w:val="-5"/>
        </w:rPr>
        <w:t> </w:t>
      </w:r>
      <w:r>
        <w:rPr/>
        <w:t>grow</w:t>
      </w:r>
      <w:r>
        <w:rPr>
          <w:spacing w:val="-6"/>
        </w:rPr>
        <w:t> </w:t>
      </w:r>
      <w:r>
        <w:rPr/>
        <w:t>and</w:t>
      </w:r>
      <w:r>
        <w:rPr>
          <w:spacing w:val="-7"/>
        </w:rPr>
        <w:t> </w:t>
      </w:r>
      <w:r>
        <w:rPr/>
        <w:t>deliver</w:t>
      </w:r>
      <w:r>
        <w:rPr>
          <w:spacing w:val="-5"/>
        </w:rPr>
        <w:t> </w:t>
      </w:r>
      <w:r>
        <w:rPr/>
        <w:t>strong</w:t>
      </w:r>
      <w:r>
        <w:rPr>
          <w:spacing w:val="-6"/>
        </w:rPr>
        <w:t> </w:t>
      </w:r>
      <w:r>
        <w:rPr/>
        <w:t>economic</w:t>
      </w:r>
      <w:r>
        <w:rPr>
          <w:spacing w:val="-6"/>
        </w:rPr>
        <w:t> </w:t>
      </w:r>
      <w:r>
        <w:rPr/>
        <w:t>and</w:t>
      </w:r>
      <w:r>
        <w:rPr>
          <w:spacing w:val="-5"/>
        </w:rPr>
        <w:t> </w:t>
      </w:r>
      <w:r>
        <w:rPr/>
        <w:t>job</w:t>
      </w:r>
      <w:r>
        <w:rPr>
          <w:spacing w:val="-1"/>
        </w:rPr>
        <w:t> </w:t>
      </w:r>
      <w:r>
        <w:rPr/>
        <w:t>growth</w:t>
      </w:r>
      <w:r>
        <w:rPr>
          <w:spacing w:val="-5"/>
        </w:rPr>
        <w:t> </w:t>
      </w:r>
      <w:r>
        <w:rPr/>
        <w:t>from </w:t>
      </w:r>
      <w:r>
        <w:rPr/>
        <w:t>the tourism</w:t>
      </w:r>
      <w:r>
        <w:rPr>
          <w:spacing w:val="-9"/>
        </w:rPr>
        <w:t> </w:t>
      </w:r>
      <w:r>
        <w:rPr/>
        <w:t>sector.</w:t>
      </w:r>
    </w:p>
    <w:p>
      <w:pPr>
        <w:spacing w:after="0" w:line="240" w:lineRule="auto"/>
        <w:jc w:val="both"/>
        <w:sectPr>
          <w:type w:val="continuous"/>
          <w:pgSz w:w="12240" w:h="15840"/>
          <w:pgMar w:top="1500" w:bottom="280" w:left="0" w:right="0"/>
        </w:sectPr>
      </w:pP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24"/>
          <w:szCs w:val="24"/>
        </w:rPr>
      </w:pPr>
    </w:p>
    <w:p>
      <w:pPr>
        <w:pStyle w:val="Heading2"/>
        <w:spacing w:line="240" w:lineRule="auto"/>
        <w:ind w:right="0"/>
        <w:jc w:val="both"/>
        <w:rPr>
          <w:b w:val="0"/>
          <w:bCs w:val="0"/>
        </w:rPr>
      </w:pPr>
      <w:bookmarkStart w:name="_bookmark4" w:id="5"/>
      <w:bookmarkEnd w:id="5"/>
      <w:r>
        <w:rPr>
          <w:b w:val="0"/>
        </w:rPr>
      </w:r>
      <w:r>
        <w:rPr/>
        <w:t>The</w:t>
      </w:r>
      <w:r>
        <w:rPr>
          <w:spacing w:val="-12"/>
        </w:rPr>
        <w:t> </w:t>
      </w:r>
      <w:r>
        <w:rPr/>
        <w:t>Process</w:t>
      </w:r>
      <w:r>
        <w:rPr>
          <w:b w:val="0"/>
        </w:rPr>
      </w:r>
    </w:p>
    <w:p>
      <w:pPr>
        <w:pStyle w:val="BodyText"/>
        <w:spacing w:line="240" w:lineRule="auto" w:before="191"/>
        <w:ind w:right="1437"/>
        <w:jc w:val="both"/>
      </w:pPr>
      <w:r>
        <w:rPr/>
        <w:t>Recognizing this emerging opportunity, the Minister of Economic Development and the Curaçao Tourism Board commissioned (October, 2014) the Dick Pope Sr. Institute </w:t>
      </w:r>
      <w:r>
        <w:rPr>
          <w:rFonts w:ascii="Calibri" w:hAnsi="Calibri"/>
          <w:i/>
        </w:rPr>
        <w:t>for </w:t>
      </w:r>
      <w:r>
        <w:rPr/>
        <w:t>Tourism Studies (DPITS) at the Rosen College of Hospitality</w:t>
      </w:r>
      <w:r>
        <w:rPr>
          <w:spacing w:val="-3"/>
        </w:rPr>
        <w:t> </w:t>
      </w:r>
      <w:r>
        <w:rPr/>
        <w:t>Management</w:t>
      </w:r>
      <w:r>
        <w:rPr>
          <w:spacing w:val="-3"/>
        </w:rPr>
        <w:t> </w:t>
      </w:r>
      <w:r>
        <w:rPr/>
        <w:t>at</w:t>
      </w:r>
      <w:r>
        <w:rPr>
          <w:spacing w:val="-3"/>
        </w:rPr>
        <w:t> </w:t>
      </w:r>
      <w:r>
        <w:rPr/>
        <w:t>the</w:t>
      </w:r>
      <w:r>
        <w:rPr>
          <w:spacing w:val="-4"/>
        </w:rPr>
        <w:t> </w:t>
      </w:r>
      <w:r>
        <w:rPr/>
        <w:t>University</w:t>
      </w:r>
      <w:r>
        <w:rPr>
          <w:spacing w:val="-3"/>
        </w:rPr>
        <w:t> </w:t>
      </w:r>
      <w:r>
        <w:rPr/>
        <w:t>of</w:t>
      </w:r>
      <w:r>
        <w:rPr>
          <w:spacing w:val="-5"/>
        </w:rPr>
        <w:t> </w:t>
      </w:r>
      <w:r>
        <w:rPr/>
        <w:t>Central</w:t>
      </w:r>
      <w:r>
        <w:rPr>
          <w:spacing w:val="-4"/>
        </w:rPr>
        <w:t> </w:t>
      </w:r>
      <w:r>
        <w:rPr/>
        <w:t>Florida</w:t>
      </w:r>
      <w:r>
        <w:rPr>
          <w:spacing w:val="-1"/>
        </w:rPr>
        <w:t> </w:t>
      </w:r>
      <w:r>
        <w:rPr/>
        <w:t>to</w:t>
      </w:r>
      <w:r>
        <w:rPr>
          <w:spacing w:val="-3"/>
        </w:rPr>
        <w:t> </w:t>
      </w:r>
      <w:r>
        <w:rPr/>
        <w:t>develop</w:t>
      </w:r>
      <w:r>
        <w:rPr>
          <w:spacing w:val="-3"/>
        </w:rPr>
        <w:t> </w:t>
      </w:r>
      <w:r>
        <w:rPr/>
        <w:t>a</w:t>
      </w:r>
      <w:r>
        <w:rPr>
          <w:spacing w:val="-3"/>
        </w:rPr>
        <w:t> </w:t>
      </w:r>
      <w:r>
        <w:rPr/>
        <w:t>Strategic</w:t>
      </w:r>
      <w:r>
        <w:rPr>
          <w:spacing w:val="-1"/>
        </w:rPr>
        <w:t> </w:t>
      </w:r>
      <w:r>
        <w:rPr/>
        <w:t>Tourism</w:t>
      </w:r>
      <w:r>
        <w:rPr>
          <w:spacing w:val="-4"/>
        </w:rPr>
        <w:t> </w:t>
      </w:r>
      <w:r>
        <w:rPr/>
        <w:t>Master</w:t>
      </w:r>
      <w:r>
        <w:rPr>
          <w:spacing w:val="-3"/>
        </w:rPr>
        <w:t> </w:t>
      </w:r>
      <w:r>
        <w:rPr/>
        <w:t>Plan</w:t>
      </w:r>
      <w:r>
        <w:rPr>
          <w:spacing w:val="-2"/>
        </w:rPr>
        <w:t> </w:t>
      </w:r>
      <w:r>
        <w:rPr/>
        <w:t>2015-2020. </w:t>
      </w:r>
      <w:r>
        <w:rPr/>
        <w:t>The</w:t>
      </w:r>
      <w:r>
        <w:rPr>
          <w:spacing w:val="-8"/>
        </w:rPr>
        <w:t> </w:t>
      </w:r>
      <w:r>
        <w:rPr/>
        <w:t>purpose</w:t>
      </w:r>
      <w:r>
        <w:rPr>
          <w:spacing w:val="-5"/>
        </w:rPr>
        <w:t> </w:t>
      </w:r>
      <w:r>
        <w:rPr/>
        <w:t>of</w:t>
      </w:r>
      <w:r>
        <w:rPr>
          <w:spacing w:val="-8"/>
        </w:rPr>
        <w:t> </w:t>
      </w:r>
      <w:r>
        <w:rPr/>
        <w:t>the</w:t>
      </w:r>
      <w:r>
        <w:rPr>
          <w:spacing w:val="-5"/>
        </w:rPr>
        <w:t> </w:t>
      </w:r>
      <w:r>
        <w:rPr/>
        <w:t>plan</w:t>
      </w:r>
      <w:r>
        <w:rPr>
          <w:spacing w:val="-6"/>
        </w:rPr>
        <w:t> </w:t>
      </w:r>
      <w:r>
        <w:rPr/>
        <w:t>is</w:t>
      </w:r>
      <w:r>
        <w:rPr>
          <w:spacing w:val="-8"/>
        </w:rPr>
        <w:t> </w:t>
      </w:r>
      <w:r>
        <w:rPr/>
        <w:t>to</w:t>
      </w:r>
      <w:r>
        <w:rPr>
          <w:spacing w:val="-4"/>
        </w:rPr>
        <w:t> </w:t>
      </w:r>
      <w:r>
        <w:rPr/>
        <w:t>design</w:t>
      </w:r>
      <w:r>
        <w:rPr>
          <w:spacing w:val="-7"/>
        </w:rPr>
        <w:t> </w:t>
      </w:r>
      <w:r>
        <w:rPr/>
        <w:t>a</w:t>
      </w:r>
      <w:r>
        <w:rPr>
          <w:spacing w:val="-4"/>
        </w:rPr>
        <w:t> </w:t>
      </w:r>
      <w:r>
        <w:rPr/>
        <w:t>blueprint</w:t>
      </w:r>
      <w:r>
        <w:rPr>
          <w:spacing w:val="-6"/>
        </w:rPr>
        <w:t> </w:t>
      </w:r>
      <w:r>
        <w:rPr/>
        <w:t>that</w:t>
      </w:r>
      <w:r>
        <w:rPr>
          <w:spacing w:val="-6"/>
        </w:rPr>
        <w:t> </w:t>
      </w:r>
      <w:r>
        <w:rPr/>
        <w:t>guides</w:t>
      </w:r>
      <w:r>
        <w:rPr>
          <w:spacing w:val="-6"/>
        </w:rPr>
        <w:t> </w:t>
      </w:r>
      <w:r>
        <w:rPr/>
        <w:t>and</w:t>
      </w:r>
      <w:r>
        <w:rPr>
          <w:spacing w:val="-6"/>
        </w:rPr>
        <w:t> </w:t>
      </w:r>
      <w:r>
        <w:rPr/>
        <w:t>directs</w:t>
      </w:r>
      <w:r>
        <w:rPr>
          <w:spacing w:val="-8"/>
        </w:rPr>
        <w:t> </w:t>
      </w:r>
      <w:r>
        <w:rPr/>
        <w:t>the</w:t>
      </w:r>
      <w:r>
        <w:rPr>
          <w:spacing w:val="-5"/>
        </w:rPr>
        <w:t> </w:t>
      </w:r>
      <w:r>
        <w:rPr/>
        <w:t>destination</w:t>
      </w:r>
      <w:r>
        <w:rPr>
          <w:spacing w:val="-6"/>
        </w:rPr>
        <w:t> </w:t>
      </w:r>
      <w:r>
        <w:rPr/>
        <w:t>to</w:t>
      </w:r>
      <w:r>
        <w:rPr>
          <w:spacing w:val="-6"/>
        </w:rPr>
        <w:t> </w:t>
      </w:r>
      <w:r>
        <w:rPr/>
        <w:t>convert</w:t>
      </w:r>
      <w:r>
        <w:rPr>
          <w:spacing w:val="-6"/>
        </w:rPr>
        <w:t> </w:t>
      </w:r>
      <w:r>
        <w:rPr/>
        <w:t>itself</w:t>
      </w:r>
      <w:r>
        <w:rPr>
          <w:spacing w:val="-8"/>
        </w:rPr>
        <w:t> </w:t>
      </w:r>
      <w:r>
        <w:rPr/>
        <w:t>to</w:t>
      </w:r>
      <w:r>
        <w:rPr>
          <w:spacing w:val="-6"/>
        </w:rPr>
        <w:t> </w:t>
      </w:r>
      <w:r>
        <w:rPr/>
        <w:t>one</w:t>
      </w:r>
      <w:r>
        <w:rPr>
          <w:spacing w:val="-8"/>
        </w:rPr>
        <w:t> </w:t>
      </w:r>
      <w:r>
        <w:rPr/>
        <w:t>of</w:t>
      </w:r>
      <w:r>
        <w:rPr>
          <w:spacing w:val="-8"/>
        </w:rPr>
        <w:t> </w:t>
      </w:r>
      <w:r>
        <w:rPr/>
        <w:t>the </w:t>
      </w:r>
      <w:r>
        <w:rPr/>
        <w:t>premiere Caribbean destinations by</w:t>
      </w:r>
      <w:r>
        <w:rPr>
          <w:spacing w:val="-14"/>
        </w:rPr>
        <w:t> </w:t>
      </w:r>
      <w:r>
        <w:rPr/>
        <w:t>2020.</w:t>
      </w:r>
    </w:p>
    <w:p>
      <w:pPr>
        <w:spacing w:line="240" w:lineRule="auto" w:before="11"/>
        <w:ind w:right="0"/>
        <w:rPr>
          <w:rFonts w:ascii="Calibri" w:hAnsi="Calibri" w:cs="Calibri" w:eastAsia="Calibri" w:hint="default"/>
          <w:sz w:val="19"/>
          <w:szCs w:val="19"/>
        </w:rPr>
      </w:pPr>
    </w:p>
    <w:p>
      <w:pPr>
        <w:pStyle w:val="BodyText"/>
        <w:spacing w:line="240" w:lineRule="auto"/>
        <w:ind w:right="1435"/>
        <w:jc w:val="both"/>
        <w:rPr>
          <w:rFonts w:ascii="Calibri" w:hAnsi="Calibri" w:cs="Calibri" w:eastAsia="Calibri" w:hint="default"/>
        </w:rPr>
      </w:pPr>
      <w:r>
        <w:rPr/>
        <w:t>This plan contains the rationale (why tourism), the tourism approach (what, how, and when the plan is implemented), and the timing of the plan (when it will be introduced). This master plan uses a bottom-up research approach in the construction of its suggested actions, solutions, and goals. This means that the plan is founded on empirically</w:t>
      </w:r>
      <w:r>
        <w:rPr>
          <w:spacing w:val="-6"/>
        </w:rPr>
        <w:t> </w:t>
      </w:r>
      <w:r>
        <w:rPr/>
        <w:t>sound</w:t>
      </w:r>
      <w:r>
        <w:rPr>
          <w:spacing w:val="-6"/>
        </w:rPr>
        <w:t> </w:t>
      </w:r>
      <w:r>
        <w:rPr/>
        <w:t>research</w:t>
      </w:r>
      <w:r>
        <w:rPr>
          <w:spacing w:val="-6"/>
        </w:rPr>
        <w:t> </w:t>
      </w:r>
      <w:r>
        <w:rPr/>
        <w:t>that</w:t>
      </w:r>
      <w:r>
        <w:rPr>
          <w:spacing w:val="-6"/>
        </w:rPr>
        <w:t> </w:t>
      </w:r>
      <w:r>
        <w:rPr/>
        <w:t>encompasses</w:t>
      </w:r>
      <w:r>
        <w:rPr>
          <w:spacing w:val="-7"/>
        </w:rPr>
        <w:t> </w:t>
      </w:r>
      <w:r>
        <w:rPr/>
        <w:t>voices</w:t>
      </w:r>
      <w:r>
        <w:rPr>
          <w:spacing w:val="-7"/>
        </w:rPr>
        <w:t> </w:t>
      </w:r>
      <w:r>
        <w:rPr/>
        <w:t>from</w:t>
      </w:r>
      <w:r>
        <w:rPr>
          <w:spacing w:val="-7"/>
        </w:rPr>
        <w:t> </w:t>
      </w:r>
      <w:r>
        <w:rPr/>
        <w:t>a</w:t>
      </w:r>
      <w:r>
        <w:rPr>
          <w:spacing w:val="-4"/>
        </w:rPr>
        <w:t> </w:t>
      </w:r>
      <w:r>
        <w:rPr/>
        <w:t>wide</w:t>
      </w:r>
      <w:r>
        <w:rPr>
          <w:spacing w:val="-7"/>
        </w:rPr>
        <w:t> </w:t>
      </w:r>
      <w:r>
        <w:rPr/>
        <w:t>range</w:t>
      </w:r>
      <w:r>
        <w:rPr>
          <w:spacing w:val="-7"/>
        </w:rPr>
        <w:t> </w:t>
      </w:r>
      <w:r>
        <w:rPr/>
        <w:t>of</w:t>
      </w:r>
      <w:r>
        <w:rPr>
          <w:spacing w:val="-7"/>
        </w:rPr>
        <w:t> </w:t>
      </w:r>
      <w:r>
        <w:rPr/>
        <w:t>tourism</w:t>
      </w:r>
      <w:r>
        <w:rPr>
          <w:spacing w:val="-7"/>
        </w:rPr>
        <w:t> </w:t>
      </w:r>
      <w:r>
        <w:rPr/>
        <w:t>stakeholders.</w:t>
      </w:r>
      <w:r>
        <w:rPr>
          <w:spacing w:val="34"/>
        </w:rPr>
        <w:t> </w:t>
      </w:r>
      <w:r>
        <w:rPr/>
        <w:t>Thus,</w:t>
      </w:r>
      <w:r>
        <w:rPr>
          <w:spacing w:val="-6"/>
        </w:rPr>
        <w:t> </w:t>
      </w:r>
      <w:r>
        <w:rPr/>
        <w:t>stakeholders </w:t>
      </w:r>
      <w:r>
        <w:rPr/>
        <w:t>from all walks of life were consulted </w:t>
      </w:r>
      <w:r>
        <w:rPr>
          <w:rFonts w:ascii="Calibri" w:hAnsi="Calibri" w:cs="Calibri" w:eastAsia="Calibri" w:hint="default"/>
        </w:rPr>
        <w:t>in the plan’s</w:t>
      </w:r>
      <w:r>
        <w:rPr>
          <w:rFonts w:ascii="Calibri" w:hAnsi="Calibri" w:cs="Calibri" w:eastAsia="Calibri" w:hint="default"/>
          <w:spacing w:val="-21"/>
        </w:rPr>
        <w:t> </w:t>
      </w:r>
      <w:r>
        <w:rPr>
          <w:rFonts w:ascii="Calibri" w:hAnsi="Calibri" w:cs="Calibri" w:eastAsia="Calibri" w:hint="default"/>
        </w:rPr>
        <w:t>design.</w:t>
      </w:r>
    </w:p>
    <w:p>
      <w:pPr>
        <w:spacing w:line="240" w:lineRule="auto" w:before="2"/>
        <w:ind w:right="0"/>
        <w:rPr>
          <w:rFonts w:ascii="Calibri" w:hAnsi="Calibri" w:cs="Calibri" w:eastAsia="Calibri" w:hint="default"/>
          <w:sz w:val="20"/>
          <w:szCs w:val="20"/>
        </w:rPr>
      </w:pPr>
    </w:p>
    <w:p>
      <w:pPr>
        <w:pStyle w:val="BodyText"/>
        <w:spacing w:line="240" w:lineRule="auto"/>
        <w:ind w:right="1440"/>
        <w:jc w:val="both"/>
      </w:pPr>
      <w:r>
        <w:rPr/>
        <w:t>Accordingly,</w:t>
      </w:r>
      <w:r>
        <w:rPr>
          <w:spacing w:val="-4"/>
        </w:rPr>
        <w:t> </w:t>
      </w:r>
      <w:r>
        <w:rPr/>
        <w:t>the</w:t>
      </w:r>
      <w:r>
        <w:rPr>
          <w:spacing w:val="-6"/>
        </w:rPr>
        <w:t> </w:t>
      </w:r>
      <w:r>
        <w:rPr/>
        <w:t>DPITS</w:t>
      </w:r>
      <w:r>
        <w:rPr>
          <w:spacing w:val="-4"/>
        </w:rPr>
        <w:t> </w:t>
      </w:r>
      <w:r>
        <w:rPr/>
        <w:t>met</w:t>
      </w:r>
      <w:r>
        <w:rPr>
          <w:spacing w:val="-5"/>
        </w:rPr>
        <w:t> </w:t>
      </w:r>
      <w:r>
        <w:rPr/>
        <w:t>face-to-face</w:t>
      </w:r>
      <w:r>
        <w:rPr>
          <w:spacing w:val="-6"/>
        </w:rPr>
        <w:t> </w:t>
      </w:r>
      <w:r>
        <w:rPr/>
        <w:t>with</w:t>
      </w:r>
      <w:r>
        <w:rPr>
          <w:spacing w:val="-5"/>
        </w:rPr>
        <w:t> </w:t>
      </w:r>
      <w:r>
        <w:rPr/>
        <w:t>more</w:t>
      </w:r>
      <w:r>
        <w:rPr>
          <w:spacing w:val="-6"/>
        </w:rPr>
        <w:t> </w:t>
      </w:r>
      <w:r>
        <w:rPr/>
        <w:t>than</w:t>
      </w:r>
      <w:r>
        <w:rPr>
          <w:spacing w:val="-4"/>
        </w:rPr>
        <w:t> </w:t>
      </w:r>
      <w:r>
        <w:rPr/>
        <w:t>250</w:t>
      </w:r>
      <w:r>
        <w:rPr>
          <w:spacing w:val="-6"/>
        </w:rPr>
        <w:t> </w:t>
      </w:r>
      <w:r>
        <w:rPr/>
        <w:t>stakeholders.</w:t>
      </w:r>
      <w:r>
        <w:rPr>
          <w:spacing w:val="-5"/>
        </w:rPr>
        <w:t> </w:t>
      </w:r>
      <w:r>
        <w:rPr/>
        <w:t>The</w:t>
      </w:r>
      <w:r>
        <w:rPr>
          <w:spacing w:val="-6"/>
        </w:rPr>
        <w:t> </w:t>
      </w:r>
      <w:r>
        <w:rPr/>
        <w:t>purpose</w:t>
      </w:r>
      <w:r>
        <w:rPr>
          <w:spacing w:val="-6"/>
        </w:rPr>
        <w:t> </w:t>
      </w:r>
      <w:r>
        <w:rPr/>
        <w:t>of</w:t>
      </w:r>
      <w:r>
        <w:rPr>
          <w:spacing w:val="-6"/>
        </w:rPr>
        <w:t> </w:t>
      </w:r>
      <w:r>
        <w:rPr/>
        <w:t>the</w:t>
      </w:r>
      <w:r>
        <w:rPr>
          <w:spacing w:val="-6"/>
        </w:rPr>
        <w:t> </w:t>
      </w:r>
      <w:r>
        <w:rPr/>
        <w:t>stakeholder</w:t>
      </w:r>
      <w:r>
        <w:rPr>
          <w:spacing w:val="-5"/>
        </w:rPr>
        <w:t> </w:t>
      </w:r>
      <w:r>
        <w:rPr/>
        <w:t>meetings </w:t>
      </w:r>
      <w:r>
        <w:rPr/>
      </w:r>
      <w:r>
        <w:rPr>
          <w:rFonts w:ascii="Calibri" w:hAnsi="Calibri" w:cs="Calibri" w:eastAsia="Calibri" w:hint="default"/>
        </w:rPr>
        <w:t>was to obtain feedback on the overall project, share ideas pertaining to Curaçao’s tourism challenges, provide </w:t>
      </w:r>
      <w:r>
        <w:rPr/>
        <w:t>informational sources of value to the DPITS research team, and actively involve a variety of different types of stakeholders in the drafting of the 2015-2020 Strategic Tourism Master Plan project. In addition, eleven surveys were created and nearly 7000 respondents completed the surveys, including stay-over tourists, cruise tourists, Caribbean</w:t>
      </w:r>
      <w:r>
        <w:rPr>
          <w:spacing w:val="-2"/>
        </w:rPr>
        <w:t> </w:t>
      </w:r>
      <w:r>
        <w:rPr/>
        <w:t>tourists</w:t>
      </w:r>
      <w:r>
        <w:rPr>
          <w:spacing w:val="-4"/>
        </w:rPr>
        <w:t> </w:t>
      </w:r>
      <w:r>
        <w:rPr/>
        <w:t>who</w:t>
      </w:r>
      <w:r>
        <w:rPr>
          <w:spacing w:val="-3"/>
        </w:rPr>
        <w:t> </w:t>
      </w:r>
      <w:r>
        <w:rPr/>
        <w:t>had</w:t>
      </w:r>
      <w:r>
        <w:rPr>
          <w:spacing w:val="-2"/>
        </w:rPr>
        <w:t> </w:t>
      </w:r>
      <w:r>
        <w:rPr/>
        <w:t>never</w:t>
      </w:r>
      <w:r>
        <w:rPr>
          <w:spacing w:val="-3"/>
        </w:rPr>
        <w:t> </w:t>
      </w:r>
      <w:r>
        <w:rPr/>
        <w:t>visited</w:t>
      </w:r>
      <w:r>
        <w:rPr>
          <w:spacing w:val="-3"/>
        </w:rPr>
        <w:t> </w:t>
      </w:r>
      <w:r>
        <w:rPr/>
        <w:t>the</w:t>
      </w:r>
      <w:r>
        <w:rPr>
          <w:spacing w:val="-4"/>
        </w:rPr>
        <w:t> </w:t>
      </w:r>
      <w:r>
        <w:rPr/>
        <w:t>island,</w:t>
      </w:r>
      <w:r>
        <w:rPr>
          <w:spacing w:val="-3"/>
        </w:rPr>
        <w:t> </w:t>
      </w:r>
      <w:r>
        <w:rPr/>
        <w:t>employees,</w:t>
      </w:r>
      <w:r>
        <w:rPr>
          <w:spacing w:val="-3"/>
        </w:rPr>
        <w:t> </w:t>
      </w:r>
      <w:r>
        <w:rPr/>
        <w:t>and</w:t>
      </w:r>
      <w:r>
        <w:rPr>
          <w:spacing w:val="-3"/>
        </w:rPr>
        <w:t> </w:t>
      </w:r>
      <w:r>
        <w:rPr/>
        <w:t>the</w:t>
      </w:r>
      <w:r>
        <w:rPr>
          <w:spacing w:val="-4"/>
        </w:rPr>
        <w:t> </w:t>
      </w:r>
      <w:r>
        <w:rPr/>
        <w:t>local</w:t>
      </w:r>
      <w:r>
        <w:rPr>
          <w:spacing w:val="-3"/>
        </w:rPr>
        <w:t> </w:t>
      </w:r>
      <w:r>
        <w:rPr/>
        <w:t>population</w:t>
      </w:r>
      <w:r>
        <w:rPr>
          <w:spacing w:val="-3"/>
        </w:rPr>
        <w:t> </w:t>
      </w:r>
      <w:r>
        <w:rPr/>
        <w:t>at</w:t>
      </w:r>
      <w:r>
        <w:rPr>
          <w:spacing w:val="-3"/>
        </w:rPr>
        <w:t> </w:t>
      </w:r>
      <w:r>
        <w:rPr/>
        <w:t>large.</w:t>
      </w:r>
    </w:p>
    <w:p>
      <w:pPr>
        <w:pStyle w:val="Heading2"/>
        <w:spacing w:line="240" w:lineRule="auto" w:before="37"/>
        <w:ind w:right="0"/>
        <w:jc w:val="both"/>
        <w:rPr>
          <w:b w:val="0"/>
          <w:bCs w:val="0"/>
        </w:rPr>
      </w:pPr>
      <w:bookmarkStart w:name="_bookmark5" w:id="6"/>
      <w:bookmarkEnd w:id="6"/>
      <w:r>
        <w:rPr>
          <w:b w:val="0"/>
        </w:rPr>
      </w:r>
      <w:r>
        <w:rPr/>
        <w:t>The</w:t>
      </w:r>
      <w:r>
        <w:rPr>
          <w:spacing w:val="-11"/>
        </w:rPr>
        <w:t> </w:t>
      </w:r>
      <w:r>
        <w:rPr/>
        <w:t>What</w:t>
      </w:r>
      <w:r>
        <w:rPr>
          <w:b w:val="0"/>
        </w:rPr>
      </w:r>
    </w:p>
    <w:p>
      <w:pPr>
        <w:pStyle w:val="BodyText"/>
        <w:spacing w:line="240" w:lineRule="auto" w:before="191"/>
        <w:ind w:right="1436"/>
        <w:jc w:val="both"/>
      </w:pPr>
      <w:r>
        <w:rPr/>
        <w:t>For the tourism sector to lead the island to new socio-economic horizons, the sector must attend to two critical foundational</w:t>
      </w:r>
      <w:r>
        <w:rPr>
          <w:spacing w:val="-6"/>
        </w:rPr>
        <w:t> </w:t>
      </w:r>
      <w:r>
        <w:rPr/>
        <w:t>weaknesses.</w:t>
      </w:r>
      <w:r>
        <w:rPr>
          <w:spacing w:val="34"/>
        </w:rPr>
        <w:t> </w:t>
      </w:r>
      <w:r>
        <w:rPr/>
        <w:t>First,</w:t>
      </w:r>
      <w:r>
        <w:rPr>
          <w:spacing w:val="-6"/>
        </w:rPr>
        <w:t> </w:t>
      </w:r>
      <w:r>
        <w:rPr/>
        <w:t>the</w:t>
      </w:r>
      <w:r>
        <w:rPr>
          <w:spacing w:val="-7"/>
        </w:rPr>
        <w:t> </w:t>
      </w:r>
      <w:r>
        <w:rPr/>
        <w:t>current</w:t>
      </w:r>
      <w:r>
        <w:rPr>
          <w:spacing w:val="-6"/>
        </w:rPr>
        <w:t> </w:t>
      </w:r>
      <w:r>
        <w:rPr/>
        <w:t>demand</w:t>
      </w:r>
      <w:r>
        <w:rPr>
          <w:spacing w:val="-6"/>
        </w:rPr>
        <w:t> </w:t>
      </w:r>
      <w:r>
        <w:rPr/>
        <w:t>structure</w:t>
      </w:r>
      <w:r>
        <w:rPr>
          <w:spacing w:val="-7"/>
        </w:rPr>
        <w:t> </w:t>
      </w:r>
      <w:r>
        <w:rPr/>
        <w:t>anchored</w:t>
      </w:r>
      <w:r>
        <w:rPr>
          <w:spacing w:val="-6"/>
        </w:rPr>
        <w:t> </w:t>
      </w:r>
      <w:r>
        <w:rPr/>
        <w:t>in</w:t>
      </w:r>
      <w:r>
        <w:rPr>
          <w:spacing w:val="-8"/>
        </w:rPr>
        <w:t> </w:t>
      </w:r>
      <w:r>
        <w:rPr/>
        <w:t>the</w:t>
      </w:r>
      <w:r>
        <w:rPr>
          <w:spacing w:val="-7"/>
        </w:rPr>
        <w:t> </w:t>
      </w:r>
      <w:r>
        <w:rPr/>
        <w:t>Dutch</w:t>
      </w:r>
      <w:r>
        <w:rPr>
          <w:spacing w:val="-8"/>
        </w:rPr>
        <w:t> </w:t>
      </w:r>
      <w:r>
        <w:rPr/>
        <w:t>and</w:t>
      </w:r>
      <w:r>
        <w:rPr>
          <w:spacing w:val="-6"/>
        </w:rPr>
        <w:t> </w:t>
      </w:r>
      <w:r>
        <w:rPr/>
        <w:t>Venezuelan</w:t>
      </w:r>
      <w:r>
        <w:rPr>
          <w:spacing w:val="-5"/>
        </w:rPr>
        <w:t> </w:t>
      </w:r>
      <w:r>
        <w:rPr/>
        <w:t>markets</w:t>
      </w:r>
      <w:r>
        <w:rPr>
          <w:spacing w:val="-7"/>
        </w:rPr>
        <w:t> </w:t>
      </w:r>
      <w:r>
        <w:rPr/>
        <w:t>does </w:t>
      </w:r>
      <w:r>
        <w:rPr/>
        <w:t>not contain enough octane to power the island to higher levels of economic growth and jobs. The main reason is that</w:t>
      </w:r>
      <w:r>
        <w:rPr>
          <w:spacing w:val="-12"/>
        </w:rPr>
        <w:t> </w:t>
      </w:r>
      <w:r>
        <w:rPr/>
        <w:t>approximately</w:t>
      </w:r>
      <w:r>
        <w:rPr>
          <w:spacing w:val="-12"/>
        </w:rPr>
        <w:t> </w:t>
      </w:r>
      <w:r>
        <w:rPr/>
        <w:t>only</w:t>
      </w:r>
      <w:r>
        <w:rPr>
          <w:spacing w:val="-12"/>
        </w:rPr>
        <w:t> </w:t>
      </w:r>
      <w:r>
        <w:rPr/>
        <w:t>half</w:t>
      </w:r>
      <w:r>
        <w:rPr>
          <w:spacing w:val="-13"/>
        </w:rPr>
        <w:t> </w:t>
      </w:r>
      <w:r>
        <w:rPr/>
        <w:t>of</w:t>
      </w:r>
      <w:r>
        <w:rPr>
          <w:spacing w:val="-13"/>
        </w:rPr>
        <w:t> </w:t>
      </w:r>
      <w:r>
        <w:rPr/>
        <w:t>the</w:t>
      </w:r>
      <w:r>
        <w:rPr>
          <w:spacing w:val="-13"/>
        </w:rPr>
        <w:t> </w:t>
      </w:r>
      <w:r>
        <w:rPr/>
        <w:t>visitors</w:t>
      </w:r>
      <w:r>
        <w:rPr>
          <w:spacing w:val="-13"/>
        </w:rPr>
        <w:t> </w:t>
      </w:r>
      <w:r>
        <w:rPr/>
        <w:t>from</w:t>
      </w:r>
      <w:r>
        <w:rPr>
          <w:spacing w:val="-13"/>
        </w:rPr>
        <w:t> </w:t>
      </w:r>
      <w:r>
        <w:rPr/>
        <w:t>these</w:t>
      </w:r>
      <w:r>
        <w:rPr>
          <w:spacing w:val="-13"/>
        </w:rPr>
        <w:t> </w:t>
      </w:r>
      <w:r>
        <w:rPr/>
        <w:t>two</w:t>
      </w:r>
      <w:r>
        <w:rPr>
          <w:spacing w:val="-10"/>
        </w:rPr>
        <w:t> </w:t>
      </w:r>
      <w:r>
        <w:rPr/>
        <w:t>markets</w:t>
      </w:r>
      <w:r>
        <w:rPr>
          <w:spacing w:val="-13"/>
        </w:rPr>
        <w:t> </w:t>
      </w:r>
      <w:r>
        <w:rPr/>
        <w:t>stay</w:t>
      </w:r>
      <w:r>
        <w:rPr>
          <w:spacing w:val="-12"/>
        </w:rPr>
        <w:t> </w:t>
      </w:r>
      <w:r>
        <w:rPr/>
        <w:t>in</w:t>
      </w:r>
      <w:r>
        <w:rPr>
          <w:spacing w:val="-12"/>
        </w:rPr>
        <w:t> </w:t>
      </w:r>
      <w:r>
        <w:rPr/>
        <w:t>hotels,</w:t>
      </w:r>
      <w:r>
        <w:rPr>
          <w:spacing w:val="-12"/>
        </w:rPr>
        <w:t> </w:t>
      </w:r>
      <w:r>
        <w:rPr/>
        <w:t>resulting</w:t>
      </w:r>
      <w:r>
        <w:rPr>
          <w:spacing w:val="-10"/>
        </w:rPr>
        <w:t> </w:t>
      </w:r>
      <w:r>
        <w:rPr/>
        <w:t>in</w:t>
      </w:r>
      <w:r>
        <w:rPr>
          <w:spacing w:val="-12"/>
        </w:rPr>
        <w:t> </w:t>
      </w:r>
      <w:r>
        <w:rPr/>
        <w:t>low</w:t>
      </w:r>
      <w:r>
        <w:rPr>
          <w:spacing w:val="-13"/>
        </w:rPr>
        <w:t> </w:t>
      </w:r>
      <w:r>
        <w:rPr/>
        <w:t>hotel</w:t>
      </w:r>
      <w:r>
        <w:rPr>
          <w:spacing w:val="-13"/>
        </w:rPr>
        <w:t> </w:t>
      </w:r>
      <w:r>
        <w:rPr/>
        <w:t>performance, </w:t>
      </w:r>
      <w:r>
        <w:rPr/>
        <w:t>thereby imbuing the tourism sector with a high opportunity cost. Second, the soft component of the sector reveals deficiencies in service quality and delivery at the micro-level, and debilitating coordination and trust issues at the macro-level.</w:t>
      </w:r>
      <w:r>
        <w:rPr>
          <w:spacing w:val="32"/>
        </w:rPr>
        <w:t> </w:t>
      </w:r>
      <w:r>
        <w:rPr/>
        <w:t>The</w:t>
      </w:r>
      <w:r>
        <w:rPr>
          <w:spacing w:val="-7"/>
        </w:rPr>
        <w:t> </w:t>
      </w:r>
      <w:r>
        <w:rPr/>
        <w:t>soft</w:t>
      </w:r>
      <w:r>
        <w:rPr>
          <w:spacing w:val="-6"/>
        </w:rPr>
        <w:t> </w:t>
      </w:r>
      <w:r>
        <w:rPr/>
        <w:t>component</w:t>
      </w:r>
      <w:r>
        <w:rPr>
          <w:spacing w:val="-6"/>
        </w:rPr>
        <w:t> </w:t>
      </w:r>
      <w:r>
        <w:rPr/>
        <w:t>refers</w:t>
      </w:r>
      <w:r>
        <w:rPr>
          <w:spacing w:val="-7"/>
        </w:rPr>
        <w:t> </w:t>
      </w:r>
      <w:r>
        <w:rPr/>
        <w:t>to</w:t>
      </w:r>
      <w:r>
        <w:rPr>
          <w:spacing w:val="-6"/>
        </w:rPr>
        <w:t> </w:t>
      </w:r>
      <w:r>
        <w:rPr/>
        <w:t>human</w:t>
      </w:r>
      <w:r>
        <w:rPr>
          <w:spacing w:val="-5"/>
        </w:rPr>
        <w:t> </w:t>
      </w:r>
      <w:r>
        <w:rPr/>
        <w:t>capital</w:t>
      </w:r>
      <w:r>
        <w:rPr>
          <w:spacing w:val="-9"/>
        </w:rPr>
        <w:t> </w:t>
      </w:r>
      <w:r>
        <w:rPr/>
        <w:t>development,</w:t>
      </w:r>
      <w:r>
        <w:rPr>
          <w:spacing w:val="-6"/>
        </w:rPr>
        <w:t> </w:t>
      </w:r>
      <w:r>
        <w:rPr/>
        <w:t>education,</w:t>
      </w:r>
      <w:r>
        <w:rPr>
          <w:spacing w:val="-6"/>
        </w:rPr>
        <w:t> </w:t>
      </w:r>
      <w:r>
        <w:rPr/>
        <w:t>service</w:t>
      </w:r>
      <w:r>
        <w:rPr>
          <w:spacing w:val="-5"/>
        </w:rPr>
        <w:t> </w:t>
      </w:r>
      <w:r>
        <w:rPr/>
        <w:t>culture,</w:t>
      </w:r>
      <w:r>
        <w:rPr>
          <w:spacing w:val="-6"/>
        </w:rPr>
        <w:t> </w:t>
      </w:r>
      <w:r>
        <w:rPr/>
        <w:t>service</w:t>
      </w:r>
      <w:r>
        <w:rPr>
          <w:spacing w:val="-7"/>
        </w:rPr>
        <w:t> </w:t>
      </w:r>
      <w:r>
        <w:rPr/>
        <w:t>delivery, </w:t>
      </w:r>
      <w:r>
        <w:rPr/>
        <w:t>business climate, and institutional support. The consequence is</w:t>
      </w:r>
      <w:r>
        <w:rPr>
          <w:spacing w:val="-33"/>
        </w:rPr>
        <w:t> </w:t>
      </w:r>
      <w:r>
        <w:rPr/>
        <w:t>that the tourism sector is not performing optimally. </w:t>
      </w:r>
      <w:r>
        <w:rPr/>
        <w:t>The plan recommends that strategic focus be placed on the reconfiguring of tourism demand to the island, as well as on improvement of the soft components of the tourism sector. Curaçao needs to restructure the foundation of its</w:t>
      </w:r>
      <w:r>
        <w:rPr>
          <w:spacing w:val="-6"/>
        </w:rPr>
        <w:t> </w:t>
      </w:r>
      <w:r>
        <w:rPr/>
        <w:t>market</w:t>
      </w:r>
      <w:r>
        <w:rPr>
          <w:spacing w:val="-5"/>
        </w:rPr>
        <w:t> </w:t>
      </w:r>
      <w:r>
        <w:rPr/>
        <w:t>segment</w:t>
      </w:r>
      <w:r>
        <w:rPr>
          <w:spacing w:val="-5"/>
        </w:rPr>
        <w:t> </w:t>
      </w:r>
      <w:r>
        <w:rPr/>
        <w:t>mix</w:t>
      </w:r>
      <w:r>
        <w:rPr>
          <w:spacing w:val="-6"/>
        </w:rPr>
        <w:t> </w:t>
      </w:r>
      <w:r>
        <w:rPr/>
        <w:t>by</w:t>
      </w:r>
      <w:r>
        <w:rPr>
          <w:spacing w:val="-5"/>
        </w:rPr>
        <w:t> </w:t>
      </w:r>
      <w:r>
        <w:rPr/>
        <w:t>gravitating</w:t>
      </w:r>
      <w:r>
        <w:rPr>
          <w:spacing w:val="-6"/>
        </w:rPr>
        <w:t> </w:t>
      </w:r>
      <w:r>
        <w:rPr/>
        <w:t>toward</w:t>
      </w:r>
      <w:r>
        <w:rPr>
          <w:spacing w:val="-5"/>
        </w:rPr>
        <w:t> </w:t>
      </w:r>
      <w:r>
        <w:rPr/>
        <w:t>the</w:t>
      </w:r>
      <w:r>
        <w:rPr>
          <w:spacing w:val="-6"/>
        </w:rPr>
        <w:t> </w:t>
      </w:r>
      <w:r>
        <w:rPr/>
        <w:t>American</w:t>
      </w:r>
      <w:r>
        <w:rPr>
          <w:spacing w:val="-5"/>
        </w:rPr>
        <w:t> </w:t>
      </w:r>
      <w:r>
        <w:rPr/>
        <w:t>market.</w:t>
      </w:r>
      <w:r>
        <w:rPr>
          <w:spacing w:val="-5"/>
        </w:rPr>
        <w:t> </w:t>
      </w:r>
      <w:r>
        <w:rPr/>
        <w:t>This</w:t>
      </w:r>
      <w:r>
        <w:rPr>
          <w:spacing w:val="-7"/>
        </w:rPr>
        <w:t> </w:t>
      </w:r>
      <w:r>
        <w:rPr/>
        <w:t>implies</w:t>
      </w:r>
      <w:r>
        <w:rPr>
          <w:spacing w:val="-6"/>
        </w:rPr>
        <w:t> </w:t>
      </w:r>
      <w:r>
        <w:rPr/>
        <w:t>creating</w:t>
      </w:r>
      <w:r>
        <w:rPr>
          <w:spacing w:val="-6"/>
        </w:rPr>
        <w:t> </w:t>
      </w:r>
      <w:r>
        <w:rPr/>
        <w:t>a</w:t>
      </w:r>
      <w:r>
        <w:rPr>
          <w:spacing w:val="-5"/>
        </w:rPr>
        <w:t> </w:t>
      </w:r>
      <w:r>
        <w:rPr/>
        <w:t>value</w:t>
      </w:r>
      <w:r>
        <w:rPr>
          <w:spacing w:val="-6"/>
        </w:rPr>
        <w:t> </w:t>
      </w:r>
      <w:r>
        <w:rPr/>
        <w:t>proposition</w:t>
      </w:r>
      <w:r>
        <w:rPr>
          <w:spacing w:val="-5"/>
        </w:rPr>
        <w:t> </w:t>
      </w:r>
      <w:r>
        <w:rPr/>
        <w:t>for</w:t>
      </w:r>
      <w:r>
        <w:rPr>
          <w:spacing w:val="-5"/>
        </w:rPr>
        <w:t> </w:t>
      </w:r>
      <w:r>
        <w:rPr/>
        <w:t>the </w:t>
      </w:r>
      <w:r>
        <w:rPr/>
        <w:t>American</w:t>
      </w:r>
      <w:r>
        <w:rPr>
          <w:spacing w:val="-3"/>
        </w:rPr>
        <w:t> </w:t>
      </w:r>
      <w:r>
        <w:rPr/>
        <w:t>market</w:t>
      </w:r>
      <w:r>
        <w:rPr>
          <w:spacing w:val="-3"/>
        </w:rPr>
        <w:t> </w:t>
      </w:r>
      <w:r>
        <w:rPr/>
        <w:t>that</w:t>
      </w:r>
      <w:r>
        <w:rPr>
          <w:spacing w:val="-3"/>
        </w:rPr>
        <w:t> </w:t>
      </w:r>
      <w:r>
        <w:rPr/>
        <w:t>is</w:t>
      </w:r>
      <w:r>
        <w:rPr>
          <w:spacing w:val="-4"/>
        </w:rPr>
        <w:t> </w:t>
      </w:r>
      <w:r>
        <w:rPr/>
        <w:t>already</w:t>
      </w:r>
      <w:r>
        <w:rPr>
          <w:spacing w:val="-3"/>
        </w:rPr>
        <w:t> </w:t>
      </w:r>
      <w:r>
        <w:rPr/>
        <w:t>familiar</w:t>
      </w:r>
      <w:r>
        <w:rPr>
          <w:spacing w:val="-3"/>
        </w:rPr>
        <w:t> </w:t>
      </w:r>
      <w:r>
        <w:rPr/>
        <w:t>with</w:t>
      </w:r>
      <w:r>
        <w:rPr>
          <w:spacing w:val="-3"/>
        </w:rPr>
        <w:t> </w:t>
      </w:r>
      <w:r>
        <w:rPr/>
        <w:t>the</w:t>
      </w:r>
      <w:r>
        <w:rPr>
          <w:spacing w:val="-4"/>
        </w:rPr>
        <w:t> </w:t>
      </w:r>
      <w:r>
        <w:rPr/>
        <w:t>Caribbean</w:t>
      </w:r>
      <w:r>
        <w:rPr>
          <w:spacing w:val="-5"/>
        </w:rPr>
        <w:t> </w:t>
      </w:r>
      <w:r>
        <w:rPr/>
        <w:t>region,</w:t>
      </w:r>
      <w:r>
        <w:rPr>
          <w:spacing w:val="-3"/>
        </w:rPr>
        <w:t> </w:t>
      </w:r>
      <w:r>
        <w:rPr/>
        <w:t>but</w:t>
      </w:r>
      <w:r>
        <w:rPr>
          <w:spacing w:val="-6"/>
        </w:rPr>
        <w:t> </w:t>
      </w:r>
      <w:r>
        <w:rPr/>
        <w:t>is</w:t>
      </w:r>
      <w:r>
        <w:rPr>
          <w:spacing w:val="-4"/>
        </w:rPr>
        <w:t> </w:t>
      </w:r>
      <w:r>
        <w:rPr/>
        <w:t>unacquainted</w:t>
      </w:r>
      <w:r>
        <w:rPr>
          <w:spacing w:val="-3"/>
        </w:rPr>
        <w:t> </w:t>
      </w:r>
      <w:r>
        <w:rPr/>
        <w:t>w</w:t>
      </w:r>
      <w:r>
        <w:rPr>
          <w:rFonts w:ascii="Calibri" w:hAnsi="Calibri" w:cs="Calibri" w:eastAsia="Calibri" w:hint="default"/>
        </w:rPr>
        <w:t>ith</w:t>
      </w:r>
      <w:r>
        <w:rPr>
          <w:rFonts w:ascii="Calibri" w:hAnsi="Calibri" w:cs="Calibri" w:eastAsia="Calibri" w:hint="default"/>
          <w:spacing w:val="-3"/>
        </w:rPr>
        <w:t> </w:t>
      </w:r>
      <w:r>
        <w:rPr>
          <w:rFonts w:ascii="Calibri" w:hAnsi="Calibri" w:cs="Calibri" w:eastAsia="Calibri" w:hint="default"/>
        </w:rPr>
        <w:t>Curaçao’s</w:t>
      </w:r>
      <w:r>
        <w:rPr>
          <w:rFonts w:ascii="Calibri" w:hAnsi="Calibri" w:cs="Calibri" w:eastAsia="Calibri" w:hint="default"/>
          <w:spacing w:val="-5"/>
        </w:rPr>
        <w:t> </w:t>
      </w:r>
      <w:r>
        <w:rPr>
          <w:rFonts w:ascii="Calibri" w:hAnsi="Calibri" w:cs="Calibri" w:eastAsia="Calibri" w:hint="default"/>
        </w:rPr>
        <w:t>potential</w:t>
      </w:r>
      <w:r>
        <w:rPr>
          <w:rFonts w:ascii="Calibri" w:hAnsi="Calibri" w:cs="Calibri" w:eastAsia="Calibri" w:hint="default"/>
          <w:spacing w:val="-4"/>
        </w:rPr>
        <w:t> </w:t>
      </w:r>
      <w:r>
        <w:rPr>
          <w:rFonts w:ascii="Calibri" w:hAnsi="Calibri" w:cs="Calibri" w:eastAsia="Calibri" w:hint="default"/>
        </w:rPr>
        <w:t>to </w:t>
      </w:r>
      <w:r>
        <w:rPr>
          <w:rFonts w:ascii="Calibri" w:hAnsi="Calibri" w:cs="Calibri" w:eastAsia="Calibri" w:hint="default"/>
        </w:rPr>
      </w:r>
      <w:r>
        <w:rPr/>
        <w:t>provide meaningful and enjoyable</w:t>
      </w:r>
      <w:r>
        <w:rPr>
          <w:spacing w:val="-21"/>
        </w:rPr>
        <w:t> </w:t>
      </w:r>
      <w:r>
        <w:rPr/>
        <w:t>experiences.</w:t>
      </w:r>
    </w:p>
    <w:p>
      <w:pPr>
        <w:pStyle w:val="Heading2"/>
        <w:spacing w:line="240" w:lineRule="auto" w:before="37"/>
        <w:ind w:right="0"/>
        <w:jc w:val="both"/>
        <w:rPr>
          <w:b w:val="0"/>
          <w:bCs w:val="0"/>
        </w:rPr>
      </w:pPr>
      <w:bookmarkStart w:name="_bookmark6" w:id="7"/>
      <w:bookmarkEnd w:id="7"/>
      <w:r>
        <w:rPr>
          <w:b w:val="0"/>
        </w:rPr>
      </w:r>
      <w:r>
        <w:rPr/>
        <w:t>The Value</w:t>
      </w:r>
      <w:r>
        <w:rPr>
          <w:spacing w:val="-10"/>
        </w:rPr>
        <w:t> </w:t>
      </w:r>
      <w:r>
        <w:rPr/>
        <w:t>Proposition</w:t>
      </w:r>
      <w:r>
        <w:rPr>
          <w:b w:val="0"/>
        </w:rPr>
      </w:r>
    </w:p>
    <w:p>
      <w:pPr>
        <w:pStyle w:val="BodyText"/>
        <w:spacing w:line="240" w:lineRule="auto" w:before="191"/>
        <w:ind w:right="1440"/>
        <w:jc w:val="both"/>
      </w:pPr>
      <w:r>
        <w:rPr>
          <w:rFonts w:ascii="Calibri" w:hAnsi="Calibri" w:cs="Calibri" w:eastAsia="Calibri" w:hint="default"/>
        </w:rPr>
        <w:t>The proposition is anchored in “Curaçao: a Different Dutch Caribbean.” This proposition offers tourists a “new” </w:t>
      </w:r>
      <w:r>
        <w:rPr/>
        <w:t>destination brand, while still forwarding the Ca</w:t>
      </w:r>
      <w:r>
        <w:rPr>
          <w:rFonts w:ascii="Calibri" w:hAnsi="Calibri" w:cs="Calibri" w:eastAsia="Calibri" w:hint="default"/>
        </w:rPr>
        <w:t>ribbean’s traditional SSS (sun, sand, and sea) seasoning, and while </w:t>
      </w:r>
      <w:r>
        <w:rPr/>
        <w:t>promoting</w:t>
      </w:r>
      <w:r>
        <w:rPr>
          <w:spacing w:val="-4"/>
        </w:rPr>
        <w:t> </w:t>
      </w:r>
      <w:r>
        <w:rPr/>
        <w:t>its</w:t>
      </w:r>
      <w:r>
        <w:rPr>
          <w:spacing w:val="-5"/>
        </w:rPr>
        <w:t> </w:t>
      </w:r>
      <w:r>
        <w:rPr/>
        <w:t>safety,</w:t>
      </w:r>
      <w:r>
        <w:rPr>
          <w:spacing w:val="-3"/>
        </w:rPr>
        <w:t> </w:t>
      </w:r>
      <w:r>
        <w:rPr/>
        <w:t>stability,</w:t>
      </w:r>
      <w:r>
        <w:rPr>
          <w:spacing w:val="-3"/>
        </w:rPr>
        <w:t> </w:t>
      </w:r>
      <w:r>
        <w:rPr/>
        <w:t>organizational</w:t>
      </w:r>
      <w:r>
        <w:rPr>
          <w:spacing w:val="-3"/>
        </w:rPr>
        <w:t> </w:t>
      </w:r>
      <w:r>
        <w:rPr/>
        <w:t>prowess,</w:t>
      </w:r>
      <w:r>
        <w:rPr>
          <w:spacing w:val="-3"/>
        </w:rPr>
        <w:t> </w:t>
      </w:r>
      <w:r>
        <w:rPr/>
        <w:t>and,</w:t>
      </w:r>
      <w:r>
        <w:rPr>
          <w:spacing w:val="-3"/>
        </w:rPr>
        <w:t> </w:t>
      </w:r>
      <w:r>
        <w:rPr/>
        <w:t>finally,</w:t>
      </w:r>
      <w:r>
        <w:rPr>
          <w:spacing w:val="-3"/>
        </w:rPr>
        <w:t> </w:t>
      </w:r>
      <w:r>
        <w:rPr/>
        <w:t>its</w:t>
      </w:r>
      <w:r>
        <w:rPr>
          <w:spacing w:val="-5"/>
        </w:rPr>
        <w:t> </w:t>
      </w:r>
      <w:r>
        <w:rPr/>
        <w:t>character</w:t>
      </w:r>
      <w:r>
        <w:rPr>
          <w:spacing w:val="-3"/>
        </w:rPr>
        <w:t> </w:t>
      </w:r>
      <w:r>
        <w:rPr/>
        <w:t>as</w:t>
      </w:r>
      <w:r>
        <w:rPr>
          <w:spacing w:val="-4"/>
        </w:rPr>
        <w:t> </w:t>
      </w:r>
      <w:r>
        <w:rPr/>
        <w:t>a</w:t>
      </w:r>
      <w:r>
        <w:rPr>
          <w:spacing w:val="-3"/>
        </w:rPr>
        <w:t> </w:t>
      </w:r>
      <w:r>
        <w:rPr/>
        <w:t>destination</w:t>
      </w:r>
      <w:r>
        <w:rPr>
          <w:spacing w:val="-3"/>
        </w:rPr>
        <w:t> </w:t>
      </w:r>
      <w:r>
        <w:rPr/>
        <w:t>finely</w:t>
      </w:r>
      <w:r>
        <w:rPr>
          <w:spacing w:val="-3"/>
        </w:rPr>
        <w:t> </w:t>
      </w:r>
      <w:r>
        <w:rPr/>
        <w:t>spiced</w:t>
      </w:r>
      <w:r>
        <w:rPr>
          <w:spacing w:val="-3"/>
        </w:rPr>
        <w:t> </w:t>
      </w:r>
      <w:r>
        <w:rPr/>
        <w:t>with</w:t>
      </w:r>
      <w:r>
        <w:rPr>
          <w:spacing w:val="-3"/>
        </w:rPr>
        <w:t> </w:t>
      </w:r>
      <w:r>
        <w:rPr/>
        <w:t>a </w:t>
      </w:r>
      <w:r>
        <w:rPr/>
        <w:t>unique blend of eclectic cultures. Curaçao: a Different Dutch Caribbean will provide the impetus to generate nearly 4000 jobs, will germinate 2% real annual economic growth </w:t>
      </w:r>
      <w:r>
        <w:rPr>
          <w:rFonts w:ascii="Calibri" w:hAnsi="Calibri" w:cs="Calibri" w:eastAsia="Calibri" w:hint="default"/>
        </w:rPr>
        <w:t>in the first two </w:t>
      </w:r>
      <w:r>
        <w:rPr/>
        <w:t>years, and will close the RevPAR gap between</w:t>
      </w:r>
      <w:r>
        <w:rPr>
          <w:spacing w:val="-4"/>
        </w:rPr>
        <w:t> </w:t>
      </w:r>
      <w:r>
        <w:rPr/>
        <w:t>Curaçao</w:t>
      </w:r>
      <w:r>
        <w:rPr>
          <w:spacing w:val="-4"/>
        </w:rPr>
        <w:t> </w:t>
      </w:r>
      <w:r>
        <w:rPr/>
        <w:t>and</w:t>
      </w:r>
      <w:r>
        <w:rPr>
          <w:spacing w:val="-5"/>
        </w:rPr>
        <w:t> </w:t>
      </w:r>
      <w:r>
        <w:rPr/>
        <w:t>the</w:t>
      </w:r>
      <w:r>
        <w:rPr>
          <w:spacing w:val="-5"/>
        </w:rPr>
        <w:t> </w:t>
      </w:r>
      <w:r>
        <w:rPr/>
        <w:t>Caribbean</w:t>
      </w:r>
      <w:r>
        <w:rPr>
          <w:spacing w:val="-4"/>
        </w:rPr>
        <w:t> </w:t>
      </w:r>
      <w:r>
        <w:rPr/>
        <w:t>region</w:t>
      </w:r>
      <w:r>
        <w:rPr>
          <w:spacing w:val="-5"/>
        </w:rPr>
        <w:t> </w:t>
      </w:r>
      <w:r>
        <w:rPr/>
        <w:t>from</w:t>
      </w:r>
      <w:r>
        <w:rPr>
          <w:spacing w:val="-4"/>
        </w:rPr>
        <w:t> </w:t>
      </w:r>
      <w:r>
        <w:rPr/>
        <w:t>the</w:t>
      </w:r>
      <w:r>
        <w:rPr>
          <w:spacing w:val="-5"/>
        </w:rPr>
        <w:t> </w:t>
      </w:r>
      <w:r>
        <w:rPr/>
        <w:t>existing</w:t>
      </w:r>
      <w:r>
        <w:rPr>
          <w:spacing w:val="-6"/>
        </w:rPr>
        <w:t> </w:t>
      </w:r>
      <w:r>
        <w:rPr/>
        <w:t>35%</w:t>
      </w:r>
      <w:r>
        <w:rPr>
          <w:spacing w:val="-5"/>
        </w:rPr>
        <w:t> </w:t>
      </w:r>
      <w:r>
        <w:rPr/>
        <w:t>to</w:t>
      </w:r>
      <w:r>
        <w:rPr>
          <w:spacing w:val="-5"/>
        </w:rPr>
        <w:t> </w:t>
      </w:r>
      <w:r>
        <w:rPr/>
        <w:t>less</w:t>
      </w:r>
      <w:r>
        <w:rPr>
          <w:spacing w:val="-5"/>
        </w:rPr>
        <w:t> </w:t>
      </w:r>
      <w:r>
        <w:rPr/>
        <w:t>than</w:t>
      </w:r>
      <w:r>
        <w:rPr>
          <w:spacing w:val="-5"/>
        </w:rPr>
        <w:t> </w:t>
      </w:r>
      <w:r>
        <w:rPr/>
        <w:t>10%</w:t>
      </w:r>
      <w:r>
        <w:rPr>
          <w:spacing w:val="-5"/>
        </w:rPr>
        <w:t> </w:t>
      </w:r>
      <w:r>
        <w:rPr/>
        <w:t>by</w:t>
      </w:r>
      <w:r>
        <w:rPr>
          <w:spacing w:val="-5"/>
        </w:rPr>
        <w:t> </w:t>
      </w:r>
      <w:r>
        <w:rPr/>
        <w:t>2020.</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24"/>
          <w:szCs w:val="24"/>
        </w:rPr>
      </w:pPr>
    </w:p>
    <w:p>
      <w:pPr>
        <w:pStyle w:val="Heading2"/>
        <w:spacing w:line="240" w:lineRule="auto"/>
        <w:ind w:right="0"/>
        <w:jc w:val="both"/>
        <w:rPr>
          <w:b w:val="0"/>
          <w:bCs w:val="0"/>
        </w:rPr>
      </w:pPr>
      <w:bookmarkStart w:name="_bookmark7" w:id="8"/>
      <w:bookmarkEnd w:id="8"/>
      <w:r>
        <w:rPr>
          <w:b w:val="0"/>
        </w:rPr>
      </w:r>
      <w:r>
        <w:rPr/>
        <w:t>The Goals of the Value</w:t>
      </w:r>
      <w:r>
        <w:rPr>
          <w:spacing w:val="-15"/>
        </w:rPr>
        <w:t> </w:t>
      </w:r>
      <w:r>
        <w:rPr/>
        <w:t>Proposition</w:t>
      </w:r>
      <w:r>
        <w:rPr>
          <w:b w:val="0"/>
        </w:rPr>
      </w:r>
    </w:p>
    <w:p>
      <w:pPr>
        <w:pStyle w:val="BodyText"/>
        <w:spacing w:line="240" w:lineRule="auto" w:before="191"/>
        <w:ind w:right="0"/>
        <w:jc w:val="both"/>
      </w:pPr>
      <w:r>
        <w:rPr/>
        <w:t>The goals of the plan are</w:t>
      </w:r>
      <w:r>
        <w:rPr>
          <w:spacing w:val="-13"/>
        </w:rPr>
        <w:t> </w:t>
      </w:r>
      <w:r>
        <w:rPr/>
        <w:t>three-fold:</w:t>
      </w:r>
    </w:p>
    <w:p>
      <w:pPr>
        <w:spacing w:line="240" w:lineRule="auto" w:before="11"/>
        <w:ind w:right="0"/>
        <w:rPr>
          <w:rFonts w:ascii="Calibri" w:hAnsi="Calibri" w:cs="Calibri" w:eastAsia="Calibri" w:hint="default"/>
          <w:sz w:val="19"/>
          <w:szCs w:val="19"/>
        </w:rPr>
      </w:pPr>
    </w:p>
    <w:p>
      <w:pPr>
        <w:pStyle w:val="ListParagraph"/>
        <w:numPr>
          <w:ilvl w:val="0"/>
          <w:numId w:val="1"/>
        </w:numPr>
        <w:tabs>
          <w:tab w:pos="2161" w:val="left" w:leader="none"/>
        </w:tabs>
        <w:spacing w:line="240" w:lineRule="auto" w:before="0" w:after="0"/>
        <w:ind w:left="2160" w:right="0" w:hanging="720"/>
        <w:jc w:val="both"/>
        <w:rPr>
          <w:rFonts w:ascii="Calibri" w:hAnsi="Calibri" w:cs="Calibri" w:eastAsia="Calibri" w:hint="default"/>
          <w:sz w:val="20"/>
          <w:szCs w:val="20"/>
        </w:rPr>
      </w:pPr>
      <w:r>
        <w:rPr>
          <w:rFonts w:ascii="Calibri"/>
          <w:sz w:val="20"/>
        </w:rPr>
        <w:t>Tourism must boost economic</w:t>
      </w:r>
      <w:r>
        <w:rPr>
          <w:rFonts w:ascii="Calibri"/>
          <w:spacing w:val="-15"/>
          <w:sz w:val="20"/>
        </w:rPr>
        <w:t> </w:t>
      </w:r>
      <w:r>
        <w:rPr>
          <w:rFonts w:ascii="Calibri"/>
          <w:sz w:val="20"/>
        </w:rPr>
        <w:t>growth</w:t>
      </w:r>
    </w:p>
    <w:p>
      <w:pPr>
        <w:pStyle w:val="ListParagraph"/>
        <w:numPr>
          <w:ilvl w:val="0"/>
          <w:numId w:val="1"/>
        </w:numPr>
        <w:tabs>
          <w:tab w:pos="2161" w:val="left" w:leader="none"/>
        </w:tabs>
        <w:spacing w:line="240" w:lineRule="auto" w:before="0" w:after="0"/>
        <w:ind w:left="2160" w:right="0" w:hanging="720"/>
        <w:jc w:val="both"/>
        <w:rPr>
          <w:rFonts w:ascii="Calibri" w:hAnsi="Calibri" w:cs="Calibri" w:eastAsia="Calibri" w:hint="default"/>
          <w:sz w:val="20"/>
          <w:szCs w:val="20"/>
        </w:rPr>
      </w:pPr>
      <w:r>
        <w:rPr>
          <w:rFonts w:ascii="Calibri"/>
          <w:sz w:val="20"/>
        </w:rPr>
        <w:t>Tourism must spawn new</w:t>
      </w:r>
      <w:r>
        <w:rPr>
          <w:rFonts w:ascii="Calibri"/>
          <w:spacing w:val="-10"/>
          <w:sz w:val="20"/>
        </w:rPr>
        <w:t> </w:t>
      </w:r>
      <w:r>
        <w:rPr>
          <w:rFonts w:ascii="Calibri"/>
          <w:sz w:val="20"/>
        </w:rPr>
        <w:t>jobs</w:t>
      </w:r>
    </w:p>
    <w:p>
      <w:pPr>
        <w:pStyle w:val="ListParagraph"/>
        <w:numPr>
          <w:ilvl w:val="0"/>
          <w:numId w:val="1"/>
        </w:numPr>
        <w:tabs>
          <w:tab w:pos="2161" w:val="left" w:leader="none"/>
        </w:tabs>
        <w:spacing w:line="240" w:lineRule="auto" w:before="0" w:after="0"/>
        <w:ind w:left="2160" w:right="0" w:hanging="720"/>
        <w:jc w:val="both"/>
        <w:rPr>
          <w:rFonts w:ascii="Calibri" w:hAnsi="Calibri" w:cs="Calibri" w:eastAsia="Calibri" w:hint="default"/>
          <w:sz w:val="20"/>
          <w:szCs w:val="20"/>
        </w:rPr>
      </w:pPr>
      <w:r>
        <w:rPr>
          <w:rFonts w:ascii="Calibri"/>
          <w:sz w:val="20"/>
        </w:rPr>
        <w:t>The performance of the lodging industry must</w:t>
      </w:r>
      <w:r>
        <w:rPr>
          <w:rFonts w:ascii="Calibri"/>
          <w:spacing w:val="-22"/>
          <w:sz w:val="20"/>
        </w:rPr>
        <w:t> </w:t>
      </w:r>
      <w:r>
        <w:rPr>
          <w:rFonts w:ascii="Calibri"/>
          <w:sz w:val="20"/>
        </w:rPr>
        <w:t>improve</w:t>
      </w:r>
    </w:p>
    <w:p>
      <w:pPr>
        <w:spacing w:line="240" w:lineRule="auto" w:before="11"/>
        <w:ind w:right="0"/>
        <w:rPr>
          <w:rFonts w:ascii="Calibri" w:hAnsi="Calibri" w:cs="Calibri" w:eastAsia="Calibri" w:hint="default"/>
          <w:sz w:val="19"/>
          <w:szCs w:val="19"/>
        </w:rPr>
      </w:pPr>
    </w:p>
    <w:p>
      <w:pPr>
        <w:pStyle w:val="BodyText"/>
        <w:spacing w:line="240" w:lineRule="auto"/>
        <w:ind w:right="1438"/>
        <w:jc w:val="both"/>
      </w:pPr>
      <w:r>
        <w:rPr/>
        <w:t>Curaçao should become the most desirable destination in the Caribbean. Becoming the most desirable destination in the Caribbean is directly associated with increased economic and job growth. The goal is to push real economic growth at an annual average of 2%, while spawning nearly 4000 jobs by year 5 of the plan. The increase in arrivals is crucial for job creation: each additional 44 arrivals will generate one job. In so doing, tourism would become a </w:t>
      </w:r>
      <w:r>
        <w:rPr>
          <w:rFonts w:ascii="Calibri" w:hAnsi="Calibri" w:cs="Calibri" w:eastAsia="Calibri" w:hint="default"/>
        </w:rPr>
        <w:t>means to increase economic welfare and job growth through the industry’s connections with other economic </w:t>
      </w:r>
      <w:r>
        <w:rPr/>
        <w:t>sectors.</w:t>
      </w:r>
      <w:r>
        <w:rPr>
          <w:spacing w:val="-3"/>
        </w:rPr>
        <w:t> </w:t>
      </w:r>
      <w:r>
        <w:rPr/>
        <w:t>The</w:t>
      </w:r>
      <w:r>
        <w:rPr>
          <w:spacing w:val="-4"/>
        </w:rPr>
        <w:t> </w:t>
      </w:r>
      <w:r>
        <w:rPr/>
        <w:t>push</w:t>
      </w:r>
      <w:r>
        <w:rPr>
          <w:spacing w:val="-3"/>
        </w:rPr>
        <w:t> </w:t>
      </w:r>
      <w:r>
        <w:rPr/>
        <w:t>for</w:t>
      </w:r>
      <w:r>
        <w:rPr>
          <w:spacing w:val="-3"/>
        </w:rPr>
        <w:t> </w:t>
      </w:r>
      <w:r>
        <w:rPr/>
        <w:t>more</w:t>
      </w:r>
      <w:r>
        <w:rPr>
          <w:spacing w:val="-4"/>
        </w:rPr>
        <w:t> </w:t>
      </w:r>
      <w:r>
        <w:rPr/>
        <w:t>arrivals</w:t>
      </w:r>
      <w:r>
        <w:rPr>
          <w:spacing w:val="-2"/>
        </w:rPr>
        <w:t> </w:t>
      </w:r>
      <w:r>
        <w:rPr/>
        <w:t>will</w:t>
      </w:r>
      <w:r>
        <w:rPr>
          <w:spacing w:val="-4"/>
        </w:rPr>
        <w:t> </w:t>
      </w:r>
      <w:r>
        <w:rPr/>
        <w:t>be</w:t>
      </w:r>
      <w:r>
        <w:rPr>
          <w:spacing w:val="-4"/>
        </w:rPr>
        <w:t> </w:t>
      </w:r>
      <w:r>
        <w:rPr/>
        <w:t>realized</w:t>
      </w:r>
      <w:r>
        <w:rPr>
          <w:spacing w:val="-3"/>
        </w:rPr>
        <w:t> </w:t>
      </w:r>
      <w:r>
        <w:rPr/>
        <w:t>through</w:t>
      </w:r>
      <w:r>
        <w:rPr>
          <w:spacing w:val="-3"/>
        </w:rPr>
        <w:t> </w:t>
      </w:r>
      <w:r>
        <w:rPr/>
        <w:t>five</w:t>
      </w:r>
      <w:r>
        <w:rPr>
          <w:spacing w:val="-4"/>
        </w:rPr>
        <w:t> </w:t>
      </w:r>
      <w:r>
        <w:rPr/>
        <w:t>main</w:t>
      </w:r>
      <w:r>
        <w:rPr>
          <w:spacing w:val="-3"/>
        </w:rPr>
        <w:t> </w:t>
      </w:r>
      <w:r>
        <w:rPr/>
        <w:t>strategies.</w:t>
      </w:r>
    </w:p>
    <w:p>
      <w:pPr>
        <w:pStyle w:val="Heading2"/>
        <w:spacing w:line="240" w:lineRule="auto" w:before="38"/>
        <w:ind w:right="0"/>
        <w:jc w:val="both"/>
        <w:rPr>
          <w:b w:val="0"/>
          <w:bCs w:val="0"/>
        </w:rPr>
      </w:pPr>
      <w:bookmarkStart w:name="_bookmark8" w:id="9"/>
      <w:bookmarkEnd w:id="9"/>
      <w:r>
        <w:rPr>
          <w:b w:val="0"/>
        </w:rPr>
      </w:r>
      <w:r>
        <w:rPr/>
        <w:t>The</w:t>
      </w:r>
      <w:r>
        <w:rPr>
          <w:spacing w:val="-6"/>
        </w:rPr>
        <w:t> </w:t>
      </w:r>
      <w:r>
        <w:rPr/>
        <w:t>How</w:t>
      </w:r>
      <w:r>
        <w:rPr>
          <w:b w:val="0"/>
        </w:rPr>
      </w:r>
    </w:p>
    <w:p>
      <w:pPr>
        <w:pStyle w:val="BodyText"/>
        <w:spacing w:line="240" w:lineRule="auto" w:before="189"/>
        <w:ind w:right="0"/>
        <w:jc w:val="both"/>
      </w:pPr>
      <w:r>
        <w:rPr>
          <w:w w:val="99"/>
        </w:rPr>
      </w:r>
      <w:r>
        <w:rPr>
          <w:u w:val="single" w:color="000000"/>
        </w:rPr>
        <w:t>Strategy 1:  Refocus demand</w:t>
      </w:r>
      <w:r>
        <w:rPr>
          <w:spacing w:val="-13"/>
          <w:u w:val="single" w:color="000000"/>
        </w:rPr>
        <w:t> </w:t>
      </w:r>
      <w:r>
        <w:rPr>
          <w:u w:val="single" w:color="000000"/>
        </w:rPr>
        <w:t>structure</w:t>
      </w:r>
      <w:r>
        <w:rPr/>
      </w:r>
    </w:p>
    <w:p>
      <w:pPr>
        <w:pStyle w:val="BodyText"/>
        <w:spacing w:line="240" w:lineRule="auto"/>
        <w:ind w:right="1434"/>
        <w:jc w:val="both"/>
      </w:pPr>
      <w:r>
        <w:rPr/>
        <w:t>Refocus the demand structure toward the American market without replacing the Dutch and Venezuelan markets. The</w:t>
      </w:r>
      <w:r>
        <w:rPr>
          <w:spacing w:val="-6"/>
        </w:rPr>
        <w:t> </w:t>
      </w:r>
      <w:r>
        <w:rPr/>
        <w:t>required</w:t>
      </w:r>
      <w:r>
        <w:rPr>
          <w:spacing w:val="-5"/>
        </w:rPr>
        <w:t> </w:t>
      </w:r>
      <w:r>
        <w:rPr/>
        <w:t>additional</w:t>
      </w:r>
      <w:r>
        <w:rPr>
          <w:spacing w:val="-5"/>
        </w:rPr>
        <w:t> </w:t>
      </w:r>
      <w:r>
        <w:rPr/>
        <w:t>arrivals</w:t>
      </w:r>
      <w:r>
        <w:rPr>
          <w:spacing w:val="-6"/>
        </w:rPr>
        <w:t> </w:t>
      </w:r>
      <w:r>
        <w:rPr/>
        <w:t>from</w:t>
      </w:r>
      <w:r>
        <w:rPr>
          <w:spacing w:val="-6"/>
        </w:rPr>
        <w:t> </w:t>
      </w:r>
      <w:r>
        <w:rPr/>
        <w:t>the</w:t>
      </w:r>
      <w:r>
        <w:rPr>
          <w:spacing w:val="-6"/>
        </w:rPr>
        <w:t> </w:t>
      </w:r>
      <w:r>
        <w:rPr/>
        <w:t>US</w:t>
      </w:r>
      <w:r>
        <w:rPr>
          <w:spacing w:val="-6"/>
        </w:rPr>
        <w:t> </w:t>
      </w:r>
      <w:r>
        <w:rPr/>
        <w:t>should</w:t>
      </w:r>
      <w:r>
        <w:rPr>
          <w:spacing w:val="-5"/>
        </w:rPr>
        <w:t> </w:t>
      </w:r>
      <w:r>
        <w:rPr/>
        <w:t>increase</w:t>
      </w:r>
      <w:r>
        <w:rPr>
          <w:spacing w:val="-5"/>
        </w:rPr>
        <w:t> </w:t>
      </w:r>
      <w:r>
        <w:rPr/>
        <w:t>to</w:t>
      </w:r>
      <w:r>
        <w:rPr>
          <w:spacing w:val="-7"/>
        </w:rPr>
        <w:t> </w:t>
      </w:r>
      <w:r>
        <w:rPr/>
        <w:t>nearly</w:t>
      </w:r>
      <w:r>
        <w:rPr>
          <w:spacing w:val="-5"/>
        </w:rPr>
        <w:t> </w:t>
      </w:r>
      <w:r>
        <w:rPr/>
        <w:t>100,000,</w:t>
      </w:r>
      <w:r>
        <w:rPr>
          <w:spacing w:val="-6"/>
        </w:rPr>
        <w:t> </w:t>
      </w:r>
      <w:r>
        <w:rPr/>
        <w:t>for</w:t>
      </w:r>
      <w:r>
        <w:rPr>
          <w:spacing w:val="-5"/>
        </w:rPr>
        <w:t> </w:t>
      </w:r>
      <w:r>
        <w:rPr/>
        <w:t>total</w:t>
      </w:r>
      <w:r>
        <w:rPr>
          <w:spacing w:val="-8"/>
        </w:rPr>
        <w:t> </w:t>
      </w:r>
      <w:r>
        <w:rPr/>
        <w:t>arrivals</w:t>
      </w:r>
      <w:r>
        <w:rPr>
          <w:spacing w:val="-6"/>
        </w:rPr>
        <w:t> </w:t>
      </w:r>
      <w:r>
        <w:rPr/>
        <w:t>of</w:t>
      </w:r>
      <w:r>
        <w:rPr>
          <w:spacing w:val="-6"/>
        </w:rPr>
        <w:t> </w:t>
      </w:r>
      <w:r>
        <w:rPr/>
        <w:t>158,860</w:t>
      </w:r>
      <w:r>
        <w:rPr>
          <w:spacing w:val="-6"/>
        </w:rPr>
        <w:t> </w:t>
      </w:r>
      <w:r>
        <w:rPr/>
        <w:t>from</w:t>
      </w:r>
      <w:r>
        <w:rPr>
          <w:spacing w:val="-6"/>
        </w:rPr>
        <w:t> </w:t>
      </w:r>
      <w:r>
        <w:rPr/>
        <w:t>the </w:t>
      </w:r>
      <w:r>
        <w:rPr/>
      </w:r>
      <w:r>
        <w:rPr>
          <w:rFonts w:ascii="Calibri" w:hAnsi="Calibri" w:cs="Calibri" w:eastAsia="Calibri" w:hint="default"/>
        </w:rPr>
        <w:t>US market. The shift toward the American market responds to the need to quickly increase the hotel sector’s </w:t>
      </w:r>
      <w:r>
        <w:rPr/>
        <w:t>financial performance. The hotel sector has the most potent short-term economic impact for the tourism industry. The most efficient means by which to measure the aggregate performance of the hotel sector is via benchmarking </w:t>
      </w:r>
      <w:r>
        <w:rPr>
          <w:rFonts w:ascii="Calibri" w:hAnsi="Calibri" w:cs="Calibri" w:eastAsia="Calibri" w:hint="default"/>
        </w:rPr>
        <w:t>Curaçao’s RevPAR value. It is expected that by year 5, Curaçao’s RevPAR will increa</w:t>
      </w:r>
      <w:r>
        <w:rPr/>
        <w:t>se to US$128.13, which brings Curaçao closer to the regional</w:t>
      </w:r>
      <w:r>
        <w:rPr>
          <w:spacing w:val="-14"/>
        </w:rPr>
        <w:t> </w:t>
      </w:r>
      <w:r>
        <w:rPr/>
        <w:t>RevPAR.</w:t>
      </w:r>
    </w:p>
    <w:p>
      <w:pPr>
        <w:spacing w:line="240" w:lineRule="auto" w:before="1"/>
        <w:ind w:right="0"/>
        <w:rPr>
          <w:rFonts w:ascii="Calibri" w:hAnsi="Calibri" w:cs="Calibri" w:eastAsia="Calibri" w:hint="default"/>
          <w:sz w:val="20"/>
          <w:szCs w:val="20"/>
        </w:rPr>
      </w:pPr>
    </w:p>
    <w:p>
      <w:pPr>
        <w:pStyle w:val="BodyText"/>
        <w:spacing w:line="240" w:lineRule="auto"/>
        <w:ind w:right="1441"/>
        <w:jc w:val="both"/>
      </w:pPr>
      <w:r>
        <w:rPr/>
        <w:t>In</w:t>
      </w:r>
      <w:r>
        <w:rPr>
          <w:spacing w:val="-9"/>
        </w:rPr>
        <w:t> </w:t>
      </w:r>
      <w:r>
        <w:rPr/>
        <w:t>addition</w:t>
      </w:r>
      <w:r>
        <w:rPr>
          <w:spacing w:val="-12"/>
        </w:rPr>
        <w:t> </w:t>
      </w:r>
      <w:r>
        <w:rPr/>
        <w:t>to</w:t>
      </w:r>
      <w:r>
        <w:rPr>
          <w:spacing w:val="-10"/>
        </w:rPr>
        <w:t> </w:t>
      </w:r>
      <w:r>
        <w:rPr/>
        <w:t>the</w:t>
      </w:r>
      <w:r>
        <w:rPr>
          <w:spacing w:val="-11"/>
        </w:rPr>
        <w:t> </w:t>
      </w:r>
      <w:r>
        <w:rPr/>
        <w:t>shift</w:t>
      </w:r>
      <w:r>
        <w:rPr>
          <w:spacing w:val="-10"/>
        </w:rPr>
        <w:t> </w:t>
      </w:r>
      <w:r>
        <w:rPr/>
        <w:t>toward</w:t>
      </w:r>
      <w:r>
        <w:rPr>
          <w:spacing w:val="-10"/>
        </w:rPr>
        <w:t> </w:t>
      </w:r>
      <w:r>
        <w:rPr/>
        <w:t>the</w:t>
      </w:r>
      <w:r>
        <w:rPr>
          <w:spacing w:val="-11"/>
        </w:rPr>
        <w:t> </w:t>
      </w:r>
      <w:r>
        <w:rPr/>
        <w:t>American</w:t>
      </w:r>
      <w:r>
        <w:rPr>
          <w:spacing w:val="-9"/>
        </w:rPr>
        <w:t> </w:t>
      </w:r>
      <w:r>
        <w:rPr/>
        <w:t>market,</w:t>
      </w:r>
      <w:r>
        <w:rPr>
          <w:spacing w:val="-9"/>
        </w:rPr>
        <w:t> </w:t>
      </w:r>
      <w:r>
        <w:rPr/>
        <w:t>the</w:t>
      </w:r>
      <w:r>
        <w:rPr>
          <w:spacing w:val="-11"/>
        </w:rPr>
        <w:t> </w:t>
      </w:r>
      <w:r>
        <w:rPr/>
        <w:t>plan</w:t>
      </w:r>
      <w:r>
        <w:rPr>
          <w:spacing w:val="-11"/>
        </w:rPr>
        <w:t> </w:t>
      </w:r>
      <w:r>
        <w:rPr/>
        <w:t>suggests</w:t>
      </w:r>
      <w:r>
        <w:rPr>
          <w:spacing w:val="-11"/>
        </w:rPr>
        <w:t> </w:t>
      </w:r>
      <w:r>
        <w:rPr/>
        <w:t>a</w:t>
      </w:r>
      <w:r>
        <w:rPr>
          <w:spacing w:val="-10"/>
        </w:rPr>
        <w:t> </w:t>
      </w:r>
      <w:r>
        <w:rPr/>
        <w:t>shift</w:t>
      </w:r>
      <w:r>
        <w:rPr>
          <w:spacing w:val="-10"/>
        </w:rPr>
        <w:t> </w:t>
      </w:r>
      <w:r>
        <w:rPr/>
        <w:t>of</w:t>
      </w:r>
      <w:r>
        <w:rPr>
          <w:spacing w:val="-11"/>
        </w:rPr>
        <w:t> </w:t>
      </w:r>
      <w:r>
        <w:rPr/>
        <w:t>marketing</w:t>
      </w:r>
      <w:r>
        <w:rPr>
          <w:spacing w:val="-8"/>
        </w:rPr>
        <w:t> </w:t>
      </w:r>
      <w:r>
        <w:rPr/>
        <w:t>efforts</w:t>
      </w:r>
      <w:r>
        <w:rPr>
          <w:spacing w:val="-11"/>
        </w:rPr>
        <w:t> </w:t>
      </w:r>
      <w:r>
        <w:rPr/>
        <w:t>from</w:t>
      </w:r>
      <w:r>
        <w:rPr>
          <w:spacing w:val="-11"/>
        </w:rPr>
        <w:t> </w:t>
      </w:r>
      <w:r>
        <w:rPr/>
        <w:t>the</w:t>
      </w:r>
      <w:r>
        <w:rPr>
          <w:spacing w:val="-11"/>
        </w:rPr>
        <w:t> </w:t>
      </w:r>
      <w:r>
        <w:rPr/>
        <w:t>uncertain </w:t>
      </w:r>
      <w:r>
        <w:rPr/>
        <w:t>Venezuelan market to the Colombian market. This is because, as of July 1, 2015, visa requirements for Colombian citizens coming to Curaçao had been eliminated. Finally, the plan also suggests the implementation of marketing efforts</w:t>
      </w:r>
      <w:r>
        <w:rPr>
          <w:spacing w:val="-4"/>
        </w:rPr>
        <w:t> </w:t>
      </w:r>
      <w:r>
        <w:rPr/>
        <w:t>to</w:t>
      </w:r>
      <w:r>
        <w:rPr>
          <w:spacing w:val="-2"/>
        </w:rPr>
        <w:t> </w:t>
      </w:r>
      <w:r>
        <w:rPr/>
        <w:t>convert</w:t>
      </w:r>
      <w:r>
        <w:rPr>
          <w:spacing w:val="-2"/>
        </w:rPr>
        <w:t> </w:t>
      </w:r>
      <w:r>
        <w:rPr/>
        <w:t>5%</w:t>
      </w:r>
      <w:r>
        <w:rPr>
          <w:spacing w:val="-4"/>
        </w:rPr>
        <w:t> </w:t>
      </w:r>
      <w:r>
        <w:rPr/>
        <w:t>of</w:t>
      </w:r>
      <w:r>
        <w:rPr>
          <w:spacing w:val="-4"/>
        </w:rPr>
        <w:t> </w:t>
      </w:r>
      <w:r>
        <w:rPr/>
        <w:t>cruise</w:t>
      </w:r>
      <w:r>
        <w:rPr>
          <w:spacing w:val="-2"/>
        </w:rPr>
        <w:t> </w:t>
      </w:r>
      <w:r>
        <w:rPr/>
        <w:t>visitors</w:t>
      </w:r>
      <w:r>
        <w:rPr>
          <w:spacing w:val="-4"/>
        </w:rPr>
        <w:t> </w:t>
      </w:r>
      <w:r>
        <w:rPr/>
        <w:t>to</w:t>
      </w:r>
      <w:r>
        <w:rPr>
          <w:spacing w:val="-2"/>
        </w:rPr>
        <w:t> </w:t>
      </w:r>
      <w:r>
        <w:rPr/>
        <w:t>the</w:t>
      </w:r>
      <w:r>
        <w:rPr>
          <w:spacing w:val="-3"/>
        </w:rPr>
        <w:t> </w:t>
      </w:r>
      <w:r>
        <w:rPr/>
        <w:t>destination</w:t>
      </w:r>
      <w:r>
        <w:rPr>
          <w:spacing w:val="-2"/>
        </w:rPr>
        <w:t> </w:t>
      </w:r>
      <w:r>
        <w:rPr/>
        <w:t>into</w:t>
      </w:r>
      <w:r>
        <w:rPr>
          <w:spacing w:val="-2"/>
        </w:rPr>
        <w:t> </w:t>
      </w:r>
      <w:r>
        <w:rPr/>
        <w:t>stay-over</w:t>
      </w:r>
      <w:r>
        <w:rPr>
          <w:spacing w:val="-2"/>
        </w:rPr>
        <w:t> </w:t>
      </w:r>
      <w:r>
        <w:rPr/>
        <w:t>tourists.</w:t>
      </w:r>
    </w:p>
    <w:p>
      <w:pPr>
        <w:spacing w:line="240" w:lineRule="auto" w:before="11"/>
        <w:ind w:right="0"/>
        <w:rPr>
          <w:rFonts w:ascii="Calibri" w:hAnsi="Calibri" w:cs="Calibri" w:eastAsia="Calibri" w:hint="default"/>
          <w:sz w:val="19"/>
          <w:szCs w:val="19"/>
        </w:rPr>
      </w:pPr>
    </w:p>
    <w:p>
      <w:pPr>
        <w:pStyle w:val="BodyText"/>
        <w:spacing w:line="240" w:lineRule="auto"/>
        <w:ind w:right="1443"/>
        <w:jc w:val="both"/>
      </w:pPr>
      <w:r>
        <w:rPr/>
        <w:t>The goal is to increase RevPAR at the end of year 2 by US$15.00. This means a 7.5% increase per year on average, which is the same regional RevPAR increase from 2012 to 2013. By year 5, the goal is to reach at least the 2014 RevPAR level of the Caribbean region at US$133. Achieving this objective implies significantly closing the RevPAR </w:t>
      </w:r>
      <w:r>
        <w:rPr>
          <w:rFonts w:ascii="Calibri" w:hAnsi="Calibri" w:cs="Calibri" w:eastAsia="Calibri" w:hint="default"/>
        </w:rPr>
        <w:t>gap with the Caribbean region, thereby revealing a major stride with regard to Curaçao’s competitive position. This </w:t>
      </w:r>
      <w:r>
        <w:rPr/>
        <w:t>asserts</w:t>
      </w:r>
      <w:r>
        <w:rPr>
          <w:spacing w:val="-3"/>
        </w:rPr>
        <w:t> </w:t>
      </w:r>
      <w:r>
        <w:rPr/>
        <w:t>that</w:t>
      </w:r>
      <w:r>
        <w:rPr>
          <w:spacing w:val="-2"/>
        </w:rPr>
        <w:t> </w:t>
      </w:r>
      <w:r>
        <w:rPr/>
        <w:t>Curaçao</w:t>
      </w:r>
      <w:r>
        <w:rPr>
          <w:spacing w:val="-2"/>
        </w:rPr>
        <w:t> </w:t>
      </w:r>
      <w:r>
        <w:rPr/>
        <w:t>must</w:t>
      </w:r>
      <w:r>
        <w:rPr>
          <w:spacing w:val="-2"/>
        </w:rPr>
        <w:t> </w:t>
      </w:r>
      <w:r>
        <w:rPr/>
        <w:t>accomplish,</w:t>
      </w:r>
      <w:r>
        <w:rPr>
          <w:spacing w:val="-2"/>
        </w:rPr>
        <w:t> </w:t>
      </w:r>
      <w:r>
        <w:rPr/>
        <w:t>from</w:t>
      </w:r>
      <w:r>
        <w:rPr>
          <w:spacing w:val="-3"/>
        </w:rPr>
        <w:t> </w:t>
      </w:r>
      <w:r>
        <w:rPr/>
        <w:t>year</w:t>
      </w:r>
      <w:r>
        <w:rPr>
          <w:spacing w:val="-2"/>
        </w:rPr>
        <w:t> </w:t>
      </w:r>
      <w:r>
        <w:rPr/>
        <w:t>3</w:t>
      </w:r>
      <w:r>
        <w:rPr>
          <w:spacing w:val="-2"/>
        </w:rPr>
        <w:t> </w:t>
      </w:r>
      <w:r>
        <w:rPr/>
        <w:t>to</w:t>
      </w:r>
      <w:r>
        <w:rPr>
          <w:spacing w:val="-2"/>
        </w:rPr>
        <w:t> </w:t>
      </w:r>
      <w:r>
        <w:rPr/>
        <w:t>5,</w:t>
      </w:r>
      <w:r>
        <w:rPr>
          <w:spacing w:val="-2"/>
        </w:rPr>
        <w:t> </w:t>
      </w:r>
      <w:r>
        <w:rPr/>
        <w:t>an</w:t>
      </w:r>
      <w:r>
        <w:rPr>
          <w:spacing w:val="-2"/>
        </w:rPr>
        <w:t> </w:t>
      </w:r>
      <w:r>
        <w:rPr/>
        <w:t>average</w:t>
      </w:r>
      <w:r>
        <w:rPr>
          <w:spacing w:val="-3"/>
        </w:rPr>
        <w:t> </w:t>
      </w:r>
      <w:r>
        <w:rPr/>
        <w:t>annual</w:t>
      </w:r>
      <w:r>
        <w:rPr>
          <w:spacing w:val="-2"/>
        </w:rPr>
        <w:t> </w:t>
      </w:r>
      <w:r>
        <w:rPr/>
        <w:t>increase</w:t>
      </w:r>
      <w:r>
        <w:rPr>
          <w:spacing w:val="-4"/>
        </w:rPr>
        <w:t> </w:t>
      </w:r>
      <w:r>
        <w:rPr/>
        <w:t>in</w:t>
      </w:r>
      <w:r>
        <w:rPr>
          <w:spacing w:val="-2"/>
        </w:rPr>
        <w:t> </w:t>
      </w:r>
      <w:r>
        <w:rPr/>
        <w:t>RevPAR</w:t>
      </w:r>
      <w:r>
        <w:rPr>
          <w:spacing w:val="-3"/>
        </w:rPr>
        <w:t> </w:t>
      </w:r>
      <w:r>
        <w:rPr/>
        <w:t>of</w:t>
      </w:r>
      <w:r>
        <w:rPr>
          <w:spacing w:val="-4"/>
        </w:rPr>
        <w:t> </w:t>
      </w:r>
      <w:r>
        <w:rPr/>
        <w:t>3.5%.</w:t>
      </w:r>
    </w:p>
    <w:p>
      <w:pPr>
        <w:spacing w:line="240" w:lineRule="auto" w:before="1"/>
        <w:ind w:right="0"/>
        <w:rPr>
          <w:rFonts w:ascii="Calibri" w:hAnsi="Calibri" w:cs="Calibri" w:eastAsia="Calibri" w:hint="default"/>
          <w:sz w:val="20"/>
          <w:szCs w:val="20"/>
        </w:rPr>
      </w:pPr>
    </w:p>
    <w:p>
      <w:pPr>
        <w:pStyle w:val="BodyText"/>
        <w:spacing w:line="240" w:lineRule="auto"/>
        <w:ind w:right="0"/>
        <w:jc w:val="both"/>
      </w:pPr>
      <w:r>
        <w:rPr>
          <w:w w:val="99"/>
        </w:rPr>
      </w:r>
      <w:r>
        <w:rPr>
          <w:u w:val="single" w:color="000000"/>
        </w:rPr>
        <w:t>Strategy 2:  Increase</w:t>
      </w:r>
      <w:r>
        <w:rPr>
          <w:spacing w:val="-11"/>
          <w:u w:val="single" w:color="000000"/>
        </w:rPr>
        <w:t> </w:t>
      </w:r>
      <w:r>
        <w:rPr>
          <w:u w:val="single" w:color="000000"/>
        </w:rPr>
        <w:t>airlift</w:t>
      </w:r>
      <w:r>
        <w:rPr/>
      </w:r>
    </w:p>
    <w:p>
      <w:pPr>
        <w:pStyle w:val="BodyText"/>
        <w:spacing w:line="240" w:lineRule="auto"/>
        <w:ind w:right="1438"/>
        <w:jc w:val="both"/>
      </w:pPr>
      <w:r>
        <w:rPr/>
        <w:t>To</w:t>
      </w:r>
      <w:r>
        <w:rPr>
          <w:spacing w:val="-4"/>
        </w:rPr>
        <w:t> </w:t>
      </w:r>
      <w:r>
        <w:rPr/>
        <w:t>provide</w:t>
      </w:r>
      <w:r>
        <w:rPr>
          <w:spacing w:val="-5"/>
        </w:rPr>
        <w:t> </w:t>
      </w:r>
      <w:r>
        <w:rPr/>
        <w:t>accessibility</w:t>
      </w:r>
      <w:r>
        <w:rPr>
          <w:spacing w:val="-3"/>
        </w:rPr>
        <w:t> </w:t>
      </w:r>
      <w:r>
        <w:rPr/>
        <w:t>to</w:t>
      </w:r>
      <w:r>
        <w:rPr>
          <w:spacing w:val="-4"/>
        </w:rPr>
        <w:t> </w:t>
      </w:r>
      <w:r>
        <w:rPr/>
        <w:t>the</w:t>
      </w:r>
      <w:r>
        <w:rPr>
          <w:spacing w:val="-5"/>
        </w:rPr>
        <w:t> </w:t>
      </w:r>
      <w:r>
        <w:rPr/>
        <w:t>required</w:t>
      </w:r>
      <w:r>
        <w:rPr>
          <w:spacing w:val="-4"/>
        </w:rPr>
        <w:t> </w:t>
      </w:r>
      <w:r>
        <w:rPr/>
        <w:t>additional</w:t>
      </w:r>
      <w:r>
        <w:rPr>
          <w:spacing w:val="-4"/>
        </w:rPr>
        <w:t> </w:t>
      </w:r>
      <w:r>
        <w:rPr/>
        <w:t>arrivals</w:t>
      </w:r>
      <w:r>
        <w:rPr>
          <w:spacing w:val="-3"/>
        </w:rPr>
        <w:t> </w:t>
      </w:r>
      <w:r>
        <w:rPr/>
        <w:t>from</w:t>
      </w:r>
      <w:r>
        <w:rPr>
          <w:spacing w:val="-5"/>
        </w:rPr>
        <w:t> </w:t>
      </w:r>
      <w:r>
        <w:rPr/>
        <w:t>the</w:t>
      </w:r>
      <w:r>
        <w:rPr>
          <w:spacing w:val="-5"/>
        </w:rPr>
        <w:t> </w:t>
      </w:r>
      <w:r>
        <w:rPr/>
        <w:t>US,</w:t>
      </w:r>
      <w:r>
        <w:rPr>
          <w:spacing w:val="-4"/>
        </w:rPr>
        <w:t> </w:t>
      </w:r>
      <w:r>
        <w:rPr/>
        <w:t>an</w:t>
      </w:r>
      <w:r>
        <w:rPr>
          <w:spacing w:val="-3"/>
        </w:rPr>
        <w:t> </w:t>
      </w:r>
      <w:r>
        <w:rPr/>
        <w:t>increase</w:t>
      </w:r>
      <w:r>
        <w:rPr>
          <w:spacing w:val="-5"/>
        </w:rPr>
        <w:t> </w:t>
      </w:r>
      <w:r>
        <w:rPr/>
        <w:t>in</w:t>
      </w:r>
      <w:r>
        <w:rPr>
          <w:spacing w:val="-4"/>
        </w:rPr>
        <w:t> </w:t>
      </w:r>
      <w:r>
        <w:rPr/>
        <w:t>airlift</w:t>
      </w:r>
      <w:r>
        <w:rPr>
          <w:spacing w:val="-4"/>
        </w:rPr>
        <w:t> </w:t>
      </w:r>
      <w:r>
        <w:rPr/>
        <w:t>is</w:t>
      </w:r>
      <w:r>
        <w:rPr>
          <w:spacing w:val="-6"/>
        </w:rPr>
        <w:t> </w:t>
      </w:r>
      <w:r>
        <w:rPr/>
        <w:t>required.</w:t>
      </w:r>
      <w:r>
        <w:rPr>
          <w:spacing w:val="-4"/>
        </w:rPr>
        <w:t> </w:t>
      </w:r>
      <w:r>
        <w:rPr/>
        <w:t>By</w:t>
      </w:r>
      <w:r>
        <w:rPr>
          <w:spacing w:val="-4"/>
        </w:rPr>
        <w:t> </w:t>
      </w:r>
      <w:r>
        <w:rPr/>
        <w:t>2017,</w:t>
      </w:r>
      <w:r>
        <w:rPr>
          <w:spacing w:val="-4"/>
        </w:rPr>
        <w:t> </w:t>
      </w:r>
      <w:r>
        <w:rPr/>
        <w:t>the </w:t>
      </w:r>
      <w:r>
        <w:rPr/>
        <w:t>goal is to grow the current level of airlift by ten weekly flights from the 2015 baseline of twenty-four. The main priority region from the US is the Middle Atlantic region that covers New York, Pennsylvania, New Jersey, Maryland and Delaware (see Figure 32). By 2020, Curaçao will need twenty additional weekly flights from the US (above the 2015 baseline) in order to airlift 100,000 additional arrivals. The additional flights should depart from the Middle Atlantic, the Mid-West, and the South priority areas within the US</w:t>
      </w:r>
      <w:r>
        <w:rPr>
          <w:spacing w:val="-26"/>
        </w:rPr>
        <w:t> </w:t>
      </w:r>
      <w:r>
        <w:rPr/>
        <w:t>continent.</w:t>
      </w:r>
    </w:p>
    <w:p>
      <w:pPr>
        <w:spacing w:line="240" w:lineRule="auto" w:before="1"/>
        <w:ind w:right="0"/>
        <w:rPr>
          <w:rFonts w:ascii="Calibri" w:hAnsi="Calibri" w:cs="Calibri" w:eastAsia="Calibri" w:hint="default"/>
          <w:sz w:val="20"/>
          <w:szCs w:val="20"/>
        </w:rPr>
      </w:pPr>
    </w:p>
    <w:p>
      <w:pPr>
        <w:pStyle w:val="BodyText"/>
        <w:spacing w:line="243" w:lineRule="exact"/>
        <w:ind w:right="0"/>
        <w:jc w:val="both"/>
      </w:pPr>
      <w:r>
        <w:rPr>
          <w:w w:val="99"/>
        </w:rPr>
      </w:r>
      <w:r>
        <w:rPr>
          <w:u w:val="single" w:color="000000"/>
        </w:rPr>
        <w:t>Strategy 3:  Human capital</w:t>
      </w:r>
      <w:r>
        <w:rPr>
          <w:spacing w:val="-15"/>
          <w:u w:val="single" w:color="000000"/>
        </w:rPr>
        <w:t> </w:t>
      </w:r>
      <w:r>
        <w:rPr>
          <w:u w:val="single" w:color="000000"/>
        </w:rPr>
        <w:t>investment</w:t>
      </w:r>
      <w:r>
        <w:rPr/>
      </w:r>
    </w:p>
    <w:p>
      <w:pPr>
        <w:pStyle w:val="BodyText"/>
        <w:spacing w:line="240" w:lineRule="auto"/>
        <w:ind w:right="1436"/>
        <w:jc w:val="both"/>
      </w:pPr>
      <w:r>
        <w:rPr>
          <w:rFonts w:ascii="Calibri" w:hAnsi="Calibri" w:cs="Calibri" w:eastAsia="Calibri" w:hint="default"/>
        </w:rPr>
        <w:t>The plan suggests a sharp focus on the enhancement of Curaçao’s human capital. Enhancing the quality of human capital</w:t>
      </w:r>
      <w:r>
        <w:rPr>
          <w:rFonts w:ascii="Calibri" w:hAnsi="Calibri" w:cs="Calibri" w:eastAsia="Calibri" w:hint="default"/>
          <w:spacing w:val="-13"/>
        </w:rPr>
        <w:t> </w:t>
      </w:r>
      <w:r>
        <w:rPr>
          <w:rFonts w:ascii="Calibri" w:hAnsi="Calibri" w:cs="Calibri" w:eastAsia="Calibri" w:hint="default"/>
        </w:rPr>
        <w:t>is</w:t>
      </w:r>
      <w:r>
        <w:rPr>
          <w:rFonts w:ascii="Calibri" w:hAnsi="Calibri" w:cs="Calibri" w:eastAsia="Calibri" w:hint="default"/>
          <w:spacing w:val="-14"/>
        </w:rPr>
        <w:t> </w:t>
      </w:r>
      <w:r>
        <w:rPr>
          <w:rFonts w:ascii="Calibri" w:hAnsi="Calibri" w:cs="Calibri" w:eastAsia="Calibri" w:hint="default"/>
        </w:rPr>
        <w:t>the</w:t>
      </w:r>
      <w:r>
        <w:rPr>
          <w:rFonts w:ascii="Calibri" w:hAnsi="Calibri" w:cs="Calibri" w:eastAsia="Calibri" w:hint="default"/>
          <w:spacing w:val="-13"/>
        </w:rPr>
        <w:t> </w:t>
      </w:r>
      <w:r>
        <w:rPr>
          <w:rFonts w:ascii="Calibri" w:hAnsi="Calibri" w:cs="Calibri" w:eastAsia="Calibri" w:hint="default"/>
        </w:rPr>
        <w:t>core</w:t>
      </w:r>
      <w:r>
        <w:rPr>
          <w:rFonts w:ascii="Calibri" w:hAnsi="Calibri" w:cs="Calibri" w:eastAsia="Calibri" w:hint="default"/>
          <w:spacing w:val="-13"/>
        </w:rPr>
        <w:t> </w:t>
      </w:r>
      <w:r>
        <w:rPr>
          <w:rFonts w:ascii="Calibri" w:hAnsi="Calibri" w:cs="Calibri" w:eastAsia="Calibri" w:hint="default"/>
        </w:rPr>
        <w:t>necessity</w:t>
      </w:r>
      <w:r>
        <w:rPr>
          <w:rFonts w:ascii="Calibri" w:hAnsi="Calibri" w:cs="Calibri" w:eastAsia="Calibri" w:hint="default"/>
          <w:spacing w:val="-12"/>
        </w:rPr>
        <w:t> </w:t>
      </w:r>
      <w:r>
        <w:rPr>
          <w:rFonts w:ascii="Calibri" w:hAnsi="Calibri" w:cs="Calibri" w:eastAsia="Calibri" w:hint="default"/>
        </w:rPr>
        <w:t>of</w:t>
      </w:r>
      <w:r>
        <w:rPr>
          <w:rFonts w:ascii="Calibri" w:hAnsi="Calibri" w:cs="Calibri" w:eastAsia="Calibri" w:hint="default"/>
          <w:spacing w:val="-11"/>
        </w:rPr>
        <w:t> </w:t>
      </w:r>
      <w:r>
        <w:rPr>
          <w:rFonts w:ascii="Calibri" w:hAnsi="Calibri" w:cs="Calibri" w:eastAsia="Calibri" w:hint="default"/>
        </w:rPr>
        <w:t>tourism’s</w:t>
      </w:r>
      <w:r>
        <w:rPr>
          <w:rFonts w:ascii="Calibri" w:hAnsi="Calibri" w:cs="Calibri" w:eastAsia="Calibri" w:hint="default"/>
          <w:spacing w:val="-11"/>
        </w:rPr>
        <w:t> </w:t>
      </w:r>
      <w:r>
        <w:rPr>
          <w:rFonts w:ascii="Calibri" w:hAnsi="Calibri" w:cs="Calibri" w:eastAsia="Calibri" w:hint="default"/>
        </w:rPr>
        <w:t>soft</w:t>
      </w:r>
      <w:r>
        <w:rPr>
          <w:rFonts w:ascii="Calibri" w:hAnsi="Calibri" w:cs="Calibri" w:eastAsia="Calibri" w:hint="default"/>
          <w:spacing w:val="-12"/>
        </w:rPr>
        <w:t> </w:t>
      </w:r>
      <w:r>
        <w:rPr>
          <w:rFonts w:ascii="Calibri" w:hAnsi="Calibri" w:cs="Calibri" w:eastAsia="Calibri" w:hint="default"/>
        </w:rPr>
        <w:t>components.</w:t>
      </w:r>
      <w:r>
        <w:rPr>
          <w:rFonts w:ascii="Calibri" w:hAnsi="Calibri" w:cs="Calibri" w:eastAsia="Calibri" w:hint="default"/>
          <w:spacing w:val="21"/>
        </w:rPr>
        <w:t> </w:t>
      </w:r>
      <w:r>
        <w:rPr>
          <w:rFonts w:ascii="Calibri" w:hAnsi="Calibri" w:cs="Calibri" w:eastAsia="Calibri" w:hint="default"/>
        </w:rPr>
        <w:t>Increasing</w:t>
      </w:r>
      <w:r>
        <w:rPr>
          <w:rFonts w:ascii="Calibri" w:hAnsi="Calibri" w:cs="Calibri" w:eastAsia="Calibri" w:hint="default"/>
          <w:spacing w:val="-13"/>
        </w:rPr>
        <w:t> </w:t>
      </w:r>
      <w:r>
        <w:rPr>
          <w:rFonts w:ascii="Calibri" w:hAnsi="Calibri" w:cs="Calibri" w:eastAsia="Calibri" w:hint="default"/>
        </w:rPr>
        <w:t>the</w:t>
      </w:r>
      <w:r>
        <w:rPr>
          <w:rFonts w:ascii="Calibri" w:hAnsi="Calibri" w:cs="Calibri" w:eastAsia="Calibri" w:hint="default"/>
          <w:spacing w:val="-13"/>
        </w:rPr>
        <w:t> </w:t>
      </w:r>
      <w:r>
        <w:rPr>
          <w:rFonts w:ascii="Calibri" w:hAnsi="Calibri" w:cs="Calibri" w:eastAsia="Calibri" w:hint="default"/>
        </w:rPr>
        <w:t>number</w:t>
      </w:r>
      <w:r>
        <w:rPr>
          <w:rFonts w:ascii="Calibri" w:hAnsi="Calibri" w:cs="Calibri" w:eastAsia="Calibri" w:hint="default"/>
          <w:spacing w:val="-13"/>
        </w:rPr>
        <w:t> </w:t>
      </w:r>
      <w:r>
        <w:rPr>
          <w:rFonts w:ascii="Calibri" w:hAnsi="Calibri" w:cs="Calibri" w:eastAsia="Calibri" w:hint="default"/>
        </w:rPr>
        <w:t>of</w:t>
      </w:r>
      <w:r>
        <w:rPr>
          <w:rFonts w:ascii="Calibri" w:hAnsi="Calibri" w:cs="Calibri" w:eastAsia="Calibri" w:hint="default"/>
          <w:spacing w:val="-13"/>
        </w:rPr>
        <w:t> </w:t>
      </w:r>
      <w:r>
        <w:rPr>
          <w:rFonts w:ascii="Calibri" w:hAnsi="Calibri" w:cs="Calibri" w:eastAsia="Calibri" w:hint="default"/>
        </w:rPr>
        <w:t>arrivals</w:t>
      </w:r>
      <w:r>
        <w:rPr>
          <w:rFonts w:ascii="Calibri" w:hAnsi="Calibri" w:cs="Calibri" w:eastAsia="Calibri" w:hint="default"/>
          <w:spacing w:val="-14"/>
        </w:rPr>
        <w:t> </w:t>
      </w:r>
      <w:r>
        <w:rPr>
          <w:rFonts w:ascii="Calibri" w:hAnsi="Calibri" w:cs="Calibri" w:eastAsia="Calibri" w:hint="default"/>
        </w:rPr>
        <w:t>to</w:t>
      </w:r>
      <w:r>
        <w:rPr>
          <w:rFonts w:ascii="Calibri" w:hAnsi="Calibri" w:cs="Calibri" w:eastAsia="Calibri" w:hint="default"/>
          <w:spacing w:val="-12"/>
        </w:rPr>
        <w:t> </w:t>
      </w:r>
      <w:r>
        <w:rPr>
          <w:rFonts w:ascii="Calibri" w:hAnsi="Calibri" w:cs="Calibri" w:eastAsia="Calibri" w:hint="default"/>
        </w:rPr>
        <w:t>Curaçao,</w:t>
      </w:r>
      <w:r>
        <w:rPr>
          <w:rFonts w:ascii="Calibri" w:hAnsi="Calibri" w:cs="Calibri" w:eastAsia="Calibri" w:hint="default"/>
          <w:spacing w:val="-12"/>
        </w:rPr>
        <w:t> </w:t>
      </w:r>
      <w:r>
        <w:rPr>
          <w:rFonts w:ascii="Calibri" w:hAnsi="Calibri" w:cs="Calibri" w:eastAsia="Calibri" w:hint="default"/>
        </w:rPr>
        <w:t>as</w:t>
      </w:r>
      <w:r>
        <w:rPr>
          <w:rFonts w:ascii="Calibri" w:hAnsi="Calibri" w:cs="Calibri" w:eastAsia="Calibri" w:hint="default"/>
          <w:spacing w:val="-13"/>
        </w:rPr>
        <w:t> </w:t>
      </w:r>
      <w:r>
        <w:rPr>
          <w:rFonts w:ascii="Calibri" w:hAnsi="Calibri" w:cs="Calibri" w:eastAsia="Calibri" w:hint="default"/>
        </w:rPr>
        <w:t>suggested </w:t>
      </w:r>
      <w:r>
        <w:rPr>
          <w:rFonts w:ascii="Calibri" w:hAnsi="Calibri" w:cs="Calibri" w:eastAsia="Calibri" w:hint="default"/>
        </w:rPr>
      </w:r>
      <w:r>
        <w:rPr/>
        <w:t>in Strategy 1, will impact economic growth and job creation. However, the continued success of Strategy 1 is dependent upon the simultaneous increase in the quality of tourism experiences. The plan aims to certify 5000 employees in hospitality services by 2019, and o</w:t>
      </w:r>
      <w:r>
        <w:rPr>
          <w:rFonts w:ascii="Calibri" w:hAnsi="Calibri" w:cs="Calibri" w:eastAsia="Calibri" w:hint="default"/>
        </w:rPr>
        <w:t>n increasing the public perception of tourism’s value to 70% from </w:t>
      </w:r>
      <w:r>
        <w:rPr/>
        <w:t>the current level of 40% of favorable tourism perceptions. Of great value in securing positive perceptions of the </w:t>
      </w:r>
      <w:r>
        <w:rPr>
          <w:rFonts w:ascii="Calibri" w:hAnsi="Calibri" w:cs="Calibri" w:eastAsia="Calibri" w:hint="default"/>
        </w:rPr>
        <w:t>destination are the experiences gained between interaction of Curacao’s peop</w:t>
      </w:r>
      <w:r>
        <w:rPr/>
        <w:t>le and tourists.   Thus, the  </w:t>
      </w:r>
      <w:r>
        <w:rPr>
          <w:spacing w:val="39"/>
        </w:rPr>
        <w:t> </w:t>
      </w:r>
      <w:r>
        <w:rPr/>
        <w:t>program</w:t>
      </w:r>
    </w:p>
    <w:p>
      <w:pPr>
        <w:spacing w:after="0" w:line="240" w:lineRule="auto"/>
        <w:jc w:val="both"/>
        <w:sectPr>
          <w:headerReference w:type="default" r:id="rId11"/>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45"/>
        <w:jc w:val="both"/>
      </w:pPr>
      <w:r>
        <w:rPr>
          <w:rFonts w:ascii="Calibri" w:hAnsi="Calibri" w:cs="Calibri" w:eastAsia="Calibri" w:hint="default"/>
        </w:rPr>
        <w:t>“Beautiful People” serves as an investment in increasing and sustaining tourist awareness of Curacao’s ability to </w:t>
      </w:r>
      <w:r>
        <w:rPr/>
        <w:t>offer far more than</w:t>
      </w:r>
      <w:r>
        <w:rPr>
          <w:spacing w:val="-13"/>
        </w:rPr>
        <w:t> </w:t>
      </w:r>
      <w:r>
        <w:rPr/>
        <w:t>SSS.</w:t>
      </w:r>
    </w:p>
    <w:p>
      <w:pPr>
        <w:spacing w:line="240" w:lineRule="auto" w:before="11"/>
        <w:ind w:right="0"/>
        <w:rPr>
          <w:rFonts w:ascii="Calibri" w:hAnsi="Calibri" w:cs="Calibri" w:eastAsia="Calibri" w:hint="default"/>
          <w:sz w:val="19"/>
          <w:szCs w:val="19"/>
        </w:rPr>
      </w:pPr>
    </w:p>
    <w:p>
      <w:pPr>
        <w:pStyle w:val="BodyText"/>
        <w:spacing w:line="240" w:lineRule="auto"/>
        <w:ind w:right="0"/>
        <w:jc w:val="both"/>
      </w:pPr>
      <w:r>
        <w:rPr>
          <w:w w:val="99"/>
        </w:rPr>
      </w:r>
      <w:r>
        <w:rPr>
          <w:u w:val="single" w:color="000000"/>
        </w:rPr>
        <w:t>Strategy 4:  Sustainable financial</w:t>
      </w:r>
      <w:r>
        <w:rPr>
          <w:spacing w:val="-18"/>
          <w:u w:val="single" w:color="000000"/>
        </w:rPr>
        <w:t> </w:t>
      </w:r>
      <w:r>
        <w:rPr>
          <w:u w:val="single" w:color="000000"/>
        </w:rPr>
        <w:t>resources</w:t>
      </w:r>
      <w:r>
        <w:rPr/>
      </w:r>
    </w:p>
    <w:p>
      <w:pPr>
        <w:pStyle w:val="BodyText"/>
        <w:spacing w:line="240" w:lineRule="auto"/>
        <w:ind w:right="1438"/>
        <w:jc w:val="both"/>
      </w:pPr>
      <w:r>
        <w:rPr/>
        <w:t>The plan foresees two funds. One fund is to support marketing efforts as well as increases in airlift and the soft components of the tourism product - according to Strategies 1, 2 and 3. This marketing fund consists of US$40 million to be acquired as a loan. The sources to finance the loan will stem from additional room tax, more effective room tax collection, and from other non-conventional sources (other economic sectors) that benefit from the increase in tourism revenues. It is imperative, however, that any room tax arrears be promptly collected in order</w:t>
      </w:r>
      <w:r>
        <w:rPr>
          <w:spacing w:val="-31"/>
        </w:rPr>
        <w:t> </w:t>
      </w:r>
      <w:r>
        <w:rPr/>
        <w:t>to </w:t>
      </w:r>
      <w:r>
        <w:rPr/>
        <w:t>instill confidence in the banking system, that the law is to be respected, and that it will be enforced; and that the government means business when it comes to tourism</w:t>
      </w:r>
      <w:r>
        <w:rPr>
          <w:spacing w:val="-29"/>
        </w:rPr>
        <w:t> </w:t>
      </w:r>
      <w:r>
        <w:rPr/>
        <w:t>development.</w:t>
      </w:r>
    </w:p>
    <w:p>
      <w:pPr>
        <w:pStyle w:val="BodyText"/>
        <w:spacing w:line="240" w:lineRule="auto"/>
        <w:ind w:right="1441"/>
        <w:jc w:val="both"/>
      </w:pPr>
      <w:r>
        <w:rPr/>
        <w:t>The second fund pertains to the collection of the room tax from short term rentals, such as apartments. This fund could</w:t>
      </w:r>
      <w:r>
        <w:rPr>
          <w:spacing w:val="-3"/>
        </w:rPr>
        <w:t> </w:t>
      </w:r>
      <w:r>
        <w:rPr/>
        <w:t>be</w:t>
      </w:r>
      <w:r>
        <w:rPr>
          <w:spacing w:val="-4"/>
        </w:rPr>
        <w:t> </w:t>
      </w:r>
      <w:r>
        <w:rPr/>
        <w:t>put</w:t>
      </w:r>
      <w:r>
        <w:rPr>
          <w:spacing w:val="-3"/>
        </w:rPr>
        <w:t> </w:t>
      </w:r>
      <w:r>
        <w:rPr/>
        <w:t>to</w:t>
      </w:r>
      <w:r>
        <w:rPr>
          <w:spacing w:val="-3"/>
        </w:rPr>
        <w:t> </w:t>
      </w:r>
      <w:r>
        <w:rPr/>
        <w:t>use</w:t>
      </w:r>
      <w:r>
        <w:rPr>
          <w:spacing w:val="-4"/>
        </w:rPr>
        <w:t> </w:t>
      </w:r>
      <w:r>
        <w:rPr/>
        <w:t>for</w:t>
      </w:r>
      <w:r>
        <w:rPr>
          <w:spacing w:val="-3"/>
        </w:rPr>
        <w:t> </w:t>
      </w:r>
      <w:r>
        <w:rPr/>
        <w:t>creating</w:t>
      </w:r>
      <w:r>
        <w:rPr>
          <w:spacing w:val="-4"/>
        </w:rPr>
        <w:t> </w:t>
      </w:r>
      <w:r>
        <w:rPr/>
        <w:t>and</w:t>
      </w:r>
      <w:r>
        <w:rPr>
          <w:spacing w:val="-3"/>
        </w:rPr>
        <w:t> </w:t>
      </w:r>
      <w:r>
        <w:rPr/>
        <w:t>sustaining</w:t>
      </w:r>
      <w:r>
        <w:rPr>
          <w:spacing w:val="-4"/>
        </w:rPr>
        <w:t> </w:t>
      </w:r>
      <w:r>
        <w:rPr/>
        <w:t>product</w:t>
      </w:r>
      <w:r>
        <w:rPr>
          <w:spacing w:val="-3"/>
        </w:rPr>
        <w:t> </w:t>
      </w:r>
      <w:r>
        <w:rPr/>
        <w:t>development</w:t>
      </w:r>
      <w:r>
        <w:rPr>
          <w:spacing w:val="-3"/>
        </w:rPr>
        <w:t> </w:t>
      </w:r>
      <w:r>
        <w:rPr/>
        <w:t>in</w:t>
      </w:r>
      <w:r>
        <w:rPr>
          <w:spacing w:val="-3"/>
        </w:rPr>
        <w:t> </w:t>
      </w:r>
      <w:r>
        <w:rPr/>
        <w:t>tourism</w:t>
      </w:r>
      <w:r>
        <w:rPr>
          <w:spacing w:val="-4"/>
        </w:rPr>
        <w:t> </w:t>
      </w:r>
      <w:r>
        <w:rPr/>
        <w:t>offerings.</w:t>
      </w:r>
    </w:p>
    <w:p>
      <w:pPr>
        <w:spacing w:line="240" w:lineRule="auto" w:before="11"/>
        <w:ind w:right="0"/>
        <w:rPr>
          <w:rFonts w:ascii="Calibri" w:hAnsi="Calibri" w:cs="Calibri" w:eastAsia="Calibri" w:hint="default"/>
          <w:sz w:val="19"/>
          <w:szCs w:val="19"/>
        </w:rPr>
      </w:pPr>
    </w:p>
    <w:p>
      <w:pPr>
        <w:pStyle w:val="BodyText"/>
        <w:spacing w:line="240" w:lineRule="auto"/>
        <w:ind w:right="0"/>
        <w:jc w:val="both"/>
      </w:pPr>
      <w:r>
        <w:rPr>
          <w:w w:val="99"/>
        </w:rPr>
      </w:r>
      <w:r>
        <w:rPr>
          <w:u w:val="single" w:color="000000"/>
        </w:rPr>
        <w:t>Strategy 5:  Revamping the UNESCO heritage site</w:t>
      </w:r>
      <w:r>
        <w:rPr>
          <w:spacing w:val="-25"/>
          <w:u w:val="single" w:color="000000"/>
        </w:rPr>
        <w:t> </w:t>
      </w:r>
      <w:r>
        <w:rPr>
          <w:u w:val="single" w:color="000000"/>
        </w:rPr>
        <w:t>Punda/Otrabanda</w:t>
      </w:r>
      <w:r>
        <w:rPr/>
      </w:r>
    </w:p>
    <w:p>
      <w:pPr>
        <w:pStyle w:val="BodyText"/>
        <w:spacing w:line="240" w:lineRule="auto" w:before="1"/>
        <w:ind w:right="1440"/>
        <w:jc w:val="both"/>
      </w:pPr>
      <w:r>
        <w:rPr/>
        <w:t>The Punda/Otrabanda area has a unique opportunity for combining cruise tourism and stay-over tourism in terms of opening hours, shopping mix, and food and beverage, as well as entertainment in general. This site is the most visited attraction on the island. As the American tourists prefer beach consumption, entertainment, and socializing opportunities, the development of the area would increase the likelihood of drawing this segment. Moreover, the American consumption pattern could fit well with what Curaçao has to offer in terms of its present everyday life mosaic,</w:t>
      </w:r>
      <w:r>
        <w:rPr>
          <w:spacing w:val="-6"/>
        </w:rPr>
        <w:t> </w:t>
      </w:r>
      <w:r>
        <w:rPr/>
        <w:t>which</w:t>
      </w:r>
      <w:r>
        <w:rPr>
          <w:spacing w:val="-9"/>
        </w:rPr>
        <w:t> </w:t>
      </w:r>
      <w:r>
        <w:rPr/>
        <w:t>is</w:t>
      </w:r>
      <w:r>
        <w:rPr>
          <w:spacing w:val="-11"/>
        </w:rPr>
        <w:t> </w:t>
      </w:r>
      <w:r>
        <w:rPr/>
        <w:t>prevalent</w:t>
      </w:r>
      <w:r>
        <w:rPr>
          <w:spacing w:val="-9"/>
        </w:rPr>
        <w:t> </w:t>
      </w:r>
      <w:r>
        <w:rPr/>
        <w:t>in</w:t>
      </w:r>
      <w:r>
        <w:rPr>
          <w:spacing w:val="-9"/>
        </w:rPr>
        <w:t> </w:t>
      </w:r>
      <w:r>
        <w:rPr/>
        <w:t>the</w:t>
      </w:r>
      <w:r>
        <w:rPr>
          <w:spacing w:val="-10"/>
        </w:rPr>
        <w:t> </w:t>
      </w:r>
      <w:r>
        <w:rPr/>
        <w:t>culture</w:t>
      </w:r>
      <w:r>
        <w:rPr>
          <w:spacing w:val="-10"/>
        </w:rPr>
        <w:t> </w:t>
      </w:r>
      <w:r>
        <w:rPr/>
        <w:t>of</w:t>
      </w:r>
      <w:r>
        <w:rPr>
          <w:spacing w:val="-10"/>
        </w:rPr>
        <w:t> </w:t>
      </w:r>
      <w:r>
        <w:rPr/>
        <w:t>the</w:t>
      </w:r>
      <w:r>
        <w:rPr>
          <w:spacing w:val="-10"/>
        </w:rPr>
        <w:t> </w:t>
      </w:r>
      <w:r>
        <w:rPr/>
        <w:t>island.</w:t>
      </w:r>
      <w:r>
        <w:rPr>
          <w:spacing w:val="27"/>
        </w:rPr>
        <w:t> </w:t>
      </w:r>
      <w:r>
        <w:rPr/>
        <w:t>Additionally,</w:t>
      </w:r>
      <w:r>
        <w:rPr>
          <w:spacing w:val="-9"/>
        </w:rPr>
        <w:t> </w:t>
      </w:r>
      <w:r>
        <w:rPr/>
        <w:t>this</w:t>
      </w:r>
      <w:r>
        <w:rPr>
          <w:spacing w:val="-11"/>
        </w:rPr>
        <w:t> </w:t>
      </w:r>
      <w:r>
        <w:rPr/>
        <w:t>area</w:t>
      </w:r>
      <w:r>
        <w:rPr>
          <w:spacing w:val="-9"/>
        </w:rPr>
        <w:t> </w:t>
      </w:r>
      <w:r>
        <w:rPr/>
        <w:t>will</w:t>
      </w:r>
      <w:r>
        <w:rPr>
          <w:spacing w:val="-10"/>
        </w:rPr>
        <w:t> </w:t>
      </w:r>
      <w:r>
        <w:rPr/>
        <w:t>provide</w:t>
      </w:r>
      <w:r>
        <w:rPr>
          <w:spacing w:val="-10"/>
        </w:rPr>
        <w:t> </w:t>
      </w:r>
      <w:r>
        <w:rPr/>
        <w:t>the</w:t>
      </w:r>
      <w:r>
        <w:rPr>
          <w:spacing w:val="-10"/>
        </w:rPr>
        <w:t> </w:t>
      </w:r>
      <w:r>
        <w:rPr/>
        <w:t>residents</w:t>
      </w:r>
      <w:r>
        <w:rPr>
          <w:spacing w:val="-7"/>
        </w:rPr>
        <w:t> </w:t>
      </w:r>
      <w:r>
        <w:rPr/>
        <w:t>with</w:t>
      </w:r>
      <w:r>
        <w:rPr>
          <w:spacing w:val="-8"/>
        </w:rPr>
        <w:t> </w:t>
      </w:r>
      <w:r>
        <w:rPr/>
        <w:t>a</w:t>
      </w:r>
      <w:r>
        <w:rPr>
          <w:spacing w:val="-9"/>
        </w:rPr>
        <w:t> </w:t>
      </w:r>
      <w:r>
        <w:rPr/>
        <w:t>district </w:t>
      </w:r>
      <w:r>
        <w:rPr/>
        <w:t>in</w:t>
      </w:r>
      <w:r>
        <w:rPr>
          <w:spacing w:val="-2"/>
        </w:rPr>
        <w:t> </w:t>
      </w:r>
      <w:r>
        <w:rPr/>
        <w:t>which</w:t>
      </w:r>
      <w:r>
        <w:rPr>
          <w:spacing w:val="-2"/>
        </w:rPr>
        <w:t> </w:t>
      </w:r>
      <w:r>
        <w:rPr/>
        <w:t>they</w:t>
      </w:r>
      <w:r>
        <w:rPr>
          <w:spacing w:val="-2"/>
        </w:rPr>
        <w:t> </w:t>
      </w:r>
      <w:r>
        <w:rPr/>
        <w:t>might</w:t>
      </w:r>
      <w:r>
        <w:rPr>
          <w:spacing w:val="-2"/>
        </w:rPr>
        <w:t> </w:t>
      </w:r>
      <w:r>
        <w:rPr/>
        <w:t>like</w:t>
      </w:r>
      <w:r>
        <w:rPr>
          <w:spacing w:val="-3"/>
        </w:rPr>
        <w:t> </w:t>
      </w:r>
      <w:r>
        <w:rPr/>
        <w:t>to</w:t>
      </w:r>
      <w:r>
        <w:rPr>
          <w:spacing w:val="-2"/>
        </w:rPr>
        <w:t> </w:t>
      </w:r>
      <w:r>
        <w:rPr/>
        <w:t>seek</w:t>
      </w:r>
      <w:r>
        <w:rPr>
          <w:spacing w:val="-2"/>
        </w:rPr>
        <w:t> </w:t>
      </w:r>
      <w:r>
        <w:rPr/>
        <w:t>employment,</w:t>
      </w:r>
      <w:r>
        <w:rPr>
          <w:spacing w:val="-2"/>
        </w:rPr>
        <w:t> </w:t>
      </w:r>
      <w:r>
        <w:rPr/>
        <w:t>as</w:t>
      </w:r>
      <w:r>
        <w:rPr>
          <w:spacing w:val="-4"/>
        </w:rPr>
        <w:t> </w:t>
      </w:r>
      <w:r>
        <w:rPr/>
        <w:t>well</w:t>
      </w:r>
      <w:r>
        <w:rPr>
          <w:spacing w:val="-3"/>
        </w:rPr>
        <w:t> </w:t>
      </w:r>
      <w:r>
        <w:rPr/>
        <w:t>as</w:t>
      </w:r>
      <w:r>
        <w:rPr>
          <w:spacing w:val="-4"/>
        </w:rPr>
        <w:t> </w:t>
      </w:r>
      <w:r>
        <w:rPr/>
        <w:t>frequent</w:t>
      </w:r>
      <w:r>
        <w:rPr>
          <w:spacing w:val="-2"/>
        </w:rPr>
        <w:t> </w:t>
      </w:r>
      <w:r>
        <w:rPr/>
        <w:t>during</w:t>
      </w:r>
      <w:r>
        <w:rPr>
          <w:spacing w:val="-3"/>
        </w:rPr>
        <w:t> </w:t>
      </w:r>
      <w:r>
        <w:rPr/>
        <w:t>their</w:t>
      </w:r>
      <w:r>
        <w:rPr>
          <w:spacing w:val="-3"/>
        </w:rPr>
        <w:t> </w:t>
      </w:r>
      <w:r>
        <w:rPr/>
        <w:t>leisure</w:t>
      </w:r>
      <w:r>
        <w:rPr>
          <w:spacing w:val="-3"/>
        </w:rPr>
        <w:t> </w:t>
      </w:r>
      <w:r>
        <w:rPr/>
        <w:t>time.</w:t>
      </w:r>
    </w:p>
    <w:p>
      <w:pPr>
        <w:pStyle w:val="Heading2"/>
        <w:spacing w:line="240" w:lineRule="auto" w:before="37"/>
        <w:ind w:right="0"/>
        <w:jc w:val="both"/>
        <w:rPr>
          <w:b w:val="0"/>
          <w:bCs w:val="0"/>
        </w:rPr>
      </w:pPr>
      <w:bookmarkStart w:name="_bookmark9" w:id="10"/>
      <w:bookmarkEnd w:id="10"/>
      <w:r>
        <w:rPr>
          <w:b w:val="0"/>
        </w:rPr>
      </w:r>
      <w:r>
        <w:rPr/>
        <w:t>When</w:t>
      </w:r>
      <w:r>
        <w:rPr>
          <w:b w:val="0"/>
        </w:rPr>
      </w:r>
    </w:p>
    <w:p>
      <w:pPr>
        <w:pStyle w:val="BodyText"/>
        <w:spacing w:line="240" w:lineRule="auto" w:before="191"/>
        <w:ind w:right="1436"/>
        <w:jc w:val="both"/>
      </w:pPr>
      <w:r>
        <w:rPr/>
        <w:t>The plan consists of three time cycles, which includes years 1 and 2 as the first cycle, years 3 and 4 as the second cycle, and finally, year 5 as the third cycle. Cycle 1 is traction and is crucial for the success of the plan as it is geared toward rapidly increasing demand and airlift, while strengthening the hotel sector. Cycle 2 is anchored in the consolidation of achievements, with special attention dedicated to improving human capital and other soft components of the tourism sector. During this cycle the UNESCO heritage site should have become a duty-free</w:t>
      </w:r>
      <w:r>
        <w:rPr>
          <w:spacing w:val="-31"/>
        </w:rPr>
        <w:t> </w:t>
      </w:r>
      <w:r>
        <w:rPr/>
        <w:t>site. </w:t>
      </w:r>
      <w:r>
        <w:rPr/>
        <w:t>Cycle 3 addresses the expansion of the tourism sector. In particular, it speaks to the expansion of the hotel room inventory. Also, it attends to Oostpunt as the wild card in propelling the destin</w:t>
      </w:r>
      <w:r>
        <w:rPr>
          <w:rFonts w:ascii="Calibri" w:hAnsi="Calibri" w:cs="Calibri" w:eastAsia="Calibri" w:hint="default"/>
        </w:rPr>
        <w:t>ation as a template for a “green” </w:t>
      </w:r>
      <w:r>
        <w:rPr/>
        <w:t>tourism</w:t>
      </w:r>
      <w:r>
        <w:rPr>
          <w:spacing w:val="-11"/>
        </w:rPr>
        <w:t> </w:t>
      </w:r>
      <w:r>
        <w:rPr/>
        <w:t>development.</w:t>
      </w:r>
    </w:p>
    <w:p>
      <w:pPr>
        <w:pStyle w:val="Heading2"/>
        <w:spacing w:line="240" w:lineRule="auto" w:before="35"/>
        <w:ind w:right="0"/>
        <w:jc w:val="both"/>
        <w:rPr>
          <w:b w:val="0"/>
          <w:bCs w:val="0"/>
        </w:rPr>
      </w:pPr>
      <w:bookmarkStart w:name="_bookmark10" w:id="11"/>
      <w:bookmarkEnd w:id="11"/>
      <w:r>
        <w:rPr>
          <w:b w:val="0"/>
        </w:rPr>
      </w:r>
      <w:r>
        <w:rPr/>
        <w:t>The Role of the</w:t>
      </w:r>
      <w:r>
        <w:rPr>
          <w:spacing w:val="-9"/>
        </w:rPr>
        <w:t> </w:t>
      </w:r>
      <w:r>
        <w:rPr/>
        <w:t>CTB</w:t>
      </w:r>
      <w:r>
        <w:rPr>
          <w:b w:val="0"/>
        </w:rPr>
      </w:r>
    </w:p>
    <w:p>
      <w:pPr>
        <w:pStyle w:val="BodyText"/>
        <w:spacing w:line="240" w:lineRule="auto" w:before="191"/>
        <w:ind w:right="1435"/>
        <w:jc w:val="both"/>
      </w:pPr>
      <w:r>
        <w:rPr/>
        <w:t>The successful implementation of these five strategies relies on the effectiveness and efficiency of the Curaçao Tourism Board (CTB). The plan recommends a restructured CTB that involves inclusiveness, a business culture, and accountability as its most salient organizational values. The main role of the new CTB is to serve as an interface between market (consumer) demand and destination (industry) supply. The CTB should embrace a dual role as a tourism</w:t>
      </w:r>
      <w:r>
        <w:rPr>
          <w:spacing w:val="-4"/>
        </w:rPr>
        <w:t> </w:t>
      </w:r>
      <w:r>
        <w:rPr/>
        <w:t>sales</w:t>
      </w:r>
      <w:r>
        <w:rPr>
          <w:spacing w:val="-5"/>
        </w:rPr>
        <w:t> </w:t>
      </w:r>
      <w:r>
        <w:rPr/>
        <w:t>and</w:t>
      </w:r>
      <w:r>
        <w:rPr>
          <w:spacing w:val="-3"/>
        </w:rPr>
        <w:t> </w:t>
      </w:r>
      <w:r>
        <w:rPr/>
        <w:t>marketing</w:t>
      </w:r>
      <w:r>
        <w:rPr>
          <w:spacing w:val="-4"/>
        </w:rPr>
        <w:t> </w:t>
      </w:r>
      <w:r>
        <w:rPr/>
        <w:t>tool</w:t>
      </w:r>
      <w:r>
        <w:rPr>
          <w:spacing w:val="-4"/>
        </w:rPr>
        <w:t> </w:t>
      </w:r>
      <w:r>
        <w:rPr/>
        <w:t>for</w:t>
      </w:r>
      <w:r>
        <w:rPr>
          <w:spacing w:val="-3"/>
        </w:rPr>
        <w:t> </w:t>
      </w:r>
      <w:r>
        <w:rPr/>
        <w:t>the</w:t>
      </w:r>
      <w:r>
        <w:rPr>
          <w:spacing w:val="-4"/>
        </w:rPr>
        <w:t> </w:t>
      </w:r>
      <w:r>
        <w:rPr/>
        <w:t>industry,</w:t>
      </w:r>
      <w:r>
        <w:rPr>
          <w:spacing w:val="-3"/>
        </w:rPr>
        <w:t> </w:t>
      </w:r>
      <w:r>
        <w:rPr/>
        <w:t>and</w:t>
      </w:r>
      <w:r>
        <w:rPr>
          <w:spacing w:val="-3"/>
        </w:rPr>
        <w:t> </w:t>
      </w:r>
      <w:r>
        <w:rPr/>
        <w:t>as</w:t>
      </w:r>
      <w:r>
        <w:rPr>
          <w:spacing w:val="-5"/>
        </w:rPr>
        <w:t> </w:t>
      </w:r>
      <w:r>
        <w:rPr/>
        <w:t>the</w:t>
      </w:r>
      <w:r>
        <w:rPr>
          <w:spacing w:val="-4"/>
        </w:rPr>
        <w:t> </w:t>
      </w:r>
      <w:r>
        <w:rPr/>
        <w:t>guarantor</w:t>
      </w:r>
      <w:r>
        <w:rPr>
          <w:spacing w:val="-3"/>
        </w:rPr>
        <w:t> </w:t>
      </w:r>
      <w:r>
        <w:rPr/>
        <w:t>of</w:t>
      </w:r>
      <w:r>
        <w:rPr>
          <w:spacing w:val="-5"/>
        </w:rPr>
        <w:t> </w:t>
      </w:r>
      <w:r>
        <w:rPr/>
        <w:t>coordination</w:t>
      </w:r>
      <w:r>
        <w:rPr>
          <w:spacing w:val="-3"/>
        </w:rPr>
        <w:t> </w:t>
      </w:r>
      <w:r>
        <w:rPr/>
        <w:t>amongst</w:t>
      </w:r>
      <w:r>
        <w:rPr>
          <w:spacing w:val="-3"/>
        </w:rPr>
        <w:t> </w:t>
      </w:r>
      <w:r>
        <w:rPr/>
        <w:t>stakeholders.</w:t>
      </w:r>
    </w:p>
    <w:p>
      <w:pPr>
        <w:spacing w:line="240" w:lineRule="auto" w:before="11"/>
        <w:ind w:right="0"/>
        <w:rPr>
          <w:rFonts w:ascii="Calibri" w:hAnsi="Calibri" w:cs="Calibri" w:eastAsia="Calibri" w:hint="default"/>
          <w:sz w:val="19"/>
          <w:szCs w:val="19"/>
        </w:rPr>
      </w:pPr>
    </w:p>
    <w:p>
      <w:pPr>
        <w:pStyle w:val="BodyText"/>
        <w:spacing w:line="240" w:lineRule="auto"/>
        <w:ind w:right="1440"/>
        <w:jc w:val="both"/>
      </w:pPr>
      <w:r>
        <w:rPr/>
        <w:t>The</w:t>
      </w:r>
      <w:r>
        <w:rPr>
          <w:spacing w:val="-12"/>
        </w:rPr>
        <w:t> </w:t>
      </w:r>
      <w:r>
        <w:rPr/>
        <w:t>new</w:t>
      </w:r>
      <w:r>
        <w:rPr>
          <w:spacing w:val="-12"/>
        </w:rPr>
        <w:t> </w:t>
      </w:r>
      <w:r>
        <w:rPr/>
        <w:t>mission</w:t>
      </w:r>
      <w:r>
        <w:rPr>
          <w:spacing w:val="-11"/>
        </w:rPr>
        <w:t> </w:t>
      </w:r>
      <w:r>
        <w:rPr/>
        <w:t>of</w:t>
      </w:r>
      <w:r>
        <w:rPr>
          <w:spacing w:val="-12"/>
        </w:rPr>
        <w:t> </w:t>
      </w:r>
      <w:r>
        <w:rPr/>
        <w:t>the</w:t>
      </w:r>
      <w:r>
        <w:rPr>
          <w:spacing w:val="-10"/>
        </w:rPr>
        <w:t> </w:t>
      </w:r>
      <w:r>
        <w:rPr/>
        <w:t>CTB</w:t>
      </w:r>
      <w:r>
        <w:rPr>
          <w:spacing w:val="-12"/>
        </w:rPr>
        <w:t> </w:t>
      </w:r>
      <w:r>
        <w:rPr/>
        <w:t>is</w:t>
      </w:r>
      <w:r>
        <w:rPr>
          <w:spacing w:val="-10"/>
        </w:rPr>
        <w:t> </w:t>
      </w:r>
      <w:r>
        <w:rPr/>
        <w:t>to</w:t>
      </w:r>
      <w:r>
        <w:rPr>
          <w:spacing w:val="-11"/>
        </w:rPr>
        <w:t> </w:t>
      </w:r>
      <w:r>
        <w:rPr/>
        <w:t>increase</w:t>
      </w:r>
      <w:r>
        <w:rPr>
          <w:spacing w:val="-12"/>
        </w:rPr>
        <w:t> </w:t>
      </w:r>
      <w:r>
        <w:rPr/>
        <w:t>the</w:t>
      </w:r>
      <w:r>
        <w:rPr>
          <w:spacing w:val="-12"/>
        </w:rPr>
        <w:t> </w:t>
      </w:r>
      <w:r>
        <w:rPr/>
        <w:t>number</w:t>
      </w:r>
      <w:r>
        <w:rPr>
          <w:spacing w:val="-9"/>
        </w:rPr>
        <w:t> </w:t>
      </w:r>
      <w:r>
        <w:rPr/>
        <w:t>of</w:t>
      </w:r>
      <w:r>
        <w:rPr>
          <w:spacing w:val="-12"/>
        </w:rPr>
        <w:t> </w:t>
      </w:r>
      <w:r>
        <w:rPr/>
        <w:t>arrivals</w:t>
      </w:r>
      <w:r>
        <w:rPr>
          <w:spacing w:val="-10"/>
        </w:rPr>
        <w:t> </w:t>
      </w:r>
      <w:r>
        <w:rPr/>
        <w:t>within</w:t>
      </w:r>
      <w:r>
        <w:rPr>
          <w:spacing w:val="-11"/>
        </w:rPr>
        <w:t> </w:t>
      </w:r>
      <w:r>
        <w:rPr/>
        <w:t>an</w:t>
      </w:r>
      <w:r>
        <w:rPr>
          <w:spacing w:val="-10"/>
        </w:rPr>
        <w:t> </w:t>
      </w:r>
      <w:r>
        <w:rPr/>
        <w:t>inclusive</w:t>
      </w:r>
      <w:r>
        <w:rPr>
          <w:spacing w:val="-10"/>
        </w:rPr>
        <w:t> </w:t>
      </w:r>
      <w:r>
        <w:rPr/>
        <w:t>system,</w:t>
      </w:r>
      <w:r>
        <w:rPr>
          <w:spacing w:val="-11"/>
        </w:rPr>
        <w:t> </w:t>
      </w:r>
      <w:r>
        <w:rPr/>
        <w:t>thus</w:t>
      </w:r>
      <w:r>
        <w:rPr>
          <w:spacing w:val="-13"/>
        </w:rPr>
        <w:t> </w:t>
      </w:r>
      <w:r>
        <w:rPr/>
        <w:t>propelling</w:t>
      </w:r>
      <w:r>
        <w:rPr>
          <w:spacing w:val="-12"/>
        </w:rPr>
        <w:t> </w:t>
      </w:r>
      <w:r>
        <w:rPr/>
        <w:t>economic </w:t>
      </w:r>
      <w:r>
        <w:rPr/>
        <w:t>growth and creating jobs through strong public/private partnerships. An inclusive system will ensure financial </w:t>
      </w:r>
      <w:r>
        <w:rPr>
          <w:rFonts w:ascii="Calibri" w:hAnsi="Calibri" w:cs="Calibri" w:eastAsia="Calibri" w:hint="default"/>
        </w:rPr>
        <w:t>sustainability</w:t>
      </w:r>
      <w:r>
        <w:rPr>
          <w:rFonts w:ascii="Calibri" w:hAnsi="Calibri" w:cs="Calibri" w:eastAsia="Calibri" w:hint="default"/>
          <w:spacing w:val="-10"/>
        </w:rPr>
        <w:t> </w:t>
      </w:r>
      <w:r>
        <w:rPr>
          <w:rFonts w:ascii="Calibri" w:hAnsi="Calibri" w:cs="Calibri" w:eastAsia="Calibri" w:hint="default"/>
        </w:rPr>
        <w:t>supporting</w:t>
      </w:r>
      <w:r>
        <w:rPr>
          <w:rFonts w:ascii="Calibri" w:hAnsi="Calibri" w:cs="Calibri" w:eastAsia="Calibri" w:hint="default"/>
          <w:spacing w:val="-12"/>
        </w:rPr>
        <w:t> </w:t>
      </w:r>
      <w:r>
        <w:rPr>
          <w:rFonts w:ascii="Calibri" w:hAnsi="Calibri" w:cs="Calibri" w:eastAsia="Calibri" w:hint="default"/>
        </w:rPr>
        <w:t>this</w:t>
      </w:r>
      <w:r>
        <w:rPr>
          <w:rFonts w:ascii="Calibri" w:hAnsi="Calibri" w:cs="Calibri" w:eastAsia="Calibri" w:hint="default"/>
          <w:spacing w:val="-11"/>
        </w:rPr>
        <w:t> </w:t>
      </w:r>
      <w:r>
        <w:rPr>
          <w:rFonts w:ascii="Calibri" w:hAnsi="Calibri" w:cs="Calibri" w:eastAsia="Calibri" w:hint="default"/>
        </w:rPr>
        <w:t>CTB</w:t>
      </w:r>
      <w:r>
        <w:rPr>
          <w:rFonts w:ascii="Calibri" w:hAnsi="Calibri" w:cs="Calibri" w:eastAsia="Calibri" w:hint="default"/>
          <w:spacing w:val="-10"/>
        </w:rPr>
        <w:t> </w:t>
      </w:r>
      <w:r>
        <w:rPr>
          <w:rFonts w:ascii="Calibri" w:hAnsi="Calibri" w:cs="Calibri" w:eastAsia="Calibri" w:hint="default"/>
        </w:rPr>
        <w:t>mission.</w:t>
      </w:r>
      <w:r>
        <w:rPr>
          <w:rFonts w:ascii="Calibri" w:hAnsi="Calibri" w:cs="Calibri" w:eastAsia="Calibri" w:hint="default"/>
          <w:spacing w:val="23"/>
        </w:rPr>
        <w:t> </w:t>
      </w:r>
      <w:r>
        <w:rPr>
          <w:rFonts w:ascii="Calibri" w:hAnsi="Calibri" w:cs="Calibri" w:eastAsia="Calibri" w:hint="default"/>
        </w:rPr>
        <w:t>The</w:t>
      </w:r>
      <w:r>
        <w:rPr>
          <w:rFonts w:ascii="Calibri" w:hAnsi="Calibri" w:cs="Calibri" w:eastAsia="Calibri" w:hint="default"/>
          <w:spacing w:val="-12"/>
        </w:rPr>
        <w:t> </w:t>
      </w:r>
      <w:r>
        <w:rPr>
          <w:rFonts w:ascii="Calibri" w:hAnsi="Calibri" w:cs="Calibri" w:eastAsia="Calibri" w:hint="default"/>
        </w:rPr>
        <w:t>main</w:t>
      </w:r>
      <w:r>
        <w:rPr>
          <w:rFonts w:ascii="Calibri" w:hAnsi="Calibri" w:cs="Calibri" w:eastAsia="Calibri" w:hint="default"/>
          <w:spacing w:val="-10"/>
        </w:rPr>
        <w:t> </w:t>
      </w:r>
      <w:r>
        <w:rPr>
          <w:rFonts w:ascii="Calibri" w:hAnsi="Calibri" w:cs="Calibri" w:eastAsia="Calibri" w:hint="default"/>
        </w:rPr>
        <w:t>measure</w:t>
      </w:r>
      <w:r>
        <w:rPr>
          <w:rFonts w:ascii="Calibri" w:hAnsi="Calibri" w:cs="Calibri" w:eastAsia="Calibri" w:hint="default"/>
          <w:spacing w:val="-12"/>
        </w:rPr>
        <w:t> </w:t>
      </w:r>
      <w:r>
        <w:rPr>
          <w:rFonts w:ascii="Calibri" w:hAnsi="Calibri" w:cs="Calibri" w:eastAsia="Calibri" w:hint="default"/>
        </w:rPr>
        <w:t>of</w:t>
      </w:r>
      <w:r>
        <w:rPr>
          <w:rFonts w:ascii="Calibri" w:hAnsi="Calibri" w:cs="Calibri" w:eastAsia="Calibri" w:hint="default"/>
          <w:spacing w:val="-12"/>
        </w:rPr>
        <w:t> </w:t>
      </w:r>
      <w:r>
        <w:rPr>
          <w:rFonts w:ascii="Calibri" w:hAnsi="Calibri" w:cs="Calibri" w:eastAsia="Calibri" w:hint="default"/>
        </w:rPr>
        <w:t>success</w:t>
      </w:r>
      <w:r>
        <w:rPr>
          <w:rFonts w:ascii="Calibri" w:hAnsi="Calibri" w:cs="Calibri" w:eastAsia="Calibri" w:hint="default"/>
          <w:spacing w:val="-10"/>
        </w:rPr>
        <w:t> </w:t>
      </w:r>
      <w:r>
        <w:rPr>
          <w:rFonts w:ascii="Calibri" w:hAnsi="Calibri" w:cs="Calibri" w:eastAsia="Calibri" w:hint="default"/>
        </w:rPr>
        <w:t>for</w:t>
      </w:r>
      <w:r>
        <w:rPr>
          <w:rFonts w:ascii="Calibri" w:hAnsi="Calibri" w:cs="Calibri" w:eastAsia="Calibri" w:hint="default"/>
          <w:spacing w:val="-12"/>
        </w:rPr>
        <w:t> </w:t>
      </w:r>
      <w:r>
        <w:rPr>
          <w:rFonts w:ascii="Calibri" w:hAnsi="Calibri" w:cs="Calibri" w:eastAsia="Calibri" w:hint="default"/>
        </w:rPr>
        <w:t>the</w:t>
      </w:r>
      <w:r>
        <w:rPr>
          <w:rFonts w:ascii="Calibri" w:hAnsi="Calibri" w:cs="Calibri" w:eastAsia="Calibri" w:hint="default"/>
          <w:spacing w:val="-12"/>
        </w:rPr>
        <w:t> </w:t>
      </w:r>
      <w:r>
        <w:rPr>
          <w:rFonts w:ascii="Calibri" w:hAnsi="Calibri" w:cs="Calibri" w:eastAsia="Calibri" w:hint="default"/>
        </w:rPr>
        <w:t>new</w:t>
      </w:r>
      <w:r>
        <w:rPr>
          <w:rFonts w:ascii="Calibri" w:hAnsi="Calibri" w:cs="Calibri" w:eastAsia="Calibri" w:hint="default"/>
          <w:spacing w:val="-10"/>
        </w:rPr>
        <w:t> </w:t>
      </w:r>
      <w:r>
        <w:rPr>
          <w:rFonts w:ascii="Calibri" w:hAnsi="Calibri" w:cs="Calibri" w:eastAsia="Calibri" w:hint="default"/>
        </w:rPr>
        <w:t>CTB</w:t>
      </w:r>
      <w:r>
        <w:rPr>
          <w:rFonts w:ascii="Calibri" w:hAnsi="Calibri" w:cs="Calibri" w:eastAsia="Calibri" w:hint="default"/>
          <w:spacing w:val="-12"/>
        </w:rPr>
        <w:t> </w:t>
      </w:r>
      <w:r>
        <w:rPr>
          <w:rFonts w:ascii="Calibri" w:hAnsi="Calibri" w:cs="Calibri" w:eastAsia="Calibri" w:hint="default"/>
        </w:rPr>
        <w:t>is</w:t>
      </w:r>
      <w:r>
        <w:rPr>
          <w:rFonts w:ascii="Calibri" w:hAnsi="Calibri" w:cs="Calibri" w:eastAsia="Calibri" w:hint="default"/>
          <w:spacing w:val="-13"/>
        </w:rPr>
        <w:t> </w:t>
      </w:r>
      <w:r>
        <w:rPr>
          <w:rFonts w:ascii="Calibri" w:hAnsi="Calibri" w:cs="Calibri" w:eastAsia="Calibri" w:hint="default"/>
        </w:rPr>
        <w:t>the</w:t>
      </w:r>
      <w:r>
        <w:rPr>
          <w:rFonts w:ascii="Calibri" w:hAnsi="Calibri" w:cs="Calibri" w:eastAsia="Calibri" w:hint="default"/>
          <w:spacing w:val="-12"/>
        </w:rPr>
        <w:t> </w:t>
      </w:r>
      <w:r>
        <w:rPr>
          <w:rFonts w:ascii="Calibri" w:hAnsi="Calibri" w:cs="Calibri" w:eastAsia="Calibri" w:hint="default"/>
        </w:rPr>
        <w:t>quality</w:t>
      </w:r>
      <w:r>
        <w:rPr>
          <w:rFonts w:ascii="Calibri" w:hAnsi="Calibri" w:cs="Calibri" w:eastAsia="Calibri" w:hint="default"/>
          <w:spacing w:val="-11"/>
        </w:rPr>
        <w:t> </w:t>
      </w:r>
      <w:r>
        <w:rPr>
          <w:rFonts w:ascii="Calibri" w:hAnsi="Calibri" w:cs="Calibri" w:eastAsia="Calibri" w:hint="default"/>
        </w:rPr>
        <w:t>of</w:t>
      </w:r>
      <w:r>
        <w:rPr>
          <w:rFonts w:ascii="Calibri" w:hAnsi="Calibri" w:cs="Calibri" w:eastAsia="Calibri" w:hint="default"/>
          <w:spacing w:val="-12"/>
        </w:rPr>
        <w:t> </w:t>
      </w:r>
      <w:r>
        <w:rPr>
          <w:rFonts w:ascii="Calibri" w:hAnsi="Calibri" w:cs="Calibri" w:eastAsia="Calibri" w:hint="default"/>
        </w:rPr>
        <w:t>the</w:t>
      </w:r>
      <w:r>
        <w:rPr>
          <w:rFonts w:ascii="Calibri" w:hAnsi="Calibri" w:cs="Calibri" w:eastAsia="Calibri" w:hint="default"/>
          <w:spacing w:val="-12"/>
        </w:rPr>
        <w:t> </w:t>
      </w:r>
      <w:r>
        <w:rPr>
          <w:rFonts w:ascii="Calibri" w:hAnsi="Calibri" w:cs="Calibri" w:eastAsia="Calibri" w:hint="default"/>
        </w:rPr>
        <w:t>tourists’ </w:t>
      </w:r>
      <w:r>
        <w:rPr>
          <w:rFonts w:ascii="Calibri" w:hAnsi="Calibri" w:cs="Calibri" w:eastAsia="Calibri" w:hint="default"/>
        </w:rPr>
      </w:r>
      <w:r>
        <w:rPr/>
        <w:t>experience.</w:t>
      </w:r>
      <w:r>
        <w:rPr>
          <w:spacing w:val="25"/>
        </w:rPr>
        <w:t> </w:t>
      </w:r>
      <w:r>
        <w:rPr/>
        <w:t>The</w:t>
      </w:r>
      <w:r>
        <w:rPr>
          <w:spacing w:val="-11"/>
        </w:rPr>
        <w:t> </w:t>
      </w:r>
      <w:r>
        <w:rPr/>
        <w:t>overall</w:t>
      </w:r>
      <w:r>
        <w:rPr>
          <w:spacing w:val="-11"/>
        </w:rPr>
        <w:t> </w:t>
      </w:r>
      <w:r>
        <w:rPr/>
        <w:t>tourist</w:t>
      </w:r>
      <w:r>
        <w:rPr>
          <w:spacing w:val="-8"/>
        </w:rPr>
        <w:t> </w:t>
      </w:r>
      <w:r>
        <w:rPr/>
        <w:t>experience</w:t>
      </w:r>
      <w:r>
        <w:rPr>
          <w:spacing w:val="-11"/>
        </w:rPr>
        <w:t> </w:t>
      </w:r>
      <w:r>
        <w:rPr/>
        <w:t>will</w:t>
      </w:r>
      <w:r>
        <w:rPr>
          <w:spacing w:val="-11"/>
        </w:rPr>
        <w:t> </w:t>
      </w:r>
      <w:r>
        <w:rPr/>
        <w:t>be</w:t>
      </w:r>
      <w:r>
        <w:rPr>
          <w:spacing w:val="-11"/>
        </w:rPr>
        <w:t> </w:t>
      </w:r>
      <w:r>
        <w:rPr/>
        <w:t>reflective</w:t>
      </w:r>
      <w:r>
        <w:rPr>
          <w:spacing w:val="-11"/>
        </w:rPr>
        <w:t> </w:t>
      </w:r>
      <w:r>
        <w:rPr/>
        <w:t>of</w:t>
      </w:r>
      <w:r>
        <w:rPr>
          <w:spacing w:val="-11"/>
        </w:rPr>
        <w:t> </w:t>
      </w:r>
      <w:r>
        <w:rPr/>
        <w:t>all</w:t>
      </w:r>
      <w:r>
        <w:rPr>
          <w:spacing w:val="-10"/>
        </w:rPr>
        <w:t> </w:t>
      </w:r>
      <w:r>
        <w:rPr/>
        <w:t>of</w:t>
      </w:r>
      <w:r>
        <w:rPr>
          <w:spacing w:val="-11"/>
        </w:rPr>
        <w:t> </w:t>
      </w:r>
      <w:r>
        <w:rPr/>
        <w:t>the</w:t>
      </w:r>
      <w:r>
        <w:rPr>
          <w:spacing w:val="-11"/>
        </w:rPr>
        <w:t> </w:t>
      </w:r>
      <w:r>
        <w:rPr/>
        <w:t>separate</w:t>
      </w:r>
      <w:r>
        <w:rPr>
          <w:spacing w:val="-11"/>
        </w:rPr>
        <w:t> </w:t>
      </w:r>
      <w:r>
        <w:rPr/>
        <w:t>tourist</w:t>
      </w:r>
      <w:r>
        <w:rPr>
          <w:spacing w:val="-10"/>
        </w:rPr>
        <w:t> </w:t>
      </w:r>
      <w:r>
        <w:rPr/>
        <w:t>encounters</w:t>
      </w:r>
      <w:r>
        <w:rPr>
          <w:spacing w:val="-12"/>
        </w:rPr>
        <w:t> </w:t>
      </w:r>
      <w:r>
        <w:rPr/>
        <w:t>within</w:t>
      </w:r>
      <w:r>
        <w:rPr>
          <w:spacing w:val="-10"/>
        </w:rPr>
        <w:t> </w:t>
      </w:r>
      <w:r>
        <w:rPr/>
        <w:t>the</w:t>
      </w:r>
      <w:r>
        <w:rPr>
          <w:spacing w:val="-11"/>
        </w:rPr>
        <w:t> </w:t>
      </w:r>
      <w:r>
        <w:rPr/>
        <w:t>travel </w:t>
      </w:r>
      <w:r>
        <w:rPr/>
      </w:r>
      <w:r>
        <w:rPr>
          <w:rFonts w:ascii="Calibri" w:hAnsi="Calibri" w:cs="Calibri" w:eastAsia="Calibri" w:hint="default"/>
        </w:rPr>
        <w:t>chain. Hence, the quality of the experience is an outcome of the CTB’s efforts to sponsor coordination amongst </w:t>
      </w:r>
      <w:r>
        <w:rPr/>
        <w:t>stakeholders </w:t>
      </w:r>
      <w:r>
        <w:rPr>
          <w:rFonts w:ascii="Calibri" w:hAnsi="Calibri" w:cs="Calibri" w:eastAsia="Calibri" w:hint="default"/>
        </w:rPr>
        <w:t>– </w:t>
      </w:r>
      <w:r>
        <w:rPr/>
        <w:t>something to be measured rather than directly managed. An audit of the quality of the destination experience</w:t>
      </w:r>
      <w:r>
        <w:rPr>
          <w:spacing w:val="-4"/>
        </w:rPr>
        <w:t> </w:t>
      </w:r>
      <w:r>
        <w:rPr/>
        <w:t>along</w:t>
      </w:r>
      <w:r>
        <w:rPr>
          <w:spacing w:val="-4"/>
        </w:rPr>
        <w:t> </w:t>
      </w:r>
      <w:r>
        <w:rPr/>
        <w:t>with</w:t>
      </w:r>
      <w:r>
        <w:rPr>
          <w:spacing w:val="-3"/>
        </w:rPr>
        <w:t> </w:t>
      </w:r>
      <w:r>
        <w:rPr/>
        <w:t>tourist satisfaction</w:t>
      </w:r>
      <w:r>
        <w:rPr>
          <w:spacing w:val="-3"/>
        </w:rPr>
        <w:t> </w:t>
      </w:r>
      <w:r>
        <w:rPr/>
        <w:t>surveys</w:t>
      </w:r>
      <w:r>
        <w:rPr>
          <w:spacing w:val="-2"/>
        </w:rPr>
        <w:t> </w:t>
      </w:r>
      <w:r>
        <w:rPr/>
        <w:t>would</w:t>
      </w:r>
      <w:r>
        <w:rPr>
          <w:spacing w:val="-3"/>
        </w:rPr>
        <w:t> </w:t>
      </w:r>
      <w:r>
        <w:rPr/>
        <w:t>be</w:t>
      </w:r>
      <w:r>
        <w:rPr>
          <w:spacing w:val="-4"/>
        </w:rPr>
        <w:t> </w:t>
      </w:r>
      <w:r>
        <w:rPr/>
        <w:t>examples</w:t>
      </w:r>
      <w:r>
        <w:rPr>
          <w:spacing w:val="-5"/>
        </w:rPr>
        <w:t> </w:t>
      </w:r>
      <w:r>
        <w:rPr/>
        <w:t>of</w:t>
      </w:r>
      <w:r>
        <w:rPr>
          <w:spacing w:val="-5"/>
        </w:rPr>
        <w:t> </w:t>
      </w:r>
      <w:r>
        <w:rPr/>
        <w:t>initiatives</w:t>
      </w:r>
      <w:r>
        <w:rPr>
          <w:spacing w:val="-5"/>
        </w:rPr>
        <w:t> </w:t>
      </w:r>
      <w:r>
        <w:rPr/>
        <w:t>that</w:t>
      </w:r>
      <w:r>
        <w:rPr>
          <w:spacing w:val="-3"/>
        </w:rPr>
        <w:t> </w:t>
      </w:r>
      <w:r>
        <w:rPr/>
        <w:t>would</w:t>
      </w:r>
      <w:r>
        <w:rPr>
          <w:spacing w:val="-3"/>
        </w:rPr>
        <w:t> </w:t>
      </w:r>
      <w:r>
        <w:rPr/>
        <w:t>support</w:t>
      </w:r>
      <w:r>
        <w:rPr>
          <w:spacing w:val="-3"/>
        </w:rPr>
        <w:t> </w:t>
      </w:r>
      <w:r>
        <w:rPr/>
        <w:t>this</w:t>
      </w:r>
      <w:r>
        <w:rPr>
          <w:spacing w:val="-5"/>
        </w:rPr>
        <w:t> </w:t>
      </w:r>
      <w:r>
        <w:rPr/>
        <w:t>activity.</w:t>
      </w:r>
    </w:p>
    <w:p>
      <w:pPr>
        <w:pStyle w:val="Heading2"/>
        <w:spacing w:line="240" w:lineRule="auto" w:before="35"/>
        <w:ind w:right="0"/>
        <w:jc w:val="both"/>
        <w:rPr>
          <w:b w:val="0"/>
          <w:bCs w:val="0"/>
        </w:rPr>
      </w:pPr>
      <w:bookmarkStart w:name="_bookmark11" w:id="12"/>
      <w:bookmarkEnd w:id="12"/>
      <w:r>
        <w:rPr>
          <w:b w:val="0"/>
        </w:rPr>
      </w:r>
      <w:r>
        <w:rPr/>
        <w:t>The Way</w:t>
      </w:r>
      <w:r>
        <w:rPr>
          <w:spacing w:val="-10"/>
        </w:rPr>
        <w:t> </w:t>
      </w:r>
      <w:r>
        <w:rPr/>
        <w:t>Forward</w:t>
      </w:r>
      <w:r>
        <w:rPr>
          <w:b w:val="0"/>
        </w:rPr>
      </w:r>
    </w:p>
    <w:p>
      <w:pPr>
        <w:pStyle w:val="BodyText"/>
        <w:spacing w:line="240" w:lineRule="auto" w:before="191"/>
        <w:ind w:right="1438"/>
        <w:jc w:val="both"/>
      </w:pPr>
      <w:r>
        <w:rPr/>
        <w:t>The road toward a breakthrough in the economy that the Strategic Tourism Master Plan 2015-2020 promises is paved with mundane, workaday tasks requiring patience, perseverance, discipline, and, above all, hope.  There</w:t>
      </w:r>
      <w:r>
        <w:rPr>
          <w:spacing w:val="-5"/>
        </w:rPr>
        <w:t> </w:t>
      </w:r>
      <w:r>
        <w:rPr/>
        <w:t>will</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9"/>
        <w:jc w:val="both"/>
      </w:pPr>
      <w:r>
        <w:rPr/>
        <w:t>be daunting obstacles on the journey to prosperity, but it is necessary to stay the course without skepticism or uncertainty. The enemy of success is inaction and reluctance. There are two possible scenarios. On the one hand, Curacao may opt to do nothing. However, the price will be steep and irreversible with regards to impact rates on high unemployment, wasted talents, and increased pessimism amongst locals. On the other hand, Curacao may choose to operationalize the proposed plan which has the value proposition of an additional US$200 million in economic activities, 3,700 new jobs, and an annual average of real economic growth of 2% in the next five years. The return on investment of this plan is solid and significant: nearly 500% based on a maximum additional cost of US$40</w:t>
      </w:r>
      <w:r>
        <w:rPr>
          <w:spacing w:val="-9"/>
        </w:rPr>
        <w:t> </w:t>
      </w:r>
      <w:r>
        <w:rPr/>
        <w:t>million.</w:t>
      </w:r>
    </w:p>
    <w:p>
      <w:pPr>
        <w:spacing w:line="240" w:lineRule="auto" w:before="1"/>
        <w:ind w:right="0"/>
        <w:rPr>
          <w:rFonts w:ascii="Calibri" w:hAnsi="Calibri" w:cs="Calibri" w:eastAsia="Calibri" w:hint="default"/>
          <w:sz w:val="20"/>
          <w:szCs w:val="20"/>
        </w:rPr>
      </w:pPr>
    </w:p>
    <w:p>
      <w:pPr>
        <w:pStyle w:val="BodyText"/>
        <w:spacing w:line="240" w:lineRule="auto"/>
        <w:ind w:right="1437"/>
        <w:jc w:val="both"/>
      </w:pPr>
      <w:r>
        <w:rPr/>
        <w:t>It is time to act, and to act decisively. There is no longer time for hemming and hawing about choice and direction. </w:t>
      </w:r>
      <w:r>
        <w:rPr>
          <w:rFonts w:ascii="Calibri" w:hAnsi="Calibri" w:cs="Calibri" w:eastAsia="Calibri" w:hint="default"/>
        </w:rPr>
        <w:t>This plan provides a clear roadmap to a new and brighter future. The power of tourism may well be Curaçao’s </w:t>
      </w:r>
      <w:r>
        <w:rPr/>
        <w:t>greatest</w:t>
      </w:r>
      <w:r>
        <w:rPr>
          <w:spacing w:val="-6"/>
        </w:rPr>
        <w:t> </w:t>
      </w:r>
      <w:r>
        <w:rPr/>
        <w:t>hope</w:t>
      </w:r>
      <w:r>
        <w:rPr>
          <w:spacing w:val="-8"/>
        </w:rPr>
        <w:t> </w:t>
      </w:r>
      <w:r>
        <w:rPr/>
        <w:t>to</w:t>
      </w:r>
      <w:r>
        <w:rPr>
          <w:spacing w:val="-6"/>
        </w:rPr>
        <w:t> </w:t>
      </w:r>
      <w:r>
        <w:rPr/>
        <w:t>free</w:t>
      </w:r>
      <w:r>
        <w:rPr>
          <w:spacing w:val="-8"/>
        </w:rPr>
        <w:t> </w:t>
      </w:r>
      <w:r>
        <w:rPr/>
        <w:t>its</w:t>
      </w:r>
      <w:r>
        <w:rPr>
          <w:spacing w:val="-8"/>
        </w:rPr>
        <w:t> </w:t>
      </w:r>
      <w:r>
        <w:rPr/>
        <w:t>people</w:t>
      </w:r>
      <w:r>
        <w:rPr>
          <w:spacing w:val="-8"/>
        </w:rPr>
        <w:t> </w:t>
      </w:r>
      <w:r>
        <w:rPr/>
        <w:t>from</w:t>
      </w:r>
      <w:r>
        <w:rPr>
          <w:spacing w:val="-8"/>
        </w:rPr>
        <w:t> </w:t>
      </w:r>
      <w:r>
        <w:rPr/>
        <w:t>the</w:t>
      </w:r>
      <w:r>
        <w:rPr>
          <w:spacing w:val="-8"/>
        </w:rPr>
        <w:t> </w:t>
      </w:r>
      <w:r>
        <w:rPr/>
        <w:t>pain</w:t>
      </w:r>
      <w:r>
        <w:rPr>
          <w:spacing w:val="-6"/>
        </w:rPr>
        <w:t> </w:t>
      </w:r>
      <w:r>
        <w:rPr/>
        <w:t>of</w:t>
      </w:r>
      <w:r>
        <w:rPr>
          <w:spacing w:val="-8"/>
        </w:rPr>
        <w:t> </w:t>
      </w:r>
      <w:r>
        <w:rPr/>
        <w:t>unemployment,</w:t>
      </w:r>
      <w:r>
        <w:rPr>
          <w:spacing w:val="-6"/>
        </w:rPr>
        <w:t> </w:t>
      </w:r>
      <w:r>
        <w:rPr/>
        <w:t>wasted</w:t>
      </w:r>
      <w:r>
        <w:rPr>
          <w:spacing w:val="-6"/>
        </w:rPr>
        <w:t> </w:t>
      </w:r>
      <w:r>
        <w:rPr/>
        <w:t>talents,</w:t>
      </w:r>
      <w:r>
        <w:rPr>
          <w:spacing w:val="-6"/>
        </w:rPr>
        <w:t> </w:t>
      </w:r>
      <w:r>
        <w:rPr/>
        <w:t>and</w:t>
      </w:r>
      <w:r>
        <w:rPr>
          <w:spacing w:val="-6"/>
        </w:rPr>
        <w:t> </w:t>
      </w:r>
      <w:r>
        <w:rPr/>
        <w:t>pessimism.</w:t>
      </w:r>
      <w:r>
        <w:rPr>
          <w:spacing w:val="32"/>
        </w:rPr>
        <w:t> </w:t>
      </w:r>
      <w:r>
        <w:rPr/>
        <w:t>The</w:t>
      </w:r>
      <w:r>
        <w:rPr>
          <w:spacing w:val="-8"/>
        </w:rPr>
        <w:t> </w:t>
      </w:r>
      <w:r>
        <w:rPr/>
        <w:t>success</w:t>
      </w:r>
      <w:r>
        <w:rPr>
          <w:spacing w:val="-8"/>
        </w:rPr>
        <w:t> </w:t>
      </w:r>
      <w:r>
        <w:rPr/>
        <w:t>of</w:t>
      </w:r>
      <w:r>
        <w:rPr>
          <w:spacing w:val="-8"/>
        </w:rPr>
        <w:t> </w:t>
      </w:r>
      <w:r>
        <w:rPr/>
        <w:t>this </w:t>
      </w:r>
      <w:r>
        <w:rPr/>
      </w:r>
      <w:r>
        <w:rPr>
          <w:rFonts w:ascii="Calibri" w:hAnsi="Calibri" w:cs="Calibri" w:eastAsia="Calibri" w:hint="default"/>
        </w:rPr>
        <w:t>plan</w:t>
      </w:r>
      <w:r>
        <w:rPr>
          <w:rFonts w:ascii="Calibri" w:hAnsi="Calibri" w:cs="Calibri" w:eastAsia="Calibri" w:hint="default"/>
          <w:spacing w:val="-8"/>
        </w:rPr>
        <w:t> </w:t>
      </w:r>
      <w:r>
        <w:rPr>
          <w:rFonts w:ascii="Calibri" w:hAnsi="Calibri" w:cs="Calibri" w:eastAsia="Calibri" w:hint="default"/>
        </w:rPr>
        <w:t>will</w:t>
      </w:r>
      <w:r>
        <w:rPr>
          <w:rFonts w:ascii="Calibri" w:hAnsi="Calibri" w:cs="Calibri" w:eastAsia="Calibri" w:hint="default"/>
          <w:spacing w:val="-9"/>
        </w:rPr>
        <w:t> </w:t>
      </w:r>
      <w:r>
        <w:rPr>
          <w:rFonts w:ascii="Calibri" w:hAnsi="Calibri" w:cs="Calibri" w:eastAsia="Calibri" w:hint="default"/>
        </w:rPr>
        <w:t>be</w:t>
      </w:r>
      <w:r>
        <w:rPr>
          <w:rFonts w:ascii="Calibri" w:hAnsi="Calibri" w:cs="Calibri" w:eastAsia="Calibri" w:hint="default"/>
          <w:spacing w:val="-9"/>
        </w:rPr>
        <w:t> </w:t>
      </w:r>
      <w:r>
        <w:rPr>
          <w:rFonts w:ascii="Calibri" w:hAnsi="Calibri" w:cs="Calibri" w:eastAsia="Calibri" w:hint="default"/>
        </w:rPr>
        <w:t>a</w:t>
      </w:r>
      <w:r>
        <w:rPr>
          <w:rFonts w:ascii="Calibri" w:hAnsi="Calibri" w:cs="Calibri" w:eastAsia="Calibri" w:hint="default"/>
          <w:spacing w:val="-6"/>
        </w:rPr>
        <w:t> </w:t>
      </w:r>
      <w:r>
        <w:rPr>
          <w:rFonts w:ascii="Calibri" w:hAnsi="Calibri" w:cs="Calibri" w:eastAsia="Calibri" w:hint="default"/>
        </w:rPr>
        <w:t>reflection</w:t>
      </w:r>
      <w:r>
        <w:rPr>
          <w:rFonts w:ascii="Calibri" w:hAnsi="Calibri" w:cs="Calibri" w:eastAsia="Calibri" w:hint="default"/>
          <w:spacing w:val="-8"/>
        </w:rPr>
        <w:t> </w:t>
      </w:r>
      <w:r>
        <w:rPr>
          <w:rFonts w:ascii="Calibri" w:hAnsi="Calibri" w:cs="Calibri" w:eastAsia="Calibri" w:hint="default"/>
        </w:rPr>
        <w:t>of</w:t>
      </w:r>
      <w:r>
        <w:rPr>
          <w:rFonts w:ascii="Calibri" w:hAnsi="Calibri" w:cs="Calibri" w:eastAsia="Calibri" w:hint="default"/>
          <w:spacing w:val="-9"/>
        </w:rPr>
        <w:t> </w:t>
      </w:r>
      <w:r>
        <w:rPr>
          <w:rFonts w:ascii="Calibri" w:hAnsi="Calibri" w:cs="Calibri" w:eastAsia="Calibri" w:hint="default"/>
        </w:rPr>
        <w:t>the</w:t>
      </w:r>
      <w:r>
        <w:rPr>
          <w:rFonts w:ascii="Calibri" w:hAnsi="Calibri" w:cs="Calibri" w:eastAsia="Calibri" w:hint="default"/>
          <w:spacing w:val="-8"/>
        </w:rPr>
        <w:t> </w:t>
      </w:r>
      <w:r>
        <w:rPr>
          <w:rFonts w:ascii="Calibri" w:hAnsi="Calibri" w:cs="Calibri" w:eastAsia="Calibri" w:hint="default"/>
        </w:rPr>
        <w:t>readiness</w:t>
      </w:r>
      <w:r>
        <w:rPr>
          <w:rFonts w:ascii="Calibri" w:hAnsi="Calibri" w:cs="Calibri" w:eastAsia="Calibri" w:hint="default"/>
          <w:spacing w:val="-9"/>
        </w:rPr>
        <w:t> </w:t>
      </w:r>
      <w:r>
        <w:rPr>
          <w:rFonts w:ascii="Calibri" w:hAnsi="Calibri" w:cs="Calibri" w:eastAsia="Calibri" w:hint="default"/>
        </w:rPr>
        <w:t>of</w:t>
      </w:r>
      <w:r>
        <w:rPr>
          <w:rFonts w:ascii="Calibri" w:hAnsi="Calibri" w:cs="Calibri" w:eastAsia="Calibri" w:hint="default"/>
          <w:spacing w:val="-8"/>
        </w:rPr>
        <w:t> </w:t>
      </w:r>
      <w:r>
        <w:rPr>
          <w:rFonts w:ascii="Calibri" w:hAnsi="Calibri" w:cs="Calibri" w:eastAsia="Calibri" w:hint="default"/>
        </w:rPr>
        <w:t>Curaçao’s</w:t>
      </w:r>
      <w:r>
        <w:rPr>
          <w:rFonts w:ascii="Calibri" w:hAnsi="Calibri" w:cs="Calibri" w:eastAsia="Calibri" w:hint="default"/>
          <w:spacing w:val="-8"/>
        </w:rPr>
        <w:t> </w:t>
      </w:r>
      <w:r>
        <w:rPr>
          <w:rFonts w:ascii="Calibri" w:hAnsi="Calibri" w:cs="Calibri" w:eastAsia="Calibri" w:hint="default"/>
        </w:rPr>
        <w:t>people</w:t>
      </w:r>
      <w:r>
        <w:rPr>
          <w:rFonts w:ascii="Calibri" w:hAnsi="Calibri" w:cs="Calibri" w:eastAsia="Calibri" w:hint="default"/>
          <w:spacing w:val="-8"/>
        </w:rPr>
        <w:t> </w:t>
      </w:r>
      <w:r>
        <w:rPr>
          <w:rFonts w:ascii="Calibri" w:hAnsi="Calibri" w:cs="Calibri" w:eastAsia="Calibri" w:hint="default"/>
        </w:rPr>
        <w:t>to</w:t>
      </w:r>
      <w:r>
        <w:rPr>
          <w:rFonts w:ascii="Calibri" w:hAnsi="Calibri" w:cs="Calibri" w:eastAsia="Calibri" w:hint="default"/>
          <w:spacing w:val="-8"/>
        </w:rPr>
        <w:t> </w:t>
      </w:r>
      <w:r>
        <w:rPr>
          <w:rFonts w:ascii="Calibri" w:hAnsi="Calibri" w:cs="Calibri" w:eastAsia="Calibri" w:hint="default"/>
        </w:rPr>
        <w:t>aspire</w:t>
      </w:r>
      <w:r>
        <w:rPr>
          <w:rFonts w:ascii="Calibri" w:hAnsi="Calibri" w:cs="Calibri" w:eastAsia="Calibri" w:hint="default"/>
          <w:spacing w:val="-9"/>
        </w:rPr>
        <w:t> </w:t>
      </w:r>
      <w:r>
        <w:rPr>
          <w:rFonts w:ascii="Calibri" w:hAnsi="Calibri" w:cs="Calibri" w:eastAsia="Calibri" w:hint="default"/>
        </w:rPr>
        <w:t>to</w:t>
      </w:r>
      <w:r>
        <w:rPr>
          <w:rFonts w:ascii="Calibri" w:hAnsi="Calibri" w:cs="Calibri" w:eastAsia="Calibri" w:hint="default"/>
          <w:spacing w:val="-8"/>
        </w:rPr>
        <w:t> </w:t>
      </w:r>
      <w:r>
        <w:rPr>
          <w:rFonts w:ascii="Calibri" w:hAnsi="Calibri" w:cs="Calibri" w:eastAsia="Calibri" w:hint="default"/>
        </w:rPr>
        <w:t>a</w:t>
      </w:r>
      <w:r>
        <w:rPr>
          <w:rFonts w:ascii="Calibri" w:hAnsi="Calibri" w:cs="Calibri" w:eastAsia="Calibri" w:hint="default"/>
          <w:spacing w:val="-9"/>
        </w:rPr>
        <w:t> </w:t>
      </w:r>
      <w:r>
        <w:rPr>
          <w:rFonts w:ascii="Calibri" w:hAnsi="Calibri" w:cs="Calibri" w:eastAsia="Calibri" w:hint="default"/>
        </w:rPr>
        <w:t>new</w:t>
      </w:r>
      <w:r>
        <w:rPr>
          <w:rFonts w:ascii="Calibri" w:hAnsi="Calibri" w:cs="Calibri" w:eastAsia="Calibri" w:hint="default"/>
          <w:spacing w:val="-9"/>
        </w:rPr>
        <w:t> </w:t>
      </w:r>
      <w:r>
        <w:rPr>
          <w:rFonts w:ascii="Calibri" w:hAnsi="Calibri" w:cs="Calibri" w:eastAsia="Calibri" w:hint="default"/>
        </w:rPr>
        <w:t>and</w:t>
      </w:r>
      <w:r>
        <w:rPr>
          <w:rFonts w:ascii="Calibri" w:hAnsi="Calibri" w:cs="Calibri" w:eastAsia="Calibri" w:hint="default"/>
          <w:spacing w:val="-8"/>
        </w:rPr>
        <w:t> </w:t>
      </w:r>
      <w:r>
        <w:rPr>
          <w:rFonts w:ascii="Calibri" w:hAnsi="Calibri" w:cs="Calibri" w:eastAsia="Calibri" w:hint="default"/>
        </w:rPr>
        <w:t>brighter</w:t>
      </w:r>
      <w:r>
        <w:rPr>
          <w:rFonts w:ascii="Calibri" w:hAnsi="Calibri" w:cs="Calibri" w:eastAsia="Calibri" w:hint="default"/>
          <w:spacing w:val="-9"/>
        </w:rPr>
        <w:t> </w:t>
      </w:r>
      <w:r>
        <w:rPr>
          <w:rFonts w:ascii="Calibri" w:hAnsi="Calibri" w:cs="Calibri" w:eastAsia="Calibri" w:hint="default"/>
        </w:rPr>
        <w:t>future.</w:t>
      </w:r>
      <w:r>
        <w:rPr>
          <w:rFonts w:ascii="Calibri" w:hAnsi="Calibri" w:cs="Calibri" w:eastAsia="Calibri" w:hint="default"/>
          <w:spacing w:val="29"/>
        </w:rPr>
        <w:t> </w:t>
      </w:r>
      <w:r>
        <w:rPr>
          <w:rFonts w:ascii="Calibri" w:hAnsi="Calibri" w:cs="Calibri" w:eastAsia="Calibri" w:hint="default"/>
        </w:rPr>
        <w:t>Hope</w:t>
      </w:r>
      <w:r>
        <w:rPr>
          <w:rFonts w:ascii="Calibri" w:hAnsi="Calibri" w:cs="Calibri" w:eastAsia="Calibri" w:hint="default"/>
          <w:spacing w:val="-8"/>
        </w:rPr>
        <w:t> </w:t>
      </w:r>
      <w:r>
        <w:rPr>
          <w:rFonts w:ascii="Calibri" w:hAnsi="Calibri" w:cs="Calibri" w:eastAsia="Calibri" w:hint="default"/>
        </w:rPr>
        <w:t>is</w:t>
      </w:r>
      <w:r>
        <w:rPr>
          <w:rFonts w:ascii="Calibri" w:hAnsi="Calibri" w:cs="Calibri" w:eastAsia="Calibri" w:hint="default"/>
          <w:spacing w:val="-10"/>
        </w:rPr>
        <w:t> </w:t>
      </w:r>
      <w:r>
        <w:rPr>
          <w:rFonts w:ascii="Calibri" w:hAnsi="Calibri" w:cs="Calibri" w:eastAsia="Calibri" w:hint="default"/>
        </w:rPr>
        <w:t>the</w:t>
      </w:r>
      <w:r>
        <w:rPr>
          <w:rFonts w:ascii="Calibri" w:hAnsi="Calibri" w:cs="Calibri" w:eastAsia="Calibri" w:hint="default"/>
          <w:spacing w:val="-9"/>
        </w:rPr>
        <w:t> </w:t>
      </w:r>
      <w:r>
        <w:rPr>
          <w:rFonts w:ascii="Calibri" w:hAnsi="Calibri" w:cs="Calibri" w:eastAsia="Calibri" w:hint="default"/>
        </w:rPr>
        <w:t>seed </w:t>
      </w:r>
      <w:r>
        <w:rPr>
          <w:rFonts w:ascii="Calibri" w:hAnsi="Calibri" w:cs="Calibri" w:eastAsia="Calibri" w:hint="default"/>
        </w:rPr>
      </w:r>
      <w:r>
        <w:rPr/>
        <w:t>of</w:t>
      </w:r>
      <w:r>
        <w:rPr>
          <w:spacing w:val="-12"/>
        </w:rPr>
        <w:t> </w:t>
      </w:r>
      <w:r>
        <w:rPr/>
        <w:t>accomplishment</w:t>
      </w:r>
      <w:r>
        <w:rPr>
          <w:spacing w:val="-11"/>
        </w:rPr>
        <w:t> </w:t>
      </w:r>
      <w:r>
        <w:rPr/>
        <w:t>and</w:t>
      </w:r>
      <w:r>
        <w:rPr>
          <w:spacing w:val="-11"/>
        </w:rPr>
        <w:t> </w:t>
      </w:r>
      <w:r>
        <w:rPr/>
        <w:t>success,</w:t>
      </w:r>
      <w:r>
        <w:rPr>
          <w:spacing w:val="-11"/>
        </w:rPr>
        <w:t> </w:t>
      </w:r>
      <w:r>
        <w:rPr/>
        <w:t>and</w:t>
      </w:r>
      <w:r>
        <w:rPr>
          <w:spacing w:val="-11"/>
        </w:rPr>
        <w:t> </w:t>
      </w:r>
      <w:r>
        <w:rPr/>
        <w:t>this</w:t>
      </w:r>
      <w:r>
        <w:rPr>
          <w:spacing w:val="-13"/>
        </w:rPr>
        <w:t> </w:t>
      </w:r>
      <w:r>
        <w:rPr/>
        <w:t>plan</w:t>
      </w:r>
      <w:r>
        <w:rPr>
          <w:spacing w:val="-11"/>
        </w:rPr>
        <w:t> </w:t>
      </w:r>
      <w:r>
        <w:rPr/>
        <w:t>is</w:t>
      </w:r>
      <w:r>
        <w:rPr>
          <w:spacing w:val="-13"/>
        </w:rPr>
        <w:t> </w:t>
      </w:r>
      <w:r>
        <w:rPr/>
        <w:t>infused</w:t>
      </w:r>
      <w:r>
        <w:rPr>
          <w:spacing w:val="-11"/>
        </w:rPr>
        <w:t> </w:t>
      </w:r>
      <w:r>
        <w:rPr/>
        <w:t>with</w:t>
      </w:r>
      <w:r>
        <w:rPr>
          <w:spacing w:val="-8"/>
        </w:rPr>
        <w:t> </w:t>
      </w:r>
      <w:r>
        <w:rPr/>
        <w:t>hope</w:t>
      </w:r>
      <w:r>
        <w:rPr>
          <w:spacing w:val="-6"/>
        </w:rPr>
        <w:t> </w:t>
      </w:r>
      <w:r>
        <w:rPr/>
        <w:t>-</w:t>
      </w:r>
      <w:r>
        <w:rPr>
          <w:spacing w:val="-13"/>
        </w:rPr>
        <w:t> </w:t>
      </w:r>
      <w:r>
        <w:rPr/>
        <w:t>hope</w:t>
      </w:r>
      <w:r>
        <w:rPr>
          <w:spacing w:val="-12"/>
        </w:rPr>
        <w:t> </w:t>
      </w:r>
      <w:r>
        <w:rPr/>
        <w:t>for</w:t>
      </w:r>
      <w:r>
        <w:rPr>
          <w:spacing w:val="-12"/>
        </w:rPr>
        <w:t> </w:t>
      </w:r>
      <w:r>
        <w:rPr/>
        <w:t>new</w:t>
      </w:r>
      <w:r>
        <w:rPr>
          <w:spacing w:val="-12"/>
        </w:rPr>
        <w:t> </w:t>
      </w:r>
      <w:r>
        <w:rPr/>
        <w:t>heights</w:t>
      </w:r>
      <w:r>
        <w:rPr>
          <w:spacing w:val="-13"/>
        </w:rPr>
        <w:t> </w:t>
      </w:r>
      <w:r>
        <w:rPr/>
        <w:t>and</w:t>
      </w:r>
      <w:r>
        <w:rPr>
          <w:spacing w:val="-11"/>
        </w:rPr>
        <w:t> </w:t>
      </w:r>
      <w:r>
        <w:rPr/>
        <w:t>prosperous</w:t>
      </w:r>
      <w:r>
        <w:rPr>
          <w:spacing w:val="-13"/>
        </w:rPr>
        <w:t> </w:t>
      </w:r>
      <w:r>
        <w:rPr/>
        <w:t>tomorrows </w:t>
      </w:r>
      <w:r>
        <w:rPr/>
        <w:t>for all of Curaçao. The choice is</w:t>
      </w:r>
      <w:r>
        <w:rPr>
          <w:spacing w:val="-15"/>
        </w:rPr>
        <w:t> </w:t>
      </w:r>
      <w:r>
        <w:rPr/>
        <w:t>clear.</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3"/>
        <w:ind w:right="0"/>
        <w:rPr>
          <w:rFonts w:ascii="Calibri" w:hAnsi="Calibri" w:cs="Calibri" w:eastAsia="Calibri" w:hint="default"/>
          <w:sz w:val="26"/>
          <w:szCs w:val="26"/>
        </w:rPr>
      </w:pPr>
    </w:p>
    <w:p>
      <w:pPr>
        <w:pStyle w:val="Heading1"/>
        <w:spacing w:line="240" w:lineRule="auto"/>
        <w:ind w:left="1673" w:right="0"/>
        <w:jc w:val="left"/>
        <w:rPr>
          <w:b w:val="0"/>
          <w:bCs w:val="0"/>
        </w:rPr>
      </w:pPr>
      <w:bookmarkStart w:name="_bookmark12" w:id="13"/>
      <w:bookmarkEnd w:id="13"/>
      <w:r>
        <w:rPr>
          <w:b w:val="0"/>
        </w:rPr>
      </w:r>
      <w:r>
        <w:rPr/>
        <w:t>Chapter 1:  Strategic Tourism Master Plan</w:t>
      </w:r>
      <w:r>
        <w:rPr>
          <w:spacing w:val="-18"/>
        </w:rPr>
        <w:t> </w:t>
      </w:r>
      <w:r>
        <w:rPr/>
        <w:t>Framework</w:t>
      </w:r>
      <w:r>
        <w:rPr>
          <w:b w:val="0"/>
        </w:rPr>
      </w:r>
    </w:p>
    <w:p>
      <w:pPr>
        <w:pStyle w:val="Heading2"/>
        <w:spacing w:line="240" w:lineRule="auto" w:before="281"/>
        <w:ind w:right="0"/>
        <w:jc w:val="both"/>
        <w:rPr>
          <w:b w:val="0"/>
          <w:bCs w:val="0"/>
        </w:rPr>
      </w:pPr>
      <w:bookmarkStart w:name="_bookmark13" w:id="14"/>
      <w:bookmarkEnd w:id="14"/>
      <w:r>
        <w:rPr>
          <w:b w:val="0"/>
        </w:rPr>
      </w:r>
      <w:r>
        <w:rPr/>
        <w:t>Overview</w:t>
      </w:r>
      <w:r>
        <w:rPr>
          <w:b w:val="0"/>
        </w:rPr>
      </w:r>
    </w:p>
    <w:p>
      <w:pPr>
        <w:pStyle w:val="BodyText"/>
        <w:spacing w:line="240" w:lineRule="auto" w:before="191"/>
        <w:ind w:right="1435"/>
        <w:jc w:val="both"/>
      </w:pPr>
      <w:r>
        <w:rPr/>
        <w:t>The Curaçao Tourist Board (CTB) requested a Strategic Tourism Master Plan for the island of Curaçao for the years 2015-2020. The plan was to be designed by the Dick Pope Sr. Institute </w:t>
      </w:r>
      <w:r>
        <w:rPr>
          <w:rFonts w:ascii="Calibri" w:hAnsi="Calibri"/>
          <w:i/>
        </w:rPr>
        <w:t>for </w:t>
      </w:r>
      <w:r>
        <w:rPr/>
        <w:t>Tourism Studies (DPITS) at the Rosen College of Hospitality Management at the University of Central Florida. The Minister of Economic Affairs and the CTB organized a Tourism Summit in January 2014, during which the Minister identified that a prominent goal for Curaçao should be to convert itself to one of the premiere Caribbean destinations by 2020. Thus, the DPITS developed a 2015-2020 Strategic Tourism Master Plan that focuses on launching Curaçao to the forefront of Caribbean</w:t>
      </w:r>
      <w:r>
        <w:rPr>
          <w:spacing w:val="-3"/>
        </w:rPr>
        <w:t> </w:t>
      </w:r>
      <w:r>
        <w:rPr/>
        <w:t>destinations</w:t>
      </w:r>
      <w:r>
        <w:rPr>
          <w:spacing w:val="-6"/>
        </w:rPr>
        <w:t> </w:t>
      </w:r>
      <w:r>
        <w:rPr/>
        <w:t>by</w:t>
      </w:r>
      <w:r>
        <w:rPr>
          <w:spacing w:val="-4"/>
        </w:rPr>
        <w:t> </w:t>
      </w:r>
      <w:r>
        <w:rPr/>
        <w:t>way</w:t>
      </w:r>
      <w:r>
        <w:rPr>
          <w:spacing w:val="-4"/>
        </w:rPr>
        <w:t> </w:t>
      </w:r>
      <w:r>
        <w:rPr/>
        <w:t>of</w:t>
      </w:r>
      <w:r>
        <w:rPr>
          <w:spacing w:val="-6"/>
        </w:rPr>
        <w:t> </w:t>
      </w:r>
      <w:r>
        <w:rPr/>
        <w:t>reconfiguring</w:t>
      </w:r>
      <w:r>
        <w:rPr>
          <w:spacing w:val="-5"/>
        </w:rPr>
        <w:t> </w:t>
      </w:r>
      <w:r>
        <w:rPr/>
        <w:t>its</w:t>
      </w:r>
      <w:r>
        <w:rPr>
          <w:spacing w:val="-6"/>
        </w:rPr>
        <w:t> </w:t>
      </w:r>
      <w:r>
        <w:rPr/>
        <w:t>current</w:t>
      </w:r>
      <w:r>
        <w:rPr>
          <w:spacing w:val="-1"/>
        </w:rPr>
        <w:t> </w:t>
      </w:r>
      <w:r>
        <w:rPr/>
        <w:t>demand</w:t>
      </w:r>
      <w:r>
        <w:rPr>
          <w:spacing w:val="-4"/>
        </w:rPr>
        <w:t> </w:t>
      </w:r>
      <w:r>
        <w:rPr/>
        <w:t>structure.</w:t>
      </w:r>
    </w:p>
    <w:p>
      <w:pPr>
        <w:pStyle w:val="BodyText"/>
        <w:spacing w:line="240" w:lineRule="auto"/>
        <w:ind w:right="1436"/>
        <w:jc w:val="both"/>
        <w:rPr>
          <w:sz w:val="12"/>
          <w:szCs w:val="12"/>
        </w:rPr>
      </w:pPr>
      <w:r>
        <w:rPr/>
        <w:t>A demand reconfiguration implies that the existing demand (market segments) will remain as primary destination market</w:t>
      </w:r>
      <w:r>
        <w:rPr>
          <w:spacing w:val="-7"/>
        </w:rPr>
        <w:t> </w:t>
      </w:r>
      <w:r>
        <w:rPr/>
        <w:t>segments.</w:t>
      </w:r>
      <w:r>
        <w:rPr>
          <w:spacing w:val="33"/>
        </w:rPr>
        <w:t> </w:t>
      </w:r>
      <w:r>
        <w:rPr/>
        <w:t>However,</w:t>
      </w:r>
      <w:r>
        <w:rPr>
          <w:spacing w:val="-6"/>
        </w:rPr>
        <w:t> </w:t>
      </w:r>
      <w:r>
        <w:rPr/>
        <w:t>a</w:t>
      </w:r>
      <w:r>
        <w:rPr>
          <w:spacing w:val="-4"/>
        </w:rPr>
        <w:t> </w:t>
      </w:r>
      <w:r>
        <w:rPr/>
        <w:t>reordering</w:t>
      </w:r>
      <w:r>
        <w:rPr>
          <w:spacing w:val="-7"/>
        </w:rPr>
        <w:t> </w:t>
      </w:r>
      <w:r>
        <w:rPr/>
        <w:t>of</w:t>
      </w:r>
      <w:r>
        <w:rPr>
          <w:spacing w:val="-8"/>
        </w:rPr>
        <w:t> </w:t>
      </w:r>
      <w:r>
        <w:rPr/>
        <w:t>the</w:t>
      </w:r>
      <w:r>
        <w:rPr>
          <w:spacing w:val="-8"/>
        </w:rPr>
        <w:t> </w:t>
      </w:r>
      <w:r>
        <w:rPr/>
        <w:t>primary,</w:t>
      </w:r>
      <w:r>
        <w:rPr>
          <w:spacing w:val="-6"/>
        </w:rPr>
        <w:t> </w:t>
      </w:r>
      <w:r>
        <w:rPr/>
        <w:t>secondary,</w:t>
      </w:r>
      <w:r>
        <w:rPr>
          <w:spacing w:val="-6"/>
        </w:rPr>
        <w:t> </w:t>
      </w:r>
      <w:r>
        <w:rPr/>
        <w:t>and</w:t>
      </w:r>
      <w:r>
        <w:rPr>
          <w:spacing w:val="-6"/>
        </w:rPr>
        <w:t> </w:t>
      </w:r>
      <w:r>
        <w:rPr/>
        <w:t>tertiary</w:t>
      </w:r>
      <w:r>
        <w:rPr>
          <w:spacing w:val="-6"/>
        </w:rPr>
        <w:t> </w:t>
      </w:r>
      <w:r>
        <w:rPr/>
        <w:t>markets</w:t>
      </w:r>
      <w:r>
        <w:rPr>
          <w:spacing w:val="-5"/>
        </w:rPr>
        <w:t> </w:t>
      </w:r>
      <w:r>
        <w:rPr/>
        <w:t>will</w:t>
      </w:r>
      <w:r>
        <w:rPr>
          <w:spacing w:val="-7"/>
        </w:rPr>
        <w:t> </w:t>
      </w:r>
      <w:r>
        <w:rPr/>
        <w:t>occur</w:t>
      </w:r>
      <w:r>
        <w:rPr>
          <w:spacing w:val="-6"/>
        </w:rPr>
        <w:t> </w:t>
      </w:r>
      <w:r>
        <w:rPr/>
        <w:t>in</w:t>
      </w:r>
      <w:r>
        <w:rPr>
          <w:spacing w:val="-6"/>
        </w:rPr>
        <w:t> </w:t>
      </w:r>
      <w:r>
        <w:rPr/>
        <w:t>order</w:t>
      </w:r>
      <w:r>
        <w:rPr>
          <w:spacing w:val="-7"/>
        </w:rPr>
        <w:t> </w:t>
      </w:r>
      <w:r>
        <w:rPr/>
        <w:t>to</w:t>
      </w:r>
      <w:r>
        <w:rPr>
          <w:spacing w:val="-6"/>
        </w:rPr>
        <w:t> </w:t>
      </w:r>
      <w:r>
        <w:rPr/>
        <w:t>align </w:t>
      </w:r>
      <w:r>
        <w:rPr/>
        <w:t>the existing tourism supply products with the demand necessary to move the industry forward. The historical performance of Curaçao</w:t>
      </w:r>
      <w:r>
        <w:rPr>
          <w:rFonts w:ascii="Calibri" w:hAnsi="Calibri" w:cs="Calibri" w:eastAsia="Calibri" w:hint="default"/>
        </w:rPr>
        <w:t>’s tourism </w:t>
      </w:r>
      <w:r>
        <w:rPr/>
        <w:t>industry is deemed a logical and strategic spearhead for the </w:t>
      </w:r>
      <w:r>
        <w:rPr>
          <w:rFonts w:ascii="Calibri" w:hAnsi="Calibri" w:cs="Calibri" w:eastAsia="Calibri" w:hint="default"/>
        </w:rPr>
        <w:t>island’s </w:t>
      </w:r>
      <w:r>
        <w:rPr/>
        <w:t>reconfiguration given the socioeconomic challenges that could jeopardize the vitality of other economic sectors of the island in/by</w:t>
      </w:r>
      <w:r>
        <w:rPr>
          <w:spacing w:val="-4"/>
        </w:rPr>
        <w:t> </w:t>
      </w:r>
      <w:r>
        <w:rPr/>
        <w:t>2019.</w:t>
      </w:r>
      <w:r>
        <w:rPr>
          <w:position w:val="5"/>
          <w:sz w:val="12"/>
          <w:szCs w:val="12"/>
        </w:rPr>
        <w:t>1</w:t>
      </w:r>
      <w:r>
        <w:rPr>
          <w:sz w:val="12"/>
          <w:szCs w:val="12"/>
        </w:rPr>
      </w:r>
    </w:p>
    <w:p>
      <w:pPr>
        <w:spacing w:line="240" w:lineRule="auto" w:before="11"/>
        <w:ind w:right="0"/>
        <w:rPr>
          <w:rFonts w:ascii="Calibri" w:hAnsi="Calibri" w:cs="Calibri" w:eastAsia="Calibri" w:hint="default"/>
          <w:sz w:val="19"/>
          <w:szCs w:val="19"/>
        </w:rPr>
      </w:pPr>
    </w:p>
    <w:p>
      <w:pPr>
        <w:pStyle w:val="BodyText"/>
        <w:spacing w:line="240" w:lineRule="auto"/>
        <w:ind w:right="1435"/>
        <w:jc w:val="both"/>
      </w:pPr>
      <w:r>
        <w:rPr>
          <w:rFonts w:ascii="Calibri" w:hAnsi="Calibri" w:cs="Calibri" w:eastAsia="Calibri" w:hint="default"/>
        </w:rPr>
        <w:t>Curacao’s</w:t>
      </w:r>
      <w:r>
        <w:rPr>
          <w:rFonts w:ascii="Calibri" w:hAnsi="Calibri" w:cs="Calibri" w:eastAsia="Calibri" w:hint="default"/>
          <w:spacing w:val="-11"/>
        </w:rPr>
        <w:t> </w:t>
      </w:r>
      <w:r>
        <w:rPr/>
        <w:t>previous</w:t>
      </w:r>
      <w:r>
        <w:rPr>
          <w:spacing w:val="-11"/>
        </w:rPr>
        <w:t> </w:t>
      </w:r>
      <w:r>
        <w:rPr/>
        <w:t>tourism</w:t>
      </w:r>
      <w:r>
        <w:rPr>
          <w:spacing w:val="-11"/>
        </w:rPr>
        <w:t> </w:t>
      </w:r>
      <w:r>
        <w:rPr/>
        <w:t>master</w:t>
      </w:r>
      <w:r>
        <w:rPr>
          <w:spacing w:val="-10"/>
        </w:rPr>
        <w:t> </w:t>
      </w:r>
      <w:r>
        <w:rPr/>
        <w:t>plan</w:t>
      </w:r>
      <w:r>
        <w:rPr>
          <w:spacing w:val="-9"/>
        </w:rPr>
        <w:t> </w:t>
      </w:r>
      <w:r>
        <w:rPr/>
        <w:t>drafts</w:t>
      </w:r>
      <w:r>
        <w:rPr>
          <w:spacing w:val="-11"/>
        </w:rPr>
        <w:t> </w:t>
      </w:r>
      <w:r>
        <w:rPr/>
        <w:t>had</w:t>
      </w:r>
      <w:r>
        <w:rPr>
          <w:spacing w:val="-9"/>
        </w:rPr>
        <w:t> </w:t>
      </w:r>
      <w:r>
        <w:rPr/>
        <w:t>primarily</w:t>
      </w:r>
      <w:r>
        <w:rPr>
          <w:spacing w:val="-9"/>
        </w:rPr>
        <w:t> </w:t>
      </w:r>
      <w:r>
        <w:rPr/>
        <w:t>focused</w:t>
      </w:r>
      <w:r>
        <w:rPr>
          <w:spacing w:val="-10"/>
        </w:rPr>
        <w:t> </w:t>
      </w:r>
      <w:r>
        <w:rPr/>
        <w:t>on</w:t>
      </w:r>
      <w:r>
        <w:rPr>
          <w:spacing w:val="-8"/>
        </w:rPr>
        <w:t> </w:t>
      </w:r>
      <w:r>
        <w:rPr/>
        <w:t>supply</w:t>
      </w:r>
      <w:r>
        <w:rPr>
          <w:spacing w:val="-10"/>
        </w:rPr>
        <w:t> </w:t>
      </w:r>
      <w:r>
        <w:rPr/>
        <w:t>orientation</w:t>
      </w:r>
      <w:r>
        <w:rPr>
          <w:spacing w:val="-10"/>
        </w:rPr>
        <w:t> </w:t>
      </w:r>
      <w:r>
        <w:rPr/>
        <w:t>with</w:t>
      </w:r>
      <w:r>
        <w:rPr>
          <w:spacing w:val="-9"/>
        </w:rPr>
        <w:t> </w:t>
      </w:r>
      <w:r>
        <w:rPr/>
        <w:t>regard</w:t>
      </w:r>
      <w:r>
        <w:rPr>
          <w:spacing w:val="-9"/>
        </w:rPr>
        <w:t> </w:t>
      </w:r>
      <w:r>
        <w:rPr/>
        <w:t>to</w:t>
      </w:r>
      <w:r>
        <w:rPr>
          <w:spacing w:val="-10"/>
        </w:rPr>
        <w:t> </w:t>
      </w:r>
      <w:r>
        <w:rPr/>
        <w:t>zoning</w:t>
      </w:r>
      <w:r>
        <w:rPr>
          <w:spacing w:val="-10"/>
        </w:rPr>
        <w:t> </w:t>
      </w:r>
      <w:r>
        <w:rPr/>
        <w:t>and </w:t>
      </w:r>
      <w:r>
        <w:rPr/>
        <w:t>infrastructural development. The unapproved tourism master plan of 2010-2014 was primarily constructed from global trends and secondary data, as well as perceptions of key industry stakeholders in Curaçao.</w:t>
      </w:r>
      <w:r>
        <w:rPr>
          <w:position w:val="5"/>
          <w:sz w:val="12"/>
          <w:szCs w:val="12"/>
        </w:rPr>
        <w:t>2 </w:t>
      </w:r>
      <w:r>
        <w:rPr/>
        <w:t>However, the </w:t>
      </w:r>
      <w:r>
        <w:rPr/>
        <w:t>previous tourism master plans did not directly consider the perceptions and experiences of the tourists visiting Curaçao, </w:t>
      </w:r>
      <w:r>
        <w:rPr>
          <w:rFonts w:ascii="Calibri" w:hAnsi="Calibri" w:cs="Calibri" w:eastAsia="Calibri" w:hint="default"/>
        </w:rPr>
        <w:t>nor did these plans consider potential latent demand markets that could influx Curaçao’s tourist arriv</w:t>
      </w:r>
      <w:r>
        <w:rPr/>
        <w:t>als. Moreover, these plans did not take into consideration the </w:t>
      </w:r>
      <w:r>
        <w:rPr>
          <w:rFonts w:ascii="Calibri" w:hAnsi="Calibri" w:cs="Calibri" w:eastAsia="Calibri" w:hint="default"/>
        </w:rPr>
        <w:t>residents’ open</w:t>
      </w:r>
      <w:r>
        <w:rPr/>
        <w:t>ness regarding tourism development on the</w:t>
      </w:r>
      <w:r>
        <w:rPr>
          <w:spacing w:val="-11"/>
        </w:rPr>
        <w:t> </w:t>
      </w:r>
      <w:r>
        <w:rPr/>
        <w:t>island.</w:t>
      </w:r>
      <w:r>
        <w:rPr>
          <w:spacing w:val="-10"/>
        </w:rPr>
        <w:t> </w:t>
      </w:r>
      <w:r>
        <w:rPr/>
        <w:t>Therefore,</w:t>
      </w:r>
      <w:r>
        <w:rPr>
          <w:spacing w:val="-10"/>
        </w:rPr>
        <w:t> </w:t>
      </w:r>
      <w:r>
        <w:rPr/>
        <w:t>the</w:t>
      </w:r>
      <w:r>
        <w:rPr>
          <w:spacing w:val="-11"/>
        </w:rPr>
        <w:t> </w:t>
      </w:r>
      <w:r>
        <w:rPr/>
        <w:t>2015-2020</w:t>
      </w:r>
      <w:r>
        <w:rPr>
          <w:spacing w:val="-10"/>
        </w:rPr>
        <w:t> </w:t>
      </w:r>
      <w:r>
        <w:rPr/>
        <w:t>Strategic</w:t>
      </w:r>
      <w:r>
        <w:rPr>
          <w:spacing w:val="-10"/>
        </w:rPr>
        <w:t> </w:t>
      </w:r>
      <w:r>
        <w:rPr/>
        <w:t>Tourism</w:t>
      </w:r>
      <w:r>
        <w:rPr>
          <w:spacing w:val="-11"/>
        </w:rPr>
        <w:t> </w:t>
      </w:r>
      <w:r>
        <w:rPr/>
        <w:t>Master</w:t>
      </w:r>
      <w:r>
        <w:rPr>
          <w:spacing w:val="-11"/>
        </w:rPr>
        <w:t> </w:t>
      </w:r>
      <w:r>
        <w:rPr/>
        <w:t>Plan</w:t>
      </w:r>
      <w:r>
        <w:rPr>
          <w:spacing w:val="-9"/>
        </w:rPr>
        <w:t> </w:t>
      </w:r>
      <w:r>
        <w:rPr/>
        <w:t>delineates</w:t>
      </w:r>
      <w:r>
        <w:rPr>
          <w:spacing w:val="-11"/>
        </w:rPr>
        <w:t> </w:t>
      </w:r>
      <w:r>
        <w:rPr/>
        <w:t>itself</w:t>
      </w:r>
      <w:r>
        <w:rPr>
          <w:spacing w:val="-11"/>
        </w:rPr>
        <w:t> </w:t>
      </w:r>
      <w:r>
        <w:rPr/>
        <w:t>from</w:t>
      </w:r>
      <w:r>
        <w:rPr>
          <w:spacing w:val="-11"/>
        </w:rPr>
        <w:t> </w:t>
      </w:r>
      <w:r>
        <w:rPr/>
        <w:t>the</w:t>
      </w:r>
      <w:r>
        <w:rPr>
          <w:spacing w:val="-11"/>
        </w:rPr>
        <w:t> </w:t>
      </w:r>
      <w:r>
        <w:rPr/>
        <w:t>past</w:t>
      </w:r>
      <w:r>
        <w:rPr>
          <w:spacing w:val="-10"/>
        </w:rPr>
        <w:t> </w:t>
      </w:r>
      <w:r>
        <w:rPr/>
        <w:t>plans</w:t>
      </w:r>
      <w:r>
        <w:rPr>
          <w:spacing w:val="-14"/>
        </w:rPr>
        <w:t> </w:t>
      </w:r>
      <w:r>
        <w:rPr/>
        <w:t>by</w:t>
      </w:r>
      <w:r>
        <w:rPr>
          <w:spacing w:val="-9"/>
        </w:rPr>
        <w:t> </w:t>
      </w:r>
      <w:r>
        <w:rPr/>
        <w:t>its</w:t>
      </w:r>
      <w:r>
        <w:rPr>
          <w:spacing w:val="-9"/>
        </w:rPr>
        <w:t> </w:t>
      </w:r>
      <w:r>
        <w:rPr/>
        <w:t>centric </w:t>
      </w:r>
      <w:r>
        <w:rPr/>
        <w:t>focus on customers and local people, </w:t>
      </w:r>
      <w:r>
        <w:rPr>
          <w:rFonts w:ascii="Calibri" w:hAnsi="Calibri" w:cs="Calibri" w:eastAsia="Calibri" w:hint="default"/>
        </w:rPr>
        <w:t>– </w:t>
      </w:r>
      <w:r>
        <w:rPr/>
        <w:t>areas in which long-term destination attractiveness for tourists would be achieved.</w:t>
      </w:r>
    </w:p>
    <w:p>
      <w:pPr>
        <w:spacing w:line="240" w:lineRule="auto" w:before="12"/>
        <w:ind w:right="0"/>
        <w:rPr>
          <w:rFonts w:ascii="Calibri" w:hAnsi="Calibri" w:cs="Calibri" w:eastAsia="Calibri" w:hint="default"/>
          <w:sz w:val="19"/>
          <w:szCs w:val="19"/>
        </w:rPr>
      </w:pPr>
    </w:p>
    <w:p>
      <w:pPr>
        <w:pStyle w:val="BodyText"/>
        <w:spacing w:line="240" w:lineRule="auto"/>
        <w:ind w:right="1438"/>
        <w:jc w:val="both"/>
      </w:pPr>
      <w:r>
        <w:rPr/>
        <w:t>The intention of the current plan is to operate within the confines of the existing tourism supply products and accelerate tourist demand through to the year, 2020. The 2015-2020 Strategic Tourism Master Plan deliberately </w:t>
      </w:r>
      <w:r>
        <w:rPr>
          <w:rFonts w:ascii="Calibri" w:hAnsi="Calibri" w:cs="Calibri" w:eastAsia="Calibri" w:hint="default"/>
        </w:rPr>
        <w:t>includes</w:t>
      </w:r>
      <w:r>
        <w:rPr>
          <w:rFonts w:ascii="Calibri" w:hAnsi="Calibri" w:cs="Calibri" w:eastAsia="Calibri" w:hint="default"/>
          <w:spacing w:val="-11"/>
        </w:rPr>
        <w:t> </w:t>
      </w:r>
      <w:r>
        <w:rPr>
          <w:rFonts w:ascii="Calibri" w:hAnsi="Calibri" w:cs="Calibri" w:eastAsia="Calibri" w:hint="default"/>
        </w:rPr>
        <w:t>a</w:t>
      </w:r>
      <w:r>
        <w:rPr>
          <w:rFonts w:ascii="Calibri" w:hAnsi="Calibri" w:cs="Calibri" w:eastAsia="Calibri" w:hint="default"/>
          <w:spacing w:val="-10"/>
        </w:rPr>
        <w:t> </w:t>
      </w:r>
      <w:r>
        <w:rPr>
          <w:rFonts w:ascii="Calibri" w:hAnsi="Calibri" w:cs="Calibri" w:eastAsia="Calibri" w:hint="default"/>
        </w:rPr>
        <w:t>direct</w:t>
      </w:r>
      <w:r>
        <w:rPr>
          <w:rFonts w:ascii="Calibri" w:hAnsi="Calibri" w:cs="Calibri" w:eastAsia="Calibri" w:hint="default"/>
          <w:spacing w:val="-8"/>
        </w:rPr>
        <w:t> </w:t>
      </w:r>
      <w:r>
        <w:rPr>
          <w:rFonts w:ascii="Calibri" w:hAnsi="Calibri" w:cs="Calibri" w:eastAsia="Calibri" w:hint="default"/>
        </w:rPr>
        <w:t>engagement</w:t>
      </w:r>
      <w:r>
        <w:rPr>
          <w:rFonts w:ascii="Calibri" w:hAnsi="Calibri" w:cs="Calibri" w:eastAsia="Calibri" w:hint="default"/>
          <w:spacing w:val="-7"/>
        </w:rPr>
        <w:t> </w:t>
      </w:r>
      <w:r>
        <w:rPr>
          <w:rFonts w:ascii="Calibri" w:hAnsi="Calibri" w:cs="Calibri" w:eastAsia="Calibri" w:hint="default"/>
        </w:rPr>
        <w:t>with</w:t>
      </w:r>
      <w:r>
        <w:rPr>
          <w:rFonts w:ascii="Calibri" w:hAnsi="Calibri" w:cs="Calibri" w:eastAsia="Calibri" w:hint="default"/>
          <w:spacing w:val="-9"/>
        </w:rPr>
        <w:t> </w:t>
      </w:r>
      <w:r>
        <w:rPr>
          <w:rFonts w:ascii="Calibri" w:hAnsi="Calibri" w:cs="Calibri" w:eastAsia="Calibri" w:hint="default"/>
        </w:rPr>
        <w:t>the</w:t>
      </w:r>
      <w:r>
        <w:rPr>
          <w:rFonts w:ascii="Calibri" w:hAnsi="Calibri" w:cs="Calibri" w:eastAsia="Calibri" w:hint="default"/>
          <w:spacing w:val="-11"/>
        </w:rPr>
        <w:t> </w:t>
      </w:r>
      <w:r>
        <w:rPr>
          <w:rFonts w:ascii="Calibri" w:hAnsi="Calibri" w:cs="Calibri" w:eastAsia="Calibri" w:hint="default"/>
        </w:rPr>
        <w:t>existing</w:t>
      </w:r>
      <w:r>
        <w:rPr>
          <w:rFonts w:ascii="Calibri" w:hAnsi="Calibri" w:cs="Calibri" w:eastAsia="Calibri" w:hint="default"/>
          <w:spacing w:val="-10"/>
        </w:rPr>
        <w:t> </w:t>
      </w:r>
      <w:r>
        <w:rPr>
          <w:rFonts w:ascii="Calibri" w:hAnsi="Calibri" w:cs="Calibri" w:eastAsia="Calibri" w:hint="default"/>
        </w:rPr>
        <w:t>market</w:t>
      </w:r>
      <w:r>
        <w:rPr>
          <w:rFonts w:ascii="Calibri" w:hAnsi="Calibri" w:cs="Calibri" w:eastAsia="Calibri" w:hint="default"/>
          <w:spacing w:val="-10"/>
        </w:rPr>
        <w:t> </w:t>
      </w:r>
      <w:r>
        <w:rPr>
          <w:rFonts w:ascii="Calibri" w:hAnsi="Calibri" w:cs="Calibri" w:eastAsia="Calibri" w:hint="default"/>
        </w:rPr>
        <w:t>segments</w:t>
      </w:r>
      <w:r>
        <w:rPr>
          <w:rFonts w:ascii="Calibri" w:hAnsi="Calibri" w:cs="Calibri" w:eastAsia="Calibri" w:hint="default"/>
          <w:spacing w:val="-11"/>
        </w:rPr>
        <w:t> </w:t>
      </w:r>
      <w:r>
        <w:rPr>
          <w:rFonts w:ascii="Calibri" w:hAnsi="Calibri" w:cs="Calibri" w:eastAsia="Calibri" w:hint="default"/>
        </w:rPr>
        <w:t>for</w:t>
      </w:r>
      <w:r>
        <w:rPr>
          <w:rFonts w:ascii="Calibri" w:hAnsi="Calibri" w:cs="Calibri" w:eastAsia="Calibri" w:hint="default"/>
          <w:spacing w:val="-10"/>
        </w:rPr>
        <w:t> </w:t>
      </w:r>
      <w:r>
        <w:rPr>
          <w:rFonts w:ascii="Calibri" w:hAnsi="Calibri" w:cs="Calibri" w:eastAsia="Calibri" w:hint="default"/>
        </w:rPr>
        <w:t>Curaçao’s</w:t>
      </w:r>
      <w:r>
        <w:rPr>
          <w:rFonts w:ascii="Calibri" w:hAnsi="Calibri" w:cs="Calibri" w:eastAsia="Calibri" w:hint="default"/>
          <w:spacing w:val="-11"/>
        </w:rPr>
        <w:t> </w:t>
      </w:r>
      <w:r>
        <w:rPr>
          <w:rFonts w:ascii="Calibri" w:hAnsi="Calibri" w:cs="Calibri" w:eastAsia="Calibri" w:hint="default"/>
        </w:rPr>
        <w:t>tourism</w:t>
      </w:r>
      <w:r>
        <w:rPr>
          <w:rFonts w:ascii="Calibri" w:hAnsi="Calibri" w:cs="Calibri" w:eastAsia="Calibri" w:hint="default"/>
          <w:spacing w:val="-11"/>
        </w:rPr>
        <w:t> </w:t>
      </w:r>
      <w:r>
        <w:rPr>
          <w:rFonts w:ascii="Calibri" w:hAnsi="Calibri" w:cs="Calibri" w:eastAsia="Calibri" w:hint="default"/>
        </w:rPr>
        <w:t>industry.</w:t>
      </w:r>
      <w:r>
        <w:rPr>
          <w:rFonts w:ascii="Calibri" w:hAnsi="Calibri" w:cs="Calibri" w:eastAsia="Calibri" w:hint="default"/>
          <w:spacing w:val="-10"/>
        </w:rPr>
        <w:t> </w:t>
      </w:r>
      <w:r>
        <w:rPr>
          <w:rFonts w:ascii="Calibri" w:hAnsi="Calibri" w:cs="Calibri" w:eastAsia="Calibri" w:hint="default"/>
        </w:rPr>
        <w:t>In</w:t>
      </w:r>
      <w:r>
        <w:rPr>
          <w:rFonts w:ascii="Calibri" w:hAnsi="Calibri" w:cs="Calibri" w:eastAsia="Calibri" w:hint="default"/>
          <w:spacing w:val="-9"/>
        </w:rPr>
        <w:t> </w:t>
      </w:r>
      <w:r>
        <w:rPr>
          <w:rFonts w:ascii="Calibri" w:hAnsi="Calibri" w:cs="Calibri" w:eastAsia="Calibri" w:hint="default"/>
        </w:rPr>
        <w:t>order</w:t>
      </w:r>
      <w:r>
        <w:rPr>
          <w:rFonts w:ascii="Calibri" w:hAnsi="Calibri" w:cs="Calibri" w:eastAsia="Calibri" w:hint="default"/>
          <w:spacing w:val="-10"/>
        </w:rPr>
        <w:t> </w:t>
      </w:r>
      <w:r>
        <w:rPr>
          <w:rFonts w:ascii="Calibri" w:hAnsi="Calibri" w:cs="Calibri" w:eastAsia="Calibri" w:hint="default"/>
        </w:rPr>
        <w:t>to</w:t>
      </w:r>
      <w:r>
        <w:rPr>
          <w:rFonts w:ascii="Calibri" w:hAnsi="Calibri" w:cs="Calibri" w:eastAsia="Calibri" w:hint="default"/>
          <w:spacing w:val="-9"/>
        </w:rPr>
        <w:t> </w:t>
      </w:r>
      <w:r>
        <w:rPr>
          <w:rFonts w:ascii="Calibri" w:hAnsi="Calibri" w:cs="Calibri" w:eastAsia="Calibri" w:hint="default"/>
        </w:rPr>
        <w:t>establish </w:t>
      </w:r>
      <w:r>
        <w:rPr>
          <w:rFonts w:ascii="Calibri" w:hAnsi="Calibri" w:cs="Calibri" w:eastAsia="Calibri" w:hint="default"/>
        </w:rPr>
      </w:r>
      <w:r>
        <w:rPr/>
        <w:t>a competitive advantage within the Caribbean region, policymakers and destination managers must identify and leverage those destination capabilities that are distinctive, as well as those that could increase its distinctiveness. Therefore, the current plan has intentionally and very carefully constructed strategies that will define and position Curaçao as a long-term attractive destination within the</w:t>
      </w:r>
      <w:r>
        <w:rPr>
          <w:spacing w:val="-21"/>
        </w:rPr>
        <w:t> </w:t>
      </w:r>
      <w:r>
        <w:rPr/>
        <w:t>Caribbean.</w:t>
      </w:r>
    </w:p>
    <w:p>
      <w:pPr>
        <w:spacing w:line="240" w:lineRule="auto" w:before="11"/>
        <w:ind w:right="0"/>
        <w:rPr>
          <w:rFonts w:ascii="Calibri" w:hAnsi="Calibri" w:cs="Calibri" w:eastAsia="Calibri" w:hint="default"/>
          <w:sz w:val="19"/>
          <w:szCs w:val="19"/>
        </w:rPr>
      </w:pPr>
    </w:p>
    <w:p>
      <w:pPr>
        <w:pStyle w:val="BodyText"/>
        <w:spacing w:line="240" w:lineRule="auto"/>
        <w:ind w:right="1434"/>
        <w:jc w:val="both"/>
      </w:pPr>
      <w:r>
        <w:rPr/>
        <w:t>The Strategic Tourism Master Plan 2015-2020 reflects the ambitions and possibilities of the various stakeholder groups</w:t>
      </w:r>
      <w:r>
        <w:rPr>
          <w:spacing w:val="-13"/>
        </w:rPr>
        <w:t> </w:t>
      </w:r>
      <w:r>
        <w:rPr/>
        <w:t>in</w:t>
      </w:r>
      <w:r>
        <w:rPr>
          <w:spacing w:val="-11"/>
        </w:rPr>
        <w:t> </w:t>
      </w:r>
      <w:r>
        <w:rPr/>
        <w:t>Curaçao.</w:t>
      </w:r>
      <w:r>
        <w:rPr>
          <w:spacing w:val="-9"/>
        </w:rPr>
        <w:t> </w:t>
      </w:r>
      <w:r>
        <w:rPr/>
        <w:t>These</w:t>
      </w:r>
      <w:r>
        <w:rPr>
          <w:spacing w:val="-10"/>
        </w:rPr>
        <w:t> </w:t>
      </w:r>
      <w:r>
        <w:rPr/>
        <w:t>stakeholder</w:t>
      </w:r>
      <w:r>
        <w:rPr>
          <w:spacing w:val="-12"/>
        </w:rPr>
        <w:t> </w:t>
      </w:r>
      <w:r>
        <w:rPr/>
        <w:t>groups</w:t>
      </w:r>
      <w:r>
        <w:rPr>
          <w:spacing w:val="-13"/>
        </w:rPr>
        <w:t> </w:t>
      </w:r>
      <w:r>
        <w:rPr/>
        <w:t>include:</w:t>
      </w:r>
      <w:r>
        <w:rPr>
          <w:spacing w:val="-12"/>
        </w:rPr>
        <w:t> </w:t>
      </w:r>
      <w:r>
        <w:rPr/>
        <w:t>residents,</w:t>
      </w:r>
      <w:r>
        <w:rPr>
          <w:spacing w:val="-11"/>
        </w:rPr>
        <w:t> </w:t>
      </w:r>
      <w:r>
        <w:rPr/>
        <w:t>government,</w:t>
      </w:r>
      <w:r>
        <w:rPr>
          <w:spacing w:val="-11"/>
        </w:rPr>
        <w:t> </w:t>
      </w:r>
      <w:r>
        <w:rPr/>
        <w:t>business</w:t>
      </w:r>
      <w:r>
        <w:rPr>
          <w:spacing w:val="-13"/>
        </w:rPr>
        <w:t> </w:t>
      </w:r>
      <w:r>
        <w:rPr/>
        <w:t>owners,</w:t>
      </w:r>
      <w:r>
        <w:rPr>
          <w:spacing w:val="-11"/>
        </w:rPr>
        <w:t> </w:t>
      </w:r>
      <w:r>
        <w:rPr/>
        <w:t>associations,</w:t>
      </w:r>
      <w:r>
        <w:rPr>
          <w:spacing w:val="-11"/>
        </w:rPr>
        <w:t> </w:t>
      </w:r>
      <w:r>
        <w:rPr/>
        <w:t>tourism </w:t>
      </w:r>
      <w:r>
        <w:rPr/>
        <w:t>and hospitality employees, as well as non-traditional groups that include cultural, social, educational, labor unions, and religious groups affiliated with and directly or collaterally impacted by the tourism</w:t>
      </w:r>
      <w:r>
        <w:rPr>
          <w:spacing w:val="-31"/>
        </w:rPr>
        <w:t> </w:t>
      </w:r>
      <w:r>
        <w:rPr/>
        <w:t>sector.</w:t>
      </w:r>
    </w:p>
    <w:p>
      <w:pPr>
        <w:pStyle w:val="Heading2"/>
        <w:spacing w:line="240" w:lineRule="auto" w:before="37"/>
        <w:ind w:right="0"/>
        <w:jc w:val="both"/>
        <w:rPr>
          <w:b w:val="0"/>
          <w:bCs w:val="0"/>
        </w:rPr>
      </w:pPr>
      <w:bookmarkStart w:name="_bookmark14" w:id="15"/>
      <w:bookmarkEnd w:id="15"/>
      <w:r>
        <w:rPr>
          <w:b w:val="0"/>
        </w:rPr>
      </w:r>
      <w:r>
        <w:rPr/>
        <w:t>Purpose of the</w:t>
      </w:r>
      <w:r>
        <w:rPr>
          <w:spacing w:val="-8"/>
        </w:rPr>
        <w:t> </w:t>
      </w:r>
      <w:r>
        <w:rPr/>
        <w:t>plan</w:t>
      </w:r>
      <w:r>
        <w:rPr>
          <w:b w:val="0"/>
        </w:rPr>
      </w:r>
    </w:p>
    <w:p>
      <w:pPr>
        <w:pStyle w:val="BodyText"/>
        <w:spacing w:line="240" w:lineRule="auto" w:before="192"/>
        <w:ind w:right="1434"/>
        <w:jc w:val="both"/>
        <w:rPr>
          <w:rFonts w:ascii="Calibri" w:hAnsi="Calibri" w:cs="Calibri" w:eastAsia="Calibri" w:hint="default"/>
        </w:rPr>
      </w:pPr>
      <w:r>
        <w:rPr/>
        <w:t>The purpose of the 2015-2020 Strategic Tourism Master Plan is to improve Curaçao</w:t>
      </w:r>
      <w:r>
        <w:rPr>
          <w:rFonts w:ascii="Calibri" w:hAnsi="Calibri" w:cs="Calibri" w:eastAsia="Calibri" w:hint="default"/>
        </w:rPr>
        <w:t>’s competitive position in the </w:t>
      </w:r>
      <w:r>
        <w:rPr/>
        <w:t>Caribbean. Additionally, this plan will assist in generating sustainable growth in the tourism sector in a socially acceptable, environmentally sound, and economically viable manner. The current economic contribution of the tourism</w:t>
      </w:r>
      <w:r>
        <w:rPr>
          <w:spacing w:val="-11"/>
        </w:rPr>
        <w:t> </w:t>
      </w:r>
      <w:r>
        <w:rPr/>
        <w:t>industry</w:t>
      </w:r>
      <w:r>
        <w:rPr>
          <w:spacing w:val="-9"/>
        </w:rPr>
        <w:t> </w:t>
      </w:r>
      <w:r>
        <w:rPr/>
        <w:t>in</w:t>
      </w:r>
      <w:r>
        <w:rPr>
          <w:spacing w:val="-9"/>
        </w:rPr>
        <w:t> </w:t>
      </w:r>
      <w:r>
        <w:rPr/>
        <w:t>Curaçao</w:t>
      </w:r>
      <w:r>
        <w:rPr>
          <w:spacing w:val="-9"/>
        </w:rPr>
        <w:t> </w:t>
      </w:r>
      <w:r>
        <w:rPr/>
        <w:t>is</w:t>
      </w:r>
      <w:r>
        <w:rPr>
          <w:spacing w:val="-12"/>
        </w:rPr>
        <w:t> </w:t>
      </w:r>
      <w:r>
        <w:rPr/>
        <w:t>approximately</w:t>
      </w:r>
      <w:r>
        <w:rPr>
          <w:spacing w:val="-8"/>
        </w:rPr>
        <w:t> </w:t>
      </w:r>
      <w:r>
        <w:rPr/>
        <w:t>18%</w:t>
      </w:r>
      <w:r>
        <w:rPr>
          <w:spacing w:val="-11"/>
        </w:rPr>
        <w:t> </w:t>
      </w:r>
      <w:r>
        <w:rPr/>
        <w:t>of</w:t>
      </w:r>
      <w:r>
        <w:rPr>
          <w:spacing w:val="-11"/>
        </w:rPr>
        <w:t> </w:t>
      </w:r>
      <w:r>
        <w:rPr/>
        <w:t>the</w:t>
      </w:r>
      <w:r>
        <w:rPr>
          <w:spacing w:val="-11"/>
        </w:rPr>
        <w:t> </w:t>
      </w:r>
      <w:r>
        <w:rPr/>
        <w:t>total</w:t>
      </w:r>
      <w:r>
        <w:rPr>
          <w:spacing w:val="-10"/>
        </w:rPr>
        <w:t> </w:t>
      </w:r>
      <w:r>
        <w:rPr/>
        <w:t>economy.</w:t>
      </w:r>
      <w:r>
        <w:rPr>
          <w:spacing w:val="28"/>
        </w:rPr>
        <w:t> </w:t>
      </w:r>
      <w:r>
        <w:rPr/>
        <w:t>Primary</w:t>
      </w:r>
      <w:r>
        <w:rPr>
          <w:spacing w:val="-9"/>
        </w:rPr>
        <w:t> </w:t>
      </w:r>
      <w:r>
        <w:rPr/>
        <w:t>goals</w:t>
      </w:r>
      <w:r>
        <w:rPr>
          <w:spacing w:val="-11"/>
        </w:rPr>
        <w:t> </w:t>
      </w:r>
      <w:r>
        <w:rPr/>
        <w:t>of</w:t>
      </w:r>
      <w:r>
        <w:rPr>
          <w:spacing w:val="-11"/>
        </w:rPr>
        <w:t> </w:t>
      </w:r>
      <w:r>
        <w:rPr/>
        <w:t>this</w:t>
      </w:r>
      <w:r>
        <w:rPr>
          <w:spacing w:val="-12"/>
        </w:rPr>
        <w:t> </w:t>
      </w:r>
      <w:r>
        <w:rPr/>
        <w:t>plan</w:t>
      </w:r>
      <w:r>
        <w:rPr>
          <w:spacing w:val="-9"/>
        </w:rPr>
        <w:t> </w:t>
      </w:r>
      <w:r>
        <w:rPr/>
        <w:t>are</w:t>
      </w:r>
      <w:r>
        <w:rPr>
          <w:spacing w:val="-9"/>
        </w:rPr>
        <w:t> </w:t>
      </w:r>
      <w:r>
        <w:rPr/>
        <w:t>to</w:t>
      </w:r>
      <w:r>
        <w:rPr>
          <w:spacing w:val="-10"/>
        </w:rPr>
        <w:t> </w:t>
      </w:r>
      <w:r>
        <w:rPr/>
        <w:t>significantly </w:t>
      </w:r>
      <w:r>
        <w:rPr/>
        <w:t>increase the economic contribution within the next five years in order to secure the viability of the industry, and to </w:t>
      </w:r>
      <w:r>
        <w:rPr>
          <w:rFonts w:ascii="Calibri" w:hAnsi="Calibri" w:cs="Calibri" w:eastAsia="Calibri" w:hint="default"/>
        </w:rPr>
        <w:t>improve Curacao’s living conditions via steady economic growth and job</w:t>
      </w:r>
      <w:r>
        <w:rPr>
          <w:rFonts w:ascii="Calibri" w:hAnsi="Calibri" w:cs="Calibri" w:eastAsia="Calibri" w:hint="default"/>
          <w:spacing w:val="-22"/>
        </w:rPr>
        <w:t> </w:t>
      </w:r>
      <w:r>
        <w:rPr>
          <w:rFonts w:ascii="Calibri" w:hAnsi="Calibri" w:cs="Calibri" w:eastAsia="Calibri" w:hint="default"/>
        </w:rPr>
        <w:t>creation.</w:t>
      </w:r>
    </w:p>
    <w:p>
      <w:pPr>
        <w:spacing w:line="240" w:lineRule="auto" w:before="10" w:after="0"/>
        <w:ind w:right="0"/>
        <w:rPr>
          <w:rFonts w:ascii="Calibri" w:hAnsi="Calibri" w:cs="Calibri" w:eastAsia="Calibri" w:hint="default"/>
          <w:sz w:val="15"/>
          <w:szCs w:val="15"/>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before="91"/>
        <w:ind w:left="1440" w:right="0" w:firstLine="0"/>
        <w:jc w:val="left"/>
        <w:rPr>
          <w:rFonts w:ascii="Calibri" w:hAnsi="Calibri" w:cs="Calibri" w:eastAsia="Calibri" w:hint="default"/>
          <w:sz w:val="16"/>
          <w:szCs w:val="16"/>
        </w:rPr>
      </w:pPr>
      <w:r>
        <w:rPr>
          <w:rFonts w:ascii="Calibri"/>
          <w:position w:val="5"/>
          <w:sz w:val="12"/>
        </w:rPr>
        <w:t>1 </w:t>
      </w:r>
      <w:r>
        <w:rPr>
          <w:rFonts w:ascii="Calibri"/>
          <w:sz w:val="16"/>
        </w:rPr>
        <w:t>See the most recent UNDP</w:t>
      </w:r>
      <w:r>
        <w:rPr>
          <w:rFonts w:ascii="Calibri"/>
          <w:spacing w:val="-8"/>
          <w:sz w:val="16"/>
        </w:rPr>
        <w:t> </w:t>
      </w:r>
      <w:r>
        <w:rPr>
          <w:rFonts w:ascii="Calibri"/>
          <w:sz w:val="16"/>
        </w:rPr>
        <w:t>Report.</w:t>
      </w:r>
    </w:p>
    <w:p>
      <w:pPr>
        <w:spacing w:before="11"/>
        <w:ind w:left="1440" w:right="0" w:firstLine="0"/>
        <w:jc w:val="left"/>
        <w:rPr>
          <w:rFonts w:ascii="Calibri" w:hAnsi="Calibri" w:cs="Calibri" w:eastAsia="Calibri" w:hint="default"/>
          <w:sz w:val="16"/>
          <w:szCs w:val="16"/>
        </w:rPr>
      </w:pPr>
      <w:r>
        <w:rPr>
          <w:rFonts w:ascii="Calibri" w:hAnsi="Calibri"/>
          <w:position w:val="5"/>
          <w:sz w:val="12"/>
        </w:rPr>
        <w:t>2 </w:t>
      </w:r>
      <w:r>
        <w:rPr>
          <w:rFonts w:ascii="Calibri" w:hAnsi="Calibri"/>
          <w:sz w:val="16"/>
        </w:rPr>
        <w:t>See Halcrow, (2010).  </w:t>
      </w:r>
      <w:r>
        <w:rPr>
          <w:rFonts w:ascii="Calibri" w:hAnsi="Calibri"/>
          <w:i/>
          <w:sz w:val="16"/>
        </w:rPr>
        <w:t>Strategic tourism master plan for the island of Curaçao:</w:t>
      </w:r>
      <w:r>
        <w:rPr>
          <w:rFonts w:ascii="Calibri" w:hAnsi="Calibri"/>
          <w:i/>
          <w:spacing w:val="-14"/>
          <w:sz w:val="16"/>
        </w:rPr>
        <w:t> </w:t>
      </w:r>
      <w:r>
        <w:rPr>
          <w:rFonts w:ascii="Calibri" w:hAnsi="Calibri"/>
          <w:i/>
          <w:sz w:val="16"/>
        </w:rPr>
        <w:t>2010-2014.</w:t>
      </w:r>
      <w:r>
        <w:rPr>
          <w:rFonts w:ascii="Calibri" w:hAnsi="Calibri"/>
          <w:sz w:val="16"/>
        </w:rPr>
      </w:r>
    </w:p>
    <w:p>
      <w:pPr>
        <w:spacing w:after="0"/>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i/>
          <w:sz w:val="20"/>
          <w:szCs w:val="20"/>
        </w:rPr>
      </w:pPr>
    </w:p>
    <w:p>
      <w:pPr>
        <w:spacing w:line="240" w:lineRule="auto" w:before="9"/>
        <w:ind w:right="0"/>
        <w:rPr>
          <w:rFonts w:ascii="Calibri" w:hAnsi="Calibri" w:cs="Calibri" w:eastAsia="Calibri" w:hint="default"/>
          <w:i/>
          <w:sz w:val="24"/>
          <w:szCs w:val="24"/>
        </w:rPr>
      </w:pPr>
    </w:p>
    <w:p>
      <w:pPr>
        <w:pStyle w:val="Heading2"/>
        <w:spacing w:line="240" w:lineRule="auto"/>
        <w:ind w:right="0"/>
        <w:jc w:val="both"/>
        <w:rPr>
          <w:b w:val="0"/>
          <w:bCs w:val="0"/>
        </w:rPr>
      </w:pPr>
      <w:bookmarkStart w:name="_bookmark15" w:id="16"/>
      <w:bookmarkEnd w:id="16"/>
      <w:r>
        <w:rPr>
          <w:b w:val="0"/>
        </w:rPr>
      </w:r>
      <w:r>
        <w:rPr/>
        <w:t>Development</w:t>
      </w:r>
      <w:r>
        <w:rPr>
          <w:spacing w:val="-12"/>
        </w:rPr>
        <w:t> </w:t>
      </w:r>
      <w:r>
        <w:rPr/>
        <w:t>process</w:t>
      </w:r>
      <w:r>
        <w:rPr>
          <w:b w:val="0"/>
        </w:rPr>
      </w:r>
    </w:p>
    <w:p>
      <w:pPr>
        <w:pStyle w:val="BodyText"/>
        <w:spacing w:line="240" w:lineRule="auto" w:before="191"/>
        <w:ind w:right="1434"/>
        <w:jc w:val="both"/>
      </w:pPr>
      <w:r>
        <w:rPr/>
        <w:t>It is important to note that the central premise of the 2015-2020 Strategic Tourism Master Plan is not to suggest or advocate</w:t>
      </w:r>
      <w:r>
        <w:rPr>
          <w:spacing w:val="-13"/>
        </w:rPr>
        <w:t> </w:t>
      </w:r>
      <w:r>
        <w:rPr/>
        <w:t>for</w:t>
      </w:r>
      <w:r>
        <w:rPr>
          <w:spacing w:val="-13"/>
        </w:rPr>
        <w:t> </w:t>
      </w:r>
      <w:r>
        <w:rPr/>
        <w:t>further</w:t>
      </w:r>
      <w:r>
        <w:rPr>
          <w:spacing w:val="-13"/>
        </w:rPr>
        <w:t> </w:t>
      </w:r>
      <w:r>
        <w:rPr/>
        <w:t>infrastructural</w:t>
      </w:r>
      <w:r>
        <w:rPr>
          <w:spacing w:val="-13"/>
        </w:rPr>
        <w:t> </w:t>
      </w:r>
      <w:r>
        <w:rPr/>
        <w:t>development</w:t>
      </w:r>
      <w:r>
        <w:rPr>
          <w:spacing w:val="-12"/>
        </w:rPr>
        <w:t> </w:t>
      </w:r>
      <w:r>
        <w:rPr/>
        <w:t>at</w:t>
      </w:r>
      <w:r>
        <w:rPr>
          <w:spacing w:val="-12"/>
        </w:rPr>
        <w:t> </w:t>
      </w:r>
      <w:r>
        <w:rPr/>
        <w:t>this</w:t>
      </w:r>
      <w:r>
        <w:rPr>
          <w:spacing w:val="-14"/>
        </w:rPr>
        <w:t> </w:t>
      </w:r>
      <w:r>
        <w:rPr/>
        <w:t>time.</w:t>
      </w:r>
      <w:r>
        <w:rPr>
          <w:spacing w:val="26"/>
        </w:rPr>
        <w:t> </w:t>
      </w:r>
      <w:r>
        <w:rPr/>
        <w:t>Rather,</w:t>
      </w:r>
      <w:r>
        <w:rPr>
          <w:spacing w:val="-14"/>
        </w:rPr>
        <w:t> </w:t>
      </w:r>
      <w:r>
        <w:rPr/>
        <w:t>the</w:t>
      </w:r>
      <w:r>
        <w:rPr>
          <w:spacing w:val="-13"/>
        </w:rPr>
        <w:t> </w:t>
      </w:r>
      <w:r>
        <w:rPr/>
        <w:t>central</w:t>
      </w:r>
      <w:r>
        <w:rPr>
          <w:spacing w:val="-13"/>
        </w:rPr>
        <w:t> </w:t>
      </w:r>
      <w:r>
        <w:rPr/>
        <w:t>focus</w:t>
      </w:r>
      <w:r>
        <w:rPr>
          <w:spacing w:val="-14"/>
        </w:rPr>
        <w:t> </w:t>
      </w:r>
      <w:r>
        <w:rPr/>
        <w:t>of</w:t>
      </w:r>
      <w:r>
        <w:rPr>
          <w:spacing w:val="-13"/>
        </w:rPr>
        <w:t> </w:t>
      </w:r>
      <w:r>
        <w:rPr/>
        <w:t>this</w:t>
      </w:r>
      <w:r>
        <w:rPr>
          <w:spacing w:val="-14"/>
        </w:rPr>
        <w:t> </w:t>
      </w:r>
      <w:r>
        <w:rPr/>
        <w:t>plan</w:t>
      </w:r>
      <w:r>
        <w:rPr>
          <w:spacing w:val="-12"/>
        </w:rPr>
        <w:t> </w:t>
      </w:r>
      <w:r>
        <w:rPr/>
        <w:t>will</w:t>
      </w:r>
      <w:r>
        <w:rPr>
          <w:spacing w:val="-13"/>
        </w:rPr>
        <w:t> </w:t>
      </w:r>
      <w:r>
        <w:rPr/>
        <w:t>be</w:t>
      </w:r>
      <w:r>
        <w:rPr>
          <w:spacing w:val="-13"/>
        </w:rPr>
        <w:t> </w:t>
      </w:r>
      <w:r>
        <w:rPr/>
        <w:t>to</w:t>
      </w:r>
      <w:r>
        <w:rPr>
          <w:spacing w:val="-14"/>
        </w:rPr>
        <w:t> </w:t>
      </w:r>
      <w:r>
        <w:rPr/>
        <w:t>improve </w:t>
      </w:r>
      <w:r>
        <w:rPr/>
        <w:t>upon,</w:t>
      </w:r>
      <w:r>
        <w:rPr>
          <w:spacing w:val="-10"/>
        </w:rPr>
        <w:t> </w:t>
      </w:r>
      <w:r>
        <w:rPr/>
        <w:t>refresh,</w:t>
      </w:r>
      <w:r>
        <w:rPr>
          <w:spacing w:val="-10"/>
        </w:rPr>
        <w:t> </w:t>
      </w:r>
      <w:r>
        <w:rPr/>
        <w:t>refine,</w:t>
      </w:r>
      <w:r>
        <w:rPr>
          <w:spacing w:val="-10"/>
        </w:rPr>
        <w:t> </w:t>
      </w:r>
      <w:r>
        <w:rPr/>
        <w:t>and</w:t>
      </w:r>
      <w:r>
        <w:rPr>
          <w:spacing w:val="-10"/>
        </w:rPr>
        <w:t> </w:t>
      </w:r>
      <w:r>
        <w:rPr/>
        <w:t>better</w:t>
      </w:r>
      <w:r>
        <w:rPr>
          <w:spacing w:val="-10"/>
        </w:rPr>
        <w:t> </w:t>
      </w:r>
      <w:r>
        <w:rPr/>
        <w:t>align</w:t>
      </w:r>
      <w:r>
        <w:rPr>
          <w:spacing w:val="-7"/>
        </w:rPr>
        <w:t> </w:t>
      </w:r>
      <w:r>
        <w:rPr/>
        <w:t>existing</w:t>
      </w:r>
      <w:r>
        <w:rPr>
          <w:spacing w:val="-10"/>
        </w:rPr>
        <w:t> </w:t>
      </w:r>
      <w:r>
        <w:rPr/>
        <w:t>tourism</w:t>
      </w:r>
      <w:r>
        <w:rPr>
          <w:spacing w:val="-11"/>
        </w:rPr>
        <w:t> </w:t>
      </w:r>
      <w:r>
        <w:rPr/>
        <w:t>supply</w:t>
      </w:r>
      <w:r>
        <w:rPr>
          <w:spacing w:val="-10"/>
        </w:rPr>
        <w:t> </w:t>
      </w:r>
      <w:r>
        <w:rPr/>
        <w:t>and</w:t>
      </w:r>
      <w:r>
        <w:rPr>
          <w:spacing w:val="-12"/>
        </w:rPr>
        <w:t> </w:t>
      </w:r>
      <w:r>
        <w:rPr/>
        <w:t>demand</w:t>
      </w:r>
      <w:r>
        <w:rPr>
          <w:spacing w:val="-10"/>
        </w:rPr>
        <w:t> </w:t>
      </w:r>
      <w:r>
        <w:rPr/>
        <w:t>from</w:t>
      </w:r>
      <w:r>
        <w:rPr>
          <w:spacing w:val="-11"/>
        </w:rPr>
        <w:t> </w:t>
      </w:r>
      <w:r>
        <w:rPr/>
        <w:t>a</w:t>
      </w:r>
      <w:r>
        <w:rPr>
          <w:spacing w:val="-10"/>
        </w:rPr>
        <w:t> </w:t>
      </w:r>
      <w:r>
        <w:rPr/>
        <w:t>sustainable</w:t>
      </w:r>
      <w:r>
        <w:rPr>
          <w:spacing w:val="-11"/>
        </w:rPr>
        <w:t> </w:t>
      </w:r>
      <w:r>
        <w:rPr/>
        <w:t>perspective.</w:t>
      </w:r>
      <w:r>
        <w:rPr>
          <w:spacing w:val="-9"/>
        </w:rPr>
        <w:t> </w:t>
      </w:r>
      <w:r>
        <w:rPr/>
        <w:t>This</w:t>
      </w:r>
      <w:r>
        <w:rPr>
          <w:spacing w:val="-12"/>
        </w:rPr>
        <w:t> </w:t>
      </w:r>
      <w:r>
        <w:rPr/>
        <w:t>focus </w:t>
      </w:r>
      <w:r>
        <w:rPr/>
        <w:t>is delved from longitudinal observations transpiring </w:t>
      </w:r>
      <w:r>
        <w:rPr>
          <w:rFonts w:ascii="Calibri" w:hAnsi="Calibri" w:cs="Calibri" w:eastAsia="Calibri" w:hint="default"/>
        </w:rPr>
        <w:t>since the 1960’s</w:t>
      </w:r>
      <w:r>
        <w:rPr/>
        <w:t>, and from recent conversations with tourism stakeholders beginning in 2008 to current times. These observations and conversations have indicated </w:t>
      </w:r>
      <w:r>
        <w:rPr>
          <w:spacing w:val="2"/>
        </w:rPr>
        <w:t>that, </w:t>
      </w:r>
      <w:r>
        <w:rPr/>
        <w:t>in its </w:t>
      </w:r>
      <w:r>
        <w:rPr/>
        <w:t>current position, Curaçao does not possess a tourism core product that optimizes its performance in a manner that </w:t>
      </w:r>
      <w:r>
        <w:rPr>
          <w:rFonts w:ascii="Calibri" w:hAnsi="Calibri" w:cs="Calibri" w:eastAsia="Calibri" w:hint="default"/>
        </w:rPr>
        <w:t>could best advance the island’s req</w:t>
      </w:r>
      <w:r>
        <w:rPr/>
        <w:t>uired sustained economic</w:t>
      </w:r>
      <w:r>
        <w:rPr>
          <w:spacing w:val="-22"/>
        </w:rPr>
        <w:t> </w:t>
      </w:r>
      <w:r>
        <w:rPr/>
        <w:t>growth.</w:t>
      </w:r>
    </w:p>
    <w:p>
      <w:pPr>
        <w:pStyle w:val="BodyText"/>
        <w:spacing w:line="240" w:lineRule="auto"/>
        <w:ind w:right="1436"/>
        <w:jc w:val="both"/>
      </w:pPr>
      <w:r>
        <w:rPr/>
        <w:t>Therefore,</w:t>
      </w:r>
      <w:r>
        <w:rPr>
          <w:spacing w:val="-6"/>
        </w:rPr>
        <w:t> </w:t>
      </w:r>
      <w:r>
        <w:rPr/>
        <w:t>the</w:t>
      </w:r>
      <w:r>
        <w:rPr>
          <w:spacing w:val="-8"/>
        </w:rPr>
        <w:t> </w:t>
      </w:r>
      <w:r>
        <w:rPr/>
        <w:t>intention</w:t>
      </w:r>
      <w:r>
        <w:rPr>
          <w:spacing w:val="-6"/>
        </w:rPr>
        <w:t> </w:t>
      </w:r>
      <w:r>
        <w:rPr/>
        <w:t>of</w:t>
      </w:r>
      <w:r>
        <w:rPr>
          <w:spacing w:val="-8"/>
        </w:rPr>
        <w:t> </w:t>
      </w:r>
      <w:r>
        <w:rPr/>
        <w:t>the</w:t>
      </w:r>
      <w:r>
        <w:rPr>
          <w:spacing w:val="-8"/>
        </w:rPr>
        <w:t> </w:t>
      </w:r>
      <w:r>
        <w:rPr/>
        <w:t>2015-2020</w:t>
      </w:r>
      <w:r>
        <w:rPr>
          <w:spacing w:val="-7"/>
        </w:rPr>
        <w:t> </w:t>
      </w:r>
      <w:r>
        <w:rPr/>
        <w:t>Strategic</w:t>
      </w:r>
      <w:r>
        <w:rPr>
          <w:spacing w:val="-7"/>
        </w:rPr>
        <w:t> </w:t>
      </w:r>
      <w:r>
        <w:rPr/>
        <w:t>Tourism</w:t>
      </w:r>
      <w:r>
        <w:rPr>
          <w:spacing w:val="-8"/>
        </w:rPr>
        <w:t> </w:t>
      </w:r>
      <w:r>
        <w:rPr/>
        <w:t>Master</w:t>
      </w:r>
      <w:r>
        <w:rPr>
          <w:spacing w:val="-7"/>
        </w:rPr>
        <w:t> </w:t>
      </w:r>
      <w:r>
        <w:rPr/>
        <w:t>Plan</w:t>
      </w:r>
      <w:r>
        <w:rPr>
          <w:spacing w:val="-6"/>
        </w:rPr>
        <w:t> </w:t>
      </w:r>
      <w:r>
        <w:rPr/>
        <w:t>is</w:t>
      </w:r>
      <w:r>
        <w:rPr>
          <w:spacing w:val="-8"/>
        </w:rPr>
        <w:t> </w:t>
      </w:r>
      <w:r>
        <w:rPr/>
        <w:t>not</w:t>
      </w:r>
      <w:r>
        <w:rPr>
          <w:spacing w:val="-6"/>
        </w:rPr>
        <w:t> </w:t>
      </w:r>
      <w:r>
        <w:rPr/>
        <w:t>to</w:t>
      </w:r>
      <w:r>
        <w:rPr>
          <w:spacing w:val="-6"/>
        </w:rPr>
        <w:t> </w:t>
      </w:r>
      <w:r>
        <w:rPr/>
        <w:t>duplicate</w:t>
      </w:r>
      <w:r>
        <w:rPr>
          <w:spacing w:val="-4"/>
        </w:rPr>
        <w:t> </w:t>
      </w:r>
      <w:r>
        <w:rPr/>
        <w:t>the</w:t>
      </w:r>
      <w:r>
        <w:rPr>
          <w:spacing w:val="-7"/>
        </w:rPr>
        <w:t> </w:t>
      </w:r>
      <w:r>
        <w:rPr/>
        <w:t>instigated</w:t>
      </w:r>
      <w:r>
        <w:rPr>
          <w:spacing w:val="-5"/>
        </w:rPr>
        <w:t> </w:t>
      </w:r>
      <w:r>
        <w:rPr/>
        <w:t>efforts</w:t>
      </w:r>
      <w:r>
        <w:rPr>
          <w:spacing w:val="-8"/>
        </w:rPr>
        <w:t> </w:t>
      </w:r>
      <w:r>
        <w:rPr/>
        <w:t>for </w:t>
      </w:r>
      <w:r>
        <w:rPr/>
        <w:t>infrastructural development that had been outlined in the 1995 tourism development plan and subsequently emphasized in the 2010-2014 draft plan. Instead, this plan will generate actions, solutions, and goals that will improve the core tourism product, and result in a stable revenue stream for the industry and society through job creation, profitability, and resources to the CTB. In order to accomplish this effort, it is necessary for this plan to centrally</w:t>
      </w:r>
      <w:r>
        <w:rPr>
          <w:spacing w:val="-5"/>
        </w:rPr>
        <w:t> </w:t>
      </w:r>
      <w:r>
        <w:rPr/>
        <w:t>focus</w:t>
      </w:r>
      <w:r>
        <w:rPr>
          <w:spacing w:val="-6"/>
        </w:rPr>
        <w:t> </w:t>
      </w:r>
      <w:r>
        <w:rPr/>
        <w:t>on</w:t>
      </w:r>
      <w:r>
        <w:rPr>
          <w:spacing w:val="-5"/>
        </w:rPr>
        <w:t> </w:t>
      </w:r>
      <w:r>
        <w:rPr/>
        <w:t>aggressive</w:t>
      </w:r>
      <w:r>
        <w:rPr>
          <w:spacing w:val="-4"/>
        </w:rPr>
        <w:t> </w:t>
      </w:r>
      <w:r>
        <w:rPr/>
        <w:t>market</w:t>
      </w:r>
      <w:r>
        <w:rPr>
          <w:spacing w:val="-5"/>
        </w:rPr>
        <w:t> </w:t>
      </w:r>
      <w:r>
        <w:rPr/>
        <w:t>penetration,</w:t>
      </w:r>
      <w:r>
        <w:rPr>
          <w:spacing w:val="-5"/>
        </w:rPr>
        <w:t> </w:t>
      </w:r>
      <w:r>
        <w:rPr/>
        <w:t>brand</w:t>
      </w:r>
      <w:r>
        <w:rPr>
          <w:spacing w:val="-5"/>
        </w:rPr>
        <w:t> </w:t>
      </w:r>
      <w:r>
        <w:rPr/>
        <w:t>awareness,</w:t>
      </w:r>
      <w:r>
        <w:rPr>
          <w:spacing w:val="-5"/>
        </w:rPr>
        <w:t> </w:t>
      </w:r>
      <w:r>
        <w:rPr/>
        <w:t>and</w:t>
      </w:r>
      <w:r>
        <w:rPr>
          <w:spacing w:val="-5"/>
        </w:rPr>
        <w:t> </w:t>
      </w:r>
      <w:r>
        <w:rPr/>
        <w:t>positioning</w:t>
      </w:r>
      <w:r>
        <w:rPr>
          <w:spacing w:val="-6"/>
        </w:rPr>
        <w:t> </w:t>
      </w:r>
      <w:r>
        <w:rPr/>
        <w:t>essentially</w:t>
      </w:r>
      <w:r>
        <w:rPr>
          <w:spacing w:val="-5"/>
        </w:rPr>
        <w:t> </w:t>
      </w:r>
      <w:r>
        <w:rPr/>
        <w:t>within</w:t>
      </w:r>
      <w:r>
        <w:rPr>
          <w:spacing w:val="-5"/>
        </w:rPr>
        <w:t> </w:t>
      </w:r>
      <w:r>
        <w:rPr/>
        <w:t>the</w:t>
      </w:r>
      <w:r>
        <w:rPr>
          <w:spacing w:val="-6"/>
        </w:rPr>
        <w:t> </w:t>
      </w:r>
      <w:r>
        <w:rPr/>
        <w:t>American </w:t>
      </w:r>
      <w:r>
        <w:rPr/>
        <w:t>market.</w:t>
      </w:r>
    </w:p>
    <w:p>
      <w:pPr>
        <w:spacing w:line="240" w:lineRule="auto" w:before="1"/>
        <w:ind w:right="0"/>
        <w:rPr>
          <w:rFonts w:ascii="Calibri" w:hAnsi="Calibri" w:cs="Calibri" w:eastAsia="Calibri" w:hint="default"/>
          <w:sz w:val="20"/>
          <w:szCs w:val="20"/>
        </w:rPr>
      </w:pPr>
    </w:p>
    <w:p>
      <w:pPr>
        <w:pStyle w:val="BodyText"/>
        <w:spacing w:line="240" w:lineRule="auto"/>
        <w:ind w:right="1436"/>
        <w:jc w:val="both"/>
      </w:pPr>
      <w:r>
        <w:rPr/>
        <w:t>The</w:t>
      </w:r>
      <w:r>
        <w:rPr>
          <w:spacing w:val="-8"/>
        </w:rPr>
        <w:t> </w:t>
      </w:r>
      <w:r>
        <w:rPr/>
        <w:t>refocusing</w:t>
      </w:r>
      <w:r>
        <w:rPr>
          <w:spacing w:val="-7"/>
        </w:rPr>
        <w:t> </w:t>
      </w:r>
      <w:r>
        <w:rPr/>
        <w:t>on</w:t>
      </w:r>
      <w:r>
        <w:rPr>
          <w:spacing w:val="-6"/>
        </w:rPr>
        <w:t> </w:t>
      </w:r>
      <w:r>
        <w:rPr/>
        <w:t>the</w:t>
      </w:r>
      <w:r>
        <w:rPr>
          <w:spacing w:val="-8"/>
        </w:rPr>
        <w:t> </w:t>
      </w:r>
      <w:r>
        <w:rPr/>
        <w:t>American</w:t>
      </w:r>
      <w:r>
        <w:rPr>
          <w:spacing w:val="-6"/>
        </w:rPr>
        <w:t> </w:t>
      </w:r>
      <w:r>
        <w:rPr/>
        <w:t>market</w:t>
      </w:r>
      <w:r>
        <w:rPr>
          <w:spacing w:val="-7"/>
        </w:rPr>
        <w:t> </w:t>
      </w:r>
      <w:r>
        <w:rPr/>
        <w:t>does</w:t>
      </w:r>
      <w:r>
        <w:rPr>
          <w:spacing w:val="-8"/>
        </w:rPr>
        <w:t> </w:t>
      </w:r>
      <w:r>
        <w:rPr/>
        <w:t>not</w:t>
      </w:r>
      <w:r>
        <w:rPr>
          <w:spacing w:val="-6"/>
        </w:rPr>
        <w:t> </w:t>
      </w:r>
      <w:r>
        <w:rPr/>
        <w:t>mean</w:t>
      </w:r>
      <w:r>
        <w:rPr>
          <w:spacing w:val="-6"/>
        </w:rPr>
        <w:t> </w:t>
      </w:r>
      <w:r>
        <w:rPr/>
        <w:t>an</w:t>
      </w:r>
      <w:r>
        <w:rPr>
          <w:spacing w:val="-6"/>
        </w:rPr>
        <w:t> </w:t>
      </w:r>
      <w:r>
        <w:rPr/>
        <w:t>abandonment</w:t>
      </w:r>
      <w:r>
        <w:rPr>
          <w:spacing w:val="-6"/>
        </w:rPr>
        <w:t> </w:t>
      </w:r>
      <w:r>
        <w:rPr/>
        <w:t>of</w:t>
      </w:r>
      <w:r>
        <w:rPr>
          <w:spacing w:val="-8"/>
        </w:rPr>
        <w:t> </w:t>
      </w:r>
      <w:r>
        <w:rPr/>
        <w:t>the</w:t>
      </w:r>
      <w:r>
        <w:rPr>
          <w:spacing w:val="-8"/>
        </w:rPr>
        <w:t> </w:t>
      </w:r>
      <w:r>
        <w:rPr/>
        <w:t>Dutch</w:t>
      </w:r>
      <w:r>
        <w:rPr>
          <w:spacing w:val="-6"/>
        </w:rPr>
        <w:t> </w:t>
      </w:r>
      <w:r>
        <w:rPr/>
        <w:t>and</w:t>
      </w:r>
      <w:r>
        <w:rPr>
          <w:spacing w:val="-4"/>
        </w:rPr>
        <w:t> </w:t>
      </w:r>
      <w:r>
        <w:rPr/>
        <w:t>South</w:t>
      </w:r>
      <w:r>
        <w:rPr>
          <w:spacing w:val="-6"/>
        </w:rPr>
        <w:t> </w:t>
      </w:r>
      <w:r>
        <w:rPr/>
        <w:t>American</w:t>
      </w:r>
      <w:r>
        <w:rPr>
          <w:spacing w:val="-6"/>
        </w:rPr>
        <w:t> </w:t>
      </w:r>
      <w:r>
        <w:rPr/>
        <w:t>markets. </w:t>
      </w:r>
      <w:r>
        <w:rPr/>
        <w:t>Rather,</w:t>
      </w:r>
      <w:r>
        <w:rPr>
          <w:spacing w:val="-10"/>
        </w:rPr>
        <w:t> </w:t>
      </w:r>
      <w:r>
        <w:rPr/>
        <w:t>the</w:t>
      </w:r>
      <w:r>
        <w:rPr>
          <w:spacing w:val="-11"/>
        </w:rPr>
        <w:t> </w:t>
      </w:r>
      <w:r>
        <w:rPr/>
        <w:t>refocusing</w:t>
      </w:r>
      <w:r>
        <w:rPr>
          <w:spacing w:val="-10"/>
        </w:rPr>
        <w:t> </w:t>
      </w:r>
      <w:r>
        <w:rPr/>
        <w:t>efforts</w:t>
      </w:r>
      <w:r>
        <w:rPr>
          <w:spacing w:val="-11"/>
        </w:rPr>
        <w:t> </w:t>
      </w:r>
      <w:r>
        <w:rPr/>
        <w:t>on</w:t>
      </w:r>
      <w:r>
        <w:rPr>
          <w:spacing w:val="-10"/>
        </w:rPr>
        <w:t> </w:t>
      </w:r>
      <w:r>
        <w:rPr/>
        <w:t>the</w:t>
      </w:r>
      <w:r>
        <w:rPr>
          <w:spacing w:val="-11"/>
        </w:rPr>
        <w:t> </w:t>
      </w:r>
      <w:r>
        <w:rPr/>
        <w:t>American</w:t>
      </w:r>
      <w:r>
        <w:rPr>
          <w:spacing w:val="-9"/>
        </w:rPr>
        <w:t> </w:t>
      </w:r>
      <w:r>
        <w:rPr/>
        <w:t>market</w:t>
      </w:r>
      <w:r>
        <w:rPr>
          <w:spacing w:val="-6"/>
        </w:rPr>
        <w:t> </w:t>
      </w:r>
      <w:r>
        <w:rPr/>
        <w:t>is</w:t>
      </w:r>
      <w:r>
        <w:rPr>
          <w:spacing w:val="-12"/>
        </w:rPr>
        <w:t> </w:t>
      </w:r>
      <w:r>
        <w:rPr/>
        <w:t>a</w:t>
      </w:r>
      <w:r>
        <w:rPr>
          <w:spacing w:val="-10"/>
        </w:rPr>
        <w:t> </w:t>
      </w:r>
      <w:r>
        <w:rPr/>
        <w:t>shift</w:t>
      </w:r>
      <w:r>
        <w:rPr>
          <w:spacing w:val="-10"/>
        </w:rPr>
        <w:t> </w:t>
      </w:r>
      <w:r>
        <w:rPr/>
        <w:t>in</w:t>
      </w:r>
      <w:r>
        <w:rPr>
          <w:spacing w:val="-10"/>
        </w:rPr>
        <w:t> </w:t>
      </w:r>
      <w:r>
        <w:rPr/>
        <w:t>strategic</w:t>
      </w:r>
      <w:r>
        <w:rPr>
          <w:spacing w:val="-11"/>
        </w:rPr>
        <w:t> </w:t>
      </w:r>
      <w:r>
        <w:rPr/>
        <w:t>emphasis</w:t>
      </w:r>
      <w:r>
        <w:rPr>
          <w:spacing w:val="-11"/>
        </w:rPr>
        <w:t> </w:t>
      </w:r>
      <w:r>
        <w:rPr/>
        <w:t>from</w:t>
      </w:r>
      <w:r>
        <w:rPr>
          <w:spacing w:val="-9"/>
        </w:rPr>
        <w:t> </w:t>
      </w:r>
      <w:r>
        <w:rPr/>
        <w:t>the</w:t>
      </w:r>
      <w:r>
        <w:rPr>
          <w:spacing w:val="-11"/>
        </w:rPr>
        <w:t> </w:t>
      </w:r>
      <w:r>
        <w:rPr/>
        <w:t>existing</w:t>
      </w:r>
      <w:r>
        <w:rPr>
          <w:spacing w:val="-10"/>
        </w:rPr>
        <w:t> </w:t>
      </w:r>
      <w:r>
        <w:rPr/>
        <w:t>tertiary</w:t>
      </w:r>
      <w:r>
        <w:rPr>
          <w:spacing w:val="-9"/>
        </w:rPr>
        <w:t> </w:t>
      </w:r>
      <w:r>
        <w:rPr/>
        <w:t>target </w:t>
      </w:r>
      <w:r>
        <w:rPr/>
        <w:t>audience. This shift will allow for a stronger economic relationship among tourism expansion, economic growth, and job</w:t>
      </w:r>
      <w:r>
        <w:rPr>
          <w:spacing w:val="-3"/>
        </w:rPr>
        <w:t> </w:t>
      </w:r>
      <w:r>
        <w:rPr/>
        <w:t>creation.</w:t>
      </w:r>
    </w:p>
    <w:p>
      <w:pPr>
        <w:spacing w:line="240" w:lineRule="auto" w:before="11"/>
        <w:ind w:right="0"/>
        <w:rPr>
          <w:rFonts w:ascii="Calibri" w:hAnsi="Calibri" w:cs="Calibri" w:eastAsia="Calibri" w:hint="default"/>
          <w:sz w:val="19"/>
          <w:szCs w:val="19"/>
        </w:rPr>
      </w:pPr>
    </w:p>
    <w:p>
      <w:pPr>
        <w:pStyle w:val="BodyText"/>
        <w:spacing w:line="240" w:lineRule="auto"/>
        <w:ind w:right="1437"/>
        <w:jc w:val="both"/>
      </w:pPr>
      <w:r>
        <w:rPr/>
        <w:t>The Dutch and South American markets will remain within </w:t>
      </w:r>
      <w:r>
        <w:rPr>
          <w:rFonts w:ascii="Calibri" w:hAnsi="Calibri" w:cs="Calibri" w:eastAsia="Calibri" w:hint="default"/>
        </w:rPr>
        <w:t>Curaçao’s primary target audiences. However, Curaçao </w:t>
      </w:r>
      <w:r>
        <w:rPr/>
        <w:t>already possesses a strong brand recognition with the Dutch and South American markets. Therefore, it is time for Curaçao to optimize the demand performance from the existing tertiary target audience, the USA. Juxtaposed to the aforementioned marketing initiatives, it is important for Curaçao to dedicate attention to the continued improvement</w:t>
      </w:r>
      <w:r>
        <w:rPr>
          <w:spacing w:val="-12"/>
        </w:rPr>
        <w:t> </w:t>
      </w:r>
      <w:r>
        <w:rPr/>
        <w:t>of</w:t>
      </w:r>
      <w:r>
        <w:rPr>
          <w:spacing w:val="-13"/>
        </w:rPr>
        <w:t> </w:t>
      </w:r>
      <w:r>
        <w:rPr/>
        <w:t>the</w:t>
      </w:r>
      <w:r>
        <w:rPr>
          <w:spacing w:val="-13"/>
        </w:rPr>
        <w:t> </w:t>
      </w:r>
      <w:r>
        <w:rPr/>
        <w:t>soft</w:t>
      </w:r>
      <w:r>
        <w:rPr>
          <w:spacing w:val="-12"/>
        </w:rPr>
        <w:t> </w:t>
      </w:r>
      <w:r>
        <w:rPr/>
        <w:t>components</w:t>
      </w:r>
      <w:r>
        <w:rPr>
          <w:spacing w:val="-14"/>
        </w:rPr>
        <w:t> </w:t>
      </w:r>
      <w:r>
        <w:rPr/>
        <w:t>in</w:t>
      </w:r>
      <w:r>
        <w:rPr>
          <w:spacing w:val="-12"/>
        </w:rPr>
        <w:t> </w:t>
      </w:r>
      <w:r>
        <w:rPr/>
        <w:t>the</w:t>
      </w:r>
      <w:r>
        <w:rPr>
          <w:spacing w:val="-13"/>
        </w:rPr>
        <w:t> </w:t>
      </w:r>
      <w:r>
        <w:rPr/>
        <w:t>tourism</w:t>
      </w:r>
      <w:r>
        <w:rPr>
          <w:spacing w:val="-13"/>
        </w:rPr>
        <w:t> </w:t>
      </w:r>
      <w:r>
        <w:rPr/>
        <w:t>service</w:t>
      </w:r>
      <w:r>
        <w:rPr>
          <w:spacing w:val="-13"/>
        </w:rPr>
        <w:t> </w:t>
      </w:r>
      <w:r>
        <w:rPr/>
        <w:t>delivery,</w:t>
      </w:r>
      <w:r>
        <w:rPr>
          <w:spacing w:val="-12"/>
        </w:rPr>
        <w:t> </w:t>
      </w:r>
      <w:r>
        <w:rPr/>
        <w:t>such</w:t>
      </w:r>
      <w:r>
        <w:rPr>
          <w:spacing w:val="-12"/>
        </w:rPr>
        <w:t> </w:t>
      </w:r>
      <w:r>
        <w:rPr/>
        <w:t>as</w:t>
      </w:r>
      <w:r>
        <w:rPr>
          <w:spacing w:val="-13"/>
        </w:rPr>
        <w:t> </w:t>
      </w:r>
      <w:r>
        <w:rPr/>
        <w:t>human</w:t>
      </w:r>
      <w:r>
        <w:rPr>
          <w:spacing w:val="-14"/>
        </w:rPr>
        <w:t> </w:t>
      </w:r>
      <w:r>
        <w:rPr/>
        <w:t>capital</w:t>
      </w:r>
      <w:r>
        <w:rPr>
          <w:spacing w:val="-13"/>
        </w:rPr>
        <w:t> </w:t>
      </w:r>
      <w:r>
        <w:rPr/>
        <w:t>development,</w:t>
      </w:r>
      <w:r>
        <w:rPr>
          <w:spacing w:val="-12"/>
        </w:rPr>
        <w:t> </w:t>
      </w:r>
      <w:r>
        <w:rPr/>
        <w:t>education, </w:t>
      </w:r>
      <w:r>
        <w:rPr/>
        <w:t>service</w:t>
      </w:r>
      <w:r>
        <w:rPr>
          <w:spacing w:val="-9"/>
        </w:rPr>
        <w:t> </w:t>
      </w:r>
      <w:r>
        <w:rPr/>
        <w:t>culture,</w:t>
      </w:r>
      <w:r>
        <w:rPr>
          <w:spacing w:val="-7"/>
        </w:rPr>
        <w:t> </w:t>
      </w:r>
      <w:r>
        <w:rPr/>
        <w:t>service</w:t>
      </w:r>
      <w:r>
        <w:rPr>
          <w:spacing w:val="-9"/>
        </w:rPr>
        <w:t> </w:t>
      </w:r>
      <w:r>
        <w:rPr/>
        <w:t>delivery,</w:t>
      </w:r>
      <w:r>
        <w:rPr>
          <w:spacing w:val="-7"/>
        </w:rPr>
        <w:t> </w:t>
      </w:r>
      <w:r>
        <w:rPr/>
        <w:t>and</w:t>
      </w:r>
      <w:r>
        <w:rPr>
          <w:spacing w:val="-9"/>
        </w:rPr>
        <w:t> </w:t>
      </w:r>
      <w:r>
        <w:rPr/>
        <w:t>institutional</w:t>
      </w:r>
      <w:r>
        <w:rPr>
          <w:spacing w:val="-4"/>
        </w:rPr>
        <w:t> </w:t>
      </w:r>
      <w:r>
        <w:rPr/>
        <w:t>support.</w:t>
      </w:r>
      <w:r>
        <w:rPr>
          <w:spacing w:val="30"/>
        </w:rPr>
        <w:t> </w:t>
      </w:r>
      <w:r>
        <w:rPr/>
        <w:t>In</w:t>
      </w:r>
      <w:r>
        <w:rPr>
          <w:spacing w:val="-7"/>
        </w:rPr>
        <w:t> </w:t>
      </w:r>
      <w:r>
        <w:rPr/>
        <w:t>so</w:t>
      </w:r>
      <w:r>
        <w:rPr>
          <w:spacing w:val="-8"/>
        </w:rPr>
        <w:t> </w:t>
      </w:r>
      <w:r>
        <w:rPr/>
        <w:t>doing,</w:t>
      </w:r>
      <w:r>
        <w:rPr>
          <w:spacing w:val="-7"/>
        </w:rPr>
        <w:t> </w:t>
      </w:r>
      <w:r>
        <w:rPr/>
        <w:t>the</w:t>
      </w:r>
      <w:r>
        <w:rPr>
          <w:spacing w:val="-9"/>
        </w:rPr>
        <w:t> </w:t>
      </w:r>
      <w:r>
        <w:rPr/>
        <w:t>tactics</w:t>
      </w:r>
      <w:r>
        <w:rPr>
          <w:spacing w:val="-9"/>
        </w:rPr>
        <w:t> </w:t>
      </w:r>
      <w:r>
        <w:rPr/>
        <w:t>and</w:t>
      </w:r>
      <w:r>
        <w:rPr>
          <w:spacing w:val="-7"/>
        </w:rPr>
        <w:t> </w:t>
      </w:r>
      <w:r>
        <w:rPr/>
        <w:t>strategies</w:t>
      </w:r>
      <w:r>
        <w:rPr>
          <w:spacing w:val="-9"/>
        </w:rPr>
        <w:t> </w:t>
      </w:r>
      <w:r>
        <w:rPr/>
        <w:t>associated</w:t>
      </w:r>
      <w:r>
        <w:rPr>
          <w:spacing w:val="-7"/>
        </w:rPr>
        <w:t> </w:t>
      </w:r>
      <w:r>
        <w:rPr/>
        <w:t>with</w:t>
      </w:r>
      <w:r>
        <w:rPr>
          <w:spacing w:val="-7"/>
        </w:rPr>
        <w:t> </w:t>
      </w:r>
      <w:r>
        <w:rPr/>
        <w:t>this </w:t>
      </w:r>
      <w:r>
        <w:rPr/>
        <w:t>plan</w:t>
      </w:r>
      <w:r>
        <w:rPr>
          <w:spacing w:val="-3"/>
        </w:rPr>
        <w:t> </w:t>
      </w:r>
      <w:r>
        <w:rPr/>
        <w:t>could</w:t>
      </w:r>
      <w:r>
        <w:rPr>
          <w:spacing w:val="-3"/>
        </w:rPr>
        <w:t> </w:t>
      </w:r>
      <w:r>
        <w:rPr/>
        <w:t>optimize</w:t>
      </w:r>
      <w:r>
        <w:rPr>
          <w:spacing w:val="-4"/>
        </w:rPr>
        <w:t> </w:t>
      </w:r>
      <w:r>
        <w:rPr/>
        <w:t>the</w:t>
      </w:r>
      <w:r>
        <w:rPr>
          <w:spacing w:val="-4"/>
        </w:rPr>
        <w:t> </w:t>
      </w:r>
      <w:r>
        <w:rPr/>
        <w:t>existing</w:t>
      </w:r>
      <w:r>
        <w:rPr>
          <w:spacing w:val="-4"/>
        </w:rPr>
        <w:t> </w:t>
      </w:r>
      <w:r>
        <w:rPr/>
        <w:t>tourism</w:t>
      </w:r>
      <w:r>
        <w:rPr>
          <w:spacing w:val="-4"/>
        </w:rPr>
        <w:t> </w:t>
      </w:r>
      <w:r>
        <w:rPr/>
        <w:t>product,</w:t>
      </w:r>
      <w:r>
        <w:rPr>
          <w:spacing w:val="-3"/>
        </w:rPr>
        <w:t> </w:t>
      </w:r>
      <w:r>
        <w:rPr/>
        <w:t>thus</w:t>
      </w:r>
      <w:r>
        <w:rPr>
          <w:spacing w:val="-5"/>
        </w:rPr>
        <w:t> </w:t>
      </w:r>
      <w:r>
        <w:rPr/>
        <w:t>optimizing</w:t>
      </w:r>
      <w:r>
        <w:rPr>
          <w:spacing w:val="-4"/>
        </w:rPr>
        <w:t> </w:t>
      </w:r>
      <w:r>
        <w:rPr/>
        <w:t>future</w:t>
      </w:r>
      <w:r>
        <w:rPr>
          <w:spacing w:val="-4"/>
        </w:rPr>
        <w:t> </w:t>
      </w:r>
      <w:r>
        <w:rPr/>
        <w:t>growth</w:t>
      </w:r>
      <w:r>
        <w:rPr>
          <w:spacing w:val="-3"/>
        </w:rPr>
        <w:t> </w:t>
      </w:r>
      <w:r>
        <w:rPr/>
        <w:t>opportunities</w:t>
      </w:r>
    </w:p>
    <w:p>
      <w:pPr>
        <w:spacing w:line="240" w:lineRule="auto" w:before="11"/>
        <w:ind w:right="0"/>
        <w:rPr>
          <w:rFonts w:ascii="Calibri" w:hAnsi="Calibri" w:cs="Calibri" w:eastAsia="Calibri" w:hint="default"/>
          <w:sz w:val="19"/>
          <w:szCs w:val="19"/>
        </w:rPr>
      </w:pPr>
    </w:p>
    <w:p>
      <w:pPr>
        <w:pStyle w:val="BodyText"/>
        <w:spacing w:line="240" w:lineRule="auto"/>
        <w:ind w:right="1433"/>
        <w:jc w:val="both"/>
      </w:pPr>
      <w:r>
        <w:rPr/>
        <w:t>A</w:t>
      </w:r>
      <w:r>
        <w:rPr>
          <w:spacing w:val="-6"/>
        </w:rPr>
        <w:t> </w:t>
      </w:r>
      <w:r>
        <w:rPr/>
        <w:t>critical</w:t>
      </w:r>
      <w:r>
        <w:rPr>
          <w:spacing w:val="-5"/>
        </w:rPr>
        <w:t> </w:t>
      </w:r>
      <w:r>
        <w:rPr/>
        <w:t>step</w:t>
      </w:r>
      <w:r>
        <w:rPr>
          <w:spacing w:val="-5"/>
        </w:rPr>
        <w:t> </w:t>
      </w:r>
      <w:r>
        <w:rPr/>
        <w:t>in</w:t>
      </w:r>
      <w:r>
        <w:rPr>
          <w:spacing w:val="-5"/>
        </w:rPr>
        <w:t> </w:t>
      </w:r>
      <w:r>
        <w:rPr/>
        <w:t>Curaçao</w:t>
      </w:r>
      <w:r>
        <w:rPr>
          <w:rFonts w:ascii="Calibri" w:hAnsi="Calibri" w:cs="Calibri" w:eastAsia="Calibri" w:hint="default"/>
        </w:rPr>
        <w:t>’s</w:t>
      </w:r>
      <w:r>
        <w:rPr>
          <w:rFonts w:ascii="Calibri" w:hAnsi="Calibri" w:cs="Calibri" w:eastAsia="Calibri" w:hint="default"/>
          <w:spacing w:val="-6"/>
        </w:rPr>
        <w:t> </w:t>
      </w:r>
      <w:r>
        <w:rPr>
          <w:rFonts w:ascii="Calibri" w:hAnsi="Calibri" w:cs="Calibri" w:eastAsia="Calibri" w:hint="default"/>
        </w:rPr>
        <w:t>ability</w:t>
      </w:r>
      <w:r>
        <w:rPr>
          <w:rFonts w:ascii="Calibri" w:hAnsi="Calibri" w:cs="Calibri" w:eastAsia="Calibri" w:hint="default"/>
          <w:spacing w:val="-4"/>
        </w:rPr>
        <w:t> </w:t>
      </w:r>
      <w:r>
        <w:rPr>
          <w:rFonts w:ascii="Calibri" w:hAnsi="Calibri" w:cs="Calibri" w:eastAsia="Calibri" w:hint="default"/>
        </w:rPr>
        <w:t>to</w:t>
      </w:r>
      <w:r>
        <w:rPr>
          <w:rFonts w:ascii="Calibri" w:hAnsi="Calibri" w:cs="Calibri" w:eastAsia="Calibri" w:hint="default"/>
          <w:spacing w:val="-7"/>
        </w:rPr>
        <w:t> </w:t>
      </w:r>
      <w:r>
        <w:rPr>
          <w:rFonts w:ascii="Calibri" w:hAnsi="Calibri" w:cs="Calibri" w:eastAsia="Calibri" w:hint="default"/>
        </w:rPr>
        <w:t>optim</w:t>
      </w:r>
      <w:r>
        <w:rPr/>
        <w:t>ize</w:t>
      </w:r>
      <w:r>
        <w:rPr>
          <w:spacing w:val="-6"/>
        </w:rPr>
        <w:t> </w:t>
      </w:r>
      <w:r>
        <w:rPr/>
        <w:t>the</w:t>
      </w:r>
      <w:r>
        <w:rPr>
          <w:spacing w:val="-6"/>
        </w:rPr>
        <w:t> </w:t>
      </w:r>
      <w:r>
        <w:rPr/>
        <w:t>existing</w:t>
      </w:r>
      <w:r>
        <w:rPr>
          <w:spacing w:val="-6"/>
        </w:rPr>
        <w:t> </w:t>
      </w:r>
      <w:r>
        <w:rPr/>
        <w:t>tourism</w:t>
      </w:r>
      <w:r>
        <w:rPr>
          <w:spacing w:val="-6"/>
        </w:rPr>
        <w:t> </w:t>
      </w:r>
      <w:r>
        <w:rPr/>
        <w:t>product</w:t>
      </w:r>
      <w:r>
        <w:rPr>
          <w:spacing w:val="-5"/>
        </w:rPr>
        <w:t> </w:t>
      </w:r>
      <w:r>
        <w:rPr/>
        <w:t>is</w:t>
      </w:r>
      <w:r>
        <w:rPr>
          <w:spacing w:val="-7"/>
        </w:rPr>
        <w:t> </w:t>
      </w:r>
      <w:r>
        <w:rPr/>
        <w:t>the</w:t>
      </w:r>
      <w:r>
        <w:rPr>
          <w:spacing w:val="-6"/>
        </w:rPr>
        <w:t> </w:t>
      </w:r>
      <w:r>
        <w:rPr/>
        <w:t>necessary</w:t>
      </w:r>
      <w:r>
        <w:rPr>
          <w:spacing w:val="-5"/>
        </w:rPr>
        <w:t> </w:t>
      </w:r>
      <w:r>
        <w:rPr/>
        <w:t>improvement</w:t>
      </w:r>
      <w:r>
        <w:rPr>
          <w:spacing w:val="-1"/>
        </w:rPr>
        <w:t> </w:t>
      </w:r>
      <w:r>
        <w:rPr/>
        <w:t>of</w:t>
      </w:r>
      <w:r>
        <w:rPr>
          <w:spacing w:val="-6"/>
        </w:rPr>
        <w:t> </w:t>
      </w:r>
      <w:r>
        <w:rPr/>
        <w:t>the</w:t>
      </w:r>
      <w:r>
        <w:rPr>
          <w:spacing w:val="-6"/>
        </w:rPr>
        <w:t> </w:t>
      </w:r>
      <w:r>
        <w:rPr/>
        <w:t>local </w:t>
      </w:r>
      <w:r>
        <w:rPr/>
        <w:t>business climate. In order for Curaçao</w:t>
      </w:r>
      <w:r>
        <w:rPr>
          <w:rFonts w:ascii="Calibri" w:hAnsi="Calibri" w:cs="Calibri" w:eastAsia="Calibri" w:hint="default"/>
        </w:rPr>
        <w:t>’s tourism industry to maximize its future growth opportunities, the business </w:t>
      </w:r>
      <w:r>
        <w:rPr/>
        <w:t>climate on the island must facilitate future investments that would support the continued development of tourism offerings. In addition, to ensure a competitive advantage for the island, sharp consideration must be given to advancing </w:t>
      </w:r>
      <w:r>
        <w:rPr>
          <w:rFonts w:ascii="Calibri" w:hAnsi="Calibri" w:cs="Calibri" w:eastAsia="Calibri" w:hint="default"/>
        </w:rPr>
        <w:t>Curaçao’s tourism soft components. This implies that human resources must undergo an </w:t>
      </w:r>
      <w:r>
        <w:rPr/>
        <w:t>upgrading process. It is necessary for the private sector to realize that it is, indeed, the private (not the public) sector that will </w:t>
      </w:r>
      <w:r>
        <w:rPr>
          <w:rFonts w:ascii="Calibri" w:hAnsi="Calibri" w:cs="Calibri" w:eastAsia="Calibri" w:hint="default"/>
        </w:rPr>
        <w:t>“wow” touri</w:t>
      </w:r>
      <w:r>
        <w:rPr/>
        <w:t>sts. It is the private sector in the tourism industry that will ultimately spur the job creation required to </w:t>
      </w:r>
      <w:r>
        <w:rPr>
          <w:rFonts w:ascii="Calibri" w:hAnsi="Calibri" w:cs="Calibri" w:eastAsia="Calibri" w:hint="default"/>
        </w:rPr>
        <w:t>propel the island’s economy</w:t>
      </w:r>
      <w:r>
        <w:rPr>
          <w:rFonts w:ascii="Calibri" w:hAnsi="Calibri" w:cs="Calibri" w:eastAsia="Calibri" w:hint="default"/>
          <w:spacing w:val="-10"/>
        </w:rPr>
        <w:t> </w:t>
      </w:r>
      <w:r>
        <w:rPr>
          <w:rFonts w:ascii="Calibri" w:hAnsi="Calibri" w:cs="Calibri" w:eastAsia="Calibri" w:hint="default"/>
        </w:rPr>
        <w:t>forward</w:t>
      </w:r>
      <w:r>
        <w:rPr/>
        <w:t>.</w:t>
      </w:r>
    </w:p>
    <w:p>
      <w:pPr>
        <w:spacing w:line="240" w:lineRule="auto" w:before="1"/>
        <w:ind w:right="0"/>
        <w:rPr>
          <w:rFonts w:ascii="Calibri" w:hAnsi="Calibri" w:cs="Calibri" w:eastAsia="Calibri" w:hint="default"/>
          <w:sz w:val="20"/>
          <w:szCs w:val="20"/>
        </w:rPr>
      </w:pPr>
    </w:p>
    <w:p>
      <w:pPr>
        <w:pStyle w:val="BodyText"/>
        <w:spacing w:line="240" w:lineRule="auto"/>
        <w:ind w:right="1436"/>
        <w:jc w:val="both"/>
      </w:pPr>
      <w:r>
        <w:rPr/>
        <w:t>Once the core tourism product is improved and sustainable socioeconomic growth is stimulated, the necessary financial resources required to fund future tourism development will be readily available for future resource allocation.</w:t>
      </w:r>
      <w:r>
        <w:rPr>
          <w:spacing w:val="-9"/>
        </w:rPr>
        <w:t> </w:t>
      </w:r>
      <w:r>
        <w:rPr/>
        <w:t>The</w:t>
      </w:r>
      <w:r>
        <w:rPr>
          <w:spacing w:val="-10"/>
        </w:rPr>
        <w:t> </w:t>
      </w:r>
      <w:r>
        <w:rPr/>
        <w:t>outcome</w:t>
      </w:r>
      <w:r>
        <w:rPr>
          <w:spacing w:val="-10"/>
        </w:rPr>
        <w:t> </w:t>
      </w:r>
      <w:r>
        <w:rPr/>
        <w:t>of</w:t>
      </w:r>
      <w:r>
        <w:rPr>
          <w:spacing w:val="-10"/>
        </w:rPr>
        <w:t> </w:t>
      </w:r>
      <w:r>
        <w:rPr/>
        <w:t>the</w:t>
      </w:r>
      <w:r>
        <w:rPr>
          <w:spacing w:val="-10"/>
        </w:rPr>
        <w:t> </w:t>
      </w:r>
      <w:r>
        <w:rPr/>
        <w:t>2015-2020</w:t>
      </w:r>
      <w:r>
        <w:rPr>
          <w:spacing w:val="-9"/>
        </w:rPr>
        <w:t> </w:t>
      </w:r>
      <w:r>
        <w:rPr/>
        <w:t>Strategic</w:t>
      </w:r>
      <w:r>
        <w:rPr>
          <w:spacing w:val="-7"/>
        </w:rPr>
        <w:t> </w:t>
      </w:r>
      <w:r>
        <w:rPr/>
        <w:t>Tourism</w:t>
      </w:r>
      <w:r>
        <w:rPr>
          <w:spacing w:val="-10"/>
        </w:rPr>
        <w:t> </w:t>
      </w:r>
      <w:r>
        <w:rPr/>
        <w:t>Master</w:t>
      </w:r>
      <w:r>
        <w:rPr>
          <w:spacing w:val="-9"/>
        </w:rPr>
        <w:t> </w:t>
      </w:r>
      <w:r>
        <w:rPr/>
        <w:t>Plan</w:t>
      </w:r>
      <w:r>
        <w:rPr>
          <w:spacing w:val="-8"/>
        </w:rPr>
        <w:t> </w:t>
      </w:r>
      <w:r>
        <w:rPr/>
        <w:t>will</w:t>
      </w:r>
      <w:r>
        <w:rPr>
          <w:spacing w:val="-10"/>
        </w:rPr>
        <w:t> </w:t>
      </w:r>
      <w:r>
        <w:rPr/>
        <w:t>enable</w:t>
      </w:r>
      <w:r>
        <w:rPr>
          <w:spacing w:val="-10"/>
        </w:rPr>
        <w:t> </w:t>
      </w:r>
      <w:r>
        <w:rPr/>
        <w:t>the</w:t>
      </w:r>
      <w:r>
        <w:rPr>
          <w:spacing w:val="-8"/>
        </w:rPr>
        <w:t> </w:t>
      </w:r>
      <w:r>
        <w:rPr/>
        <w:t>government</w:t>
      </w:r>
      <w:r>
        <w:rPr>
          <w:spacing w:val="-9"/>
        </w:rPr>
        <w:t> </w:t>
      </w:r>
      <w:r>
        <w:rPr/>
        <w:t>and</w:t>
      </w:r>
      <w:r>
        <w:rPr>
          <w:spacing w:val="-9"/>
        </w:rPr>
        <w:t> </w:t>
      </w:r>
      <w:r>
        <w:rPr/>
        <w:t>the</w:t>
      </w:r>
      <w:r>
        <w:rPr>
          <w:spacing w:val="-10"/>
        </w:rPr>
        <w:t> </w:t>
      </w:r>
      <w:r>
        <w:rPr/>
        <w:t>private </w:t>
      </w:r>
      <w:r>
        <w:rPr/>
        <w:t>sector</w:t>
      </w:r>
      <w:r>
        <w:rPr>
          <w:spacing w:val="-5"/>
        </w:rPr>
        <w:t> </w:t>
      </w:r>
      <w:r>
        <w:rPr/>
        <w:t>operators</w:t>
      </w:r>
      <w:r>
        <w:rPr>
          <w:spacing w:val="-6"/>
        </w:rPr>
        <w:t> </w:t>
      </w:r>
      <w:r>
        <w:rPr/>
        <w:t>to</w:t>
      </w:r>
      <w:r>
        <w:rPr>
          <w:spacing w:val="-5"/>
        </w:rPr>
        <w:t> </w:t>
      </w:r>
      <w:r>
        <w:rPr/>
        <w:t>work</w:t>
      </w:r>
      <w:r>
        <w:rPr>
          <w:spacing w:val="-5"/>
        </w:rPr>
        <w:t> </w:t>
      </w:r>
      <w:r>
        <w:rPr/>
        <w:t>together</w:t>
      </w:r>
      <w:r>
        <w:rPr>
          <w:spacing w:val="-5"/>
        </w:rPr>
        <w:t> </w:t>
      </w:r>
      <w:r>
        <w:rPr/>
        <w:t>in</w:t>
      </w:r>
      <w:r>
        <w:rPr>
          <w:spacing w:val="-5"/>
        </w:rPr>
        <w:t> </w:t>
      </w:r>
      <w:r>
        <w:rPr/>
        <w:t>order</w:t>
      </w:r>
      <w:r>
        <w:rPr>
          <w:spacing w:val="-5"/>
        </w:rPr>
        <w:t> </w:t>
      </w:r>
      <w:r>
        <w:rPr/>
        <w:t>to</w:t>
      </w:r>
      <w:r>
        <w:rPr>
          <w:spacing w:val="-7"/>
        </w:rPr>
        <w:t> </w:t>
      </w:r>
      <w:r>
        <w:rPr/>
        <w:t>make</w:t>
      </w:r>
      <w:r>
        <w:rPr>
          <w:spacing w:val="-6"/>
        </w:rPr>
        <w:t> </w:t>
      </w:r>
      <w:r>
        <w:rPr/>
        <w:t>clear</w:t>
      </w:r>
      <w:r>
        <w:rPr>
          <w:spacing w:val="-5"/>
        </w:rPr>
        <w:t> </w:t>
      </w:r>
      <w:r>
        <w:rPr/>
        <w:t>policy</w:t>
      </w:r>
      <w:r>
        <w:rPr>
          <w:spacing w:val="-5"/>
        </w:rPr>
        <w:t> </w:t>
      </w:r>
      <w:r>
        <w:rPr/>
        <w:t>choices</w:t>
      </w:r>
      <w:r>
        <w:rPr>
          <w:spacing w:val="-6"/>
        </w:rPr>
        <w:t> </w:t>
      </w:r>
      <w:r>
        <w:rPr/>
        <w:t>and</w:t>
      </w:r>
      <w:r>
        <w:rPr>
          <w:spacing w:val="-3"/>
        </w:rPr>
        <w:t> </w:t>
      </w:r>
      <w:r>
        <w:rPr/>
        <w:t>commit</w:t>
      </w:r>
      <w:r>
        <w:rPr>
          <w:spacing w:val="-5"/>
        </w:rPr>
        <w:t> </w:t>
      </w:r>
      <w:r>
        <w:rPr/>
        <w:t>to</w:t>
      </w:r>
      <w:r>
        <w:rPr>
          <w:spacing w:val="-5"/>
        </w:rPr>
        <w:t> </w:t>
      </w:r>
      <w:r>
        <w:rPr/>
        <w:t>the</w:t>
      </w:r>
      <w:r>
        <w:rPr>
          <w:spacing w:val="-6"/>
        </w:rPr>
        <w:t> </w:t>
      </w:r>
      <w:r>
        <w:rPr/>
        <w:t>improvement</w:t>
      </w:r>
      <w:r>
        <w:rPr>
          <w:spacing w:val="-5"/>
        </w:rPr>
        <w:t> </w:t>
      </w:r>
      <w:r>
        <w:rPr/>
        <w:t>of</w:t>
      </w:r>
      <w:r>
        <w:rPr>
          <w:spacing w:val="-6"/>
        </w:rPr>
        <w:t> </w:t>
      </w:r>
      <w:r>
        <w:rPr/>
        <w:t>the</w:t>
      </w:r>
      <w:r>
        <w:rPr>
          <w:spacing w:val="-6"/>
        </w:rPr>
        <w:t> </w:t>
      </w:r>
      <w:r>
        <w:rPr/>
        <w:t>core </w:t>
      </w:r>
      <w:r>
        <w:rPr/>
        <w:t>product (i.e. Curaçao as a destination) and job</w:t>
      </w:r>
      <w:r>
        <w:rPr>
          <w:spacing w:val="-24"/>
        </w:rPr>
        <w:t> </w:t>
      </w:r>
      <w:r>
        <w:rPr/>
        <w:t>creation.</w:t>
      </w:r>
    </w:p>
    <w:p>
      <w:pPr>
        <w:spacing w:line="240" w:lineRule="auto" w:before="11"/>
        <w:ind w:right="0"/>
        <w:rPr>
          <w:rFonts w:ascii="Calibri" w:hAnsi="Calibri" w:cs="Calibri" w:eastAsia="Calibri" w:hint="default"/>
          <w:sz w:val="19"/>
          <w:szCs w:val="19"/>
        </w:rPr>
      </w:pPr>
    </w:p>
    <w:p>
      <w:pPr>
        <w:pStyle w:val="BodyText"/>
        <w:spacing w:line="240" w:lineRule="auto"/>
        <w:ind w:right="1435"/>
        <w:jc w:val="both"/>
      </w:pPr>
      <w:r>
        <w:rPr/>
        <w:t>This</w:t>
      </w:r>
      <w:r>
        <w:rPr>
          <w:spacing w:val="-13"/>
        </w:rPr>
        <w:t> </w:t>
      </w:r>
      <w:r>
        <w:rPr/>
        <w:t>comprehensive</w:t>
      </w:r>
      <w:r>
        <w:rPr>
          <w:spacing w:val="-12"/>
        </w:rPr>
        <w:t> </w:t>
      </w:r>
      <w:r>
        <w:rPr/>
        <w:t>plan</w:t>
      </w:r>
      <w:r>
        <w:rPr>
          <w:spacing w:val="-8"/>
        </w:rPr>
        <w:t> </w:t>
      </w:r>
      <w:r>
        <w:rPr/>
        <w:t>will</w:t>
      </w:r>
      <w:r>
        <w:rPr>
          <w:spacing w:val="-10"/>
        </w:rPr>
        <w:t> </w:t>
      </w:r>
      <w:r>
        <w:rPr/>
        <w:t>be</w:t>
      </w:r>
      <w:r>
        <w:rPr>
          <w:spacing w:val="-12"/>
        </w:rPr>
        <w:t> </w:t>
      </w:r>
      <w:r>
        <w:rPr/>
        <w:t>unique</w:t>
      </w:r>
      <w:r>
        <w:rPr>
          <w:spacing w:val="-12"/>
        </w:rPr>
        <w:t> </w:t>
      </w:r>
      <w:r>
        <w:rPr/>
        <w:t>in</w:t>
      </w:r>
      <w:r>
        <w:rPr>
          <w:spacing w:val="-11"/>
        </w:rPr>
        <w:t> </w:t>
      </w:r>
      <w:r>
        <w:rPr/>
        <w:t>several</w:t>
      </w:r>
      <w:r>
        <w:rPr>
          <w:spacing w:val="-12"/>
        </w:rPr>
        <w:t> </w:t>
      </w:r>
      <w:r>
        <w:rPr/>
        <w:t>ways.</w:t>
      </w:r>
      <w:r>
        <w:rPr>
          <w:spacing w:val="-12"/>
        </w:rPr>
        <w:t> </w:t>
      </w:r>
      <w:r>
        <w:rPr/>
        <w:t>First,</w:t>
      </w:r>
      <w:r>
        <w:rPr>
          <w:spacing w:val="-11"/>
        </w:rPr>
        <w:t> </w:t>
      </w:r>
      <w:r>
        <w:rPr/>
        <w:t>the</w:t>
      </w:r>
      <w:r>
        <w:rPr>
          <w:spacing w:val="-12"/>
        </w:rPr>
        <w:t> </w:t>
      </w:r>
      <w:r>
        <w:rPr/>
        <w:t>2015-2020</w:t>
      </w:r>
      <w:r>
        <w:rPr>
          <w:spacing w:val="-12"/>
        </w:rPr>
        <w:t> </w:t>
      </w:r>
      <w:r>
        <w:rPr/>
        <w:t>Strategic</w:t>
      </w:r>
      <w:r>
        <w:rPr>
          <w:spacing w:val="-9"/>
        </w:rPr>
        <w:t> </w:t>
      </w:r>
      <w:r>
        <w:rPr/>
        <w:t>Tourism</w:t>
      </w:r>
      <w:r>
        <w:rPr>
          <w:spacing w:val="-10"/>
        </w:rPr>
        <w:t> </w:t>
      </w:r>
      <w:r>
        <w:rPr/>
        <w:t>Master</w:t>
      </w:r>
      <w:r>
        <w:rPr>
          <w:spacing w:val="-12"/>
        </w:rPr>
        <w:t> </w:t>
      </w:r>
      <w:r>
        <w:rPr/>
        <w:t>Plan</w:t>
      </w:r>
      <w:r>
        <w:rPr>
          <w:spacing w:val="-10"/>
        </w:rPr>
        <w:t> </w:t>
      </w:r>
      <w:r>
        <w:rPr/>
        <w:t>is</w:t>
      </w:r>
      <w:r>
        <w:rPr>
          <w:spacing w:val="-13"/>
        </w:rPr>
        <w:t> </w:t>
      </w:r>
      <w:r>
        <w:rPr/>
        <w:t>distinct </w:t>
      </w:r>
      <w:r>
        <w:rPr/>
        <w:t>to Curaçao in that the perspective represents the integration of demand within the current supply product. This means that the efforts of this plan will reference international standards that represent the needs and wants of international</w:t>
      </w:r>
      <w:r>
        <w:rPr>
          <w:spacing w:val="-12"/>
        </w:rPr>
        <w:t> </w:t>
      </w:r>
      <w:r>
        <w:rPr/>
        <w:t>tourist</w:t>
      </w:r>
      <w:r>
        <w:rPr>
          <w:spacing w:val="-12"/>
        </w:rPr>
        <w:t> </w:t>
      </w:r>
      <w:r>
        <w:rPr/>
        <w:t>market</w:t>
      </w:r>
      <w:r>
        <w:rPr>
          <w:spacing w:val="-13"/>
        </w:rPr>
        <w:t> </w:t>
      </w:r>
      <w:r>
        <w:rPr/>
        <w:t>segments</w:t>
      </w:r>
      <w:r>
        <w:rPr>
          <w:spacing w:val="-13"/>
        </w:rPr>
        <w:t> </w:t>
      </w:r>
      <w:r>
        <w:rPr/>
        <w:t>that</w:t>
      </w:r>
      <w:r>
        <w:rPr>
          <w:spacing w:val="-9"/>
        </w:rPr>
        <w:t> </w:t>
      </w:r>
      <w:r>
        <w:rPr/>
        <w:t>could</w:t>
      </w:r>
      <w:r>
        <w:rPr>
          <w:spacing w:val="-12"/>
        </w:rPr>
        <w:t> </w:t>
      </w:r>
      <w:r>
        <w:rPr/>
        <w:t>then</w:t>
      </w:r>
      <w:r>
        <w:rPr>
          <w:spacing w:val="-12"/>
        </w:rPr>
        <w:t> </w:t>
      </w:r>
      <w:r>
        <w:rPr/>
        <w:t>be</w:t>
      </w:r>
      <w:r>
        <w:rPr>
          <w:spacing w:val="-13"/>
        </w:rPr>
        <w:t> </w:t>
      </w:r>
      <w:r>
        <w:rPr/>
        <w:t>reflected</w:t>
      </w:r>
      <w:r>
        <w:rPr>
          <w:spacing w:val="-12"/>
        </w:rPr>
        <w:t> </w:t>
      </w:r>
      <w:r>
        <w:rPr/>
        <w:t>through</w:t>
      </w:r>
      <w:r>
        <w:rPr>
          <w:spacing w:val="-12"/>
        </w:rPr>
        <w:t> </w:t>
      </w:r>
      <w:r>
        <w:rPr/>
        <w:t>the</w:t>
      </w:r>
      <w:r>
        <w:rPr>
          <w:spacing w:val="-13"/>
        </w:rPr>
        <w:t> </w:t>
      </w:r>
      <w:r>
        <w:rPr/>
        <w:t>enhancement</w:t>
      </w:r>
      <w:r>
        <w:rPr>
          <w:spacing w:val="-12"/>
        </w:rPr>
        <w:t> </w:t>
      </w:r>
      <w:r>
        <w:rPr/>
        <w:t>of</w:t>
      </w:r>
      <w:r>
        <w:rPr>
          <w:spacing w:val="-13"/>
        </w:rPr>
        <w:t> </w:t>
      </w:r>
      <w:r>
        <w:rPr/>
        <w:t>the</w:t>
      </w:r>
      <w:r>
        <w:rPr>
          <w:spacing w:val="-13"/>
        </w:rPr>
        <w:t> </w:t>
      </w:r>
      <w:r>
        <w:rPr/>
        <w:t>existing</w:t>
      </w:r>
      <w:r>
        <w:rPr>
          <w:spacing w:val="-13"/>
        </w:rPr>
        <w:t> </w:t>
      </w:r>
      <w:r>
        <w:rPr/>
        <w:t>Curaçao </w:t>
      </w:r>
      <w:r>
        <w:rPr/>
        <w:t>tourism</w:t>
      </w:r>
      <w:r>
        <w:rPr>
          <w:spacing w:val="-6"/>
        </w:rPr>
        <w:t> </w:t>
      </w:r>
      <w:r>
        <w:rPr/>
        <w:t>core</w:t>
      </w:r>
      <w:r>
        <w:rPr>
          <w:spacing w:val="-6"/>
        </w:rPr>
        <w:t> </w:t>
      </w:r>
      <w:r>
        <w:rPr/>
        <w:t>product.</w:t>
      </w:r>
      <w:r>
        <w:rPr>
          <w:spacing w:val="-5"/>
        </w:rPr>
        <w:t> </w:t>
      </w:r>
      <w:r>
        <w:rPr/>
        <w:t>The</w:t>
      </w:r>
      <w:r>
        <w:rPr>
          <w:spacing w:val="-6"/>
        </w:rPr>
        <w:t> </w:t>
      </w:r>
      <w:r>
        <w:rPr/>
        <w:t>overall</w:t>
      </w:r>
      <w:r>
        <w:rPr>
          <w:spacing w:val="-6"/>
        </w:rPr>
        <w:t> </w:t>
      </w:r>
      <w:r>
        <w:rPr/>
        <w:t>quality</w:t>
      </w:r>
      <w:r>
        <w:rPr>
          <w:spacing w:val="-5"/>
        </w:rPr>
        <w:t> </w:t>
      </w:r>
      <w:r>
        <w:rPr/>
        <w:t>of</w:t>
      </w:r>
      <w:r>
        <w:rPr>
          <w:spacing w:val="-9"/>
        </w:rPr>
        <w:t> </w:t>
      </w:r>
      <w:r>
        <w:rPr/>
        <w:t>the</w:t>
      </w:r>
      <w:r>
        <w:rPr>
          <w:spacing w:val="-6"/>
        </w:rPr>
        <w:t> </w:t>
      </w:r>
      <w:r>
        <w:rPr/>
        <w:t>product,</w:t>
      </w:r>
      <w:r>
        <w:rPr>
          <w:spacing w:val="-5"/>
        </w:rPr>
        <w:t> </w:t>
      </w:r>
      <w:r>
        <w:rPr/>
        <w:t>which</w:t>
      </w:r>
      <w:r>
        <w:rPr>
          <w:spacing w:val="-5"/>
        </w:rPr>
        <w:t> </w:t>
      </w:r>
      <w:r>
        <w:rPr/>
        <w:t>includes</w:t>
      </w:r>
      <w:r>
        <w:rPr>
          <w:spacing w:val="-6"/>
        </w:rPr>
        <w:t> </w:t>
      </w:r>
      <w:r>
        <w:rPr/>
        <w:t>the</w:t>
      </w:r>
      <w:r>
        <w:rPr>
          <w:spacing w:val="-2"/>
        </w:rPr>
        <w:t> </w:t>
      </w:r>
      <w:r>
        <w:rPr/>
        <w:t>service</w:t>
      </w:r>
      <w:r>
        <w:rPr>
          <w:spacing w:val="-7"/>
        </w:rPr>
        <w:t> </w:t>
      </w:r>
      <w:r>
        <w:rPr/>
        <w:t>delivery</w:t>
      </w:r>
      <w:r>
        <w:rPr>
          <w:spacing w:val="-5"/>
        </w:rPr>
        <w:t> </w:t>
      </w:r>
      <w:r>
        <w:rPr/>
        <w:t>component,</w:t>
      </w:r>
      <w:r>
        <w:rPr>
          <w:spacing w:val="-5"/>
        </w:rPr>
        <w:t> </w:t>
      </w:r>
      <w:r>
        <w:rPr/>
        <w:t>is</w:t>
      </w:r>
      <w:r>
        <w:rPr>
          <w:spacing w:val="-4"/>
        </w:rPr>
        <w:t> </w:t>
      </w:r>
      <w:r>
        <w:rPr/>
        <w:t>essential </w:t>
      </w:r>
      <w:r>
        <w:rPr/>
        <w:t>to increasing</w:t>
      </w:r>
      <w:r>
        <w:rPr>
          <w:spacing w:val="-8"/>
        </w:rPr>
        <w:t> </w:t>
      </w:r>
      <w:r>
        <w:rPr/>
        <w:t>demand.</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6"/>
        <w:jc w:val="both"/>
      </w:pPr>
      <w:r>
        <w:rPr/>
        <w:t>Traditionally,</w:t>
      </w:r>
      <w:r>
        <w:rPr>
          <w:spacing w:val="-4"/>
        </w:rPr>
        <w:t> </w:t>
      </w:r>
      <w:r>
        <w:rPr/>
        <w:t>most</w:t>
      </w:r>
      <w:r>
        <w:rPr>
          <w:spacing w:val="-2"/>
        </w:rPr>
        <w:t> </w:t>
      </w:r>
      <w:r>
        <w:rPr/>
        <w:t>master</w:t>
      </w:r>
      <w:r>
        <w:rPr>
          <w:spacing w:val="-4"/>
        </w:rPr>
        <w:t> </w:t>
      </w:r>
      <w:r>
        <w:rPr/>
        <w:t>plans</w:t>
      </w:r>
      <w:r>
        <w:rPr>
          <w:spacing w:val="-5"/>
        </w:rPr>
        <w:t> </w:t>
      </w:r>
      <w:r>
        <w:rPr/>
        <w:t>concentrate</w:t>
      </w:r>
      <w:r>
        <w:rPr>
          <w:spacing w:val="-5"/>
        </w:rPr>
        <w:t> </w:t>
      </w:r>
      <w:r>
        <w:rPr/>
        <w:t>on</w:t>
      </w:r>
      <w:r>
        <w:rPr>
          <w:spacing w:val="-4"/>
        </w:rPr>
        <w:t> </w:t>
      </w:r>
      <w:r>
        <w:rPr/>
        <w:t>the</w:t>
      </w:r>
      <w:r>
        <w:rPr>
          <w:spacing w:val="-5"/>
        </w:rPr>
        <w:t> </w:t>
      </w:r>
      <w:r>
        <w:rPr/>
        <w:t>supply</w:t>
      </w:r>
      <w:r>
        <w:rPr>
          <w:spacing w:val="-2"/>
        </w:rPr>
        <w:t> </w:t>
      </w:r>
      <w:r>
        <w:rPr/>
        <w:t>side</w:t>
      </w:r>
      <w:r>
        <w:rPr>
          <w:spacing w:val="-5"/>
        </w:rPr>
        <w:t> </w:t>
      </w:r>
      <w:r>
        <w:rPr/>
        <w:t>of</w:t>
      </w:r>
      <w:r>
        <w:rPr>
          <w:spacing w:val="-5"/>
        </w:rPr>
        <w:t> </w:t>
      </w:r>
      <w:r>
        <w:rPr/>
        <w:t>tourism,</w:t>
      </w:r>
      <w:r>
        <w:rPr>
          <w:spacing w:val="-4"/>
        </w:rPr>
        <w:t> </w:t>
      </w:r>
      <w:r>
        <w:rPr/>
        <w:t>thereby</w:t>
      </w:r>
      <w:r>
        <w:rPr>
          <w:spacing w:val="-2"/>
        </w:rPr>
        <w:t> </w:t>
      </w:r>
      <w:r>
        <w:rPr/>
        <w:t>misaligning</w:t>
      </w:r>
      <w:r>
        <w:rPr>
          <w:spacing w:val="-5"/>
        </w:rPr>
        <w:t> </w:t>
      </w:r>
      <w:r>
        <w:rPr/>
        <w:t>supply</w:t>
      </w:r>
      <w:r>
        <w:rPr>
          <w:spacing w:val="-4"/>
        </w:rPr>
        <w:t> </w:t>
      </w:r>
      <w:r>
        <w:rPr/>
        <w:t>and</w:t>
      </w:r>
      <w:r>
        <w:rPr>
          <w:spacing w:val="-4"/>
        </w:rPr>
        <w:t> </w:t>
      </w:r>
      <w:r>
        <w:rPr/>
        <w:t>demand </w:t>
      </w:r>
      <w:r>
        <w:rPr/>
        <w:t>functions, which stunts continued sustainable growth for destinations. Therefore, the suggested actions, solutions, and goals generated in the new plan will be rooted and positioned with the objective to generate demand for the existing tourism product</w:t>
      </w:r>
      <w:r>
        <w:rPr>
          <w:spacing w:val="-14"/>
        </w:rPr>
        <w:t> </w:t>
      </w:r>
      <w:r>
        <w:rPr/>
        <w:t>portfolio.</w:t>
      </w:r>
    </w:p>
    <w:p>
      <w:pPr>
        <w:spacing w:line="240" w:lineRule="auto" w:before="1"/>
        <w:ind w:right="0"/>
        <w:rPr>
          <w:rFonts w:ascii="Calibri" w:hAnsi="Calibri" w:cs="Calibri" w:eastAsia="Calibri" w:hint="default"/>
          <w:sz w:val="20"/>
          <w:szCs w:val="20"/>
        </w:rPr>
      </w:pPr>
    </w:p>
    <w:p>
      <w:pPr>
        <w:pStyle w:val="BodyText"/>
        <w:spacing w:line="240" w:lineRule="auto"/>
        <w:ind w:right="1436"/>
        <w:jc w:val="both"/>
      </w:pPr>
      <w:r>
        <w:rPr/>
        <w:t>Second,</w:t>
      </w:r>
      <w:r>
        <w:rPr>
          <w:spacing w:val="-7"/>
        </w:rPr>
        <w:t> </w:t>
      </w:r>
      <w:r>
        <w:rPr/>
        <w:t>this</w:t>
      </w:r>
      <w:r>
        <w:rPr>
          <w:spacing w:val="-8"/>
        </w:rPr>
        <w:t> </w:t>
      </w:r>
      <w:r>
        <w:rPr/>
        <w:t>master</w:t>
      </w:r>
      <w:r>
        <w:rPr>
          <w:spacing w:val="-8"/>
        </w:rPr>
        <w:t> </w:t>
      </w:r>
      <w:r>
        <w:rPr/>
        <w:t>plan</w:t>
      </w:r>
      <w:r>
        <w:rPr>
          <w:spacing w:val="-7"/>
        </w:rPr>
        <w:t> </w:t>
      </w:r>
      <w:r>
        <w:rPr/>
        <w:t>uses</w:t>
      </w:r>
      <w:r>
        <w:rPr>
          <w:spacing w:val="-7"/>
        </w:rPr>
        <w:t> </w:t>
      </w:r>
      <w:r>
        <w:rPr/>
        <w:t>a</w:t>
      </w:r>
      <w:r>
        <w:rPr>
          <w:spacing w:val="-7"/>
        </w:rPr>
        <w:t> </w:t>
      </w:r>
      <w:r>
        <w:rPr/>
        <w:t>bottom-up</w:t>
      </w:r>
      <w:r>
        <w:rPr>
          <w:spacing w:val="-7"/>
        </w:rPr>
        <w:t> </w:t>
      </w:r>
      <w:r>
        <w:rPr/>
        <w:t>research</w:t>
      </w:r>
      <w:r>
        <w:rPr>
          <w:spacing w:val="-7"/>
        </w:rPr>
        <w:t> </w:t>
      </w:r>
      <w:r>
        <w:rPr/>
        <w:t>approach</w:t>
      </w:r>
      <w:r>
        <w:rPr>
          <w:spacing w:val="-5"/>
        </w:rPr>
        <w:t> </w:t>
      </w:r>
      <w:r>
        <w:rPr/>
        <w:t>in</w:t>
      </w:r>
      <w:r>
        <w:rPr>
          <w:spacing w:val="-7"/>
        </w:rPr>
        <w:t> </w:t>
      </w:r>
      <w:r>
        <w:rPr/>
        <w:t>the</w:t>
      </w:r>
      <w:r>
        <w:rPr>
          <w:spacing w:val="-8"/>
        </w:rPr>
        <w:t> </w:t>
      </w:r>
      <w:r>
        <w:rPr/>
        <w:t>construction</w:t>
      </w:r>
      <w:r>
        <w:rPr>
          <w:spacing w:val="-7"/>
        </w:rPr>
        <w:t> </w:t>
      </w:r>
      <w:r>
        <w:rPr/>
        <w:t>of</w:t>
      </w:r>
      <w:r>
        <w:rPr>
          <w:spacing w:val="-8"/>
        </w:rPr>
        <w:t> </w:t>
      </w:r>
      <w:r>
        <w:rPr/>
        <w:t>its</w:t>
      </w:r>
      <w:r>
        <w:rPr>
          <w:spacing w:val="-6"/>
        </w:rPr>
        <w:t> </w:t>
      </w:r>
      <w:r>
        <w:rPr/>
        <w:t>suggested</w:t>
      </w:r>
      <w:r>
        <w:rPr>
          <w:spacing w:val="-7"/>
        </w:rPr>
        <w:t> </w:t>
      </w:r>
      <w:r>
        <w:rPr/>
        <w:t>actions,</w:t>
      </w:r>
      <w:r>
        <w:rPr>
          <w:spacing w:val="-5"/>
        </w:rPr>
        <w:t> </w:t>
      </w:r>
      <w:r>
        <w:rPr/>
        <w:t>solutions, </w:t>
      </w:r>
      <w:r>
        <w:rPr/>
        <w:t>and goals. This means that the plan is founded on empirically sound research that encompasses voices from a wide range of tourism stakeholders. Such stakeholders include: government, private business, tourism employees, entrepreneurs, social leaders, cultural organizations, labor unions, religious leaders, educational institutions, industry associations, local people, and the tourists. Figure 1 conceptualizes the bottom-up effort that was undertaken</w:t>
      </w:r>
      <w:r>
        <w:rPr>
          <w:spacing w:val="-3"/>
        </w:rPr>
        <w:t> </w:t>
      </w:r>
      <w:r>
        <w:rPr/>
        <w:t>in</w:t>
      </w:r>
      <w:r>
        <w:rPr>
          <w:spacing w:val="-3"/>
        </w:rPr>
        <w:t> </w:t>
      </w:r>
      <w:r>
        <w:rPr/>
        <w:t>the</w:t>
      </w:r>
      <w:r>
        <w:rPr>
          <w:spacing w:val="-4"/>
        </w:rPr>
        <w:t> </w:t>
      </w:r>
      <w:r>
        <w:rPr/>
        <w:t>development</w:t>
      </w:r>
      <w:r>
        <w:rPr>
          <w:spacing w:val="-3"/>
        </w:rPr>
        <w:t> </w:t>
      </w:r>
      <w:r>
        <w:rPr/>
        <w:t>of</w:t>
      </w:r>
      <w:r>
        <w:rPr>
          <w:spacing w:val="-5"/>
        </w:rPr>
        <w:t> </w:t>
      </w:r>
      <w:r>
        <w:rPr/>
        <w:t>this</w:t>
      </w:r>
      <w:r>
        <w:rPr>
          <w:spacing w:val="-5"/>
        </w:rPr>
        <w:t> </w:t>
      </w:r>
      <w:r>
        <w:rPr/>
        <w:t>plan</w:t>
      </w:r>
      <w:r>
        <w:rPr>
          <w:spacing w:val="-3"/>
        </w:rPr>
        <w:t> </w:t>
      </w:r>
      <w:r>
        <w:rPr/>
        <w:t>in</w:t>
      </w:r>
      <w:r>
        <w:rPr>
          <w:spacing w:val="-3"/>
        </w:rPr>
        <w:t> </w:t>
      </w:r>
      <w:r>
        <w:rPr/>
        <w:t>order</w:t>
      </w:r>
      <w:r>
        <w:rPr>
          <w:spacing w:val="-3"/>
        </w:rPr>
        <w:t> </w:t>
      </w:r>
      <w:r>
        <w:rPr/>
        <w:t>to</w:t>
      </w:r>
      <w:r>
        <w:rPr>
          <w:spacing w:val="-3"/>
        </w:rPr>
        <w:t> </w:t>
      </w:r>
      <w:r>
        <w:rPr/>
        <w:t>present</w:t>
      </w:r>
      <w:r>
        <w:rPr>
          <w:spacing w:val="-3"/>
        </w:rPr>
        <w:t> </w:t>
      </w:r>
      <w:r>
        <w:rPr/>
        <w:t>a</w:t>
      </w:r>
      <w:r>
        <w:rPr>
          <w:spacing w:val="-3"/>
        </w:rPr>
        <w:t> </w:t>
      </w:r>
      <w:r>
        <w:rPr/>
        <w:t>collective</w:t>
      </w:r>
      <w:r>
        <w:rPr>
          <w:spacing w:val="3"/>
        </w:rPr>
        <w:t> </w:t>
      </w:r>
      <w:r>
        <w:rPr/>
        <w:t>Curaçao voice</w:t>
      </w:r>
      <w:r>
        <w:rPr>
          <w:spacing w:val="-2"/>
        </w:rPr>
        <w:t> </w:t>
      </w:r>
      <w:r>
        <w:rPr/>
        <w:t>on</w:t>
      </w:r>
      <w:r>
        <w:rPr>
          <w:spacing w:val="-3"/>
        </w:rPr>
        <w:t> </w:t>
      </w:r>
      <w:r>
        <w:rPr/>
        <w:t>the</w:t>
      </w:r>
      <w:r>
        <w:rPr>
          <w:spacing w:val="-4"/>
        </w:rPr>
        <w:t> </w:t>
      </w:r>
      <w:r>
        <w:rPr/>
        <w:t>topic</w:t>
      </w:r>
      <w:r>
        <w:rPr>
          <w:spacing w:val="-4"/>
        </w:rPr>
        <w:t> </w:t>
      </w:r>
      <w:r>
        <w:rPr/>
        <w:t>of</w:t>
      </w:r>
      <w:r>
        <w:rPr>
          <w:spacing w:val="-5"/>
        </w:rPr>
        <w:t> </w:t>
      </w:r>
      <w:r>
        <w:rPr/>
        <w:t>tourism.</w:t>
      </w:r>
    </w:p>
    <w:p>
      <w:pPr>
        <w:spacing w:line="240" w:lineRule="auto"/>
        <w:ind w:left="2925"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4040578" cy="2125979"/>
            <wp:effectExtent l="0" t="0" r="0" b="0"/>
            <wp:docPr id="5" name="image6.png" descr=""/>
            <wp:cNvGraphicFramePr>
              <a:graphicFrameLocks noChangeAspect="1"/>
            </wp:cNvGraphicFramePr>
            <a:graphic>
              <a:graphicData uri="http://schemas.openxmlformats.org/drawingml/2006/picture">
                <pic:pic>
                  <pic:nvPicPr>
                    <pic:cNvPr id="6" name="image6.png"/>
                    <pic:cNvPicPr/>
                  </pic:nvPicPr>
                  <pic:blipFill>
                    <a:blip r:embed="rId12" cstate="print"/>
                    <a:stretch>
                      <a:fillRect/>
                    </a:stretch>
                  </pic:blipFill>
                  <pic:spPr>
                    <a:xfrm>
                      <a:off x="0" y="0"/>
                      <a:ext cx="4040578" cy="2125979"/>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12"/>
        <w:ind w:left="2906" w:right="0"/>
        <w:jc w:val="left"/>
        <w:rPr>
          <w:b w:val="0"/>
          <w:bCs w:val="0"/>
        </w:rPr>
      </w:pPr>
      <w:bookmarkStart w:name="_bookmark16" w:id="17"/>
      <w:bookmarkEnd w:id="17"/>
      <w:r>
        <w:rPr>
          <w:b w:val="0"/>
        </w:rPr>
      </w:r>
      <w:r>
        <w:rPr/>
        <w:t>Figure 1:  Methodology used to construct the 2015-2020 Tourism Master</w:t>
      </w:r>
      <w:r>
        <w:rPr>
          <w:spacing w:val="-26"/>
        </w:rPr>
        <w:t> </w:t>
      </w:r>
      <w:r>
        <w:rPr/>
        <w:t>Plan</w:t>
      </w:r>
      <w:r>
        <w:rPr>
          <w:b w:val="0"/>
        </w:rPr>
      </w:r>
    </w:p>
    <w:p>
      <w:pPr>
        <w:spacing w:line="240" w:lineRule="auto" w:before="11"/>
        <w:ind w:right="0"/>
        <w:rPr>
          <w:rFonts w:ascii="Calibri" w:hAnsi="Calibri" w:cs="Calibri" w:eastAsia="Calibri" w:hint="default"/>
          <w:b/>
          <w:bCs/>
          <w:sz w:val="19"/>
          <w:szCs w:val="19"/>
        </w:rPr>
      </w:pPr>
    </w:p>
    <w:p>
      <w:pPr>
        <w:pStyle w:val="BodyText"/>
        <w:spacing w:line="240" w:lineRule="auto"/>
        <w:ind w:right="1440"/>
        <w:jc w:val="both"/>
      </w:pPr>
      <w:r>
        <w:rPr/>
        <w:t>As part of the development process, the DPITS met face-to-face with more than 250 stakeholders. The purpose of the</w:t>
      </w:r>
      <w:r>
        <w:rPr>
          <w:spacing w:val="-8"/>
        </w:rPr>
        <w:t> </w:t>
      </w:r>
      <w:r>
        <w:rPr/>
        <w:t>stakeholder</w:t>
      </w:r>
      <w:r>
        <w:rPr>
          <w:spacing w:val="-4"/>
        </w:rPr>
        <w:t> </w:t>
      </w:r>
      <w:r>
        <w:rPr/>
        <w:t>meetings</w:t>
      </w:r>
      <w:r>
        <w:rPr>
          <w:spacing w:val="-8"/>
        </w:rPr>
        <w:t> </w:t>
      </w:r>
      <w:r>
        <w:rPr/>
        <w:t>was</w:t>
      </w:r>
      <w:r>
        <w:rPr>
          <w:spacing w:val="-6"/>
        </w:rPr>
        <w:t> </w:t>
      </w:r>
      <w:r>
        <w:rPr/>
        <w:t>to</w:t>
      </w:r>
      <w:r>
        <w:rPr>
          <w:spacing w:val="-6"/>
        </w:rPr>
        <w:t> </w:t>
      </w:r>
      <w:r>
        <w:rPr/>
        <w:t>obtain</w:t>
      </w:r>
      <w:r>
        <w:rPr>
          <w:spacing w:val="-6"/>
        </w:rPr>
        <w:t> </w:t>
      </w:r>
      <w:r>
        <w:rPr/>
        <w:t>feedback</w:t>
      </w:r>
      <w:r>
        <w:rPr>
          <w:spacing w:val="-6"/>
        </w:rPr>
        <w:t> </w:t>
      </w:r>
      <w:r>
        <w:rPr/>
        <w:t>on</w:t>
      </w:r>
      <w:r>
        <w:rPr>
          <w:spacing w:val="-6"/>
        </w:rPr>
        <w:t> </w:t>
      </w:r>
      <w:r>
        <w:rPr/>
        <w:t>the</w:t>
      </w:r>
      <w:r>
        <w:rPr>
          <w:spacing w:val="-8"/>
        </w:rPr>
        <w:t> </w:t>
      </w:r>
      <w:r>
        <w:rPr/>
        <w:t>overall</w:t>
      </w:r>
      <w:r>
        <w:rPr>
          <w:spacing w:val="-7"/>
        </w:rPr>
        <w:t> </w:t>
      </w:r>
      <w:r>
        <w:rPr/>
        <w:t>project,</w:t>
      </w:r>
      <w:r>
        <w:rPr>
          <w:spacing w:val="-2"/>
        </w:rPr>
        <w:t> </w:t>
      </w:r>
      <w:r>
        <w:rPr>
          <w:rFonts w:ascii="Calibri" w:hAnsi="Calibri" w:cs="Calibri" w:eastAsia="Calibri" w:hint="default"/>
        </w:rPr>
        <w:t>share</w:t>
      </w:r>
      <w:r>
        <w:rPr>
          <w:rFonts w:ascii="Calibri" w:hAnsi="Calibri" w:cs="Calibri" w:eastAsia="Calibri" w:hint="default"/>
          <w:spacing w:val="-8"/>
        </w:rPr>
        <w:t> </w:t>
      </w:r>
      <w:r>
        <w:rPr>
          <w:rFonts w:ascii="Calibri" w:hAnsi="Calibri" w:cs="Calibri" w:eastAsia="Calibri" w:hint="default"/>
        </w:rPr>
        <w:t>ideas</w:t>
      </w:r>
      <w:r>
        <w:rPr>
          <w:rFonts w:ascii="Calibri" w:hAnsi="Calibri" w:cs="Calibri" w:eastAsia="Calibri" w:hint="default"/>
          <w:spacing w:val="-8"/>
        </w:rPr>
        <w:t> </w:t>
      </w:r>
      <w:r>
        <w:rPr>
          <w:rFonts w:ascii="Calibri" w:hAnsi="Calibri" w:cs="Calibri" w:eastAsia="Calibri" w:hint="default"/>
        </w:rPr>
        <w:t>pertaining</w:t>
      </w:r>
      <w:r>
        <w:rPr>
          <w:rFonts w:ascii="Calibri" w:hAnsi="Calibri" w:cs="Calibri" w:eastAsia="Calibri" w:hint="default"/>
          <w:spacing w:val="-7"/>
        </w:rPr>
        <w:t> </w:t>
      </w:r>
      <w:r>
        <w:rPr>
          <w:rFonts w:ascii="Calibri" w:hAnsi="Calibri" w:cs="Calibri" w:eastAsia="Calibri" w:hint="default"/>
        </w:rPr>
        <w:t>to</w:t>
      </w:r>
      <w:r>
        <w:rPr>
          <w:rFonts w:ascii="Calibri" w:hAnsi="Calibri" w:cs="Calibri" w:eastAsia="Calibri" w:hint="default"/>
          <w:spacing w:val="-6"/>
        </w:rPr>
        <w:t> </w:t>
      </w:r>
      <w:r>
        <w:rPr>
          <w:rFonts w:ascii="Calibri" w:hAnsi="Calibri" w:cs="Calibri" w:eastAsia="Calibri" w:hint="default"/>
        </w:rPr>
        <w:t>Curaçao’s</w:t>
      </w:r>
      <w:r>
        <w:rPr>
          <w:rFonts w:ascii="Calibri" w:hAnsi="Calibri" w:cs="Calibri" w:eastAsia="Calibri" w:hint="default"/>
          <w:spacing w:val="-8"/>
        </w:rPr>
        <w:t> </w:t>
      </w:r>
      <w:r>
        <w:rPr>
          <w:rFonts w:ascii="Calibri" w:hAnsi="Calibri" w:cs="Calibri" w:eastAsia="Calibri" w:hint="default"/>
        </w:rPr>
        <w:t>tourism </w:t>
      </w:r>
      <w:r>
        <w:rPr>
          <w:rFonts w:ascii="Calibri" w:hAnsi="Calibri" w:cs="Calibri" w:eastAsia="Calibri" w:hint="default"/>
        </w:rPr>
      </w:r>
      <w:r>
        <w:rPr/>
        <w:t>challenges, provide informational sources of value to the DPITS research team, and actively involve a variety of different</w:t>
      </w:r>
      <w:r>
        <w:rPr>
          <w:spacing w:val="-2"/>
        </w:rPr>
        <w:t> </w:t>
      </w:r>
      <w:r>
        <w:rPr/>
        <w:t>types</w:t>
      </w:r>
      <w:r>
        <w:rPr>
          <w:spacing w:val="-4"/>
        </w:rPr>
        <w:t> </w:t>
      </w:r>
      <w:r>
        <w:rPr/>
        <w:t>of</w:t>
      </w:r>
      <w:r>
        <w:rPr>
          <w:spacing w:val="-4"/>
        </w:rPr>
        <w:t> </w:t>
      </w:r>
      <w:r>
        <w:rPr/>
        <w:t>stakeholders</w:t>
      </w:r>
      <w:r>
        <w:rPr>
          <w:spacing w:val="-4"/>
        </w:rPr>
        <w:t> </w:t>
      </w:r>
      <w:r>
        <w:rPr/>
        <w:t>in</w:t>
      </w:r>
      <w:r>
        <w:rPr>
          <w:spacing w:val="-2"/>
        </w:rPr>
        <w:t> </w:t>
      </w:r>
      <w:r>
        <w:rPr/>
        <w:t>the</w:t>
      </w:r>
      <w:r>
        <w:rPr>
          <w:spacing w:val="-3"/>
        </w:rPr>
        <w:t> </w:t>
      </w:r>
      <w:r>
        <w:rPr/>
        <w:t>drafting</w:t>
      </w:r>
      <w:r>
        <w:rPr>
          <w:spacing w:val="-3"/>
        </w:rPr>
        <w:t> </w:t>
      </w:r>
      <w:r>
        <w:rPr/>
        <w:t>of</w:t>
      </w:r>
      <w:r>
        <w:rPr>
          <w:spacing w:val="-4"/>
        </w:rPr>
        <w:t> </w:t>
      </w:r>
      <w:r>
        <w:rPr/>
        <w:t>the</w:t>
      </w:r>
      <w:r>
        <w:rPr>
          <w:spacing w:val="-3"/>
        </w:rPr>
        <w:t> </w:t>
      </w:r>
      <w:r>
        <w:rPr/>
        <w:t>2015-2020</w:t>
      </w:r>
      <w:r>
        <w:rPr>
          <w:spacing w:val="-2"/>
        </w:rPr>
        <w:t> </w:t>
      </w:r>
      <w:r>
        <w:rPr/>
        <w:t>Strategic</w:t>
      </w:r>
      <w:r>
        <w:rPr>
          <w:spacing w:val="-2"/>
        </w:rPr>
        <w:t> </w:t>
      </w:r>
      <w:r>
        <w:rPr/>
        <w:t>Tourism</w:t>
      </w:r>
      <w:r>
        <w:rPr>
          <w:spacing w:val="-3"/>
        </w:rPr>
        <w:t> </w:t>
      </w:r>
      <w:r>
        <w:rPr/>
        <w:t>Master</w:t>
      </w:r>
      <w:r>
        <w:rPr>
          <w:spacing w:val="-1"/>
        </w:rPr>
        <w:t> </w:t>
      </w:r>
      <w:r>
        <w:rPr/>
        <w:t>Plan</w:t>
      </w:r>
      <w:r>
        <w:rPr>
          <w:spacing w:val="-2"/>
        </w:rPr>
        <w:t> </w:t>
      </w:r>
      <w:r>
        <w:rPr/>
        <w:t>project.</w:t>
      </w:r>
    </w:p>
    <w:p>
      <w:pPr>
        <w:spacing w:line="240" w:lineRule="auto" w:before="11"/>
        <w:ind w:right="0"/>
        <w:rPr>
          <w:rFonts w:ascii="Calibri" w:hAnsi="Calibri" w:cs="Calibri" w:eastAsia="Calibri" w:hint="default"/>
          <w:sz w:val="19"/>
          <w:szCs w:val="19"/>
        </w:rPr>
      </w:pPr>
    </w:p>
    <w:p>
      <w:pPr>
        <w:pStyle w:val="BodyText"/>
        <w:spacing w:line="240" w:lineRule="auto"/>
        <w:ind w:right="1434"/>
        <w:jc w:val="both"/>
        <w:rPr>
          <w:sz w:val="12"/>
          <w:szCs w:val="12"/>
        </w:rPr>
      </w:pPr>
      <w:r>
        <w:rPr/>
        <w:t>The reason for this elaborate and time-consuming effort of the bottom-up research approach was to assess the </w:t>
      </w:r>
      <w:r>
        <w:rPr>
          <w:rFonts w:ascii="Calibri" w:hAnsi="Calibri" w:cs="Calibri" w:eastAsia="Calibri" w:hint="default"/>
        </w:rPr>
        <w:t>meaning of Curaçao’s tourism system through the eyes of all society members</w:t>
      </w:r>
      <w:r>
        <w:rPr/>
        <w:t>, as well as to provide a voice to all stakeholders in the construction of the plan. This process quickly garnered the support and int</w:t>
      </w:r>
      <w:r>
        <w:rPr>
          <w:rFonts w:ascii="Calibri" w:hAnsi="Calibri" w:cs="Calibri" w:eastAsia="Calibri" w:hint="default"/>
        </w:rPr>
        <w:t>erest from Curaçao’s </w:t>
      </w:r>
      <w:r>
        <w:rPr/>
        <w:t>stakeholders in the development and successful implementation of the new tourism master plan. To date, the </w:t>
      </w:r>
      <w:r>
        <w:rPr>
          <w:rFonts w:ascii="Calibri" w:hAnsi="Calibri" w:cs="Calibri" w:eastAsia="Calibri" w:hint="default"/>
        </w:rPr>
        <w:t>DPITS has interviewed a thorough sample of more than 250 people representing all types of Curacao’s tourism </w:t>
      </w:r>
      <w:r>
        <w:rPr/>
        <w:t>stakeholders.</w:t>
      </w:r>
      <w:r>
        <w:rPr>
          <w:position w:val="5"/>
          <w:sz w:val="12"/>
          <w:szCs w:val="12"/>
        </w:rPr>
        <w:t>3</w:t>
      </w:r>
      <w:r>
        <w:rPr>
          <w:sz w:val="12"/>
          <w:szCs w:val="12"/>
        </w:rPr>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t>From the stakeholder meetings, various themes were depicted regarding the challenges that Curaçao faces in the development of the tourism industry. The themes included: need for product identity, coordination challenges </w:t>
      </w:r>
      <w:r>
        <w:rPr>
          <w:rFonts w:ascii="Calibri" w:hAnsi="Calibri" w:cs="Calibri" w:eastAsia="Calibri" w:hint="default"/>
        </w:rPr>
        <w:t>between</w:t>
      </w:r>
      <w:r>
        <w:rPr>
          <w:rFonts w:ascii="Calibri" w:hAnsi="Calibri" w:cs="Calibri" w:eastAsia="Calibri" w:hint="default"/>
          <w:spacing w:val="-3"/>
        </w:rPr>
        <w:t> </w:t>
      </w:r>
      <w:r>
        <w:rPr>
          <w:rFonts w:ascii="Calibri" w:hAnsi="Calibri" w:cs="Calibri" w:eastAsia="Calibri" w:hint="default"/>
        </w:rPr>
        <w:t>and</w:t>
      </w:r>
      <w:r>
        <w:rPr>
          <w:rFonts w:ascii="Calibri" w:hAnsi="Calibri" w:cs="Calibri" w:eastAsia="Calibri" w:hint="default"/>
          <w:spacing w:val="-3"/>
        </w:rPr>
        <w:t> </w:t>
      </w:r>
      <w:r>
        <w:rPr>
          <w:rFonts w:ascii="Calibri" w:hAnsi="Calibri" w:cs="Calibri" w:eastAsia="Calibri" w:hint="default"/>
        </w:rPr>
        <w:t>within</w:t>
      </w:r>
      <w:r>
        <w:rPr>
          <w:rFonts w:ascii="Calibri" w:hAnsi="Calibri" w:cs="Calibri" w:eastAsia="Calibri" w:hint="default"/>
          <w:spacing w:val="-3"/>
        </w:rPr>
        <w:t> </w:t>
      </w:r>
      <w:r>
        <w:rPr>
          <w:rFonts w:ascii="Calibri" w:hAnsi="Calibri" w:cs="Calibri" w:eastAsia="Calibri" w:hint="default"/>
        </w:rPr>
        <w:t>stakeholders’</w:t>
      </w:r>
      <w:r>
        <w:rPr>
          <w:rFonts w:ascii="Calibri" w:hAnsi="Calibri" w:cs="Calibri" w:eastAsia="Calibri" w:hint="default"/>
          <w:spacing w:val="-3"/>
        </w:rPr>
        <w:t> </w:t>
      </w:r>
      <w:r>
        <w:rPr>
          <w:rFonts w:ascii="Calibri" w:hAnsi="Calibri" w:cs="Calibri" w:eastAsia="Calibri" w:hint="default"/>
        </w:rPr>
        <w:t>grou</w:t>
      </w:r>
      <w:r>
        <w:rPr/>
        <w:t>ps,</w:t>
      </w:r>
      <w:r>
        <w:rPr>
          <w:spacing w:val="-3"/>
        </w:rPr>
        <w:t> </w:t>
      </w:r>
      <w:r>
        <w:rPr/>
        <w:t>lack</w:t>
      </w:r>
      <w:r>
        <w:rPr>
          <w:spacing w:val="-3"/>
        </w:rPr>
        <w:t> </w:t>
      </w:r>
      <w:r>
        <w:rPr/>
        <w:t>of</w:t>
      </w:r>
      <w:r>
        <w:rPr>
          <w:spacing w:val="-4"/>
        </w:rPr>
        <w:t> </w:t>
      </w:r>
      <w:r>
        <w:rPr/>
        <w:t>trust,</w:t>
      </w:r>
      <w:r>
        <w:rPr>
          <w:spacing w:val="-3"/>
        </w:rPr>
        <w:t> </w:t>
      </w:r>
      <w:r>
        <w:rPr/>
        <w:t>lack</w:t>
      </w:r>
      <w:r>
        <w:rPr>
          <w:spacing w:val="-3"/>
        </w:rPr>
        <w:t> </w:t>
      </w:r>
      <w:r>
        <w:rPr/>
        <w:t>of</w:t>
      </w:r>
      <w:r>
        <w:rPr>
          <w:spacing w:val="-4"/>
        </w:rPr>
        <w:t> </w:t>
      </w:r>
      <w:r>
        <w:rPr/>
        <w:t>vision,</w:t>
      </w:r>
      <w:r>
        <w:rPr>
          <w:spacing w:val="-3"/>
        </w:rPr>
        <w:t> </w:t>
      </w:r>
      <w:r>
        <w:rPr/>
        <w:t>lack</w:t>
      </w:r>
      <w:r>
        <w:rPr>
          <w:spacing w:val="-3"/>
        </w:rPr>
        <w:t> </w:t>
      </w:r>
      <w:r>
        <w:rPr/>
        <w:t>of</w:t>
      </w:r>
      <w:r>
        <w:rPr>
          <w:spacing w:val="-4"/>
        </w:rPr>
        <w:t> </w:t>
      </w:r>
      <w:r>
        <w:rPr/>
        <w:t>know-how</w:t>
      </w:r>
      <w:r>
        <w:rPr>
          <w:spacing w:val="-3"/>
        </w:rPr>
        <w:t> </w:t>
      </w:r>
      <w:r>
        <w:rPr/>
        <w:t>from</w:t>
      </w:r>
      <w:r>
        <w:rPr>
          <w:spacing w:val="-3"/>
        </w:rPr>
        <w:t> </w:t>
      </w:r>
      <w:r>
        <w:rPr/>
        <w:t>service</w:t>
      </w:r>
      <w:r>
        <w:rPr>
          <w:spacing w:val="-3"/>
        </w:rPr>
        <w:t> </w:t>
      </w:r>
      <w:r>
        <w:rPr/>
        <w:t>providers,</w:t>
      </w:r>
      <w:r>
        <w:rPr>
          <w:spacing w:val="-3"/>
        </w:rPr>
        <w:t> </w:t>
      </w:r>
      <w:r>
        <w:rPr/>
        <w:t>lack </w:t>
      </w:r>
      <w:r>
        <w:rPr/>
        <w:t>of evaluation systems, need for attitudinal adjustments, need for open communication, need for collaborative processes, need for leadership, need for innovative product development, need for inclusion of the majority of stakeholders in the tourism system, need for transparent decision-making, and need for clear policies that benefit the</w:t>
      </w:r>
      <w:r>
        <w:rPr>
          <w:spacing w:val="-3"/>
        </w:rPr>
        <w:t> </w:t>
      </w:r>
      <w:r>
        <w:rPr/>
        <w:t>industry.</w:t>
      </w:r>
    </w:p>
    <w:p>
      <w:pPr>
        <w:spacing w:line="240" w:lineRule="auto" w:before="1"/>
        <w:ind w:right="0"/>
        <w:rPr>
          <w:rFonts w:ascii="Calibri" w:hAnsi="Calibri" w:cs="Calibri" w:eastAsia="Calibri" w:hint="default"/>
          <w:sz w:val="20"/>
          <w:szCs w:val="20"/>
        </w:rPr>
      </w:pPr>
    </w:p>
    <w:p>
      <w:pPr>
        <w:pStyle w:val="BodyText"/>
        <w:spacing w:line="240" w:lineRule="auto"/>
        <w:ind w:right="1436"/>
        <w:jc w:val="both"/>
      </w:pPr>
      <w:r>
        <w:rPr/>
        <w:t>From</w:t>
      </w:r>
      <w:r>
        <w:rPr>
          <w:spacing w:val="-3"/>
        </w:rPr>
        <w:t> </w:t>
      </w:r>
      <w:r>
        <w:rPr/>
        <w:t>the</w:t>
      </w:r>
      <w:r>
        <w:rPr>
          <w:spacing w:val="-4"/>
        </w:rPr>
        <w:t> </w:t>
      </w:r>
      <w:r>
        <w:rPr/>
        <w:t>stakeholder</w:t>
      </w:r>
      <w:r>
        <w:rPr>
          <w:spacing w:val="-3"/>
        </w:rPr>
        <w:t> </w:t>
      </w:r>
      <w:r>
        <w:rPr/>
        <w:t>meetings</w:t>
      </w:r>
      <w:r>
        <w:rPr>
          <w:spacing w:val="-5"/>
        </w:rPr>
        <w:t> </w:t>
      </w:r>
      <w:r>
        <w:rPr/>
        <w:t>and</w:t>
      </w:r>
      <w:r>
        <w:rPr>
          <w:spacing w:val="-3"/>
        </w:rPr>
        <w:t> </w:t>
      </w:r>
      <w:r>
        <w:rPr/>
        <w:t>focus</w:t>
      </w:r>
      <w:r>
        <w:rPr>
          <w:spacing w:val="-5"/>
        </w:rPr>
        <w:t> </w:t>
      </w:r>
      <w:r>
        <w:rPr/>
        <w:t>groups,</w:t>
      </w:r>
      <w:r>
        <w:rPr>
          <w:spacing w:val="-3"/>
        </w:rPr>
        <w:t> </w:t>
      </w:r>
      <w:r>
        <w:rPr/>
        <w:t>a</w:t>
      </w:r>
      <w:r>
        <w:rPr>
          <w:spacing w:val="-3"/>
        </w:rPr>
        <w:t> </w:t>
      </w:r>
      <w:r>
        <w:rPr/>
        <w:t>variety</w:t>
      </w:r>
      <w:r>
        <w:rPr>
          <w:spacing w:val="-4"/>
        </w:rPr>
        <w:t> </w:t>
      </w:r>
      <w:r>
        <w:rPr/>
        <w:t>of</w:t>
      </w:r>
      <w:r>
        <w:rPr>
          <w:spacing w:val="-5"/>
        </w:rPr>
        <w:t> </w:t>
      </w:r>
      <w:r>
        <w:rPr/>
        <w:t>surveys</w:t>
      </w:r>
      <w:r>
        <w:rPr>
          <w:spacing w:val="-5"/>
        </w:rPr>
        <w:t> </w:t>
      </w:r>
      <w:r>
        <w:rPr/>
        <w:t>were</w:t>
      </w:r>
      <w:r>
        <w:rPr>
          <w:spacing w:val="-4"/>
        </w:rPr>
        <w:t> </w:t>
      </w:r>
      <w:r>
        <w:rPr/>
        <w:t>designed,</w:t>
      </w:r>
      <w:r>
        <w:rPr>
          <w:spacing w:val="-3"/>
        </w:rPr>
        <w:t> </w:t>
      </w:r>
      <w:r>
        <w:rPr/>
        <w:t>approved</w:t>
      </w:r>
      <w:r>
        <w:rPr>
          <w:spacing w:val="-3"/>
        </w:rPr>
        <w:t> </w:t>
      </w:r>
      <w:r>
        <w:rPr/>
        <w:t>by</w:t>
      </w:r>
      <w:r>
        <w:rPr>
          <w:spacing w:val="-3"/>
        </w:rPr>
        <w:t> </w:t>
      </w:r>
      <w:r>
        <w:rPr/>
        <w:t>Curaçao</w:t>
      </w:r>
      <w:r>
        <w:rPr>
          <w:spacing w:val="-3"/>
        </w:rPr>
        <w:t> </w:t>
      </w:r>
      <w:r>
        <w:rPr/>
        <w:t>tourism </w:t>
      </w:r>
      <w:r>
        <w:rPr/>
        <w:t>officials, and administered in order to further understand the state of tourism in Curaçao. Eleven surveys were created</w:t>
      </w:r>
      <w:r>
        <w:rPr>
          <w:spacing w:val="-9"/>
        </w:rPr>
        <w:t> </w:t>
      </w:r>
      <w:r>
        <w:rPr/>
        <w:t>and</w:t>
      </w:r>
      <w:r>
        <w:rPr>
          <w:spacing w:val="-9"/>
        </w:rPr>
        <w:t> </w:t>
      </w:r>
      <w:r>
        <w:rPr/>
        <w:t>nearly</w:t>
      </w:r>
      <w:r>
        <w:rPr>
          <w:spacing w:val="-7"/>
        </w:rPr>
        <w:t> </w:t>
      </w:r>
      <w:r>
        <w:rPr/>
        <w:t>7,000</w:t>
      </w:r>
      <w:r>
        <w:rPr>
          <w:spacing w:val="-10"/>
        </w:rPr>
        <w:t> </w:t>
      </w:r>
      <w:r>
        <w:rPr/>
        <w:t>respondents</w:t>
      </w:r>
      <w:r>
        <w:rPr>
          <w:spacing w:val="-11"/>
        </w:rPr>
        <w:t> </w:t>
      </w:r>
      <w:r>
        <w:rPr/>
        <w:t>completed</w:t>
      </w:r>
      <w:r>
        <w:rPr>
          <w:spacing w:val="-10"/>
        </w:rPr>
        <w:t> </w:t>
      </w:r>
      <w:r>
        <w:rPr/>
        <w:t>the</w:t>
      </w:r>
      <w:r>
        <w:rPr>
          <w:spacing w:val="-9"/>
        </w:rPr>
        <w:t> </w:t>
      </w:r>
      <w:r>
        <w:rPr/>
        <w:t>surveys,</w:t>
      </w:r>
      <w:r>
        <w:rPr>
          <w:spacing w:val="-10"/>
        </w:rPr>
        <w:t> </w:t>
      </w:r>
      <w:r>
        <w:rPr/>
        <w:t>including</w:t>
      </w:r>
      <w:r>
        <w:rPr>
          <w:spacing w:val="-10"/>
        </w:rPr>
        <w:t> </w:t>
      </w:r>
      <w:r>
        <w:rPr/>
        <w:t>stay-over</w:t>
      </w:r>
      <w:r>
        <w:rPr>
          <w:spacing w:val="-10"/>
        </w:rPr>
        <w:t> </w:t>
      </w:r>
      <w:r>
        <w:rPr/>
        <w:t>tourists,</w:t>
      </w:r>
      <w:r>
        <w:rPr>
          <w:spacing w:val="-10"/>
        </w:rPr>
        <w:t> </w:t>
      </w:r>
      <w:r>
        <w:rPr/>
        <w:t>cruise</w:t>
      </w:r>
      <w:r>
        <w:rPr>
          <w:spacing w:val="-9"/>
        </w:rPr>
        <w:t> </w:t>
      </w:r>
      <w:r>
        <w:rPr/>
        <w:t>tourists,</w:t>
      </w:r>
      <w:r>
        <w:rPr>
          <w:spacing w:val="-6"/>
        </w:rPr>
        <w:t> </w:t>
      </w:r>
      <w:r>
        <w:rPr/>
        <w:t>Caribbean </w:t>
      </w:r>
      <w:r>
        <w:rPr/>
        <w:t>tourists who had never visited the island, employees, and the local population at</w:t>
      </w:r>
      <w:r>
        <w:rPr>
          <w:spacing w:val="-22"/>
        </w:rPr>
        <w:t> </w:t>
      </w:r>
      <w:r>
        <w:rPr/>
        <w:t>large.</w:t>
      </w:r>
    </w:p>
    <w:p>
      <w:pPr>
        <w:spacing w:line="240" w:lineRule="auto" w:before="12" w:after="0"/>
        <w:ind w:right="0"/>
        <w:rPr>
          <w:rFonts w:ascii="Calibri" w:hAnsi="Calibri" w:cs="Calibri" w:eastAsia="Calibri" w:hint="default"/>
          <w:sz w:val="19"/>
          <w:szCs w:val="19"/>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before="89"/>
        <w:ind w:left="1440" w:right="0" w:firstLine="0"/>
        <w:jc w:val="left"/>
        <w:rPr>
          <w:rFonts w:ascii="Calibri" w:hAnsi="Calibri" w:cs="Calibri" w:eastAsia="Calibri" w:hint="default"/>
          <w:sz w:val="16"/>
          <w:szCs w:val="16"/>
        </w:rPr>
      </w:pPr>
      <w:r>
        <w:rPr>
          <w:rFonts w:ascii="Calibri"/>
          <w:position w:val="5"/>
          <w:sz w:val="12"/>
        </w:rPr>
        <w:t>3 </w:t>
      </w:r>
      <w:r>
        <w:rPr>
          <w:rFonts w:ascii="Calibri"/>
          <w:sz w:val="16"/>
        </w:rPr>
        <w:t>See the list of stakeholders in Annex</w:t>
      </w:r>
      <w:r>
        <w:rPr>
          <w:rFonts w:ascii="Calibri"/>
          <w:spacing w:val="-7"/>
          <w:sz w:val="16"/>
        </w:rPr>
        <w:t> </w:t>
      </w:r>
      <w:r>
        <w:rPr>
          <w:rFonts w:ascii="Calibri"/>
          <w:sz w:val="16"/>
        </w:rPr>
        <w:t>1.</w:t>
      </w:r>
    </w:p>
    <w:p>
      <w:pPr>
        <w:spacing w:after="0"/>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7"/>
        <w:jc w:val="both"/>
      </w:pPr>
      <w:r>
        <w:rPr/>
        <w:t>A variety of qualitative and quantitative techniques were used to analyze the data from the stakeholder meetings, focus groups, and surveys. Qualitative techniques included content analysis, domain analysis, quasi-statistics, analytic induction, typology and taxonomy, and organizational scanning. Quantitative techniques included regression analyses, cointegration analyses, unit root analyses, Granger causality analyses, factor analysis, cluster analyses,</w:t>
      </w:r>
      <w:r>
        <w:rPr>
          <w:spacing w:val="-3"/>
        </w:rPr>
        <w:t> </w:t>
      </w:r>
      <w:r>
        <w:rPr/>
        <w:t>input-output</w:t>
      </w:r>
      <w:r>
        <w:rPr>
          <w:spacing w:val="-3"/>
        </w:rPr>
        <w:t> </w:t>
      </w:r>
      <w:r>
        <w:rPr/>
        <w:t>analyses,</w:t>
      </w:r>
      <w:r>
        <w:rPr>
          <w:spacing w:val="-3"/>
        </w:rPr>
        <w:t> </w:t>
      </w:r>
      <w:r>
        <w:rPr/>
        <w:t>ANOVA</w:t>
      </w:r>
      <w:r>
        <w:rPr>
          <w:spacing w:val="-4"/>
        </w:rPr>
        <w:t> </w:t>
      </w:r>
      <w:r>
        <w:rPr/>
        <w:t>and</w:t>
      </w:r>
      <w:r>
        <w:rPr>
          <w:spacing w:val="-3"/>
        </w:rPr>
        <w:t> </w:t>
      </w:r>
      <w:r>
        <w:rPr/>
        <w:t>MANOVA,</w:t>
      </w:r>
      <w:r>
        <w:rPr>
          <w:spacing w:val="-3"/>
        </w:rPr>
        <w:t> </w:t>
      </w:r>
      <w:r>
        <w:rPr/>
        <w:t>discriminant</w:t>
      </w:r>
      <w:r>
        <w:rPr>
          <w:spacing w:val="-3"/>
        </w:rPr>
        <w:t> </w:t>
      </w:r>
      <w:r>
        <w:rPr/>
        <w:t>analyses,</w:t>
      </w:r>
      <w:r>
        <w:rPr>
          <w:spacing w:val="-3"/>
        </w:rPr>
        <w:t> </w:t>
      </w:r>
      <w:r>
        <w:rPr/>
        <w:t>and</w:t>
      </w:r>
      <w:r>
        <w:rPr>
          <w:spacing w:val="-3"/>
        </w:rPr>
        <w:t> </w:t>
      </w:r>
      <w:r>
        <w:rPr/>
        <w:t>supply</w:t>
      </w:r>
      <w:r>
        <w:rPr>
          <w:spacing w:val="-3"/>
        </w:rPr>
        <w:t> </w:t>
      </w:r>
      <w:r>
        <w:rPr/>
        <w:t>chain</w:t>
      </w:r>
      <w:r>
        <w:rPr>
          <w:spacing w:val="-2"/>
        </w:rPr>
        <w:t> </w:t>
      </w:r>
      <w:r>
        <w:rPr/>
        <w:t>analyses.</w:t>
      </w:r>
    </w:p>
    <w:p>
      <w:pPr>
        <w:spacing w:line="240" w:lineRule="auto" w:before="11"/>
        <w:ind w:right="0"/>
        <w:rPr>
          <w:rFonts w:ascii="Calibri" w:hAnsi="Calibri" w:cs="Calibri" w:eastAsia="Calibri" w:hint="default"/>
          <w:sz w:val="19"/>
          <w:szCs w:val="19"/>
        </w:rPr>
      </w:pPr>
    </w:p>
    <w:p>
      <w:pPr>
        <w:pStyle w:val="BodyText"/>
        <w:spacing w:line="240" w:lineRule="auto"/>
        <w:ind w:right="1438"/>
        <w:jc w:val="both"/>
      </w:pPr>
      <w:r>
        <w:rPr/>
        <w:t>Additionally,</w:t>
      </w:r>
      <w:r>
        <w:rPr>
          <w:spacing w:val="-3"/>
        </w:rPr>
        <w:t> </w:t>
      </w:r>
      <w:r>
        <w:rPr/>
        <w:t>a</w:t>
      </w:r>
      <w:r>
        <w:rPr>
          <w:spacing w:val="-3"/>
        </w:rPr>
        <w:t> </w:t>
      </w:r>
      <w:r>
        <w:rPr/>
        <w:t>formal</w:t>
      </w:r>
      <w:r>
        <w:rPr>
          <w:spacing w:val="-3"/>
        </w:rPr>
        <w:t> </w:t>
      </w:r>
      <w:r>
        <w:rPr/>
        <w:t>literature</w:t>
      </w:r>
      <w:r>
        <w:rPr>
          <w:spacing w:val="-4"/>
        </w:rPr>
        <w:t> </w:t>
      </w:r>
      <w:r>
        <w:rPr/>
        <w:t>review</w:t>
      </w:r>
      <w:r>
        <w:rPr>
          <w:spacing w:val="-4"/>
        </w:rPr>
        <w:t> </w:t>
      </w:r>
      <w:r>
        <w:rPr/>
        <w:t>of</w:t>
      </w:r>
      <w:r>
        <w:rPr>
          <w:spacing w:val="-5"/>
        </w:rPr>
        <w:t> </w:t>
      </w:r>
      <w:r>
        <w:rPr/>
        <w:t>all</w:t>
      </w:r>
      <w:r>
        <w:rPr>
          <w:spacing w:val="-4"/>
        </w:rPr>
        <w:t> </w:t>
      </w:r>
      <w:r>
        <w:rPr/>
        <w:t>research</w:t>
      </w:r>
      <w:r>
        <w:rPr>
          <w:spacing w:val="-3"/>
        </w:rPr>
        <w:t> </w:t>
      </w:r>
      <w:r>
        <w:rPr/>
        <w:t>regarding</w:t>
      </w:r>
      <w:r>
        <w:rPr>
          <w:spacing w:val="-4"/>
        </w:rPr>
        <w:t> </w:t>
      </w:r>
      <w:r>
        <w:rPr/>
        <w:t>Curaçao</w:t>
      </w:r>
      <w:r>
        <w:rPr>
          <w:spacing w:val="-3"/>
        </w:rPr>
        <w:t> </w:t>
      </w:r>
      <w:r>
        <w:rPr/>
        <w:t>and</w:t>
      </w:r>
      <w:r>
        <w:rPr>
          <w:spacing w:val="-3"/>
        </w:rPr>
        <w:t> </w:t>
      </w:r>
      <w:r>
        <w:rPr/>
        <w:t>tourism</w:t>
      </w:r>
      <w:r>
        <w:rPr>
          <w:spacing w:val="-4"/>
        </w:rPr>
        <w:t> </w:t>
      </w:r>
      <w:r>
        <w:rPr/>
        <w:t>development</w:t>
      </w:r>
      <w:r>
        <w:rPr>
          <w:spacing w:val="-3"/>
        </w:rPr>
        <w:t> </w:t>
      </w:r>
      <w:r>
        <w:rPr/>
        <w:t>was</w:t>
      </w:r>
      <w:r>
        <w:rPr>
          <w:spacing w:val="-5"/>
        </w:rPr>
        <w:t> </w:t>
      </w:r>
      <w:r>
        <w:rPr/>
        <w:t>performed. </w:t>
      </w:r>
      <w:r>
        <w:rPr/>
        <w:t>Sources for the literature review included: periodicals, journal articles, public documents, marketing materials, existing</w:t>
      </w:r>
      <w:r>
        <w:rPr>
          <w:spacing w:val="-14"/>
        </w:rPr>
        <w:t> </w:t>
      </w:r>
      <w:r>
        <w:rPr/>
        <w:t>government</w:t>
      </w:r>
      <w:r>
        <w:rPr>
          <w:spacing w:val="-13"/>
        </w:rPr>
        <w:t> </w:t>
      </w:r>
      <w:r>
        <w:rPr/>
        <w:t>and</w:t>
      </w:r>
      <w:r>
        <w:rPr>
          <w:spacing w:val="-13"/>
        </w:rPr>
        <w:t> </w:t>
      </w:r>
      <w:r>
        <w:rPr/>
        <w:t>industry</w:t>
      </w:r>
      <w:r>
        <w:rPr>
          <w:spacing w:val="-12"/>
        </w:rPr>
        <w:t> </w:t>
      </w:r>
      <w:r>
        <w:rPr/>
        <w:t>reports,</w:t>
      </w:r>
      <w:r>
        <w:rPr>
          <w:spacing w:val="-14"/>
        </w:rPr>
        <w:t> </w:t>
      </w:r>
      <w:r>
        <w:rPr/>
        <w:t>photographs,</w:t>
      </w:r>
      <w:r>
        <w:rPr>
          <w:spacing w:val="-13"/>
        </w:rPr>
        <w:t> </w:t>
      </w:r>
      <w:r>
        <w:rPr/>
        <w:t>and</w:t>
      </w:r>
      <w:r>
        <w:rPr>
          <w:spacing w:val="-15"/>
        </w:rPr>
        <w:t> </w:t>
      </w:r>
      <w:r>
        <w:rPr/>
        <w:t>other</w:t>
      </w:r>
      <w:r>
        <w:rPr>
          <w:spacing w:val="-14"/>
        </w:rPr>
        <w:t> </w:t>
      </w:r>
      <w:r>
        <w:rPr/>
        <w:t>relevant</w:t>
      </w:r>
      <w:r>
        <w:rPr>
          <w:spacing w:val="-13"/>
        </w:rPr>
        <w:t> </w:t>
      </w:r>
      <w:r>
        <w:rPr/>
        <w:t>resources.</w:t>
      </w:r>
      <w:r>
        <w:rPr>
          <w:spacing w:val="24"/>
        </w:rPr>
        <w:t> </w:t>
      </w:r>
      <w:r>
        <w:rPr/>
        <w:t>Throughout</w:t>
      </w:r>
      <w:r>
        <w:rPr>
          <w:spacing w:val="-13"/>
        </w:rPr>
        <w:t> </w:t>
      </w:r>
      <w:r>
        <w:rPr/>
        <w:t>the</w:t>
      </w:r>
      <w:r>
        <w:rPr>
          <w:spacing w:val="-14"/>
        </w:rPr>
        <w:t> </w:t>
      </w:r>
      <w:r>
        <w:rPr/>
        <w:t>development </w:t>
      </w:r>
      <w:r>
        <w:rPr/>
        <w:t>process and in order to facilitate acceptance of, and commitment to, the final strategic tourism plan, the DPITS liaised with the public and private sector organizations that had an interest in tourism development. One of the highlights of this consulting process was the Tourism Summit organized on June 29-30, 2015 in the World Trade Center. The summit brought more than 200 </w:t>
      </w:r>
      <w:r>
        <w:rPr>
          <w:rFonts w:ascii="Calibri" w:hAnsi="Calibri" w:cs="Calibri" w:eastAsia="Calibri" w:hint="default"/>
        </w:rPr>
        <w:t>Curaçao’s tourism </w:t>
      </w:r>
      <w:r>
        <w:rPr/>
        <w:t>stakeholders together in order to peruse the major findings from the research conducted for the 2015-2020 Tourism Master Plan.</w:t>
      </w:r>
      <w:r>
        <w:rPr>
          <w:position w:val="5"/>
          <w:sz w:val="12"/>
          <w:szCs w:val="12"/>
        </w:rPr>
        <w:t>4 </w:t>
      </w:r>
      <w:r>
        <w:rPr/>
        <w:t>The Summit spawned insightful </w:t>
      </w:r>
      <w:r>
        <w:rPr/>
        <w:t>comments and concerns that were eventually integrated into the final draft of the tourism master</w:t>
      </w:r>
      <w:r>
        <w:rPr>
          <w:spacing w:val="-22"/>
        </w:rPr>
        <w:t> </w:t>
      </w:r>
      <w:r>
        <w:rPr/>
        <w:t>plan.</w:t>
      </w:r>
    </w:p>
    <w:p>
      <w:pPr>
        <w:spacing w:line="240" w:lineRule="auto" w:before="2"/>
        <w:ind w:right="0"/>
        <w:rPr>
          <w:rFonts w:ascii="Calibri" w:hAnsi="Calibri" w:cs="Calibri" w:eastAsia="Calibri" w:hint="default"/>
          <w:sz w:val="20"/>
          <w:szCs w:val="20"/>
        </w:rPr>
      </w:pPr>
    </w:p>
    <w:p>
      <w:pPr>
        <w:pStyle w:val="BodyText"/>
        <w:spacing w:line="240" w:lineRule="auto"/>
        <w:ind w:right="1435"/>
        <w:jc w:val="both"/>
      </w:pPr>
      <w:r>
        <w:rPr/>
        <w:t>The result of this process is this report, </w:t>
      </w:r>
      <w:r>
        <w:rPr>
          <w:rFonts w:ascii="Calibri" w:hAnsi="Calibri" w:cs="Calibri" w:eastAsia="Calibri" w:hint="default"/>
        </w:rPr>
        <w:t>“</w:t>
      </w:r>
      <w:r>
        <w:rPr/>
        <w:t>Curaçao: Building on the Power of the Past.</w:t>
      </w:r>
      <w:r>
        <w:rPr>
          <w:rFonts w:ascii="Calibri" w:hAnsi="Calibri" w:cs="Calibri" w:eastAsia="Calibri" w:hint="default"/>
        </w:rPr>
        <w:t>” The DPITS’ research </w:t>
      </w:r>
      <w:r>
        <w:rPr/>
        <w:t>revealed that Curaçao was a prominent destination in the past with a clear brand and a strong competitive position in the international</w:t>
      </w:r>
      <w:r>
        <w:rPr>
          <w:spacing w:val="-7"/>
        </w:rPr>
        <w:t> </w:t>
      </w:r>
      <w:r>
        <w:rPr/>
        <w:t>market.</w:t>
      </w:r>
      <w:r>
        <w:rPr>
          <w:spacing w:val="31"/>
        </w:rPr>
        <w:t> </w:t>
      </w:r>
      <w:r>
        <w:rPr/>
        <w:t>Over</w:t>
      </w:r>
      <w:r>
        <w:rPr>
          <w:spacing w:val="-8"/>
        </w:rPr>
        <w:t> </w:t>
      </w:r>
      <w:r>
        <w:rPr/>
        <w:t>time,</w:t>
      </w:r>
      <w:r>
        <w:rPr>
          <w:spacing w:val="-7"/>
        </w:rPr>
        <w:t> </w:t>
      </w:r>
      <w:r>
        <w:rPr/>
        <w:t>it</w:t>
      </w:r>
      <w:r>
        <w:rPr>
          <w:spacing w:val="-8"/>
        </w:rPr>
        <w:t> </w:t>
      </w:r>
      <w:r>
        <w:rPr/>
        <w:t>seems</w:t>
      </w:r>
      <w:r>
        <w:rPr>
          <w:spacing w:val="-9"/>
        </w:rPr>
        <w:t> </w:t>
      </w:r>
      <w:r>
        <w:rPr/>
        <w:t>the</w:t>
      </w:r>
      <w:r>
        <w:rPr>
          <w:spacing w:val="-9"/>
        </w:rPr>
        <w:t> </w:t>
      </w:r>
      <w:r>
        <w:rPr/>
        <w:t>destination</w:t>
      </w:r>
      <w:r>
        <w:rPr>
          <w:spacing w:val="-7"/>
        </w:rPr>
        <w:t> </w:t>
      </w:r>
      <w:r>
        <w:rPr/>
        <w:t>lost</w:t>
      </w:r>
      <w:r>
        <w:rPr>
          <w:spacing w:val="-7"/>
        </w:rPr>
        <w:t> </w:t>
      </w:r>
      <w:r>
        <w:rPr/>
        <w:t>its</w:t>
      </w:r>
      <w:r>
        <w:rPr>
          <w:spacing w:val="-9"/>
        </w:rPr>
        <w:t> </w:t>
      </w:r>
      <w:r>
        <w:rPr/>
        <w:t>luster</w:t>
      </w:r>
      <w:r>
        <w:rPr>
          <w:spacing w:val="-8"/>
        </w:rPr>
        <w:t> </w:t>
      </w:r>
      <w:r>
        <w:rPr/>
        <w:t>and</w:t>
      </w:r>
      <w:r>
        <w:rPr>
          <w:spacing w:val="-7"/>
        </w:rPr>
        <w:t> </w:t>
      </w:r>
      <w:r>
        <w:rPr/>
        <w:t>its</w:t>
      </w:r>
      <w:r>
        <w:rPr>
          <w:spacing w:val="-9"/>
        </w:rPr>
        <w:t> </w:t>
      </w:r>
      <w:r>
        <w:rPr/>
        <w:t>competitive</w:t>
      </w:r>
      <w:r>
        <w:rPr>
          <w:spacing w:val="-8"/>
        </w:rPr>
        <w:t> </w:t>
      </w:r>
      <w:r>
        <w:rPr/>
        <w:t>position</w:t>
      </w:r>
      <w:r>
        <w:rPr>
          <w:spacing w:val="-7"/>
        </w:rPr>
        <w:t> </w:t>
      </w:r>
      <w:r>
        <w:rPr/>
        <w:t>in</w:t>
      </w:r>
      <w:r>
        <w:rPr>
          <w:spacing w:val="-7"/>
        </w:rPr>
        <w:t> </w:t>
      </w:r>
      <w:r>
        <w:rPr/>
        <w:t>the</w:t>
      </w:r>
      <w:r>
        <w:rPr>
          <w:spacing w:val="-9"/>
        </w:rPr>
        <w:t> </w:t>
      </w:r>
      <w:r>
        <w:rPr/>
        <w:t>Caribbean </w:t>
      </w:r>
      <w:r>
        <w:rPr/>
        <w:t>region pushing the tourism industry and its development to the backburner of Curaçao</w:t>
      </w:r>
      <w:r>
        <w:rPr>
          <w:rFonts w:ascii="Calibri" w:hAnsi="Calibri" w:cs="Calibri" w:eastAsia="Calibri" w:hint="default"/>
        </w:rPr>
        <w:t>’s </w:t>
      </w:r>
      <w:r>
        <w:rPr/>
        <w:t>economy. If the strategies of traction, consolidation, and new horizons that are suggested in this report are effectively implemented, Curaçao will be repositioned as a strong competitive destination in the Caribbean, thereby providing for healthy and prosperous living conditions for its</w:t>
      </w:r>
      <w:r>
        <w:rPr>
          <w:spacing w:val="-24"/>
        </w:rPr>
        <w:t> </w:t>
      </w:r>
      <w:r>
        <w:rPr/>
        <w:t>residents.</w:t>
      </w:r>
    </w:p>
    <w:p>
      <w:pPr>
        <w:spacing w:line="240" w:lineRule="auto" w:before="11"/>
        <w:ind w:right="0"/>
        <w:rPr>
          <w:rFonts w:ascii="Calibri" w:hAnsi="Calibri" w:cs="Calibri" w:eastAsia="Calibri" w:hint="default"/>
          <w:sz w:val="19"/>
          <w:szCs w:val="19"/>
        </w:rPr>
      </w:pPr>
    </w:p>
    <w:p>
      <w:pPr>
        <w:pStyle w:val="BodyText"/>
        <w:spacing w:line="240" w:lineRule="auto"/>
        <w:ind w:right="1437"/>
        <w:jc w:val="both"/>
      </w:pPr>
      <w:r>
        <w:rPr/>
        <w:t>The DPITS suggests positioning the island as, </w:t>
      </w:r>
      <w:r>
        <w:rPr>
          <w:rFonts w:ascii="Calibri" w:hAnsi="Calibri" w:cs="Calibri" w:eastAsia="Calibri" w:hint="default"/>
        </w:rPr>
        <w:t>“Curaçao: A </w:t>
      </w:r>
      <w:r>
        <w:rPr/>
        <w:t>Different Dutch Caribbean</w:t>
      </w:r>
      <w:r>
        <w:rPr>
          <w:rFonts w:ascii="Calibri" w:hAnsi="Calibri" w:cs="Calibri" w:eastAsia="Calibri" w:hint="default"/>
        </w:rPr>
        <w:t>.” This slogan offers tourists a “</w:t>
      </w:r>
      <w:r>
        <w:rPr/>
        <w:t>new</w:t>
      </w:r>
      <w:r>
        <w:rPr>
          <w:rFonts w:ascii="Calibri" w:hAnsi="Calibri" w:cs="Calibri" w:eastAsia="Calibri" w:hint="default"/>
        </w:rPr>
        <w:t>” destination </w:t>
      </w:r>
      <w:r>
        <w:rPr/>
        <w:t>brand, while still forwarding the Car</w:t>
      </w:r>
      <w:r>
        <w:rPr>
          <w:rFonts w:ascii="Calibri" w:hAnsi="Calibri" w:cs="Calibri" w:eastAsia="Calibri" w:hint="default"/>
        </w:rPr>
        <w:t>ibbean’s </w:t>
      </w:r>
      <w:r>
        <w:rPr/>
        <w:t>traditional SSS (sun, sand, and sea) seasoning, and while promoting its safety, stability, organizational prowess, and, finally, its character as a destination finely spiced with a unique blend of eclectic cultures. Curaçao: A Different Dutch Caribbean will provide the impetus to generate nearly 4000 jobs, will germinate 2% real annual economic growth over five years, and will close the RevPAR gap between Curaçao and the Caribbean region from the existing 35% to less than 10% by</w:t>
      </w:r>
      <w:r>
        <w:rPr>
          <w:spacing w:val="-29"/>
        </w:rPr>
        <w:t> </w:t>
      </w:r>
      <w:r>
        <w:rPr/>
        <w:t>2020.</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t>The</w:t>
      </w:r>
      <w:r>
        <w:rPr>
          <w:spacing w:val="-11"/>
        </w:rPr>
        <w:t> </w:t>
      </w:r>
      <w:r>
        <w:rPr/>
        <w:t>future</w:t>
      </w:r>
      <w:r>
        <w:rPr>
          <w:spacing w:val="-10"/>
        </w:rPr>
        <w:t> </w:t>
      </w:r>
      <w:r>
        <w:rPr/>
        <w:t>of</w:t>
      </w:r>
      <w:r>
        <w:rPr>
          <w:spacing w:val="-11"/>
        </w:rPr>
        <w:t> </w:t>
      </w:r>
      <w:r>
        <w:rPr/>
        <w:t>Curaçao</w:t>
      </w:r>
      <w:r>
        <w:rPr>
          <w:spacing w:val="-9"/>
        </w:rPr>
        <w:t> </w:t>
      </w:r>
      <w:r>
        <w:rPr/>
        <w:t>as</w:t>
      </w:r>
      <w:r>
        <w:rPr>
          <w:spacing w:val="-11"/>
        </w:rPr>
        <w:t> </w:t>
      </w:r>
      <w:r>
        <w:rPr/>
        <w:t>a</w:t>
      </w:r>
      <w:r>
        <w:rPr>
          <w:spacing w:val="-10"/>
        </w:rPr>
        <w:t> </w:t>
      </w:r>
      <w:r>
        <w:rPr/>
        <w:t>tourism</w:t>
      </w:r>
      <w:r>
        <w:rPr>
          <w:spacing w:val="-11"/>
        </w:rPr>
        <w:t> </w:t>
      </w:r>
      <w:r>
        <w:rPr/>
        <w:t>destination</w:t>
      </w:r>
      <w:r>
        <w:rPr>
          <w:spacing w:val="-7"/>
        </w:rPr>
        <w:t> </w:t>
      </w:r>
      <w:r>
        <w:rPr/>
        <w:t>is</w:t>
      </w:r>
      <w:r>
        <w:rPr>
          <w:spacing w:val="-12"/>
        </w:rPr>
        <w:t> </w:t>
      </w:r>
      <w:r>
        <w:rPr/>
        <w:t>promising</w:t>
      </w:r>
      <w:r>
        <w:rPr>
          <w:spacing w:val="-10"/>
        </w:rPr>
        <w:t> </w:t>
      </w:r>
      <w:r>
        <w:rPr/>
        <w:t>as</w:t>
      </w:r>
      <w:r>
        <w:rPr>
          <w:spacing w:val="-11"/>
        </w:rPr>
        <w:t> </w:t>
      </w:r>
      <w:r>
        <w:rPr/>
        <w:t>stakeholders,</w:t>
      </w:r>
      <w:r>
        <w:rPr>
          <w:spacing w:val="-10"/>
        </w:rPr>
        <w:t> </w:t>
      </w:r>
      <w:r>
        <w:rPr/>
        <w:t>agencies,</w:t>
      </w:r>
      <w:r>
        <w:rPr>
          <w:spacing w:val="-10"/>
        </w:rPr>
        <w:t> </w:t>
      </w:r>
      <w:r>
        <w:rPr/>
        <w:t>businesses,</w:t>
      </w:r>
      <w:r>
        <w:rPr>
          <w:spacing w:val="-10"/>
        </w:rPr>
        <w:t> </w:t>
      </w:r>
      <w:r>
        <w:rPr/>
        <w:t>policies,</w:t>
      </w:r>
      <w:r>
        <w:rPr>
          <w:spacing w:val="-5"/>
        </w:rPr>
        <w:t> </w:t>
      </w:r>
      <w:r>
        <w:rPr/>
        <w:t>residents, </w:t>
      </w:r>
      <w:r>
        <w:rPr/>
        <w:t>tourism employees, labor unions, etc., work toward the optimization of all that Curaçao has to offer. To determine the processes and procedures involved in this collaborative venture, Curacao commissioned the DPITS to develop the 2015-2020 Strategic Tourism Master Plan. The 2015-2020 Strategic Tourism Master Plan has contributed </w:t>
      </w:r>
      <w:r>
        <w:rPr>
          <w:rFonts w:ascii="Calibri" w:hAnsi="Calibri" w:cs="Calibri" w:eastAsia="Calibri" w:hint="default"/>
        </w:rPr>
        <w:t>rigorous study processes in determining Curacao’s strengths, its needs</w:t>
      </w:r>
      <w:r>
        <w:rPr/>
        <w:t>, its difficulties, and in identifying what made Curaçao a coveted destination in the past. The recommended plan is focused on optimization, thus requiring a strong</w:t>
      </w:r>
      <w:r>
        <w:rPr>
          <w:spacing w:val="-9"/>
        </w:rPr>
        <w:t> </w:t>
      </w:r>
      <w:r>
        <w:rPr/>
        <w:t>focus</w:t>
      </w:r>
      <w:r>
        <w:rPr>
          <w:spacing w:val="-10"/>
        </w:rPr>
        <w:t> </w:t>
      </w:r>
      <w:r>
        <w:rPr/>
        <w:t>on</w:t>
      </w:r>
      <w:r>
        <w:rPr>
          <w:spacing w:val="-9"/>
        </w:rPr>
        <w:t> </w:t>
      </w:r>
      <w:r>
        <w:rPr/>
        <w:t>deliberate</w:t>
      </w:r>
      <w:r>
        <w:rPr>
          <w:spacing w:val="-10"/>
        </w:rPr>
        <w:t> </w:t>
      </w:r>
      <w:r>
        <w:rPr/>
        <w:t>and</w:t>
      </w:r>
      <w:r>
        <w:rPr>
          <w:spacing w:val="-9"/>
        </w:rPr>
        <w:t> </w:t>
      </w:r>
      <w:r>
        <w:rPr/>
        <w:t>instigated</w:t>
      </w:r>
      <w:r>
        <w:rPr>
          <w:spacing w:val="-9"/>
        </w:rPr>
        <w:t> </w:t>
      </w:r>
      <w:r>
        <w:rPr/>
        <w:t>action,</w:t>
      </w:r>
      <w:r>
        <w:rPr>
          <w:spacing w:val="-9"/>
        </w:rPr>
        <w:t> </w:t>
      </w:r>
      <w:r>
        <w:rPr/>
        <w:t>and</w:t>
      </w:r>
      <w:r>
        <w:rPr>
          <w:spacing w:val="-9"/>
        </w:rPr>
        <w:t> </w:t>
      </w:r>
      <w:r>
        <w:rPr/>
        <w:t>on</w:t>
      </w:r>
      <w:r>
        <w:rPr>
          <w:spacing w:val="-9"/>
        </w:rPr>
        <w:t> </w:t>
      </w:r>
      <w:r>
        <w:rPr/>
        <w:t>addressing</w:t>
      </w:r>
      <w:r>
        <w:rPr>
          <w:spacing w:val="-9"/>
        </w:rPr>
        <w:t> </w:t>
      </w:r>
      <w:r>
        <w:rPr/>
        <w:t>factors</w:t>
      </w:r>
      <w:r>
        <w:rPr>
          <w:spacing w:val="-10"/>
        </w:rPr>
        <w:t> </w:t>
      </w:r>
      <w:r>
        <w:rPr/>
        <w:t>that</w:t>
      </w:r>
      <w:r>
        <w:rPr>
          <w:spacing w:val="-8"/>
        </w:rPr>
        <w:t> </w:t>
      </w:r>
      <w:r>
        <w:rPr/>
        <w:t>allowed Curaçao</w:t>
      </w:r>
      <w:r>
        <w:rPr>
          <w:spacing w:val="-8"/>
        </w:rPr>
        <w:t> </w:t>
      </w:r>
      <w:r>
        <w:rPr/>
        <w:t>to</w:t>
      </w:r>
      <w:r>
        <w:rPr>
          <w:spacing w:val="-9"/>
        </w:rPr>
        <w:t> </w:t>
      </w:r>
      <w:r>
        <w:rPr/>
        <w:t>fall</w:t>
      </w:r>
      <w:r>
        <w:rPr>
          <w:spacing w:val="-6"/>
        </w:rPr>
        <w:t> </w:t>
      </w:r>
      <w:r>
        <w:rPr/>
        <w:t>from</w:t>
      </w:r>
      <w:r>
        <w:rPr>
          <w:spacing w:val="-8"/>
        </w:rPr>
        <w:t> </w:t>
      </w:r>
      <w:r>
        <w:rPr/>
        <w:t>its</w:t>
      </w:r>
      <w:r>
        <w:rPr>
          <w:spacing w:val="-8"/>
        </w:rPr>
        <w:t> </w:t>
      </w:r>
      <w:r>
        <w:rPr/>
        <w:t>past, </w:t>
      </w:r>
      <w:r>
        <w:rPr/>
        <w:t>supreme positioning in the tourism market. The plan intends to move what had become an ordinary state of affairs to the extraordinary. However, the willingness to achieve the extraordinary lies firmly in the hands of the people of Curaçao. Building on the power of the past, recognizing its current resources and strengths, and recognizing the power of its future will allow Curaçao to once again realize its full potential to seize and retain market segments, and, once again, become an apex</w:t>
      </w:r>
      <w:r>
        <w:rPr>
          <w:spacing w:val="-15"/>
        </w:rPr>
        <w:t> </w:t>
      </w:r>
      <w:r>
        <w:rPr/>
        <w:t>destination.</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3" w:after="0"/>
        <w:ind w:right="0"/>
        <w:rPr>
          <w:rFonts w:ascii="Calibri" w:hAnsi="Calibri" w:cs="Calibri" w:eastAsia="Calibri" w:hint="default"/>
          <w:sz w:val="19"/>
          <w:szCs w:val="19"/>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7" w:lineRule="auto" w:before="91"/>
        <w:ind w:left="1440" w:right="3852" w:firstLine="0"/>
        <w:jc w:val="left"/>
        <w:rPr>
          <w:rFonts w:ascii="Calibri" w:hAnsi="Calibri" w:cs="Calibri" w:eastAsia="Calibri" w:hint="default"/>
          <w:sz w:val="16"/>
          <w:szCs w:val="16"/>
        </w:rPr>
      </w:pPr>
      <w:r>
        <w:rPr>
          <w:rFonts w:ascii="Calibri"/>
          <w:position w:val="5"/>
          <w:sz w:val="12"/>
        </w:rPr>
        <w:t>4 </w:t>
      </w:r>
      <w:r>
        <w:rPr>
          <w:rFonts w:ascii="Calibri"/>
          <w:sz w:val="16"/>
        </w:rPr>
        <w:t>For the complete set of presentations during the Strategic Tourism Master Plan Summit 2015, please visit </w:t>
      </w:r>
      <w:r>
        <w:rPr>
          <w:rFonts w:ascii="Calibri"/>
          <w:sz w:val="16"/>
        </w:rPr>
      </w:r>
      <w:r>
        <w:rPr>
          <w:rFonts w:ascii="Calibri"/>
          <w:color w:val="0462C1"/>
          <w:sz w:val="16"/>
        </w:rPr>
      </w:r>
      <w:r>
        <w:rPr>
          <w:rFonts w:ascii="Calibri"/>
          <w:color w:val="0462C1"/>
          <w:sz w:val="16"/>
          <w:u w:val="single" w:color="0462C1"/>
        </w:rPr>
      </w:r>
      <w:hyperlink r:id="rId13">
        <w:r>
          <w:rPr>
            <w:rFonts w:ascii="Calibri"/>
            <w:color w:val="0462C1"/>
            <w:sz w:val="16"/>
            <w:u w:val="single" w:color="0462C1"/>
          </w:rPr>
          <w:t>http://www.curacao.com/en/directory/corporate/tourism-master-plan-2015/</w:t>
        </w:r>
        <w:r>
          <w:rPr>
            <w:rFonts w:ascii="Calibri"/>
            <w:color w:val="0462C1"/>
            <w:sz w:val="16"/>
          </w:rPr>
        </w:r>
        <w:r>
          <w:rPr>
            <w:rFonts w:ascii="Calibri"/>
            <w:sz w:val="16"/>
          </w:rPr>
          <w:t>.</w:t>
        </w:r>
      </w:hyperlink>
    </w:p>
    <w:p>
      <w:pPr>
        <w:spacing w:after="0" w:line="247"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3"/>
        <w:ind w:right="0"/>
        <w:rPr>
          <w:rFonts w:ascii="Calibri" w:hAnsi="Calibri" w:cs="Calibri" w:eastAsia="Calibri" w:hint="default"/>
          <w:sz w:val="26"/>
          <w:szCs w:val="26"/>
        </w:rPr>
      </w:pPr>
    </w:p>
    <w:p>
      <w:pPr>
        <w:pStyle w:val="Heading1"/>
        <w:spacing w:line="240" w:lineRule="auto"/>
        <w:ind w:left="5201" w:right="2153" w:hanging="3027"/>
        <w:jc w:val="left"/>
        <w:rPr>
          <w:b w:val="0"/>
          <w:bCs w:val="0"/>
        </w:rPr>
      </w:pPr>
      <w:bookmarkStart w:name="_bookmark17" w:id="18"/>
      <w:bookmarkEnd w:id="18"/>
      <w:r>
        <w:rPr>
          <w:b w:val="0"/>
          <w:bCs w:val="0"/>
        </w:rPr>
      </w:r>
      <w:r>
        <w:rPr/>
        <w:t>Chapter 2: Curaçao</w:t>
      </w:r>
      <w:r>
        <w:rPr>
          <w:rFonts w:ascii="Calibri" w:hAnsi="Calibri" w:cs="Calibri" w:eastAsia="Calibri" w:hint="default"/>
        </w:rPr>
        <w:t>’s O</w:t>
      </w:r>
      <w:r>
        <w:rPr/>
        <w:t>pportunities for Forward Movement</w:t>
      </w:r>
      <w:r>
        <w:rPr>
          <w:b w:val="0"/>
          <w:bCs w:val="0"/>
        </w:rPr>
      </w:r>
    </w:p>
    <w:p>
      <w:pPr>
        <w:pStyle w:val="Heading2"/>
        <w:spacing w:line="240" w:lineRule="auto" w:before="284"/>
        <w:ind w:right="0"/>
        <w:jc w:val="both"/>
        <w:rPr>
          <w:rFonts w:ascii="Calibri" w:hAnsi="Calibri" w:cs="Calibri" w:eastAsia="Calibri" w:hint="default"/>
          <w:b w:val="0"/>
          <w:bCs w:val="0"/>
        </w:rPr>
      </w:pPr>
      <w:bookmarkStart w:name="_bookmark18" w:id="19"/>
      <w:bookmarkEnd w:id="19"/>
      <w:r>
        <w:rPr>
          <w:b w:val="0"/>
          <w:bCs w:val="0"/>
        </w:rPr>
      </w:r>
      <w:r>
        <w:rPr>
          <w:rFonts w:ascii="Calibri" w:hAnsi="Calibri" w:cs="Calibri" w:eastAsia="Calibri" w:hint="default"/>
        </w:rPr>
        <w:t>Curaçao’s strong</w:t>
      </w:r>
      <w:r>
        <w:rPr>
          <w:rFonts w:ascii="Calibri" w:hAnsi="Calibri" w:cs="Calibri" w:eastAsia="Calibri" w:hint="default"/>
          <w:spacing w:val="-9"/>
        </w:rPr>
        <w:t> </w:t>
      </w:r>
      <w:r>
        <w:rPr>
          <w:rFonts w:ascii="Calibri" w:hAnsi="Calibri" w:cs="Calibri" w:eastAsia="Calibri" w:hint="default"/>
        </w:rPr>
        <w:t>past</w:t>
      </w:r>
      <w:r>
        <w:rPr>
          <w:rFonts w:ascii="Calibri" w:hAnsi="Calibri" w:cs="Calibri" w:eastAsia="Calibri" w:hint="default"/>
          <w:b w:val="0"/>
          <w:bCs w:val="0"/>
        </w:rPr>
      </w:r>
    </w:p>
    <w:p>
      <w:pPr>
        <w:pStyle w:val="BodyText"/>
        <w:spacing w:line="240" w:lineRule="auto" w:before="189"/>
        <w:ind w:right="1436"/>
        <w:jc w:val="both"/>
      </w:pPr>
      <w:r>
        <w:rPr>
          <w:rFonts w:ascii="Calibri" w:hAnsi="Calibri" w:cs="Calibri" w:eastAsia="Calibri" w:hint="default"/>
        </w:rPr>
        <w:t>During the 1960’s</w:t>
      </w:r>
      <w:r>
        <w:rPr/>
        <w:t>-</w:t>
      </w:r>
      <w:r>
        <w:rPr>
          <w:rFonts w:ascii="Calibri" w:hAnsi="Calibri" w:cs="Calibri" w:eastAsia="Calibri" w:hint="default"/>
        </w:rPr>
        <w:t>70’s the Netherland Antilles’ tourism industry occupied a top destination position in the </w:t>
      </w:r>
      <w:r>
        <w:rPr/>
        <w:t>Caribbean.</w:t>
      </w:r>
      <w:r>
        <w:rPr>
          <w:spacing w:val="-3"/>
        </w:rPr>
        <w:t> </w:t>
      </w:r>
      <w:r>
        <w:rPr/>
        <w:t>In</w:t>
      </w:r>
      <w:r>
        <w:rPr>
          <w:spacing w:val="-3"/>
        </w:rPr>
        <w:t> </w:t>
      </w:r>
      <w:r>
        <w:rPr/>
        <w:t>review</w:t>
      </w:r>
      <w:r>
        <w:rPr>
          <w:spacing w:val="-4"/>
        </w:rPr>
        <w:t> </w:t>
      </w:r>
      <w:r>
        <w:rPr/>
        <w:t>of</w:t>
      </w:r>
      <w:r>
        <w:rPr>
          <w:spacing w:val="-5"/>
        </w:rPr>
        <w:t> </w:t>
      </w:r>
      <w:r>
        <w:rPr/>
        <w:t>the</w:t>
      </w:r>
      <w:r>
        <w:rPr>
          <w:spacing w:val="-4"/>
        </w:rPr>
        <w:t> </w:t>
      </w:r>
      <w:r>
        <w:rPr/>
        <w:t>Netherland</w:t>
      </w:r>
      <w:r>
        <w:rPr>
          <w:spacing w:val="-3"/>
        </w:rPr>
        <w:t> </w:t>
      </w:r>
      <w:r>
        <w:rPr/>
        <w:t>Antille</w:t>
      </w:r>
      <w:r>
        <w:rPr>
          <w:rFonts w:ascii="Calibri" w:hAnsi="Calibri" w:cs="Calibri" w:eastAsia="Calibri" w:hint="default"/>
        </w:rPr>
        <w:t>s’</w:t>
      </w:r>
      <w:r>
        <w:rPr>
          <w:rFonts w:ascii="Calibri" w:hAnsi="Calibri" w:cs="Calibri" w:eastAsia="Calibri" w:hint="default"/>
          <w:spacing w:val="-3"/>
        </w:rPr>
        <w:t> </w:t>
      </w:r>
      <w:r>
        <w:rPr>
          <w:rFonts w:ascii="Calibri" w:hAnsi="Calibri" w:cs="Calibri" w:eastAsia="Calibri" w:hint="default"/>
        </w:rPr>
        <w:t>total</w:t>
      </w:r>
      <w:r>
        <w:rPr>
          <w:rFonts w:ascii="Calibri" w:hAnsi="Calibri" w:cs="Calibri" w:eastAsia="Calibri" w:hint="default"/>
          <w:spacing w:val="-4"/>
        </w:rPr>
        <w:t> </w:t>
      </w:r>
      <w:r>
        <w:rPr>
          <w:rFonts w:ascii="Calibri" w:hAnsi="Calibri" w:cs="Calibri" w:eastAsia="Calibri" w:hint="default"/>
        </w:rPr>
        <w:t>performance,</w:t>
      </w:r>
      <w:r>
        <w:rPr>
          <w:rFonts w:ascii="Calibri" w:hAnsi="Calibri" w:cs="Calibri" w:eastAsia="Calibri" w:hint="default"/>
          <w:spacing w:val="-3"/>
        </w:rPr>
        <w:t> </w:t>
      </w:r>
      <w:r>
        <w:rPr>
          <w:rFonts w:ascii="Calibri" w:hAnsi="Calibri" w:cs="Calibri" w:eastAsia="Calibri" w:hint="default"/>
        </w:rPr>
        <w:t>Curaçao’s</w:t>
      </w:r>
      <w:r>
        <w:rPr>
          <w:rFonts w:ascii="Calibri" w:hAnsi="Calibri" w:cs="Calibri" w:eastAsia="Calibri" w:hint="default"/>
          <w:spacing w:val="-5"/>
        </w:rPr>
        <w:t> </w:t>
      </w:r>
      <w:r>
        <w:rPr>
          <w:rFonts w:ascii="Calibri" w:hAnsi="Calibri" w:cs="Calibri" w:eastAsia="Calibri" w:hint="default"/>
        </w:rPr>
        <w:t>overall</w:t>
      </w:r>
      <w:r>
        <w:rPr>
          <w:rFonts w:ascii="Calibri" w:hAnsi="Calibri" w:cs="Calibri" w:eastAsia="Calibri" w:hint="default"/>
          <w:spacing w:val="-4"/>
        </w:rPr>
        <w:t> </w:t>
      </w:r>
      <w:r>
        <w:rPr>
          <w:rFonts w:ascii="Calibri" w:hAnsi="Calibri" w:cs="Calibri" w:eastAsia="Calibri" w:hint="default"/>
        </w:rPr>
        <w:t>tourism</w:t>
      </w:r>
      <w:r>
        <w:rPr>
          <w:rFonts w:ascii="Calibri" w:hAnsi="Calibri" w:cs="Calibri" w:eastAsia="Calibri" w:hint="default"/>
          <w:spacing w:val="-4"/>
        </w:rPr>
        <w:t> </w:t>
      </w:r>
      <w:r>
        <w:rPr>
          <w:rFonts w:ascii="Calibri" w:hAnsi="Calibri" w:cs="Calibri" w:eastAsia="Calibri" w:hint="default"/>
        </w:rPr>
        <w:t>industry</w:t>
      </w:r>
      <w:r>
        <w:rPr>
          <w:rFonts w:ascii="Calibri" w:hAnsi="Calibri" w:cs="Calibri" w:eastAsia="Calibri" w:hint="default"/>
          <w:spacing w:val="-2"/>
        </w:rPr>
        <w:t> </w:t>
      </w:r>
      <w:r>
        <w:rPr>
          <w:rFonts w:ascii="Calibri" w:hAnsi="Calibri" w:cs="Calibri" w:eastAsia="Calibri" w:hint="default"/>
        </w:rPr>
        <w:t>performance </w:t>
      </w:r>
      <w:r>
        <w:rPr>
          <w:rFonts w:ascii="Calibri" w:hAnsi="Calibri" w:cs="Calibri" w:eastAsia="Calibri" w:hint="default"/>
        </w:rPr>
      </w:r>
      <w:r>
        <w:rPr/>
        <w:t>was well above Aruba, Bonaire, and St. </w:t>
      </w:r>
      <w:r>
        <w:rPr>
          <w:rFonts w:ascii="Calibri" w:hAnsi="Calibri" w:cs="Calibri" w:eastAsia="Calibri" w:hint="default"/>
        </w:rPr>
        <w:t>Maarten. The high performance of Curaçao’s tourism industry at that time </w:t>
      </w:r>
      <w:r>
        <w:rPr/>
        <w:t>seemed</w:t>
      </w:r>
      <w:r>
        <w:rPr>
          <w:spacing w:val="-9"/>
        </w:rPr>
        <w:t> </w:t>
      </w:r>
      <w:r>
        <w:rPr/>
        <w:t>based</w:t>
      </w:r>
      <w:r>
        <w:rPr>
          <w:spacing w:val="-9"/>
        </w:rPr>
        <w:t> </w:t>
      </w:r>
      <w:r>
        <w:rPr/>
        <w:t>on</w:t>
      </w:r>
      <w:r>
        <w:rPr>
          <w:spacing w:val="-9"/>
        </w:rPr>
        <w:t> </w:t>
      </w:r>
      <w:r>
        <w:rPr/>
        <w:t>desirable</w:t>
      </w:r>
      <w:r>
        <w:rPr>
          <w:spacing w:val="-8"/>
        </w:rPr>
        <w:t> </w:t>
      </w:r>
      <w:r>
        <w:rPr/>
        <w:t>weather</w:t>
      </w:r>
      <w:r>
        <w:rPr>
          <w:spacing w:val="-9"/>
        </w:rPr>
        <w:t> </w:t>
      </w:r>
      <w:r>
        <w:rPr/>
        <w:t>factors,</w:t>
      </w:r>
      <w:r>
        <w:rPr>
          <w:spacing w:val="-9"/>
        </w:rPr>
        <w:t> </w:t>
      </w:r>
      <w:r>
        <w:rPr/>
        <w:t>the</w:t>
      </w:r>
      <w:r>
        <w:rPr>
          <w:spacing w:val="-8"/>
        </w:rPr>
        <w:t> </w:t>
      </w:r>
      <w:r>
        <w:rPr/>
        <w:t>success</w:t>
      </w:r>
      <w:r>
        <w:rPr>
          <w:spacing w:val="-10"/>
        </w:rPr>
        <w:t> </w:t>
      </w:r>
      <w:r>
        <w:rPr/>
        <w:t>within</w:t>
      </w:r>
      <w:r>
        <w:rPr>
          <w:spacing w:val="-9"/>
        </w:rPr>
        <w:t> </w:t>
      </w:r>
      <w:r>
        <w:rPr/>
        <w:t>the</w:t>
      </w:r>
      <w:r>
        <w:rPr>
          <w:spacing w:val="-10"/>
        </w:rPr>
        <w:t> </w:t>
      </w:r>
      <w:r>
        <w:rPr/>
        <w:t>cruise</w:t>
      </w:r>
      <w:r>
        <w:rPr>
          <w:spacing w:val="-8"/>
        </w:rPr>
        <w:t> </w:t>
      </w:r>
      <w:r>
        <w:rPr/>
        <w:t>industry,</w:t>
      </w:r>
      <w:r>
        <w:rPr>
          <w:spacing w:val="-9"/>
        </w:rPr>
        <w:t> </w:t>
      </w:r>
      <w:r>
        <w:rPr/>
        <w:t>strong</w:t>
      </w:r>
      <w:r>
        <w:rPr>
          <w:spacing w:val="-7"/>
        </w:rPr>
        <w:t> </w:t>
      </w:r>
      <w:r>
        <w:rPr/>
        <w:t>skills</w:t>
      </w:r>
      <w:r>
        <w:rPr>
          <w:spacing w:val="-8"/>
        </w:rPr>
        <w:t> </w:t>
      </w:r>
      <w:r>
        <w:rPr/>
        <w:t>and</w:t>
      </w:r>
      <w:r>
        <w:rPr>
          <w:spacing w:val="-9"/>
        </w:rPr>
        <w:t> </w:t>
      </w:r>
      <w:r>
        <w:rPr/>
        <w:t>network</w:t>
      </w:r>
      <w:r>
        <w:rPr>
          <w:spacing w:val="-8"/>
        </w:rPr>
        <w:t> </w:t>
      </w:r>
      <w:r>
        <w:rPr/>
        <w:t>in</w:t>
      </w:r>
      <w:r>
        <w:rPr>
          <w:spacing w:val="-9"/>
        </w:rPr>
        <w:t> </w:t>
      </w:r>
      <w:r>
        <w:rPr/>
        <w:t>retail </w:t>
      </w:r>
      <w:r>
        <w:rPr/>
      </w:r>
      <w:r>
        <w:rPr>
          <w:rFonts w:ascii="Calibri" w:hAnsi="Calibri" w:cs="Calibri" w:eastAsia="Calibri" w:hint="default"/>
        </w:rPr>
        <w:t>business, and Curaçao’s investment in tourism’s infrastructure (e.g. airport, port, hotel construction). Additionally, Curaçao’s traditional commercial enterprises seemed more interested in tourism than in indu</w:t>
      </w:r>
      <w:r>
        <w:rPr/>
        <w:t>strial diversification. Therefore, capital allocation was yielded toward the tourism sector for its continued improvement. Table 1 depicts </w:t>
      </w:r>
      <w:r>
        <w:rPr>
          <w:rFonts w:ascii="Calibri" w:hAnsi="Calibri" w:cs="Calibri" w:eastAsia="Calibri" w:hint="default"/>
        </w:rPr>
        <w:t>the success of Curaçao’s tourism industry when compared to other Antilles’ destinations during the 1960’s and 1970’</w:t>
      </w:r>
      <w:r>
        <w:rPr/>
        <w:t>s.</w:t>
      </w:r>
    </w:p>
    <w:p>
      <w:pPr>
        <w:pStyle w:val="Heading9"/>
        <w:spacing w:line="240" w:lineRule="auto" w:after="37"/>
        <w:ind w:right="26"/>
        <w:jc w:val="center"/>
        <w:rPr>
          <w:rFonts w:ascii="Calibri" w:hAnsi="Calibri" w:cs="Calibri" w:eastAsia="Calibri" w:hint="default"/>
          <w:b w:val="0"/>
          <w:bCs w:val="0"/>
        </w:rPr>
      </w:pPr>
      <w:bookmarkStart w:name="_bookmark19" w:id="20"/>
      <w:bookmarkEnd w:id="20"/>
      <w:r>
        <w:rPr>
          <w:b w:val="0"/>
          <w:bCs w:val="0"/>
        </w:rPr>
      </w:r>
      <w:r>
        <w:rPr/>
        <w:t>Table 1:  </w:t>
      </w:r>
      <w:r>
        <w:rPr>
          <w:rFonts w:ascii="Calibri" w:hAnsi="Calibri" w:cs="Calibri" w:eastAsia="Calibri" w:hint="default"/>
        </w:rPr>
        <w:t>Curaçao’s position in the 1960’s </w:t>
      </w:r>
      <w:r>
        <w:rPr/>
        <w:t>-</w:t>
      </w:r>
      <w:r>
        <w:rPr>
          <w:spacing w:val="-15"/>
        </w:rPr>
        <w:t> </w:t>
      </w:r>
      <w:r>
        <w:rPr/>
        <w:t>19</w:t>
      </w:r>
      <w:r>
        <w:rPr>
          <w:rFonts w:ascii="Calibri" w:hAnsi="Calibri" w:cs="Calibri" w:eastAsia="Calibri" w:hint="default"/>
        </w:rPr>
        <w:t>70’s</w:t>
      </w:r>
      <w:r>
        <w:rPr>
          <w:rFonts w:ascii="Calibri" w:hAnsi="Calibri" w:cs="Calibri" w:eastAsia="Calibri" w:hint="default"/>
          <w:b w:val="0"/>
          <w:bCs w:val="0"/>
        </w:rPr>
      </w:r>
    </w:p>
    <w:tbl>
      <w:tblPr>
        <w:tblW w:w="0" w:type="auto"/>
        <w:jc w:val="left"/>
        <w:tblInd w:w="1440" w:type="dxa"/>
        <w:tblLayout w:type="fixed"/>
        <w:tblCellMar>
          <w:top w:w="0" w:type="dxa"/>
          <w:left w:w="0" w:type="dxa"/>
          <w:bottom w:w="0" w:type="dxa"/>
          <w:right w:w="0" w:type="dxa"/>
        </w:tblCellMar>
        <w:tblLook w:val="01E0"/>
      </w:tblPr>
      <w:tblGrid>
        <w:gridCol w:w="1850"/>
        <w:gridCol w:w="1578"/>
        <w:gridCol w:w="1193"/>
        <w:gridCol w:w="1473"/>
        <w:gridCol w:w="847"/>
        <w:gridCol w:w="1195"/>
        <w:gridCol w:w="1211"/>
      </w:tblGrid>
      <w:tr>
        <w:trPr>
          <w:trHeight w:val="204" w:hRule="exact"/>
        </w:trPr>
        <w:tc>
          <w:tcPr>
            <w:tcW w:w="9347" w:type="dxa"/>
            <w:gridSpan w:val="7"/>
            <w:tcBorders>
              <w:top w:val="nil" w:sz="6" w:space="0" w:color="auto"/>
              <w:left w:val="nil" w:sz="6" w:space="0" w:color="auto"/>
              <w:bottom w:val="nil" w:sz="6" w:space="0" w:color="auto"/>
              <w:right w:val="nil" w:sz="6" w:space="0" w:color="auto"/>
            </w:tcBorders>
          </w:tcPr>
          <w:p>
            <w:pPr>
              <w:pStyle w:val="TableParagraph"/>
              <w:tabs>
                <w:tab w:pos="2489" w:val="left" w:leader="none"/>
                <w:tab w:pos="9346" w:val="left" w:leader="none"/>
              </w:tabs>
              <w:spacing w:line="183" w:lineRule="exact"/>
              <w:ind w:right="0"/>
              <w:jc w:val="left"/>
              <w:rPr>
                <w:rFonts w:ascii="Calibri" w:hAnsi="Calibri" w:cs="Calibri" w:eastAsia="Calibri" w:hint="default"/>
                <w:sz w:val="18"/>
                <w:szCs w:val="18"/>
              </w:rPr>
            </w:pPr>
            <w:r>
              <w:rPr>
                <w:rFonts w:ascii="Calibri" w:hAnsi="Calibri" w:cs="Calibri" w:eastAsia="Calibri" w:hint="default"/>
                <w:b/>
                <w:bCs/>
                <w:sz w:val="18"/>
                <w:szCs w:val="18"/>
              </w:rPr>
            </w:r>
            <w:r>
              <w:rPr>
                <w:rFonts w:ascii="Calibri" w:hAnsi="Calibri" w:cs="Calibri" w:eastAsia="Calibri" w:hint="default"/>
                <w:b/>
                <w:bCs/>
                <w:sz w:val="18"/>
                <w:szCs w:val="18"/>
                <w:u w:val="single" w:color="000000"/>
              </w:rPr>
              <w:t> </w:t>
              <w:tab/>
              <w:t>Development of Tourism in the Netherlands Antilles</w:t>
            </w:r>
            <w:r>
              <w:rPr>
                <w:rFonts w:ascii="Calibri" w:hAnsi="Calibri" w:cs="Calibri" w:eastAsia="Calibri" w:hint="default"/>
                <w:b/>
                <w:bCs/>
                <w:spacing w:val="-19"/>
                <w:sz w:val="18"/>
                <w:szCs w:val="18"/>
                <w:u w:val="single" w:color="000000"/>
              </w:rPr>
              <w:t> </w:t>
            </w:r>
            <w:r>
              <w:rPr>
                <w:rFonts w:ascii="Calibri" w:hAnsi="Calibri" w:cs="Calibri" w:eastAsia="Calibri" w:hint="default"/>
                <w:b/>
                <w:bCs/>
                <w:sz w:val="18"/>
                <w:szCs w:val="18"/>
                <w:u w:val="single" w:color="000000"/>
              </w:rPr>
              <w:t>(</w:t>
            </w:r>
            <w:r>
              <w:rPr>
                <w:rFonts w:ascii="Calibri" w:hAnsi="Calibri" w:cs="Calibri" w:eastAsia="Calibri" w:hint="default"/>
                <w:b/>
                <w:bCs/>
                <w:sz w:val="18"/>
                <w:szCs w:val="18"/>
                <w:u w:val="single" w:color="000000"/>
              </w:rPr>
              <w:t>‘</w:t>
            </w:r>
            <w:r>
              <w:rPr>
                <w:rFonts w:ascii="Calibri" w:hAnsi="Calibri" w:cs="Calibri" w:eastAsia="Calibri" w:hint="default"/>
                <w:b/>
                <w:bCs/>
                <w:sz w:val="18"/>
                <w:szCs w:val="18"/>
                <w:u w:val="single" w:color="000000"/>
              </w:rPr>
              <w:t>000)</w:t>
              <w:tab/>
            </w:r>
            <w:r>
              <w:rPr>
                <w:rFonts w:ascii="Calibri" w:hAnsi="Calibri" w:cs="Calibri" w:eastAsia="Calibri" w:hint="default"/>
                <w:b/>
                <w:bCs/>
                <w:sz w:val="18"/>
                <w:szCs w:val="18"/>
              </w:rPr>
            </w:r>
            <w:r>
              <w:rPr>
                <w:rFonts w:ascii="Calibri" w:hAnsi="Calibri" w:cs="Calibri" w:eastAsia="Calibri" w:hint="default"/>
                <w:sz w:val="18"/>
                <w:szCs w:val="18"/>
              </w:rPr>
            </w:r>
          </w:p>
        </w:tc>
      </w:tr>
      <w:tr>
        <w:trPr>
          <w:trHeight w:val="219" w:hRule="exact"/>
        </w:trPr>
        <w:tc>
          <w:tcPr>
            <w:tcW w:w="1850" w:type="dxa"/>
            <w:tcBorders>
              <w:top w:val="nil" w:sz="6" w:space="0" w:color="auto"/>
              <w:left w:val="nil" w:sz="6" w:space="0" w:color="auto"/>
              <w:bottom w:val="single" w:sz="8" w:space="0" w:color="000000"/>
              <w:right w:val="nil" w:sz="6" w:space="0" w:color="auto"/>
            </w:tcBorders>
          </w:tcPr>
          <w:p>
            <w:pPr>
              <w:pStyle w:val="TableParagraph"/>
              <w:spacing w:line="207" w:lineRule="exact"/>
              <w:ind w:left="189" w:right="0"/>
              <w:jc w:val="left"/>
              <w:rPr>
                <w:rFonts w:ascii="Calibri" w:hAnsi="Calibri" w:cs="Calibri" w:eastAsia="Calibri" w:hint="default"/>
                <w:sz w:val="18"/>
                <w:szCs w:val="18"/>
              </w:rPr>
            </w:pPr>
            <w:r>
              <w:rPr>
                <w:rFonts w:ascii="Calibri"/>
                <w:b/>
                <w:sz w:val="18"/>
              </w:rPr>
              <w:t>Country</w:t>
            </w:r>
            <w:r>
              <w:rPr>
                <w:rFonts w:ascii="Calibri"/>
                <w:sz w:val="18"/>
              </w:rPr>
            </w:r>
          </w:p>
        </w:tc>
        <w:tc>
          <w:tcPr>
            <w:tcW w:w="1578" w:type="dxa"/>
            <w:tcBorders>
              <w:top w:val="nil" w:sz="6" w:space="0" w:color="auto"/>
              <w:left w:val="nil" w:sz="6" w:space="0" w:color="auto"/>
              <w:bottom w:val="single" w:sz="8" w:space="0" w:color="000000"/>
              <w:right w:val="nil" w:sz="6" w:space="0" w:color="auto"/>
            </w:tcBorders>
          </w:tcPr>
          <w:p>
            <w:pPr/>
          </w:p>
        </w:tc>
        <w:tc>
          <w:tcPr>
            <w:tcW w:w="2665" w:type="dxa"/>
            <w:gridSpan w:val="2"/>
            <w:tcBorders>
              <w:top w:val="nil" w:sz="6" w:space="0" w:color="auto"/>
              <w:left w:val="nil" w:sz="6" w:space="0" w:color="auto"/>
              <w:bottom w:val="single" w:sz="8" w:space="0" w:color="000000"/>
              <w:right w:val="nil" w:sz="6" w:space="0" w:color="auto"/>
            </w:tcBorders>
          </w:tcPr>
          <w:p>
            <w:pPr>
              <w:pStyle w:val="TableParagraph"/>
              <w:spacing w:line="207" w:lineRule="exact"/>
              <w:ind w:left="482" w:right="0"/>
              <w:jc w:val="left"/>
              <w:rPr>
                <w:rFonts w:ascii="Calibri" w:hAnsi="Calibri" w:cs="Calibri" w:eastAsia="Calibri" w:hint="default"/>
                <w:sz w:val="18"/>
                <w:szCs w:val="18"/>
              </w:rPr>
            </w:pPr>
            <w:r>
              <w:rPr>
                <w:rFonts w:ascii="Calibri"/>
                <w:b/>
                <w:sz w:val="18"/>
              </w:rPr>
              <w:t>Stay-over</w:t>
            </w:r>
            <w:r>
              <w:rPr>
                <w:rFonts w:ascii="Calibri"/>
                <w:b/>
                <w:spacing w:val="-7"/>
                <w:sz w:val="18"/>
              </w:rPr>
              <w:t> </w:t>
            </w:r>
            <w:r>
              <w:rPr>
                <w:rFonts w:ascii="Calibri"/>
                <w:b/>
                <w:sz w:val="18"/>
              </w:rPr>
              <w:t>tourists</w:t>
            </w:r>
            <w:r>
              <w:rPr>
                <w:rFonts w:ascii="Calibri"/>
                <w:sz w:val="18"/>
              </w:rPr>
            </w:r>
          </w:p>
        </w:tc>
        <w:tc>
          <w:tcPr>
            <w:tcW w:w="3254" w:type="dxa"/>
            <w:gridSpan w:val="3"/>
            <w:tcBorders>
              <w:top w:val="nil" w:sz="6" w:space="0" w:color="auto"/>
              <w:left w:val="nil" w:sz="6" w:space="0" w:color="auto"/>
              <w:bottom w:val="single" w:sz="8" w:space="0" w:color="000000"/>
              <w:right w:val="nil" w:sz="6" w:space="0" w:color="auto"/>
            </w:tcBorders>
          </w:tcPr>
          <w:p>
            <w:pPr>
              <w:pStyle w:val="TableParagraph"/>
              <w:spacing w:line="207" w:lineRule="exact"/>
              <w:ind w:left="1506" w:right="0"/>
              <w:jc w:val="left"/>
              <w:rPr>
                <w:rFonts w:ascii="Calibri" w:hAnsi="Calibri" w:cs="Calibri" w:eastAsia="Calibri" w:hint="default"/>
                <w:sz w:val="18"/>
                <w:szCs w:val="18"/>
              </w:rPr>
            </w:pPr>
            <w:r>
              <w:rPr>
                <w:rFonts w:ascii="Calibri"/>
                <w:b/>
                <w:sz w:val="18"/>
              </w:rPr>
              <w:t>Cruise</w:t>
            </w:r>
            <w:r>
              <w:rPr>
                <w:rFonts w:ascii="Calibri"/>
                <w:b/>
                <w:spacing w:val="-4"/>
                <w:sz w:val="18"/>
              </w:rPr>
              <w:t> </w:t>
            </w:r>
            <w:r>
              <w:rPr>
                <w:rFonts w:ascii="Calibri"/>
                <w:b/>
                <w:sz w:val="18"/>
              </w:rPr>
              <w:t>tourists</w:t>
            </w:r>
            <w:r>
              <w:rPr>
                <w:rFonts w:ascii="Calibri"/>
                <w:sz w:val="18"/>
              </w:rPr>
            </w:r>
          </w:p>
        </w:tc>
      </w:tr>
      <w:tr>
        <w:trPr>
          <w:trHeight w:val="240" w:hRule="exact"/>
        </w:trPr>
        <w:tc>
          <w:tcPr>
            <w:tcW w:w="1850" w:type="dxa"/>
            <w:tcBorders>
              <w:top w:val="single" w:sz="8" w:space="0" w:color="000000"/>
              <w:left w:val="nil" w:sz="6" w:space="0" w:color="auto"/>
              <w:bottom w:val="single" w:sz="8" w:space="0" w:color="000000"/>
              <w:right w:val="nil" w:sz="6" w:space="0" w:color="auto"/>
            </w:tcBorders>
          </w:tcPr>
          <w:p>
            <w:pPr/>
          </w:p>
        </w:tc>
        <w:tc>
          <w:tcPr>
            <w:tcW w:w="2771" w:type="dxa"/>
            <w:gridSpan w:val="2"/>
            <w:tcBorders>
              <w:top w:val="single" w:sz="8" w:space="0" w:color="000000"/>
              <w:left w:val="nil" w:sz="6" w:space="0" w:color="auto"/>
              <w:bottom w:val="single" w:sz="8" w:space="0" w:color="000000"/>
              <w:right w:val="nil" w:sz="6" w:space="0" w:color="auto"/>
            </w:tcBorders>
          </w:tcPr>
          <w:p>
            <w:pPr>
              <w:pStyle w:val="TableParagraph"/>
              <w:spacing w:line="219" w:lineRule="exact"/>
              <w:ind w:left="891" w:right="0"/>
              <w:jc w:val="left"/>
              <w:rPr>
                <w:rFonts w:ascii="Calibri" w:hAnsi="Calibri" w:cs="Calibri" w:eastAsia="Calibri" w:hint="default"/>
                <w:sz w:val="18"/>
                <w:szCs w:val="18"/>
              </w:rPr>
            </w:pPr>
            <w:r>
              <w:rPr>
                <w:rFonts w:ascii="Calibri"/>
                <w:b/>
                <w:sz w:val="18"/>
              </w:rPr>
              <w:t>Absolute</w:t>
            </w:r>
            <w:r>
              <w:rPr>
                <w:rFonts w:ascii="Calibri"/>
                <w:b/>
                <w:spacing w:val="-8"/>
                <w:sz w:val="18"/>
              </w:rPr>
              <w:t> </w:t>
            </w:r>
            <w:r>
              <w:rPr>
                <w:rFonts w:ascii="Calibri"/>
                <w:b/>
                <w:sz w:val="18"/>
              </w:rPr>
              <w:t>numbers</w:t>
            </w:r>
            <w:r>
              <w:rPr>
                <w:rFonts w:ascii="Calibri"/>
                <w:sz w:val="18"/>
              </w:rPr>
            </w:r>
          </w:p>
        </w:tc>
        <w:tc>
          <w:tcPr>
            <w:tcW w:w="1473" w:type="dxa"/>
            <w:tcBorders>
              <w:top w:val="single" w:sz="8" w:space="0" w:color="000000"/>
              <w:left w:val="nil" w:sz="6" w:space="0" w:color="auto"/>
              <w:bottom w:val="single" w:sz="8" w:space="0" w:color="000000"/>
              <w:right w:val="nil" w:sz="6" w:space="0" w:color="auto"/>
            </w:tcBorders>
          </w:tcPr>
          <w:p>
            <w:pPr>
              <w:pStyle w:val="TableParagraph"/>
              <w:spacing w:line="219" w:lineRule="exact"/>
              <w:ind w:left="919" w:right="0"/>
              <w:jc w:val="left"/>
              <w:rPr>
                <w:rFonts w:ascii="Calibri" w:hAnsi="Calibri" w:cs="Calibri" w:eastAsia="Calibri" w:hint="default"/>
                <w:sz w:val="18"/>
                <w:szCs w:val="18"/>
              </w:rPr>
            </w:pPr>
            <w:r>
              <w:rPr>
                <w:rFonts w:ascii="Calibri"/>
                <w:b/>
                <w:sz w:val="18"/>
              </w:rPr>
              <w:t>Nights</w:t>
            </w:r>
            <w:r>
              <w:rPr>
                <w:rFonts w:ascii="Calibri"/>
                <w:sz w:val="18"/>
              </w:rPr>
            </w:r>
          </w:p>
        </w:tc>
        <w:tc>
          <w:tcPr>
            <w:tcW w:w="847" w:type="dxa"/>
            <w:tcBorders>
              <w:top w:val="single" w:sz="8" w:space="0" w:color="000000"/>
              <w:left w:val="nil" w:sz="6" w:space="0" w:color="auto"/>
              <w:bottom w:val="single" w:sz="8" w:space="0" w:color="000000"/>
              <w:right w:val="nil" w:sz="6" w:space="0" w:color="auto"/>
            </w:tcBorders>
          </w:tcPr>
          <w:p>
            <w:pPr/>
          </w:p>
        </w:tc>
        <w:tc>
          <w:tcPr>
            <w:tcW w:w="2407" w:type="dxa"/>
            <w:gridSpan w:val="2"/>
            <w:tcBorders>
              <w:top w:val="single" w:sz="8" w:space="0" w:color="000000"/>
              <w:left w:val="nil" w:sz="6" w:space="0" w:color="auto"/>
              <w:bottom w:val="single" w:sz="8" w:space="0" w:color="000000"/>
              <w:right w:val="nil" w:sz="6" w:space="0" w:color="auto"/>
            </w:tcBorders>
          </w:tcPr>
          <w:p>
            <w:pPr>
              <w:pStyle w:val="TableParagraph"/>
              <w:spacing w:line="219" w:lineRule="exact"/>
              <w:ind w:left="509" w:right="0"/>
              <w:jc w:val="left"/>
              <w:rPr>
                <w:rFonts w:ascii="Calibri" w:hAnsi="Calibri" w:cs="Calibri" w:eastAsia="Calibri" w:hint="default"/>
                <w:sz w:val="18"/>
                <w:szCs w:val="18"/>
              </w:rPr>
            </w:pPr>
            <w:r>
              <w:rPr>
                <w:rFonts w:ascii="Calibri"/>
                <w:b/>
                <w:sz w:val="18"/>
              </w:rPr>
              <w:t>Absolute</w:t>
            </w:r>
            <w:r>
              <w:rPr>
                <w:rFonts w:ascii="Calibri"/>
                <w:b/>
                <w:spacing w:val="-8"/>
                <w:sz w:val="18"/>
              </w:rPr>
              <w:t> </w:t>
            </w:r>
            <w:r>
              <w:rPr>
                <w:rFonts w:ascii="Calibri"/>
                <w:b/>
                <w:sz w:val="18"/>
              </w:rPr>
              <w:t>numbers</w:t>
            </w:r>
            <w:r>
              <w:rPr>
                <w:rFonts w:ascii="Calibri"/>
                <w:sz w:val="18"/>
              </w:rPr>
            </w:r>
          </w:p>
        </w:tc>
      </w:tr>
      <w:tr>
        <w:trPr>
          <w:trHeight w:val="245" w:hRule="exact"/>
        </w:trPr>
        <w:tc>
          <w:tcPr>
            <w:tcW w:w="1850" w:type="dxa"/>
            <w:tcBorders>
              <w:top w:val="single" w:sz="8" w:space="0" w:color="000000"/>
              <w:left w:val="nil" w:sz="6" w:space="0" w:color="auto"/>
              <w:bottom w:val="nil" w:sz="6" w:space="0" w:color="auto"/>
              <w:right w:val="nil" w:sz="6" w:space="0" w:color="auto"/>
            </w:tcBorders>
          </w:tcPr>
          <w:p>
            <w:pPr/>
          </w:p>
        </w:tc>
        <w:tc>
          <w:tcPr>
            <w:tcW w:w="1578" w:type="dxa"/>
            <w:tcBorders>
              <w:top w:val="single" w:sz="8" w:space="0" w:color="000000"/>
              <w:left w:val="nil" w:sz="6" w:space="0" w:color="auto"/>
              <w:bottom w:val="nil" w:sz="6" w:space="0" w:color="auto"/>
              <w:right w:val="nil" w:sz="6" w:space="0" w:color="auto"/>
            </w:tcBorders>
          </w:tcPr>
          <w:p>
            <w:pPr>
              <w:pStyle w:val="TableParagraph"/>
              <w:spacing w:line="219" w:lineRule="exact"/>
              <w:ind w:left="368" w:right="0"/>
              <w:jc w:val="center"/>
              <w:rPr>
                <w:rFonts w:ascii="Calibri" w:hAnsi="Calibri" w:cs="Calibri" w:eastAsia="Calibri" w:hint="default"/>
                <w:sz w:val="18"/>
                <w:szCs w:val="18"/>
              </w:rPr>
            </w:pPr>
            <w:r>
              <w:rPr>
                <w:rFonts w:ascii="Calibri"/>
                <w:b/>
                <w:sz w:val="18"/>
              </w:rPr>
              <w:t>1961</w:t>
            </w:r>
            <w:r>
              <w:rPr>
                <w:rFonts w:ascii="Calibri"/>
                <w:sz w:val="18"/>
              </w:rPr>
            </w:r>
          </w:p>
        </w:tc>
        <w:tc>
          <w:tcPr>
            <w:tcW w:w="1193" w:type="dxa"/>
            <w:tcBorders>
              <w:top w:val="single" w:sz="8" w:space="0" w:color="000000"/>
              <w:left w:val="nil" w:sz="6" w:space="0" w:color="auto"/>
              <w:bottom w:val="nil" w:sz="6" w:space="0" w:color="auto"/>
              <w:right w:val="nil" w:sz="6" w:space="0" w:color="auto"/>
            </w:tcBorders>
          </w:tcPr>
          <w:p>
            <w:pPr>
              <w:pStyle w:val="TableParagraph"/>
              <w:spacing w:line="219" w:lineRule="exact"/>
              <w:ind w:right="403"/>
              <w:jc w:val="right"/>
              <w:rPr>
                <w:rFonts w:ascii="Calibri" w:hAnsi="Calibri" w:cs="Calibri" w:eastAsia="Calibri" w:hint="default"/>
                <w:sz w:val="18"/>
                <w:szCs w:val="18"/>
              </w:rPr>
            </w:pPr>
            <w:r>
              <w:rPr>
                <w:rFonts w:ascii="Calibri"/>
                <w:b/>
                <w:spacing w:val="-1"/>
                <w:w w:val="95"/>
                <w:sz w:val="18"/>
              </w:rPr>
              <w:t>1976</w:t>
            </w:r>
            <w:r>
              <w:rPr>
                <w:rFonts w:ascii="Calibri"/>
                <w:w w:val="95"/>
                <w:sz w:val="18"/>
              </w:rPr>
            </w:r>
          </w:p>
        </w:tc>
        <w:tc>
          <w:tcPr>
            <w:tcW w:w="1473" w:type="dxa"/>
            <w:tcBorders>
              <w:top w:val="single" w:sz="8" w:space="0" w:color="000000"/>
              <w:left w:val="nil" w:sz="6" w:space="0" w:color="auto"/>
              <w:bottom w:val="nil" w:sz="6" w:space="0" w:color="auto"/>
              <w:right w:val="nil" w:sz="6" w:space="0" w:color="auto"/>
            </w:tcBorders>
          </w:tcPr>
          <w:p>
            <w:pPr>
              <w:pStyle w:val="TableParagraph"/>
              <w:spacing w:line="219" w:lineRule="exact"/>
              <w:ind w:left="405" w:right="0"/>
              <w:jc w:val="left"/>
              <w:rPr>
                <w:rFonts w:ascii="Calibri" w:hAnsi="Calibri" w:cs="Calibri" w:eastAsia="Calibri" w:hint="default"/>
                <w:sz w:val="18"/>
                <w:szCs w:val="18"/>
              </w:rPr>
            </w:pPr>
            <w:r>
              <w:rPr>
                <w:rFonts w:ascii="Calibri"/>
                <w:b/>
                <w:sz w:val="18"/>
              </w:rPr>
              <w:t>1961</w:t>
            </w:r>
            <w:r>
              <w:rPr>
                <w:rFonts w:ascii="Calibri"/>
                <w:sz w:val="18"/>
              </w:rPr>
            </w:r>
          </w:p>
        </w:tc>
        <w:tc>
          <w:tcPr>
            <w:tcW w:w="847" w:type="dxa"/>
            <w:tcBorders>
              <w:top w:val="single" w:sz="8" w:space="0" w:color="000000"/>
              <w:left w:val="nil" w:sz="6" w:space="0" w:color="auto"/>
              <w:bottom w:val="nil" w:sz="6" w:space="0" w:color="auto"/>
              <w:right w:val="nil" w:sz="6" w:space="0" w:color="auto"/>
            </w:tcBorders>
          </w:tcPr>
          <w:p>
            <w:pPr>
              <w:pStyle w:val="TableParagraph"/>
              <w:spacing w:line="219" w:lineRule="exact"/>
              <w:ind w:right="404"/>
              <w:jc w:val="right"/>
              <w:rPr>
                <w:rFonts w:ascii="Calibri" w:hAnsi="Calibri" w:cs="Calibri" w:eastAsia="Calibri" w:hint="default"/>
                <w:sz w:val="18"/>
                <w:szCs w:val="18"/>
              </w:rPr>
            </w:pPr>
            <w:r>
              <w:rPr>
                <w:rFonts w:ascii="Calibri"/>
                <w:b/>
                <w:spacing w:val="-1"/>
                <w:w w:val="95"/>
                <w:sz w:val="18"/>
              </w:rPr>
              <w:t>1976</w:t>
            </w:r>
            <w:r>
              <w:rPr>
                <w:rFonts w:ascii="Calibri"/>
                <w:w w:val="95"/>
                <w:sz w:val="18"/>
              </w:rPr>
            </w:r>
          </w:p>
        </w:tc>
        <w:tc>
          <w:tcPr>
            <w:tcW w:w="1195" w:type="dxa"/>
            <w:tcBorders>
              <w:top w:val="single" w:sz="8" w:space="0" w:color="000000"/>
              <w:left w:val="nil" w:sz="6" w:space="0" w:color="auto"/>
              <w:bottom w:val="nil" w:sz="6" w:space="0" w:color="auto"/>
              <w:right w:val="nil" w:sz="6" w:space="0" w:color="auto"/>
            </w:tcBorders>
          </w:tcPr>
          <w:p>
            <w:pPr>
              <w:pStyle w:val="TableParagraph"/>
              <w:spacing w:line="219" w:lineRule="exact"/>
              <w:ind w:right="15"/>
              <w:jc w:val="center"/>
              <w:rPr>
                <w:rFonts w:ascii="Calibri" w:hAnsi="Calibri" w:cs="Calibri" w:eastAsia="Calibri" w:hint="default"/>
                <w:sz w:val="18"/>
                <w:szCs w:val="18"/>
              </w:rPr>
            </w:pPr>
            <w:r>
              <w:rPr>
                <w:rFonts w:ascii="Calibri"/>
                <w:b/>
                <w:sz w:val="18"/>
              </w:rPr>
              <w:t>1961</w:t>
            </w:r>
            <w:r>
              <w:rPr>
                <w:rFonts w:ascii="Calibri"/>
                <w:sz w:val="18"/>
              </w:rPr>
            </w:r>
          </w:p>
        </w:tc>
        <w:tc>
          <w:tcPr>
            <w:tcW w:w="1211" w:type="dxa"/>
            <w:tcBorders>
              <w:top w:val="single" w:sz="8" w:space="0" w:color="000000"/>
              <w:left w:val="nil" w:sz="6" w:space="0" w:color="auto"/>
              <w:bottom w:val="nil" w:sz="6" w:space="0" w:color="auto"/>
              <w:right w:val="nil" w:sz="6" w:space="0" w:color="auto"/>
            </w:tcBorders>
          </w:tcPr>
          <w:p>
            <w:pPr>
              <w:pStyle w:val="TableParagraph"/>
              <w:spacing w:line="219" w:lineRule="exact"/>
              <w:ind w:left="423" w:right="0"/>
              <w:jc w:val="left"/>
              <w:rPr>
                <w:rFonts w:ascii="Calibri" w:hAnsi="Calibri" w:cs="Calibri" w:eastAsia="Calibri" w:hint="default"/>
                <w:sz w:val="18"/>
                <w:szCs w:val="18"/>
              </w:rPr>
            </w:pPr>
            <w:r>
              <w:rPr>
                <w:rFonts w:ascii="Calibri"/>
                <w:b/>
                <w:sz w:val="18"/>
              </w:rPr>
              <w:t>1976</w:t>
            </w:r>
            <w:r>
              <w:rPr>
                <w:rFonts w:ascii="Calibri"/>
                <w:sz w:val="18"/>
              </w:rPr>
            </w:r>
          </w:p>
        </w:tc>
      </w:tr>
      <w:tr>
        <w:trPr>
          <w:trHeight w:val="220" w:hRule="exact"/>
        </w:trPr>
        <w:tc>
          <w:tcPr>
            <w:tcW w:w="1850" w:type="dxa"/>
            <w:tcBorders>
              <w:top w:val="nil" w:sz="6" w:space="0" w:color="auto"/>
              <w:left w:val="nil" w:sz="6" w:space="0" w:color="auto"/>
              <w:bottom w:val="nil" w:sz="6" w:space="0" w:color="auto"/>
              <w:right w:val="nil" w:sz="6" w:space="0" w:color="auto"/>
            </w:tcBorders>
          </w:tcPr>
          <w:p>
            <w:pPr>
              <w:pStyle w:val="TableParagraph"/>
              <w:spacing w:line="204" w:lineRule="exact"/>
              <w:ind w:left="108" w:right="0"/>
              <w:jc w:val="left"/>
              <w:rPr>
                <w:rFonts w:ascii="Calibri" w:hAnsi="Calibri" w:cs="Calibri" w:eastAsia="Calibri" w:hint="default"/>
                <w:sz w:val="18"/>
                <w:szCs w:val="18"/>
              </w:rPr>
            </w:pPr>
            <w:r>
              <w:rPr>
                <w:rFonts w:ascii="Calibri" w:hAnsi="Calibri"/>
                <w:sz w:val="18"/>
              </w:rPr>
              <w:t>Curaçao</w:t>
            </w:r>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left="368" w:right="0"/>
              <w:jc w:val="center"/>
              <w:rPr>
                <w:rFonts w:ascii="Calibri" w:hAnsi="Calibri" w:cs="Calibri" w:eastAsia="Calibri" w:hint="default"/>
                <w:sz w:val="18"/>
                <w:szCs w:val="18"/>
              </w:rPr>
            </w:pPr>
            <w:r>
              <w:rPr>
                <w:rFonts w:ascii="Calibri"/>
                <w:sz w:val="18"/>
              </w:rPr>
              <w:t>23</w:t>
            </w:r>
          </w:p>
        </w:tc>
        <w:tc>
          <w:tcPr>
            <w:tcW w:w="1193" w:type="dxa"/>
            <w:tcBorders>
              <w:top w:val="nil" w:sz="6" w:space="0" w:color="auto"/>
              <w:left w:val="nil" w:sz="6" w:space="0" w:color="auto"/>
              <w:bottom w:val="nil" w:sz="6" w:space="0" w:color="auto"/>
              <w:right w:val="nil" w:sz="6" w:space="0" w:color="auto"/>
            </w:tcBorders>
          </w:tcPr>
          <w:p>
            <w:pPr>
              <w:pStyle w:val="TableParagraph"/>
              <w:spacing w:line="204" w:lineRule="exact"/>
              <w:ind w:right="449"/>
              <w:jc w:val="right"/>
              <w:rPr>
                <w:rFonts w:ascii="Calibri" w:hAnsi="Calibri" w:cs="Calibri" w:eastAsia="Calibri" w:hint="default"/>
                <w:sz w:val="18"/>
                <w:szCs w:val="18"/>
              </w:rPr>
            </w:pPr>
            <w:r>
              <w:rPr>
                <w:rFonts w:ascii="Calibri"/>
                <w:spacing w:val="-1"/>
                <w:w w:val="95"/>
                <w:sz w:val="18"/>
              </w:rPr>
              <w:t>117</w:t>
            </w:r>
            <w:r>
              <w:rPr>
                <w:rFonts w:ascii="Calibri"/>
                <w:w w:val="95"/>
                <w:sz w:val="18"/>
              </w:rPr>
            </w:r>
          </w:p>
        </w:tc>
        <w:tc>
          <w:tcPr>
            <w:tcW w:w="1473" w:type="dxa"/>
            <w:tcBorders>
              <w:top w:val="nil" w:sz="6" w:space="0" w:color="auto"/>
              <w:left w:val="nil" w:sz="6" w:space="0" w:color="auto"/>
              <w:bottom w:val="nil" w:sz="6" w:space="0" w:color="auto"/>
              <w:right w:val="nil" w:sz="6" w:space="0" w:color="auto"/>
            </w:tcBorders>
          </w:tcPr>
          <w:p>
            <w:pPr>
              <w:pStyle w:val="TableParagraph"/>
              <w:spacing w:line="204" w:lineRule="exact"/>
              <w:ind w:left="497" w:right="0"/>
              <w:jc w:val="left"/>
              <w:rPr>
                <w:rFonts w:ascii="Calibri" w:hAnsi="Calibri" w:cs="Calibri" w:eastAsia="Calibri" w:hint="default"/>
                <w:sz w:val="18"/>
                <w:szCs w:val="18"/>
              </w:rPr>
            </w:pPr>
            <w:r>
              <w:rPr>
                <w:rFonts w:ascii="Calibri"/>
                <w:sz w:val="18"/>
              </w:rPr>
              <w:t>75</w:t>
            </w:r>
          </w:p>
        </w:tc>
        <w:tc>
          <w:tcPr>
            <w:tcW w:w="847" w:type="dxa"/>
            <w:tcBorders>
              <w:top w:val="nil" w:sz="6" w:space="0" w:color="auto"/>
              <w:left w:val="nil" w:sz="6" w:space="0" w:color="auto"/>
              <w:bottom w:val="nil" w:sz="6" w:space="0" w:color="auto"/>
              <w:right w:val="nil" w:sz="6" w:space="0" w:color="auto"/>
            </w:tcBorders>
          </w:tcPr>
          <w:p>
            <w:pPr>
              <w:pStyle w:val="TableParagraph"/>
              <w:spacing w:line="204" w:lineRule="exact"/>
              <w:ind w:right="409"/>
              <w:jc w:val="right"/>
              <w:rPr>
                <w:rFonts w:ascii="Calibri" w:hAnsi="Calibri" w:cs="Calibri" w:eastAsia="Calibri" w:hint="default"/>
                <w:sz w:val="18"/>
                <w:szCs w:val="18"/>
              </w:rPr>
            </w:pPr>
            <w:r>
              <w:rPr>
                <w:rFonts w:ascii="Calibri"/>
                <w:spacing w:val="-1"/>
                <w:w w:val="95"/>
                <w:sz w:val="18"/>
              </w:rPr>
              <w:t>462</w:t>
            </w:r>
            <w:r>
              <w:rPr>
                <w:rFonts w:ascii="Calibri"/>
                <w:w w:val="95"/>
                <w:sz w:val="18"/>
              </w:rPr>
            </w:r>
          </w:p>
        </w:tc>
        <w:tc>
          <w:tcPr>
            <w:tcW w:w="1195" w:type="dxa"/>
            <w:tcBorders>
              <w:top w:val="nil" w:sz="6" w:space="0" w:color="auto"/>
              <w:left w:val="nil" w:sz="6" w:space="0" w:color="auto"/>
              <w:bottom w:val="nil" w:sz="6" w:space="0" w:color="auto"/>
              <w:right w:val="nil" w:sz="6" w:space="0" w:color="auto"/>
            </w:tcBorders>
          </w:tcPr>
          <w:p>
            <w:pPr>
              <w:pStyle w:val="TableParagraph"/>
              <w:spacing w:line="204" w:lineRule="exact"/>
              <w:ind w:right="15"/>
              <w:jc w:val="center"/>
              <w:rPr>
                <w:rFonts w:ascii="Calibri" w:hAnsi="Calibri" w:cs="Calibri" w:eastAsia="Calibri" w:hint="default"/>
                <w:sz w:val="18"/>
                <w:szCs w:val="18"/>
              </w:rPr>
            </w:pPr>
            <w:r>
              <w:rPr>
                <w:rFonts w:ascii="Calibri"/>
                <w:sz w:val="18"/>
              </w:rPr>
              <w:t>36</w:t>
            </w:r>
          </w:p>
        </w:tc>
        <w:tc>
          <w:tcPr>
            <w:tcW w:w="1211" w:type="dxa"/>
            <w:tcBorders>
              <w:top w:val="nil" w:sz="6" w:space="0" w:color="auto"/>
              <w:left w:val="nil" w:sz="6" w:space="0" w:color="auto"/>
              <w:bottom w:val="nil" w:sz="6" w:space="0" w:color="auto"/>
              <w:right w:val="nil" w:sz="6" w:space="0" w:color="auto"/>
            </w:tcBorders>
          </w:tcPr>
          <w:p>
            <w:pPr>
              <w:pStyle w:val="TableParagraph"/>
              <w:spacing w:line="204" w:lineRule="exact"/>
              <w:ind w:left="469" w:right="0"/>
              <w:jc w:val="left"/>
              <w:rPr>
                <w:rFonts w:ascii="Calibri" w:hAnsi="Calibri" w:cs="Calibri" w:eastAsia="Calibri" w:hint="default"/>
                <w:sz w:val="18"/>
                <w:szCs w:val="18"/>
              </w:rPr>
            </w:pPr>
            <w:r>
              <w:rPr>
                <w:rFonts w:ascii="Calibri"/>
                <w:sz w:val="18"/>
              </w:rPr>
              <w:t>180</w:t>
            </w:r>
          </w:p>
        </w:tc>
      </w:tr>
      <w:tr>
        <w:trPr>
          <w:trHeight w:val="220" w:hRule="exact"/>
        </w:trPr>
        <w:tc>
          <w:tcPr>
            <w:tcW w:w="1850" w:type="dxa"/>
            <w:tcBorders>
              <w:top w:val="nil" w:sz="6" w:space="0" w:color="auto"/>
              <w:left w:val="nil" w:sz="6" w:space="0" w:color="auto"/>
              <w:bottom w:val="nil" w:sz="6" w:space="0" w:color="auto"/>
              <w:right w:val="nil" w:sz="6" w:space="0" w:color="auto"/>
            </w:tcBorders>
          </w:tcPr>
          <w:p>
            <w:pPr>
              <w:pStyle w:val="TableParagraph"/>
              <w:spacing w:line="203" w:lineRule="exact"/>
              <w:ind w:left="108" w:right="0"/>
              <w:jc w:val="left"/>
              <w:rPr>
                <w:rFonts w:ascii="Calibri" w:hAnsi="Calibri" w:cs="Calibri" w:eastAsia="Calibri" w:hint="default"/>
                <w:sz w:val="18"/>
                <w:szCs w:val="18"/>
              </w:rPr>
            </w:pPr>
            <w:r>
              <w:rPr>
                <w:rFonts w:ascii="Calibri"/>
                <w:sz w:val="18"/>
              </w:rPr>
              <w:t>Aruba</w:t>
            </w:r>
          </w:p>
        </w:tc>
        <w:tc>
          <w:tcPr>
            <w:tcW w:w="1578" w:type="dxa"/>
            <w:tcBorders>
              <w:top w:val="nil" w:sz="6" w:space="0" w:color="auto"/>
              <w:left w:val="nil" w:sz="6" w:space="0" w:color="auto"/>
              <w:bottom w:val="nil" w:sz="6" w:space="0" w:color="auto"/>
              <w:right w:val="nil" w:sz="6" w:space="0" w:color="auto"/>
            </w:tcBorders>
          </w:tcPr>
          <w:p>
            <w:pPr>
              <w:pStyle w:val="TableParagraph"/>
              <w:spacing w:line="203" w:lineRule="exact"/>
              <w:ind w:left="368" w:right="0"/>
              <w:jc w:val="center"/>
              <w:rPr>
                <w:rFonts w:ascii="Calibri" w:hAnsi="Calibri" w:cs="Calibri" w:eastAsia="Calibri" w:hint="default"/>
                <w:sz w:val="18"/>
                <w:szCs w:val="18"/>
              </w:rPr>
            </w:pPr>
            <w:r>
              <w:rPr>
                <w:rFonts w:ascii="Calibri"/>
                <w:sz w:val="18"/>
              </w:rPr>
              <w:t>12</w:t>
            </w:r>
          </w:p>
        </w:tc>
        <w:tc>
          <w:tcPr>
            <w:tcW w:w="1193" w:type="dxa"/>
            <w:tcBorders>
              <w:top w:val="nil" w:sz="6" w:space="0" w:color="auto"/>
              <w:left w:val="nil" w:sz="6" w:space="0" w:color="auto"/>
              <w:bottom w:val="nil" w:sz="6" w:space="0" w:color="auto"/>
              <w:right w:val="nil" w:sz="6" w:space="0" w:color="auto"/>
            </w:tcBorders>
          </w:tcPr>
          <w:p>
            <w:pPr>
              <w:pStyle w:val="TableParagraph"/>
              <w:spacing w:line="203" w:lineRule="exact"/>
              <w:ind w:right="449"/>
              <w:jc w:val="right"/>
              <w:rPr>
                <w:rFonts w:ascii="Calibri" w:hAnsi="Calibri" w:cs="Calibri" w:eastAsia="Calibri" w:hint="default"/>
                <w:sz w:val="18"/>
                <w:szCs w:val="18"/>
              </w:rPr>
            </w:pPr>
            <w:r>
              <w:rPr>
                <w:rFonts w:ascii="Calibri"/>
                <w:spacing w:val="-1"/>
                <w:w w:val="95"/>
                <w:sz w:val="18"/>
              </w:rPr>
              <w:t>146</w:t>
            </w:r>
            <w:r>
              <w:rPr>
                <w:rFonts w:ascii="Calibri"/>
                <w:w w:val="95"/>
                <w:sz w:val="18"/>
              </w:rPr>
            </w:r>
          </w:p>
        </w:tc>
        <w:tc>
          <w:tcPr>
            <w:tcW w:w="1473" w:type="dxa"/>
            <w:tcBorders>
              <w:top w:val="nil" w:sz="6" w:space="0" w:color="auto"/>
              <w:left w:val="nil" w:sz="6" w:space="0" w:color="auto"/>
              <w:bottom w:val="nil" w:sz="6" w:space="0" w:color="auto"/>
              <w:right w:val="nil" w:sz="6" w:space="0" w:color="auto"/>
            </w:tcBorders>
          </w:tcPr>
          <w:p>
            <w:pPr>
              <w:pStyle w:val="TableParagraph"/>
              <w:spacing w:line="203" w:lineRule="exact"/>
              <w:ind w:left="497" w:right="0"/>
              <w:jc w:val="left"/>
              <w:rPr>
                <w:rFonts w:ascii="Calibri" w:hAnsi="Calibri" w:cs="Calibri" w:eastAsia="Calibri" w:hint="default"/>
                <w:sz w:val="18"/>
                <w:szCs w:val="18"/>
              </w:rPr>
            </w:pPr>
            <w:r>
              <w:rPr>
                <w:rFonts w:ascii="Calibri"/>
                <w:sz w:val="18"/>
              </w:rPr>
              <w:t>46</w:t>
            </w:r>
          </w:p>
        </w:tc>
        <w:tc>
          <w:tcPr>
            <w:tcW w:w="847" w:type="dxa"/>
            <w:tcBorders>
              <w:top w:val="nil" w:sz="6" w:space="0" w:color="auto"/>
              <w:left w:val="nil" w:sz="6" w:space="0" w:color="auto"/>
              <w:bottom w:val="nil" w:sz="6" w:space="0" w:color="auto"/>
              <w:right w:val="nil" w:sz="6" w:space="0" w:color="auto"/>
            </w:tcBorders>
          </w:tcPr>
          <w:p>
            <w:pPr>
              <w:pStyle w:val="TableParagraph"/>
              <w:spacing w:line="203" w:lineRule="exact"/>
              <w:ind w:right="404"/>
              <w:jc w:val="right"/>
              <w:rPr>
                <w:rFonts w:ascii="Calibri" w:hAnsi="Calibri" w:cs="Calibri" w:eastAsia="Calibri" w:hint="default"/>
                <w:sz w:val="18"/>
                <w:szCs w:val="18"/>
              </w:rPr>
            </w:pPr>
            <w:r>
              <w:rPr>
                <w:rFonts w:ascii="Calibri"/>
                <w:spacing w:val="-1"/>
                <w:w w:val="95"/>
                <w:sz w:val="18"/>
              </w:rPr>
              <w:t>1023</w:t>
            </w:r>
            <w:r>
              <w:rPr>
                <w:rFonts w:ascii="Calibri"/>
                <w:w w:val="95"/>
                <w:sz w:val="18"/>
              </w:rPr>
            </w:r>
          </w:p>
        </w:tc>
        <w:tc>
          <w:tcPr>
            <w:tcW w:w="1195" w:type="dxa"/>
            <w:tcBorders>
              <w:top w:val="nil" w:sz="6" w:space="0" w:color="auto"/>
              <w:left w:val="nil" w:sz="6" w:space="0" w:color="auto"/>
              <w:bottom w:val="nil" w:sz="6" w:space="0" w:color="auto"/>
              <w:right w:val="nil" w:sz="6" w:space="0" w:color="auto"/>
            </w:tcBorders>
          </w:tcPr>
          <w:p>
            <w:pPr>
              <w:pStyle w:val="TableParagraph"/>
              <w:spacing w:line="203" w:lineRule="exact"/>
              <w:ind w:left="64" w:right="0"/>
              <w:jc w:val="center"/>
              <w:rPr>
                <w:rFonts w:ascii="Calibri" w:hAnsi="Calibri" w:cs="Calibri" w:eastAsia="Calibri" w:hint="default"/>
                <w:sz w:val="18"/>
                <w:szCs w:val="18"/>
              </w:rPr>
            </w:pPr>
            <w:r>
              <w:rPr>
                <w:rFonts w:ascii="Calibri"/>
                <w:sz w:val="18"/>
              </w:rPr>
              <w:t>2</w:t>
            </w:r>
          </w:p>
        </w:tc>
        <w:tc>
          <w:tcPr>
            <w:tcW w:w="1211" w:type="dxa"/>
            <w:tcBorders>
              <w:top w:val="nil" w:sz="6" w:space="0" w:color="auto"/>
              <w:left w:val="nil" w:sz="6" w:space="0" w:color="auto"/>
              <w:bottom w:val="nil" w:sz="6" w:space="0" w:color="auto"/>
              <w:right w:val="nil" w:sz="6" w:space="0" w:color="auto"/>
            </w:tcBorders>
          </w:tcPr>
          <w:p>
            <w:pPr>
              <w:pStyle w:val="TableParagraph"/>
              <w:spacing w:line="203" w:lineRule="exact"/>
              <w:ind w:left="83" w:right="0"/>
              <w:jc w:val="center"/>
              <w:rPr>
                <w:rFonts w:ascii="Calibri" w:hAnsi="Calibri" w:cs="Calibri" w:eastAsia="Calibri" w:hint="default"/>
                <w:sz w:val="18"/>
                <w:szCs w:val="18"/>
              </w:rPr>
            </w:pPr>
            <w:r>
              <w:rPr>
                <w:rFonts w:ascii="Calibri"/>
                <w:sz w:val="18"/>
              </w:rPr>
              <w:t>68</w:t>
            </w:r>
          </w:p>
        </w:tc>
      </w:tr>
      <w:tr>
        <w:trPr>
          <w:trHeight w:val="220" w:hRule="exact"/>
        </w:trPr>
        <w:tc>
          <w:tcPr>
            <w:tcW w:w="1850" w:type="dxa"/>
            <w:tcBorders>
              <w:top w:val="nil" w:sz="6" w:space="0" w:color="auto"/>
              <w:left w:val="nil" w:sz="6" w:space="0" w:color="auto"/>
              <w:bottom w:val="nil" w:sz="6" w:space="0" w:color="auto"/>
              <w:right w:val="nil" w:sz="6" w:space="0" w:color="auto"/>
            </w:tcBorders>
          </w:tcPr>
          <w:p>
            <w:pPr>
              <w:pStyle w:val="TableParagraph"/>
              <w:spacing w:line="204" w:lineRule="exact"/>
              <w:ind w:left="108" w:right="0"/>
              <w:jc w:val="left"/>
              <w:rPr>
                <w:rFonts w:ascii="Calibri" w:hAnsi="Calibri" w:cs="Calibri" w:eastAsia="Calibri" w:hint="default"/>
                <w:sz w:val="18"/>
                <w:szCs w:val="18"/>
              </w:rPr>
            </w:pPr>
            <w:r>
              <w:rPr>
                <w:rFonts w:ascii="Calibri"/>
                <w:sz w:val="18"/>
              </w:rPr>
              <w:t>Bonaire</w:t>
            </w:r>
          </w:p>
        </w:tc>
        <w:tc>
          <w:tcPr>
            <w:tcW w:w="1578" w:type="dxa"/>
            <w:tcBorders>
              <w:top w:val="nil" w:sz="6" w:space="0" w:color="auto"/>
              <w:left w:val="nil" w:sz="6" w:space="0" w:color="auto"/>
              <w:bottom w:val="nil" w:sz="6" w:space="0" w:color="auto"/>
              <w:right w:val="nil" w:sz="6" w:space="0" w:color="auto"/>
            </w:tcBorders>
          </w:tcPr>
          <w:p>
            <w:pPr>
              <w:pStyle w:val="TableParagraph"/>
              <w:spacing w:line="204" w:lineRule="exact"/>
              <w:ind w:left="449" w:right="0"/>
              <w:jc w:val="center"/>
              <w:rPr>
                <w:rFonts w:ascii="Calibri" w:hAnsi="Calibri" w:cs="Calibri" w:eastAsia="Calibri" w:hint="default"/>
                <w:sz w:val="18"/>
                <w:szCs w:val="18"/>
              </w:rPr>
            </w:pPr>
            <w:r>
              <w:rPr>
                <w:rFonts w:ascii="Calibri"/>
                <w:sz w:val="18"/>
              </w:rPr>
              <w:t>2</w:t>
            </w:r>
          </w:p>
        </w:tc>
        <w:tc>
          <w:tcPr>
            <w:tcW w:w="1193" w:type="dxa"/>
            <w:tcBorders>
              <w:top w:val="nil" w:sz="6" w:space="0" w:color="auto"/>
              <w:left w:val="nil" w:sz="6" w:space="0" w:color="auto"/>
              <w:bottom w:val="nil" w:sz="6" w:space="0" w:color="auto"/>
              <w:right w:val="nil" w:sz="6" w:space="0" w:color="auto"/>
            </w:tcBorders>
          </w:tcPr>
          <w:p>
            <w:pPr>
              <w:pStyle w:val="TableParagraph"/>
              <w:spacing w:line="204" w:lineRule="exact"/>
              <w:ind w:right="455"/>
              <w:jc w:val="right"/>
              <w:rPr>
                <w:rFonts w:ascii="Calibri" w:hAnsi="Calibri" w:cs="Calibri" w:eastAsia="Calibri" w:hint="default"/>
                <w:sz w:val="18"/>
                <w:szCs w:val="18"/>
              </w:rPr>
            </w:pPr>
            <w:r>
              <w:rPr>
                <w:rFonts w:ascii="Calibri"/>
                <w:spacing w:val="-1"/>
                <w:w w:val="95"/>
                <w:sz w:val="18"/>
              </w:rPr>
              <w:t>10</w:t>
            </w:r>
            <w:r>
              <w:rPr>
                <w:rFonts w:ascii="Calibri"/>
                <w:w w:val="95"/>
                <w:sz w:val="18"/>
              </w:rPr>
            </w:r>
          </w:p>
        </w:tc>
        <w:tc>
          <w:tcPr>
            <w:tcW w:w="1473" w:type="dxa"/>
            <w:tcBorders>
              <w:top w:val="nil" w:sz="6" w:space="0" w:color="auto"/>
              <w:left w:val="nil" w:sz="6" w:space="0" w:color="auto"/>
              <w:bottom w:val="nil" w:sz="6" w:space="0" w:color="auto"/>
              <w:right w:val="nil" w:sz="6" w:space="0" w:color="auto"/>
            </w:tcBorders>
          </w:tcPr>
          <w:p>
            <w:pPr>
              <w:pStyle w:val="TableParagraph"/>
              <w:spacing w:line="204" w:lineRule="exact"/>
              <w:ind w:right="212"/>
              <w:jc w:val="center"/>
              <w:rPr>
                <w:rFonts w:ascii="Calibri" w:hAnsi="Calibri" w:cs="Calibri" w:eastAsia="Calibri" w:hint="default"/>
                <w:sz w:val="18"/>
                <w:szCs w:val="18"/>
              </w:rPr>
            </w:pPr>
            <w:r>
              <w:rPr>
                <w:rFonts w:ascii="Calibri"/>
                <w:sz w:val="18"/>
              </w:rPr>
              <w:t>4</w:t>
            </w:r>
          </w:p>
        </w:tc>
        <w:tc>
          <w:tcPr>
            <w:tcW w:w="847" w:type="dxa"/>
            <w:tcBorders>
              <w:top w:val="nil" w:sz="6" w:space="0" w:color="auto"/>
              <w:left w:val="nil" w:sz="6" w:space="0" w:color="auto"/>
              <w:bottom w:val="nil" w:sz="6" w:space="0" w:color="auto"/>
              <w:right w:val="nil" w:sz="6" w:space="0" w:color="auto"/>
            </w:tcBorders>
          </w:tcPr>
          <w:p>
            <w:pPr>
              <w:pStyle w:val="TableParagraph"/>
              <w:spacing w:line="204" w:lineRule="exact"/>
              <w:ind w:right="414"/>
              <w:jc w:val="right"/>
              <w:rPr>
                <w:rFonts w:ascii="Calibri" w:hAnsi="Calibri" w:cs="Calibri" w:eastAsia="Calibri" w:hint="default"/>
                <w:sz w:val="18"/>
                <w:szCs w:val="18"/>
              </w:rPr>
            </w:pPr>
            <w:r>
              <w:rPr>
                <w:rFonts w:ascii="Calibri"/>
                <w:spacing w:val="-1"/>
                <w:w w:val="95"/>
                <w:sz w:val="18"/>
              </w:rPr>
              <w:t>41</w:t>
            </w:r>
            <w:r>
              <w:rPr>
                <w:rFonts w:ascii="Calibri"/>
                <w:w w:val="95"/>
                <w:sz w:val="18"/>
              </w:rPr>
            </w:r>
          </w:p>
        </w:tc>
        <w:tc>
          <w:tcPr>
            <w:tcW w:w="1195" w:type="dxa"/>
            <w:tcBorders>
              <w:top w:val="nil" w:sz="6" w:space="0" w:color="auto"/>
              <w:left w:val="nil" w:sz="6" w:space="0" w:color="auto"/>
              <w:bottom w:val="nil" w:sz="6" w:space="0" w:color="auto"/>
              <w:right w:val="nil" w:sz="6" w:space="0" w:color="auto"/>
            </w:tcBorders>
          </w:tcPr>
          <w:p>
            <w:pPr>
              <w:pStyle w:val="TableParagraph"/>
              <w:spacing w:line="204" w:lineRule="exact"/>
              <w:ind w:right="17"/>
              <w:jc w:val="center"/>
              <w:rPr>
                <w:rFonts w:ascii="Calibri" w:hAnsi="Calibri" w:cs="Calibri" w:eastAsia="Calibri" w:hint="default"/>
                <w:sz w:val="18"/>
                <w:szCs w:val="18"/>
              </w:rPr>
            </w:pPr>
            <w:r>
              <w:rPr>
                <w:rFonts w:ascii="Calibri"/>
                <w:sz w:val="18"/>
              </w:rPr>
              <w:t>-</w:t>
            </w:r>
          </w:p>
        </w:tc>
        <w:tc>
          <w:tcPr>
            <w:tcW w:w="1211" w:type="dxa"/>
            <w:tcBorders>
              <w:top w:val="nil" w:sz="6" w:space="0" w:color="auto"/>
              <w:left w:val="nil" w:sz="6" w:space="0" w:color="auto"/>
              <w:bottom w:val="nil" w:sz="6" w:space="0" w:color="auto"/>
              <w:right w:val="nil" w:sz="6" w:space="0" w:color="auto"/>
            </w:tcBorders>
          </w:tcPr>
          <w:p>
            <w:pPr>
              <w:pStyle w:val="TableParagraph"/>
              <w:spacing w:line="204" w:lineRule="exact"/>
              <w:ind w:left="164" w:right="0"/>
              <w:jc w:val="center"/>
              <w:rPr>
                <w:rFonts w:ascii="Calibri" w:hAnsi="Calibri" w:cs="Calibri" w:eastAsia="Calibri" w:hint="default"/>
                <w:sz w:val="18"/>
                <w:szCs w:val="18"/>
              </w:rPr>
            </w:pPr>
            <w:r>
              <w:rPr>
                <w:rFonts w:ascii="Calibri"/>
                <w:sz w:val="18"/>
              </w:rPr>
              <w:t>6</w:t>
            </w:r>
          </w:p>
        </w:tc>
      </w:tr>
      <w:tr>
        <w:trPr>
          <w:trHeight w:val="209" w:hRule="exact"/>
        </w:trPr>
        <w:tc>
          <w:tcPr>
            <w:tcW w:w="1850" w:type="dxa"/>
            <w:tcBorders>
              <w:top w:val="nil" w:sz="6" w:space="0" w:color="auto"/>
              <w:left w:val="nil" w:sz="6" w:space="0" w:color="auto"/>
              <w:bottom w:val="single" w:sz="4" w:space="0" w:color="000000"/>
              <w:right w:val="nil" w:sz="6" w:space="0" w:color="auto"/>
            </w:tcBorders>
          </w:tcPr>
          <w:p>
            <w:pPr>
              <w:pStyle w:val="TableParagraph"/>
              <w:spacing w:line="203" w:lineRule="exact"/>
              <w:ind w:left="108" w:right="0"/>
              <w:jc w:val="left"/>
              <w:rPr>
                <w:rFonts w:ascii="Calibri" w:hAnsi="Calibri" w:cs="Calibri" w:eastAsia="Calibri" w:hint="default"/>
                <w:sz w:val="18"/>
                <w:szCs w:val="18"/>
              </w:rPr>
            </w:pPr>
            <w:r>
              <w:rPr>
                <w:rFonts w:ascii="Calibri"/>
                <w:sz w:val="18"/>
              </w:rPr>
              <w:t>St.</w:t>
            </w:r>
            <w:r>
              <w:rPr>
                <w:rFonts w:ascii="Calibri"/>
                <w:spacing w:val="-6"/>
                <w:sz w:val="18"/>
              </w:rPr>
              <w:t> </w:t>
            </w:r>
            <w:r>
              <w:rPr>
                <w:rFonts w:ascii="Calibri"/>
                <w:sz w:val="18"/>
              </w:rPr>
              <w:t>Maarten</w:t>
            </w:r>
          </w:p>
        </w:tc>
        <w:tc>
          <w:tcPr>
            <w:tcW w:w="1578" w:type="dxa"/>
            <w:tcBorders>
              <w:top w:val="nil" w:sz="6" w:space="0" w:color="auto"/>
              <w:left w:val="nil" w:sz="6" w:space="0" w:color="auto"/>
              <w:bottom w:val="single" w:sz="4" w:space="0" w:color="000000"/>
              <w:right w:val="nil" w:sz="6" w:space="0" w:color="auto"/>
            </w:tcBorders>
          </w:tcPr>
          <w:p>
            <w:pPr>
              <w:pStyle w:val="TableParagraph"/>
              <w:spacing w:line="203" w:lineRule="exact"/>
              <w:ind w:left="449" w:right="0"/>
              <w:jc w:val="center"/>
              <w:rPr>
                <w:rFonts w:ascii="Calibri" w:hAnsi="Calibri" w:cs="Calibri" w:eastAsia="Calibri" w:hint="default"/>
                <w:sz w:val="18"/>
                <w:szCs w:val="18"/>
              </w:rPr>
            </w:pPr>
            <w:r>
              <w:rPr>
                <w:rFonts w:ascii="Calibri"/>
                <w:sz w:val="18"/>
              </w:rPr>
              <w:t>3</w:t>
            </w:r>
          </w:p>
        </w:tc>
        <w:tc>
          <w:tcPr>
            <w:tcW w:w="1193" w:type="dxa"/>
            <w:tcBorders>
              <w:top w:val="nil" w:sz="6" w:space="0" w:color="auto"/>
              <w:left w:val="nil" w:sz="6" w:space="0" w:color="auto"/>
              <w:bottom w:val="single" w:sz="4" w:space="0" w:color="000000"/>
              <w:right w:val="nil" w:sz="6" w:space="0" w:color="auto"/>
            </w:tcBorders>
          </w:tcPr>
          <w:p>
            <w:pPr>
              <w:pStyle w:val="TableParagraph"/>
              <w:spacing w:line="203" w:lineRule="exact"/>
              <w:ind w:right="434"/>
              <w:jc w:val="right"/>
              <w:rPr>
                <w:rFonts w:ascii="Calibri" w:hAnsi="Calibri" w:cs="Calibri" w:eastAsia="Calibri" w:hint="default"/>
                <w:sz w:val="18"/>
                <w:szCs w:val="18"/>
              </w:rPr>
            </w:pPr>
            <w:r>
              <w:rPr>
                <w:rFonts w:ascii="Calibri"/>
                <w:spacing w:val="-1"/>
                <w:w w:val="95"/>
                <w:sz w:val="18"/>
              </w:rPr>
              <w:t>95</w:t>
            </w:r>
            <w:r>
              <w:rPr>
                <w:rFonts w:ascii="Calibri"/>
                <w:w w:val="95"/>
                <w:sz w:val="18"/>
              </w:rPr>
            </w:r>
          </w:p>
        </w:tc>
        <w:tc>
          <w:tcPr>
            <w:tcW w:w="1473" w:type="dxa"/>
            <w:tcBorders>
              <w:top w:val="nil" w:sz="6" w:space="0" w:color="auto"/>
              <w:left w:val="nil" w:sz="6" w:space="0" w:color="auto"/>
              <w:bottom w:val="single" w:sz="4" w:space="0" w:color="000000"/>
              <w:right w:val="nil" w:sz="6" w:space="0" w:color="auto"/>
            </w:tcBorders>
          </w:tcPr>
          <w:p>
            <w:pPr>
              <w:pStyle w:val="TableParagraph"/>
              <w:spacing w:line="203" w:lineRule="exact"/>
              <w:ind w:left="497" w:right="0"/>
              <w:jc w:val="left"/>
              <w:rPr>
                <w:rFonts w:ascii="Calibri" w:hAnsi="Calibri" w:cs="Calibri" w:eastAsia="Calibri" w:hint="default"/>
                <w:sz w:val="18"/>
                <w:szCs w:val="18"/>
              </w:rPr>
            </w:pPr>
            <w:r>
              <w:rPr>
                <w:rFonts w:ascii="Calibri"/>
                <w:sz w:val="18"/>
              </w:rPr>
              <w:t>20</w:t>
            </w:r>
          </w:p>
        </w:tc>
        <w:tc>
          <w:tcPr>
            <w:tcW w:w="847" w:type="dxa"/>
            <w:tcBorders>
              <w:top w:val="nil" w:sz="6" w:space="0" w:color="auto"/>
              <w:left w:val="nil" w:sz="6" w:space="0" w:color="auto"/>
              <w:bottom w:val="single" w:sz="4" w:space="0" w:color="000000"/>
              <w:right w:val="nil" w:sz="6" w:space="0" w:color="auto"/>
            </w:tcBorders>
          </w:tcPr>
          <w:p>
            <w:pPr>
              <w:pStyle w:val="TableParagraph"/>
              <w:spacing w:line="203" w:lineRule="exact"/>
              <w:ind w:right="409"/>
              <w:jc w:val="right"/>
              <w:rPr>
                <w:rFonts w:ascii="Calibri" w:hAnsi="Calibri" w:cs="Calibri" w:eastAsia="Calibri" w:hint="default"/>
                <w:sz w:val="18"/>
                <w:szCs w:val="18"/>
              </w:rPr>
            </w:pPr>
            <w:r>
              <w:rPr>
                <w:rFonts w:ascii="Calibri"/>
                <w:spacing w:val="-1"/>
                <w:w w:val="95"/>
                <w:sz w:val="18"/>
              </w:rPr>
              <w:t>521</w:t>
            </w:r>
            <w:r>
              <w:rPr>
                <w:rFonts w:ascii="Calibri"/>
                <w:w w:val="95"/>
                <w:sz w:val="18"/>
              </w:rPr>
            </w:r>
          </w:p>
        </w:tc>
        <w:tc>
          <w:tcPr>
            <w:tcW w:w="1195" w:type="dxa"/>
            <w:tcBorders>
              <w:top w:val="nil" w:sz="6" w:space="0" w:color="auto"/>
              <w:left w:val="nil" w:sz="6" w:space="0" w:color="auto"/>
              <w:bottom w:val="single" w:sz="4" w:space="0" w:color="000000"/>
              <w:right w:val="nil" w:sz="6" w:space="0" w:color="auto"/>
            </w:tcBorders>
          </w:tcPr>
          <w:p>
            <w:pPr>
              <w:pStyle w:val="TableParagraph"/>
              <w:spacing w:line="203" w:lineRule="exact"/>
              <w:ind w:left="64" w:right="0"/>
              <w:jc w:val="center"/>
              <w:rPr>
                <w:rFonts w:ascii="Calibri" w:hAnsi="Calibri" w:cs="Calibri" w:eastAsia="Calibri" w:hint="default"/>
                <w:sz w:val="18"/>
                <w:szCs w:val="18"/>
              </w:rPr>
            </w:pPr>
            <w:r>
              <w:rPr>
                <w:rFonts w:ascii="Calibri"/>
                <w:sz w:val="18"/>
              </w:rPr>
              <w:t>2</w:t>
            </w:r>
          </w:p>
        </w:tc>
        <w:tc>
          <w:tcPr>
            <w:tcW w:w="1211" w:type="dxa"/>
            <w:tcBorders>
              <w:top w:val="nil" w:sz="6" w:space="0" w:color="auto"/>
              <w:left w:val="nil" w:sz="6" w:space="0" w:color="auto"/>
              <w:bottom w:val="single" w:sz="4" w:space="0" w:color="000000"/>
              <w:right w:val="nil" w:sz="6" w:space="0" w:color="auto"/>
            </w:tcBorders>
          </w:tcPr>
          <w:p>
            <w:pPr>
              <w:pStyle w:val="TableParagraph"/>
              <w:spacing w:line="203" w:lineRule="exact"/>
              <w:ind w:left="83" w:right="0"/>
              <w:jc w:val="center"/>
              <w:rPr>
                <w:rFonts w:ascii="Calibri" w:hAnsi="Calibri" w:cs="Calibri" w:eastAsia="Calibri" w:hint="default"/>
                <w:sz w:val="18"/>
                <w:szCs w:val="18"/>
              </w:rPr>
            </w:pPr>
            <w:r>
              <w:rPr>
                <w:rFonts w:ascii="Calibri"/>
                <w:sz w:val="18"/>
              </w:rPr>
              <w:t>89</w:t>
            </w:r>
          </w:p>
        </w:tc>
      </w:tr>
      <w:tr>
        <w:trPr>
          <w:trHeight w:val="220" w:hRule="exact"/>
        </w:trPr>
        <w:tc>
          <w:tcPr>
            <w:tcW w:w="1850" w:type="dxa"/>
            <w:tcBorders>
              <w:top w:val="single" w:sz="4" w:space="0" w:color="000000"/>
              <w:left w:val="nil" w:sz="6" w:space="0" w:color="auto"/>
              <w:bottom w:val="nil" w:sz="6" w:space="0" w:color="auto"/>
              <w:right w:val="nil" w:sz="6" w:space="0" w:color="auto"/>
            </w:tcBorders>
          </w:tcPr>
          <w:p>
            <w:pPr>
              <w:pStyle w:val="TableParagraph"/>
              <w:spacing w:line="219" w:lineRule="exact"/>
              <w:ind w:left="108" w:right="0"/>
              <w:jc w:val="left"/>
              <w:rPr>
                <w:rFonts w:ascii="Calibri" w:hAnsi="Calibri" w:cs="Calibri" w:eastAsia="Calibri" w:hint="default"/>
                <w:sz w:val="18"/>
                <w:szCs w:val="18"/>
              </w:rPr>
            </w:pPr>
            <w:r>
              <w:rPr>
                <w:rFonts w:ascii="Calibri"/>
                <w:b/>
                <w:sz w:val="18"/>
              </w:rPr>
              <w:t>Total</w:t>
            </w:r>
            <w:r>
              <w:rPr>
                <w:rFonts w:ascii="Calibri"/>
                <w:sz w:val="18"/>
              </w:rPr>
            </w:r>
          </w:p>
        </w:tc>
        <w:tc>
          <w:tcPr>
            <w:tcW w:w="1578" w:type="dxa"/>
            <w:tcBorders>
              <w:top w:val="single" w:sz="4" w:space="0" w:color="000000"/>
              <w:left w:val="nil" w:sz="6" w:space="0" w:color="auto"/>
              <w:bottom w:val="nil" w:sz="6" w:space="0" w:color="auto"/>
              <w:right w:val="nil" w:sz="6" w:space="0" w:color="auto"/>
            </w:tcBorders>
          </w:tcPr>
          <w:p>
            <w:pPr>
              <w:pStyle w:val="TableParagraph"/>
              <w:spacing w:line="219" w:lineRule="exact"/>
              <w:ind w:left="368" w:right="0"/>
              <w:jc w:val="center"/>
              <w:rPr>
                <w:rFonts w:ascii="Calibri" w:hAnsi="Calibri" w:cs="Calibri" w:eastAsia="Calibri" w:hint="default"/>
                <w:sz w:val="18"/>
                <w:szCs w:val="18"/>
              </w:rPr>
            </w:pPr>
            <w:r>
              <w:rPr>
                <w:rFonts w:ascii="Calibri"/>
                <w:b/>
                <w:sz w:val="18"/>
              </w:rPr>
              <w:t>40</w:t>
            </w:r>
            <w:r>
              <w:rPr>
                <w:rFonts w:ascii="Calibri"/>
                <w:sz w:val="18"/>
              </w:rPr>
            </w:r>
          </w:p>
        </w:tc>
        <w:tc>
          <w:tcPr>
            <w:tcW w:w="1193" w:type="dxa"/>
            <w:tcBorders>
              <w:top w:val="single" w:sz="4" w:space="0" w:color="000000"/>
              <w:left w:val="nil" w:sz="6" w:space="0" w:color="auto"/>
              <w:bottom w:val="nil" w:sz="6" w:space="0" w:color="auto"/>
              <w:right w:val="nil" w:sz="6" w:space="0" w:color="auto"/>
            </w:tcBorders>
          </w:tcPr>
          <w:p>
            <w:pPr>
              <w:pStyle w:val="TableParagraph"/>
              <w:spacing w:line="219" w:lineRule="exact"/>
              <w:ind w:right="449"/>
              <w:jc w:val="right"/>
              <w:rPr>
                <w:rFonts w:ascii="Calibri" w:hAnsi="Calibri" w:cs="Calibri" w:eastAsia="Calibri" w:hint="default"/>
                <w:sz w:val="18"/>
                <w:szCs w:val="18"/>
              </w:rPr>
            </w:pPr>
            <w:r>
              <w:rPr>
                <w:rFonts w:ascii="Calibri"/>
                <w:b/>
                <w:spacing w:val="-1"/>
                <w:w w:val="95"/>
                <w:sz w:val="18"/>
              </w:rPr>
              <w:t>368</w:t>
            </w:r>
            <w:r>
              <w:rPr>
                <w:rFonts w:ascii="Calibri"/>
                <w:w w:val="95"/>
                <w:sz w:val="18"/>
              </w:rPr>
            </w:r>
          </w:p>
        </w:tc>
        <w:tc>
          <w:tcPr>
            <w:tcW w:w="1473" w:type="dxa"/>
            <w:tcBorders>
              <w:top w:val="single" w:sz="4" w:space="0" w:color="000000"/>
              <w:left w:val="nil" w:sz="6" w:space="0" w:color="auto"/>
              <w:bottom w:val="nil" w:sz="6" w:space="0" w:color="auto"/>
              <w:right w:val="nil" w:sz="6" w:space="0" w:color="auto"/>
            </w:tcBorders>
          </w:tcPr>
          <w:p>
            <w:pPr>
              <w:pStyle w:val="TableParagraph"/>
              <w:spacing w:line="219" w:lineRule="exact"/>
              <w:ind w:left="451" w:right="0"/>
              <w:jc w:val="left"/>
              <w:rPr>
                <w:rFonts w:ascii="Calibri" w:hAnsi="Calibri" w:cs="Calibri" w:eastAsia="Calibri" w:hint="default"/>
                <w:sz w:val="18"/>
                <w:szCs w:val="18"/>
              </w:rPr>
            </w:pPr>
            <w:r>
              <w:rPr>
                <w:rFonts w:ascii="Calibri"/>
                <w:b/>
                <w:sz w:val="18"/>
              </w:rPr>
              <w:t>145</w:t>
            </w:r>
            <w:r>
              <w:rPr>
                <w:rFonts w:ascii="Calibri"/>
                <w:sz w:val="18"/>
              </w:rPr>
            </w:r>
          </w:p>
        </w:tc>
        <w:tc>
          <w:tcPr>
            <w:tcW w:w="847" w:type="dxa"/>
            <w:tcBorders>
              <w:top w:val="single" w:sz="4" w:space="0" w:color="000000"/>
              <w:left w:val="nil" w:sz="6" w:space="0" w:color="auto"/>
              <w:bottom w:val="nil" w:sz="6" w:space="0" w:color="auto"/>
              <w:right w:val="nil" w:sz="6" w:space="0" w:color="auto"/>
            </w:tcBorders>
          </w:tcPr>
          <w:p>
            <w:pPr>
              <w:pStyle w:val="TableParagraph"/>
              <w:spacing w:line="219" w:lineRule="exact"/>
              <w:ind w:right="404"/>
              <w:jc w:val="right"/>
              <w:rPr>
                <w:rFonts w:ascii="Calibri" w:hAnsi="Calibri" w:cs="Calibri" w:eastAsia="Calibri" w:hint="default"/>
                <w:sz w:val="18"/>
                <w:szCs w:val="18"/>
              </w:rPr>
            </w:pPr>
            <w:r>
              <w:rPr>
                <w:rFonts w:ascii="Calibri"/>
                <w:b/>
                <w:spacing w:val="-1"/>
                <w:w w:val="95"/>
                <w:sz w:val="18"/>
              </w:rPr>
              <w:t>2047</w:t>
            </w:r>
            <w:r>
              <w:rPr>
                <w:rFonts w:ascii="Calibri"/>
                <w:w w:val="95"/>
                <w:sz w:val="18"/>
              </w:rPr>
            </w:r>
          </w:p>
        </w:tc>
        <w:tc>
          <w:tcPr>
            <w:tcW w:w="1195" w:type="dxa"/>
            <w:tcBorders>
              <w:top w:val="single" w:sz="4" w:space="0" w:color="000000"/>
              <w:left w:val="nil" w:sz="6" w:space="0" w:color="auto"/>
              <w:bottom w:val="nil" w:sz="6" w:space="0" w:color="auto"/>
              <w:right w:val="nil" w:sz="6" w:space="0" w:color="auto"/>
            </w:tcBorders>
          </w:tcPr>
          <w:p>
            <w:pPr>
              <w:pStyle w:val="TableParagraph"/>
              <w:spacing w:line="219" w:lineRule="exact"/>
              <w:ind w:right="15"/>
              <w:jc w:val="center"/>
              <w:rPr>
                <w:rFonts w:ascii="Calibri" w:hAnsi="Calibri" w:cs="Calibri" w:eastAsia="Calibri" w:hint="default"/>
                <w:sz w:val="18"/>
                <w:szCs w:val="18"/>
              </w:rPr>
            </w:pPr>
            <w:r>
              <w:rPr>
                <w:rFonts w:ascii="Calibri"/>
                <w:b/>
                <w:sz w:val="18"/>
              </w:rPr>
              <w:t>40</w:t>
            </w:r>
            <w:r>
              <w:rPr>
                <w:rFonts w:ascii="Calibri"/>
                <w:sz w:val="18"/>
              </w:rPr>
            </w:r>
          </w:p>
        </w:tc>
        <w:tc>
          <w:tcPr>
            <w:tcW w:w="1211" w:type="dxa"/>
            <w:tcBorders>
              <w:top w:val="single" w:sz="4" w:space="0" w:color="000000"/>
              <w:left w:val="nil" w:sz="6" w:space="0" w:color="auto"/>
              <w:bottom w:val="nil" w:sz="6" w:space="0" w:color="auto"/>
              <w:right w:val="nil" w:sz="6" w:space="0" w:color="auto"/>
            </w:tcBorders>
          </w:tcPr>
          <w:p>
            <w:pPr>
              <w:pStyle w:val="TableParagraph"/>
              <w:spacing w:line="219" w:lineRule="exact"/>
              <w:ind w:left="469" w:right="0"/>
              <w:jc w:val="left"/>
              <w:rPr>
                <w:rFonts w:ascii="Calibri" w:hAnsi="Calibri" w:cs="Calibri" w:eastAsia="Calibri" w:hint="default"/>
                <w:sz w:val="18"/>
                <w:szCs w:val="18"/>
              </w:rPr>
            </w:pPr>
            <w:r>
              <w:rPr>
                <w:rFonts w:ascii="Calibri"/>
                <w:b/>
                <w:sz w:val="18"/>
              </w:rPr>
              <w:t>343</w:t>
            </w:r>
            <w:r>
              <w:rPr>
                <w:rFonts w:ascii="Calibri"/>
                <w:sz w:val="18"/>
              </w:rPr>
            </w:r>
          </w:p>
        </w:tc>
      </w:tr>
    </w:tbl>
    <w:p>
      <w:pPr>
        <w:spacing w:before="2"/>
        <w:ind w:left="1440" w:right="0" w:firstLine="0"/>
        <w:jc w:val="both"/>
        <w:rPr>
          <w:rFonts w:ascii="Calibri" w:hAnsi="Calibri" w:cs="Calibri" w:eastAsia="Calibri" w:hint="default"/>
          <w:sz w:val="20"/>
          <w:szCs w:val="20"/>
        </w:rPr>
      </w:pPr>
      <w:r>
        <w:rPr>
          <w:rFonts w:ascii="Calibri"/>
          <w:i/>
          <w:sz w:val="20"/>
        </w:rPr>
        <w:t>Source: Van Soest</w:t>
      </w:r>
      <w:r>
        <w:rPr>
          <w:rFonts w:ascii="Calibri"/>
          <w:i/>
          <w:spacing w:val="-13"/>
          <w:sz w:val="20"/>
        </w:rPr>
        <w:t> </w:t>
      </w:r>
      <w:r>
        <w:rPr>
          <w:rFonts w:ascii="Calibri"/>
          <w:i/>
          <w:sz w:val="20"/>
        </w:rPr>
        <w:t>(1978)</w:t>
      </w:r>
      <w:r>
        <w:rPr>
          <w:rFonts w:ascii="Calibri"/>
          <w:sz w:val="20"/>
        </w:rPr>
      </w:r>
    </w:p>
    <w:p>
      <w:pPr>
        <w:spacing w:line="240" w:lineRule="auto" w:before="1"/>
        <w:ind w:right="0"/>
        <w:rPr>
          <w:rFonts w:ascii="Calibri" w:hAnsi="Calibri" w:cs="Calibri" w:eastAsia="Calibri" w:hint="default"/>
          <w:i/>
          <w:sz w:val="20"/>
          <w:szCs w:val="20"/>
        </w:rPr>
      </w:pPr>
    </w:p>
    <w:p>
      <w:pPr>
        <w:pStyle w:val="BodyText"/>
        <w:spacing w:line="240" w:lineRule="auto"/>
        <w:ind w:right="1438"/>
        <w:jc w:val="both"/>
      </w:pPr>
      <w:r>
        <w:rPr/>
        <w:t>During the same time frame, the main demand segment for Curaçao was the American market which remained as such until 1976. At that point, the American market was substituted by the Venezuelan and Dutch</w:t>
      </w:r>
      <w:r>
        <w:rPr>
          <w:spacing w:val="7"/>
        </w:rPr>
        <w:t> </w:t>
      </w:r>
      <w:r>
        <w:rPr/>
        <w:t>markets.</w:t>
      </w:r>
    </w:p>
    <w:p>
      <w:pPr>
        <w:pStyle w:val="BodyText"/>
        <w:spacing w:line="240" w:lineRule="auto"/>
        <w:ind w:right="1436"/>
        <w:jc w:val="both"/>
      </w:pPr>
      <w:r>
        <w:rPr/>
        <w:t>In 1983, due to the Bolivar devaluation, the Venezuelan market plummeted.</w:t>
      </w:r>
      <w:r>
        <w:rPr>
          <w:position w:val="5"/>
          <w:sz w:val="12"/>
        </w:rPr>
        <w:t>5 </w:t>
      </w:r>
      <w:r>
        <w:rPr/>
        <w:t>At that time, Curaçao opted to move </w:t>
      </w:r>
      <w:r>
        <w:rPr/>
        <w:t>further away from the American market and embraced the Dutch market as the primary demand segment to move the industry forward.</w:t>
      </w:r>
      <w:r>
        <w:rPr>
          <w:position w:val="5"/>
          <w:sz w:val="12"/>
        </w:rPr>
        <w:t>6   </w:t>
      </w:r>
      <w:r>
        <w:rPr/>
        <w:t>Figure 2 conceptualizes the historic development of tourism in</w:t>
      </w:r>
      <w:r>
        <w:rPr>
          <w:spacing w:val="-20"/>
        </w:rPr>
        <w:t> </w:t>
      </w:r>
      <w:r>
        <w:rPr/>
        <w:t>Curaçao.</w:t>
      </w:r>
    </w:p>
    <w:p>
      <w:pPr>
        <w:spacing w:line="240" w:lineRule="auto" w:before="11" w:after="0"/>
        <w:ind w:right="0"/>
        <w:rPr>
          <w:rFonts w:ascii="Calibri" w:hAnsi="Calibri" w:cs="Calibri" w:eastAsia="Calibri" w:hint="default"/>
          <w:sz w:val="19"/>
          <w:szCs w:val="19"/>
        </w:rPr>
      </w:pPr>
    </w:p>
    <w:p>
      <w:pPr>
        <w:spacing w:line="240" w:lineRule="auto"/>
        <w:ind w:left="3511"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293733" cy="1339310"/>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15" cstate="print"/>
                    <a:stretch>
                      <a:fillRect/>
                    </a:stretch>
                  </pic:blipFill>
                  <pic:spPr>
                    <a:xfrm>
                      <a:off x="0" y="0"/>
                      <a:ext cx="3293733" cy="1339310"/>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13"/>
        <w:ind w:left="3821" w:right="0"/>
        <w:jc w:val="left"/>
        <w:rPr>
          <w:rFonts w:ascii="Calibri" w:hAnsi="Calibri" w:cs="Calibri" w:eastAsia="Calibri" w:hint="default"/>
          <w:b w:val="0"/>
          <w:bCs w:val="0"/>
        </w:rPr>
      </w:pPr>
      <w:bookmarkStart w:name="_bookmark20" w:id="21"/>
      <w:bookmarkEnd w:id="21"/>
      <w:r>
        <w:rPr>
          <w:b w:val="0"/>
          <w:bCs w:val="0"/>
        </w:rPr>
      </w:r>
      <w:r>
        <w:rPr/>
        <w:t>Figure 2:  </w:t>
      </w:r>
      <w:r>
        <w:rPr>
          <w:rFonts w:ascii="Calibri" w:hAnsi="Calibri" w:cs="Calibri" w:eastAsia="Calibri" w:hint="default"/>
        </w:rPr>
        <w:t>Curaçao’s primary market segments</w:t>
      </w:r>
      <w:r>
        <w:rPr>
          <w:rFonts w:ascii="Calibri" w:hAnsi="Calibri" w:cs="Calibri" w:eastAsia="Calibri" w:hint="default"/>
          <w:spacing w:val="-16"/>
        </w:rPr>
        <w:t> </w:t>
      </w:r>
      <w:r>
        <w:rPr>
          <w:rFonts w:ascii="Calibri" w:hAnsi="Calibri" w:cs="Calibri" w:eastAsia="Calibri" w:hint="default"/>
        </w:rPr>
        <w:t>overtime</w:t>
      </w:r>
      <w:r>
        <w:rPr>
          <w:rFonts w:ascii="Calibri" w:hAnsi="Calibri" w:cs="Calibri" w:eastAsia="Calibri" w:hint="default"/>
          <w:b w:val="0"/>
          <w:bCs w:val="0"/>
        </w:rPr>
      </w: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10" w:after="0"/>
        <w:ind w:right="0"/>
        <w:rPr>
          <w:rFonts w:ascii="Calibri" w:hAnsi="Calibri" w:cs="Calibri" w:eastAsia="Calibri" w:hint="default"/>
          <w:b/>
          <w:bCs/>
          <w:sz w:val="25"/>
          <w:szCs w:val="25"/>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before="91"/>
        <w:ind w:left="1440" w:right="0" w:firstLine="0"/>
        <w:jc w:val="left"/>
        <w:rPr>
          <w:rFonts w:ascii="Calibri" w:hAnsi="Calibri" w:cs="Calibri" w:eastAsia="Calibri" w:hint="default"/>
          <w:sz w:val="16"/>
          <w:szCs w:val="16"/>
        </w:rPr>
      </w:pPr>
      <w:r>
        <w:rPr>
          <w:rFonts w:ascii="Calibri"/>
          <w:position w:val="5"/>
          <w:sz w:val="12"/>
        </w:rPr>
        <w:t>5</w:t>
      </w:r>
      <w:r>
        <w:rPr>
          <w:rFonts w:ascii="Calibri"/>
          <w:spacing w:val="6"/>
          <w:position w:val="5"/>
          <w:sz w:val="12"/>
        </w:rPr>
        <w:t> </w:t>
      </w:r>
      <w:r>
        <w:rPr>
          <w:rFonts w:ascii="Calibri"/>
          <w:sz w:val="16"/>
        </w:rPr>
        <w:t>The</w:t>
      </w:r>
      <w:r>
        <w:rPr>
          <w:rFonts w:ascii="Calibri"/>
          <w:spacing w:val="-3"/>
          <w:sz w:val="16"/>
        </w:rPr>
        <w:t> </w:t>
      </w:r>
      <w:r>
        <w:rPr>
          <w:rFonts w:ascii="Calibri"/>
          <w:sz w:val="16"/>
        </w:rPr>
        <w:t>observed</w:t>
      </w:r>
      <w:r>
        <w:rPr>
          <w:rFonts w:ascii="Calibri"/>
          <w:spacing w:val="-2"/>
          <w:sz w:val="16"/>
        </w:rPr>
        <w:t> </w:t>
      </w:r>
      <w:r>
        <w:rPr>
          <w:rFonts w:ascii="Calibri"/>
          <w:sz w:val="16"/>
        </w:rPr>
        <w:t>volatility</w:t>
      </w:r>
      <w:r>
        <w:rPr>
          <w:rFonts w:ascii="Calibri"/>
          <w:spacing w:val="-1"/>
          <w:sz w:val="16"/>
        </w:rPr>
        <w:t> </w:t>
      </w:r>
      <w:r>
        <w:rPr>
          <w:rFonts w:ascii="Calibri"/>
          <w:sz w:val="16"/>
        </w:rPr>
        <w:t>in</w:t>
      </w:r>
      <w:r>
        <w:rPr>
          <w:rFonts w:ascii="Calibri"/>
          <w:spacing w:val="-2"/>
          <w:sz w:val="16"/>
        </w:rPr>
        <w:t> </w:t>
      </w:r>
      <w:r>
        <w:rPr>
          <w:rFonts w:ascii="Calibri"/>
          <w:sz w:val="16"/>
        </w:rPr>
        <w:t>the</w:t>
      </w:r>
      <w:r>
        <w:rPr>
          <w:rFonts w:ascii="Calibri"/>
          <w:spacing w:val="-2"/>
          <w:sz w:val="16"/>
        </w:rPr>
        <w:t> </w:t>
      </w:r>
      <w:r>
        <w:rPr>
          <w:rFonts w:ascii="Calibri"/>
          <w:sz w:val="16"/>
        </w:rPr>
        <w:t>Venezuelan</w:t>
      </w:r>
      <w:r>
        <w:rPr>
          <w:rFonts w:ascii="Calibri"/>
          <w:spacing w:val="-2"/>
          <w:sz w:val="16"/>
        </w:rPr>
        <w:t> </w:t>
      </w:r>
      <w:r>
        <w:rPr>
          <w:rFonts w:ascii="Calibri"/>
          <w:sz w:val="16"/>
        </w:rPr>
        <w:t>market</w:t>
      </w:r>
      <w:r>
        <w:rPr>
          <w:rFonts w:ascii="Calibri"/>
          <w:spacing w:val="-2"/>
          <w:sz w:val="16"/>
        </w:rPr>
        <w:t> </w:t>
      </w:r>
      <w:r>
        <w:rPr>
          <w:rFonts w:ascii="Calibri"/>
          <w:sz w:val="16"/>
        </w:rPr>
        <w:t>is</w:t>
      </w:r>
      <w:r>
        <w:rPr>
          <w:rFonts w:ascii="Calibri"/>
          <w:spacing w:val="-2"/>
          <w:sz w:val="16"/>
        </w:rPr>
        <w:t> </w:t>
      </w:r>
      <w:r>
        <w:rPr>
          <w:rFonts w:ascii="Calibri"/>
          <w:sz w:val="16"/>
        </w:rPr>
        <w:t>a</w:t>
      </w:r>
      <w:r>
        <w:rPr>
          <w:rFonts w:ascii="Calibri"/>
          <w:spacing w:val="-2"/>
          <w:sz w:val="16"/>
        </w:rPr>
        <w:t> </w:t>
      </w:r>
      <w:r>
        <w:rPr>
          <w:rFonts w:ascii="Calibri"/>
          <w:sz w:val="16"/>
        </w:rPr>
        <w:t>cyclical</w:t>
      </w:r>
      <w:r>
        <w:rPr>
          <w:rFonts w:ascii="Calibri"/>
          <w:spacing w:val="-3"/>
          <w:sz w:val="16"/>
        </w:rPr>
        <w:t> </w:t>
      </w:r>
      <w:r>
        <w:rPr>
          <w:rFonts w:ascii="Calibri"/>
          <w:sz w:val="16"/>
        </w:rPr>
        <w:t>pattern</w:t>
      </w:r>
      <w:r>
        <w:rPr>
          <w:rFonts w:ascii="Calibri"/>
          <w:spacing w:val="-2"/>
          <w:sz w:val="16"/>
        </w:rPr>
        <w:t> </w:t>
      </w:r>
      <w:r>
        <w:rPr>
          <w:rFonts w:ascii="Calibri"/>
          <w:sz w:val="16"/>
        </w:rPr>
        <w:t>that</w:t>
      </w:r>
      <w:r>
        <w:rPr>
          <w:rFonts w:ascii="Calibri"/>
          <w:spacing w:val="-2"/>
          <w:sz w:val="16"/>
        </w:rPr>
        <w:t> </w:t>
      </w:r>
      <w:r>
        <w:rPr>
          <w:rFonts w:ascii="Calibri"/>
          <w:sz w:val="16"/>
        </w:rPr>
        <w:t>has</w:t>
      </w:r>
      <w:r>
        <w:rPr>
          <w:rFonts w:ascii="Calibri"/>
          <w:spacing w:val="-2"/>
          <w:sz w:val="16"/>
        </w:rPr>
        <w:t> </w:t>
      </w:r>
      <w:r>
        <w:rPr>
          <w:rFonts w:ascii="Calibri"/>
          <w:sz w:val="16"/>
        </w:rPr>
        <w:t>occurred</w:t>
      </w:r>
      <w:r>
        <w:rPr>
          <w:rFonts w:ascii="Calibri"/>
          <w:spacing w:val="-1"/>
          <w:sz w:val="16"/>
        </w:rPr>
        <w:t> </w:t>
      </w:r>
      <w:r>
        <w:rPr>
          <w:rFonts w:ascii="Calibri"/>
          <w:sz w:val="16"/>
        </w:rPr>
        <w:t>several</w:t>
      </w:r>
      <w:r>
        <w:rPr>
          <w:rFonts w:ascii="Calibri"/>
          <w:spacing w:val="-1"/>
          <w:sz w:val="16"/>
        </w:rPr>
        <w:t> </w:t>
      </w:r>
      <w:r>
        <w:rPr>
          <w:rFonts w:ascii="Calibri"/>
          <w:sz w:val="16"/>
        </w:rPr>
        <w:t>times</w:t>
      </w:r>
      <w:r>
        <w:rPr>
          <w:rFonts w:ascii="Calibri"/>
          <w:spacing w:val="-2"/>
          <w:sz w:val="16"/>
        </w:rPr>
        <w:t> </w:t>
      </w:r>
      <w:r>
        <w:rPr>
          <w:rFonts w:ascii="Calibri"/>
          <w:sz w:val="16"/>
        </w:rPr>
        <w:t>in</w:t>
      </w:r>
      <w:r>
        <w:rPr>
          <w:rFonts w:ascii="Calibri"/>
          <w:spacing w:val="-2"/>
          <w:sz w:val="16"/>
        </w:rPr>
        <w:t> </w:t>
      </w:r>
      <w:r>
        <w:rPr>
          <w:rFonts w:ascii="Calibri"/>
          <w:sz w:val="16"/>
        </w:rPr>
        <w:t>the</w:t>
      </w:r>
      <w:r>
        <w:rPr>
          <w:rFonts w:ascii="Calibri"/>
          <w:spacing w:val="-3"/>
          <w:sz w:val="16"/>
        </w:rPr>
        <w:t> </w:t>
      </w:r>
      <w:r>
        <w:rPr>
          <w:rFonts w:ascii="Calibri"/>
          <w:sz w:val="16"/>
        </w:rPr>
        <w:t>past</w:t>
      </w:r>
      <w:r>
        <w:rPr>
          <w:rFonts w:ascii="Calibri"/>
          <w:spacing w:val="-2"/>
          <w:sz w:val="16"/>
        </w:rPr>
        <w:t> </w:t>
      </w:r>
      <w:r>
        <w:rPr>
          <w:rFonts w:ascii="Calibri"/>
          <w:sz w:val="16"/>
        </w:rPr>
        <w:t>(e.g.</w:t>
      </w:r>
      <w:r>
        <w:rPr>
          <w:rFonts w:ascii="Calibri"/>
          <w:spacing w:val="-2"/>
          <w:sz w:val="16"/>
        </w:rPr>
        <w:t> </w:t>
      </w:r>
      <w:r>
        <w:rPr>
          <w:rFonts w:ascii="Calibri"/>
          <w:sz w:val="16"/>
        </w:rPr>
        <w:t>2008-2009).</w:t>
      </w:r>
    </w:p>
    <w:p>
      <w:pPr>
        <w:spacing w:before="11"/>
        <w:ind w:left="1440" w:right="0" w:firstLine="0"/>
        <w:jc w:val="left"/>
        <w:rPr>
          <w:rFonts w:ascii="Calibri" w:hAnsi="Calibri" w:cs="Calibri" w:eastAsia="Calibri" w:hint="default"/>
          <w:sz w:val="16"/>
          <w:szCs w:val="16"/>
        </w:rPr>
      </w:pPr>
      <w:r>
        <w:rPr>
          <w:rFonts w:ascii="Calibri"/>
          <w:position w:val="5"/>
          <w:sz w:val="12"/>
        </w:rPr>
        <w:t>6 </w:t>
      </w:r>
      <w:r>
        <w:rPr>
          <w:rFonts w:ascii="Calibri"/>
          <w:sz w:val="16"/>
        </w:rPr>
        <w:t>Source: Soest Van, J. (1978). </w:t>
      </w:r>
      <w:r>
        <w:rPr>
          <w:rFonts w:ascii="Calibri"/>
          <w:i/>
          <w:sz w:val="16"/>
        </w:rPr>
        <w:t>Trustee of the Netherlands</w:t>
      </w:r>
      <w:r>
        <w:rPr>
          <w:rFonts w:ascii="Calibri"/>
          <w:i/>
          <w:spacing w:val="-15"/>
          <w:sz w:val="16"/>
        </w:rPr>
        <w:t> </w:t>
      </w:r>
      <w:r>
        <w:rPr>
          <w:rFonts w:ascii="Calibri"/>
          <w:i/>
          <w:sz w:val="16"/>
        </w:rPr>
        <w:t>Antilles.</w:t>
      </w:r>
      <w:r>
        <w:rPr>
          <w:rFonts w:ascii="Calibri"/>
          <w:sz w:val="16"/>
        </w:rPr>
      </w:r>
    </w:p>
    <w:p>
      <w:pPr>
        <w:spacing w:after="0"/>
        <w:jc w:val="left"/>
        <w:rPr>
          <w:rFonts w:ascii="Calibri" w:hAnsi="Calibri" w:cs="Calibri" w:eastAsia="Calibri" w:hint="default"/>
          <w:sz w:val="16"/>
          <w:szCs w:val="16"/>
        </w:rPr>
        <w:sectPr>
          <w:footerReference w:type="default" r:id="rId14"/>
          <w:pgSz w:w="12240" w:h="15840"/>
          <w:pgMar w:footer="533" w:header="0" w:top="840" w:bottom="720" w:left="0" w:right="0"/>
        </w:sectPr>
      </w:pPr>
    </w:p>
    <w:p>
      <w:pPr>
        <w:spacing w:line="240" w:lineRule="auto" w:before="0"/>
        <w:ind w:right="0"/>
        <w:rPr>
          <w:rFonts w:ascii="Calibri" w:hAnsi="Calibri" w:cs="Calibri" w:eastAsia="Calibri" w:hint="default"/>
          <w:i/>
          <w:sz w:val="20"/>
          <w:szCs w:val="20"/>
        </w:rPr>
      </w:pPr>
    </w:p>
    <w:p>
      <w:pPr>
        <w:spacing w:line="240" w:lineRule="auto" w:before="9"/>
        <w:ind w:right="0"/>
        <w:rPr>
          <w:rFonts w:ascii="Calibri" w:hAnsi="Calibri" w:cs="Calibri" w:eastAsia="Calibri" w:hint="default"/>
          <w:i/>
          <w:sz w:val="24"/>
          <w:szCs w:val="24"/>
        </w:rPr>
      </w:pPr>
    </w:p>
    <w:p>
      <w:pPr>
        <w:pStyle w:val="Heading2"/>
        <w:spacing w:line="240" w:lineRule="auto"/>
        <w:ind w:right="0"/>
        <w:jc w:val="both"/>
        <w:rPr>
          <w:rFonts w:ascii="Calibri" w:hAnsi="Calibri" w:cs="Calibri" w:eastAsia="Calibri" w:hint="default"/>
          <w:b w:val="0"/>
          <w:bCs w:val="0"/>
        </w:rPr>
      </w:pPr>
      <w:bookmarkStart w:name="_bookmark21" w:id="22"/>
      <w:bookmarkEnd w:id="22"/>
      <w:r>
        <w:rPr>
          <w:b w:val="0"/>
          <w:bCs w:val="0"/>
        </w:rPr>
      </w:r>
      <w:r>
        <w:rPr>
          <w:rFonts w:ascii="Calibri" w:hAnsi="Calibri" w:cs="Calibri" w:eastAsia="Calibri" w:hint="default"/>
        </w:rPr>
        <w:t>Curaçao’s tourism industry</w:t>
      </w:r>
      <w:r>
        <w:rPr>
          <w:rFonts w:ascii="Calibri" w:hAnsi="Calibri" w:cs="Calibri" w:eastAsia="Calibri" w:hint="default"/>
          <w:spacing w:val="-8"/>
        </w:rPr>
        <w:t> </w:t>
      </w:r>
      <w:r>
        <w:rPr>
          <w:rFonts w:ascii="Calibri" w:hAnsi="Calibri" w:cs="Calibri" w:eastAsia="Calibri" w:hint="default"/>
        </w:rPr>
        <w:t>today</w:t>
      </w:r>
      <w:r>
        <w:rPr>
          <w:rFonts w:ascii="Calibri" w:hAnsi="Calibri" w:cs="Calibri" w:eastAsia="Calibri" w:hint="default"/>
          <w:b w:val="0"/>
          <w:bCs w:val="0"/>
        </w:rPr>
      </w:r>
    </w:p>
    <w:p>
      <w:pPr>
        <w:pStyle w:val="BodyText"/>
        <w:spacing w:line="240" w:lineRule="auto" w:before="191"/>
        <w:ind w:right="1435" w:firstLine="45"/>
        <w:jc w:val="both"/>
      </w:pPr>
      <w:r>
        <w:rPr>
          <w:rFonts w:ascii="Calibri" w:hAnsi="Calibri" w:cs="Calibri" w:eastAsia="Calibri" w:hint="default"/>
        </w:rPr>
        <w:t>Today,</w:t>
      </w:r>
      <w:r>
        <w:rPr>
          <w:rFonts w:ascii="Calibri" w:hAnsi="Calibri" w:cs="Calibri" w:eastAsia="Calibri" w:hint="default"/>
          <w:spacing w:val="-4"/>
        </w:rPr>
        <w:t> </w:t>
      </w:r>
      <w:r>
        <w:rPr>
          <w:rFonts w:ascii="Calibri" w:hAnsi="Calibri" w:cs="Calibri" w:eastAsia="Calibri" w:hint="default"/>
        </w:rPr>
        <w:t>Curacao’s</w:t>
      </w:r>
      <w:r>
        <w:rPr>
          <w:rFonts w:ascii="Calibri" w:hAnsi="Calibri" w:cs="Calibri" w:eastAsia="Calibri" w:hint="default"/>
          <w:spacing w:val="-5"/>
        </w:rPr>
        <w:t> </w:t>
      </w:r>
      <w:r>
        <w:rPr>
          <w:rFonts w:ascii="Calibri" w:hAnsi="Calibri" w:cs="Calibri" w:eastAsia="Calibri" w:hint="default"/>
        </w:rPr>
        <w:t>tourism</w:t>
      </w:r>
      <w:r>
        <w:rPr>
          <w:rFonts w:ascii="Calibri" w:hAnsi="Calibri" w:cs="Calibri" w:eastAsia="Calibri" w:hint="default"/>
          <w:spacing w:val="-5"/>
        </w:rPr>
        <w:t> </w:t>
      </w:r>
      <w:r>
        <w:rPr>
          <w:rFonts w:ascii="Calibri" w:hAnsi="Calibri" w:cs="Calibri" w:eastAsia="Calibri" w:hint="default"/>
        </w:rPr>
        <w:t>industry</w:t>
      </w:r>
      <w:r>
        <w:rPr>
          <w:rFonts w:ascii="Calibri" w:hAnsi="Calibri" w:cs="Calibri" w:eastAsia="Calibri" w:hint="default"/>
          <w:spacing w:val="-4"/>
        </w:rPr>
        <w:t> </w:t>
      </w:r>
      <w:r>
        <w:rPr>
          <w:rFonts w:ascii="Calibri" w:hAnsi="Calibri" w:cs="Calibri" w:eastAsia="Calibri" w:hint="default"/>
        </w:rPr>
        <w:t>boasts</w:t>
      </w:r>
      <w:r>
        <w:rPr>
          <w:rFonts w:ascii="Calibri" w:hAnsi="Calibri" w:cs="Calibri" w:eastAsia="Calibri" w:hint="default"/>
          <w:spacing w:val="-6"/>
        </w:rPr>
        <w:t> </w:t>
      </w:r>
      <w:r>
        <w:rPr>
          <w:rFonts w:ascii="Calibri" w:hAnsi="Calibri" w:cs="Calibri" w:eastAsia="Calibri" w:hint="default"/>
        </w:rPr>
        <w:t>significant</w:t>
      </w:r>
      <w:r>
        <w:rPr>
          <w:rFonts w:ascii="Calibri" w:hAnsi="Calibri" w:cs="Calibri" w:eastAsia="Calibri" w:hint="default"/>
          <w:spacing w:val="-4"/>
        </w:rPr>
        <w:t> </w:t>
      </w:r>
      <w:r>
        <w:rPr>
          <w:rFonts w:ascii="Calibri" w:hAnsi="Calibri" w:cs="Calibri" w:eastAsia="Calibri" w:hint="default"/>
        </w:rPr>
        <w:t>value</w:t>
      </w:r>
      <w:r>
        <w:rPr>
          <w:rFonts w:ascii="Calibri" w:hAnsi="Calibri" w:cs="Calibri" w:eastAsia="Calibri" w:hint="default"/>
          <w:spacing w:val="-5"/>
        </w:rPr>
        <w:t> </w:t>
      </w:r>
      <w:r>
        <w:rPr>
          <w:rFonts w:ascii="Calibri" w:hAnsi="Calibri" w:cs="Calibri" w:eastAsia="Calibri" w:hint="default"/>
        </w:rPr>
        <w:t>to</w:t>
      </w:r>
      <w:r>
        <w:rPr>
          <w:rFonts w:ascii="Calibri" w:hAnsi="Calibri" w:cs="Calibri" w:eastAsia="Calibri" w:hint="default"/>
          <w:spacing w:val="-4"/>
        </w:rPr>
        <w:t> </w:t>
      </w:r>
      <w:r>
        <w:rPr>
          <w:rFonts w:ascii="Calibri" w:hAnsi="Calibri" w:cs="Calibri" w:eastAsia="Calibri" w:hint="default"/>
        </w:rPr>
        <w:t>the</w:t>
      </w:r>
      <w:r>
        <w:rPr>
          <w:rFonts w:ascii="Calibri" w:hAnsi="Calibri" w:cs="Calibri" w:eastAsia="Calibri" w:hint="default"/>
          <w:spacing w:val="-5"/>
        </w:rPr>
        <w:t> </w:t>
      </w:r>
      <w:r>
        <w:rPr>
          <w:rFonts w:ascii="Calibri" w:hAnsi="Calibri" w:cs="Calibri" w:eastAsia="Calibri" w:hint="default"/>
        </w:rPr>
        <w:t>island’s</w:t>
      </w:r>
      <w:r>
        <w:rPr>
          <w:rFonts w:ascii="Calibri" w:hAnsi="Calibri" w:cs="Calibri" w:eastAsia="Calibri" w:hint="default"/>
          <w:spacing w:val="-5"/>
        </w:rPr>
        <w:t> </w:t>
      </w:r>
      <w:r>
        <w:rPr>
          <w:rFonts w:ascii="Calibri" w:hAnsi="Calibri" w:cs="Calibri" w:eastAsia="Calibri" w:hint="default"/>
        </w:rPr>
        <w:t>overall</w:t>
      </w:r>
      <w:r>
        <w:rPr>
          <w:rFonts w:ascii="Calibri" w:hAnsi="Calibri" w:cs="Calibri" w:eastAsia="Calibri" w:hint="default"/>
          <w:spacing w:val="-4"/>
        </w:rPr>
        <w:t> </w:t>
      </w:r>
      <w:r>
        <w:rPr>
          <w:rFonts w:ascii="Calibri" w:hAnsi="Calibri" w:cs="Calibri" w:eastAsia="Calibri" w:hint="default"/>
        </w:rPr>
        <w:t>economic</w:t>
      </w:r>
      <w:r>
        <w:rPr>
          <w:rFonts w:ascii="Calibri" w:hAnsi="Calibri" w:cs="Calibri" w:eastAsia="Calibri" w:hint="default"/>
          <w:spacing w:val="-5"/>
        </w:rPr>
        <w:t> </w:t>
      </w:r>
      <w:r>
        <w:rPr>
          <w:rFonts w:ascii="Calibri" w:hAnsi="Calibri" w:cs="Calibri" w:eastAsia="Calibri" w:hint="default"/>
        </w:rPr>
        <w:t>performance</w:t>
      </w:r>
      <w:r>
        <w:rPr>
          <w:rFonts w:ascii="Calibri" w:hAnsi="Calibri" w:cs="Calibri" w:eastAsia="Calibri" w:hint="default"/>
          <w:spacing w:val="-5"/>
        </w:rPr>
        <w:t> </w:t>
      </w:r>
      <w:r>
        <w:rPr>
          <w:rFonts w:ascii="Calibri" w:hAnsi="Calibri" w:cs="Calibri" w:eastAsia="Calibri" w:hint="default"/>
        </w:rPr>
        <w:t>(</w:t>
      </w:r>
      <w:r>
        <w:rPr/>
        <w:t>see</w:t>
      </w:r>
      <w:r>
        <w:rPr>
          <w:spacing w:val="-5"/>
        </w:rPr>
        <w:t> </w:t>
      </w:r>
      <w:r>
        <w:rPr/>
        <w:t>Figure </w:t>
      </w:r>
      <w:r>
        <w:rPr/>
        <w:t>3). The tourism industry is the only sector that has steadily increased in foreign exchange when compared to the other economic sectors in Curacao. In addition, the tourism sector contributes over 1 billion NAF to the economy, </w:t>
      </w:r>
      <w:r>
        <w:rPr>
          <w:rFonts w:ascii="Calibri" w:hAnsi="Calibri" w:cs="Calibri" w:eastAsia="Calibri" w:hint="default"/>
        </w:rPr>
        <w:t>which accounts for approximately 18% of the country’s GDP and 26% of the contribution </w:t>
      </w:r>
      <w:r>
        <w:rPr/>
        <w:t>to foreign exchange (see Figure</w:t>
      </w:r>
      <w:r>
        <w:rPr>
          <w:spacing w:val="-7"/>
        </w:rPr>
        <w:t> </w:t>
      </w:r>
      <w:r>
        <w:rPr/>
        <w:t>4).</w:t>
      </w:r>
    </w:p>
    <w:p>
      <w:pPr>
        <w:spacing w:line="240" w:lineRule="auto"/>
        <w:ind w:left="3084"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793348" cy="1784223"/>
            <wp:effectExtent l="0" t="0" r="0" b="0"/>
            <wp:docPr id="9" name="image8.png" descr=""/>
            <wp:cNvGraphicFramePr>
              <a:graphicFrameLocks noChangeAspect="1"/>
            </wp:cNvGraphicFramePr>
            <a:graphic>
              <a:graphicData uri="http://schemas.openxmlformats.org/drawingml/2006/picture">
                <pic:pic>
                  <pic:nvPicPr>
                    <pic:cNvPr id="10" name="image8.png"/>
                    <pic:cNvPicPr/>
                  </pic:nvPicPr>
                  <pic:blipFill>
                    <a:blip r:embed="rId17" cstate="print"/>
                    <a:stretch>
                      <a:fillRect/>
                    </a:stretch>
                  </pic:blipFill>
                  <pic:spPr>
                    <a:xfrm>
                      <a:off x="0" y="0"/>
                      <a:ext cx="3793348" cy="1784223"/>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46"/>
        <w:ind w:right="26"/>
        <w:jc w:val="center"/>
        <w:rPr>
          <w:rFonts w:ascii="Calibri" w:hAnsi="Calibri" w:cs="Calibri" w:eastAsia="Calibri" w:hint="default"/>
          <w:b w:val="0"/>
          <w:bCs w:val="0"/>
        </w:rPr>
      </w:pPr>
      <w:bookmarkStart w:name="_bookmark22" w:id="23"/>
      <w:bookmarkEnd w:id="23"/>
      <w:r>
        <w:rPr>
          <w:b w:val="0"/>
          <w:bCs w:val="0"/>
        </w:rPr>
      </w:r>
      <w:r>
        <w:rPr/>
        <w:t>Figure 3:  </w:t>
      </w:r>
      <w:r>
        <w:rPr>
          <w:rFonts w:ascii="Calibri" w:hAnsi="Calibri" w:cs="Calibri" w:eastAsia="Calibri" w:hint="default"/>
        </w:rPr>
        <w:t>Growth of</w:t>
      </w:r>
      <w:r>
        <w:rPr>
          <w:rFonts w:ascii="Calibri" w:hAnsi="Calibri" w:cs="Calibri" w:eastAsia="Calibri" w:hint="default"/>
          <w:spacing w:val="-12"/>
        </w:rPr>
        <w:t> </w:t>
      </w:r>
      <w:r>
        <w:rPr>
          <w:rFonts w:ascii="Calibri" w:hAnsi="Calibri" w:cs="Calibri" w:eastAsia="Calibri" w:hint="default"/>
        </w:rPr>
        <w:t>Curaçao’s</w:t>
      </w:r>
      <w:r>
        <w:rPr>
          <w:rFonts w:ascii="Calibri" w:hAnsi="Calibri" w:cs="Calibri" w:eastAsia="Calibri" w:hint="default"/>
          <w:b w:val="0"/>
          <w:bCs w:val="0"/>
        </w:rPr>
      </w:r>
    </w:p>
    <w:p>
      <w:pPr>
        <w:spacing w:line="240" w:lineRule="auto" w:before="11" w:after="0"/>
        <w:ind w:right="0"/>
        <w:rPr>
          <w:rFonts w:ascii="Calibri" w:hAnsi="Calibri" w:cs="Calibri" w:eastAsia="Calibri" w:hint="default"/>
          <w:b/>
          <w:bCs/>
          <w:sz w:val="19"/>
          <w:szCs w:val="19"/>
        </w:rPr>
      </w:pPr>
    </w:p>
    <w:p>
      <w:pPr>
        <w:spacing w:line="240" w:lineRule="auto"/>
        <w:ind w:left="4485"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2050732" cy="1978247"/>
            <wp:effectExtent l="0" t="0" r="0" b="0"/>
            <wp:docPr id="11" name="image9.png" descr=""/>
            <wp:cNvGraphicFramePr>
              <a:graphicFrameLocks noChangeAspect="1"/>
            </wp:cNvGraphicFramePr>
            <a:graphic>
              <a:graphicData uri="http://schemas.openxmlformats.org/drawingml/2006/picture">
                <pic:pic>
                  <pic:nvPicPr>
                    <pic:cNvPr id="12" name="image9.png"/>
                    <pic:cNvPicPr/>
                  </pic:nvPicPr>
                  <pic:blipFill>
                    <a:blip r:embed="rId18" cstate="print"/>
                    <a:stretch>
                      <a:fillRect/>
                    </a:stretch>
                  </pic:blipFill>
                  <pic:spPr>
                    <a:xfrm>
                      <a:off x="0" y="0"/>
                      <a:ext cx="2050732" cy="1978247"/>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29"/>
        <w:ind w:right="26"/>
        <w:jc w:val="center"/>
        <w:rPr>
          <w:rFonts w:ascii="Calibri" w:hAnsi="Calibri" w:cs="Calibri" w:eastAsia="Calibri" w:hint="default"/>
          <w:b w:val="0"/>
          <w:bCs w:val="0"/>
        </w:rPr>
      </w:pPr>
      <w:bookmarkStart w:name="_bookmark23" w:id="24"/>
      <w:bookmarkEnd w:id="24"/>
      <w:r>
        <w:rPr>
          <w:b w:val="0"/>
          <w:bCs w:val="0"/>
        </w:rPr>
      </w:r>
      <w:r>
        <w:rPr/>
        <w:t>Figure 4</w:t>
      </w:r>
      <w:r>
        <w:rPr>
          <w:rFonts w:ascii="Calibri" w:hAnsi="Calibri" w:cs="Calibri" w:eastAsia="Calibri" w:hint="default"/>
        </w:rPr>
        <w:t>:  Contributions of Curaçao’s economic</w:t>
      </w:r>
      <w:r>
        <w:rPr>
          <w:rFonts w:ascii="Calibri" w:hAnsi="Calibri" w:cs="Calibri" w:eastAsia="Calibri" w:hint="default"/>
          <w:spacing w:val="-21"/>
        </w:rPr>
        <w:t> </w:t>
      </w:r>
      <w:r>
        <w:rPr>
          <w:rFonts w:ascii="Calibri" w:hAnsi="Calibri" w:cs="Calibri" w:eastAsia="Calibri" w:hint="default"/>
        </w:rPr>
        <w:t>sectors</w:t>
      </w:r>
      <w:r>
        <w:rPr>
          <w:rFonts w:ascii="Calibri" w:hAnsi="Calibri" w:cs="Calibri" w:eastAsia="Calibri" w:hint="default"/>
          <w:b w:val="0"/>
          <w:bCs w:val="0"/>
        </w:rPr>
      </w:r>
    </w:p>
    <w:p>
      <w:pPr>
        <w:spacing w:line="240" w:lineRule="auto" w:before="11"/>
        <w:ind w:right="0"/>
        <w:rPr>
          <w:rFonts w:ascii="Calibri" w:hAnsi="Calibri" w:cs="Calibri" w:eastAsia="Calibri" w:hint="default"/>
          <w:b/>
          <w:bCs/>
          <w:sz w:val="19"/>
          <w:szCs w:val="19"/>
        </w:rPr>
      </w:pPr>
    </w:p>
    <w:p>
      <w:pPr>
        <w:pStyle w:val="BodyText"/>
        <w:spacing w:line="240" w:lineRule="auto"/>
        <w:ind w:right="1436"/>
        <w:jc w:val="both"/>
        <w:rPr>
          <w:sz w:val="12"/>
          <w:szCs w:val="12"/>
        </w:rPr>
      </w:pPr>
      <w:r>
        <w:rPr>
          <w:rFonts w:ascii="Calibri" w:hAnsi="Calibri" w:cs="Calibri" w:eastAsia="Calibri" w:hint="default"/>
        </w:rPr>
        <w:t>Figure 5 displays Curaçao’s tourist arrivals from 2000</w:t>
      </w:r>
      <w:r>
        <w:rPr/>
        <w:t>-2013. It is clear from the graph that tourism does work for Curaçao as the overall trend for tourist arrivals is positive. It is also evident </w:t>
      </w:r>
      <w:r>
        <w:rPr>
          <w:rFonts w:ascii="Calibri" w:hAnsi="Calibri" w:cs="Calibri" w:eastAsia="Calibri" w:hint="default"/>
        </w:rPr>
        <w:t>that tourists’ receipts continue to </w:t>
      </w:r>
      <w:r>
        <w:rPr/>
        <w:t>increase</w:t>
      </w:r>
      <w:r>
        <w:rPr>
          <w:spacing w:val="-8"/>
        </w:rPr>
        <w:t> </w:t>
      </w:r>
      <w:r>
        <w:rPr/>
        <w:t>over</w:t>
      </w:r>
      <w:r>
        <w:rPr>
          <w:spacing w:val="-6"/>
        </w:rPr>
        <w:t> </w:t>
      </w:r>
      <w:r>
        <w:rPr/>
        <w:t>time</w:t>
      </w:r>
      <w:r>
        <w:rPr>
          <w:spacing w:val="-5"/>
        </w:rPr>
        <w:t> </w:t>
      </w:r>
      <w:r>
        <w:rPr/>
        <w:t>(see</w:t>
      </w:r>
      <w:r>
        <w:rPr>
          <w:spacing w:val="-5"/>
        </w:rPr>
        <w:t> </w:t>
      </w:r>
      <w:r>
        <w:rPr/>
        <w:t>Figure</w:t>
      </w:r>
      <w:r>
        <w:rPr>
          <w:spacing w:val="-5"/>
        </w:rPr>
        <w:t> </w:t>
      </w:r>
      <w:r>
        <w:rPr/>
        <w:t>6)</w:t>
      </w:r>
      <w:r>
        <w:rPr>
          <w:spacing w:val="-8"/>
        </w:rPr>
        <w:t> </w:t>
      </w:r>
      <w:r>
        <w:rPr/>
        <w:t>making</w:t>
      </w:r>
      <w:r>
        <w:rPr>
          <w:spacing w:val="-5"/>
        </w:rPr>
        <w:t> </w:t>
      </w:r>
      <w:r>
        <w:rPr/>
        <w:t>the</w:t>
      </w:r>
      <w:r>
        <w:rPr>
          <w:spacing w:val="-8"/>
        </w:rPr>
        <w:t> </w:t>
      </w:r>
      <w:r>
        <w:rPr/>
        <w:t>tourism</w:t>
      </w:r>
      <w:r>
        <w:rPr>
          <w:spacing w:val="-8"/>
        </w:rPr>
        <w:t> </w:t>
      </w:r>
      <w:r>
        <w:rPr/>
        <w:t>industry</w:t>
      </w:r>
      <w:r>
        <w:rPr>
          <w:spacing w:val="-6"/>
        </w:rPr>
        <w:t> </w:t>
      </w:r>
      <w:r>
        <w:rPr/>
        <w:t>a</w:t>
      </w:r>
      <w:r>
        <w:rPr>
          <w:spacing w:val="-6"/>
        </w:rPr>
        <w:t> </w:t>
      </w:r>
      <w:r>
        <w:rPr/>
        <w:t>potent</w:t>
      </w:r>
      <w:r>
        <w:rPr>
          <w:spacing w:val="-6"/>
        </w:rPr>
        <w:t> </w:t>
      </w:r>
      <w:r>
        <w:rPr/>
        <w:t>contributor</w:t>
      </w:r>
      <w:r>
        <w:rPr>
          <w:spacing w:val="-7"/>
        </w:rPr>
        <w:t> </w:t>
      </w:r>
      <w:r>
        <w:rPr/>
        <w:t>to</w:t>
      </w:r>
      <w:r>
        <w:rPr>
          <w:spacing w:val="-2"/>
        </w:rPr>
        <w:t> </w:t>
      </w:r>
      <w:r>
        <w:rPr/>
        <w:t>the</w:t>
      </w:r>
      <w:r>
        <w:rPr>
          <w:spacing w:val="-8"/>
        </w:rPr>
        <w:t> </w:t>
      </w:r>
      <w:r>
        <w:rPr/>
        <w:t>overall</w:t>
      </w:r>
      <w:r>
        <w:rPr>
          <w:spacing w:val="-5"/>
        </w:rPr>
        <w:t> </w:t>
      </w:r>
      <w:r>
        <w:rPr/>
        <w:t>economy.</w:t>
      </w:r>
      <w:r>
        <w:rPr>
          <w:spacing w:val="35"/>
        </w:rPr>
        <w:t> </w:t>
      </w:r>
      <w:r>
        <w:rPr/>
        <w:t>Curaçao </w:t>
      </w:r>
      <w:r>
        <w:rPr/>
        <w:t>is home to a unique special event (i.e. Curaçao North Sea Jazz Festival), which attracts a profitable mix of tourists that spend approximately US$255.00 per day and stay an average of six days. The beauty of these tourists is that they indicate they would like to come back to Curaçao in the absence of the festival and would recommend the destination to others. Actually, the 2014 festival had more repeat attendees than first-timers, and the festival was instrumental in enhancing the image of the destination. For example, 80% of attendees reported that their image of the island had improved after attending the</w:t>
      </w:r>
      <w:r>
        <w:rPr>
          <w:spacing w:val="-16"/>
        </w:rPr>
        <w:t> </w:t>
      </w:r>
      <w:r>
        <w:rPr/>
        <w:t>festival.</w:t>
      </w:r>
      <w:r>
        <w:rPr>
          <w:position w:val="5"/>
          <w:sz w:val="12"/>
          <w:szCs w:val="12"/>
        </w:rPr>
        <w:t>7</w:t>
      </w:r>
      <w:r>
        <w:rPr>
          <w:sz w:val="12"/>
          <w:szCs w:val="12"/>
        </w:rPr>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3" w:after="0"/>
        <w:ind w:right="0"/>
        <w:rPr>
          <w:rFonts w:ascii="Calibri" w:hAnsi="Calibri" w:cs="Calibri" w:eastAsia="Calibri" w:hint="default"/>
          <w:sz w:val="20"/>
          <w:szCs w:val="20"/>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7" w:lineRule="auto" w:before="91"/>
        <w:ind w:left="1440" w:right="2153" w:firstLine="0"/>
        <w:jc w:val="left"/>
        <w:rPr>
          <w:rFonts w:ascii="Calibri" w:hAnsi="Calibri" w:cs="Calibri" w:eastAsia="Calibri" w:hint="default"/>
          <w:sz w:val="16"/>
          <w:szCs w:val="16"/>
        </w:rPr>
      </w:pPr>
      <w:r>
        <w:rPr>
          <w:rFonts w:ascii="Calibri" w:hAnsi="Calibri"/>
          <w:position w:val="5"/>
          <w:sz w:val="12"/>
        </w:rPr>
        <w:t>7 </w:t>
      </w:r>
      <w:r>
        <w:rPr>
          <w:rFonts w:ascii="Calibri" w:hAnsi="Calibri"/>
          <w:sz w:val="16"/>
        </w:rPr>
        <w:t>See Rivera, M., Croes, R., &amp; Semrad, K. (2014). </w:t>
      </w:r>
      <w:r>
        <w:rPr>
          <w:rFonts w:ascii="Calibri" w:hAnsi="Calibri"/>
          <w:i/>
          <w:sz w:val="16"/>
        </w:rPr>
        <w:t>The Curaçao North Sea Jazz Festival: A lustrum churning economic and promotional opportunities</w:t>
      </w:r>
      <w:r>
        <w:rPr>
          <w:rFonts w:ascii="Calibri" w:hAnsi="Calibri"/>
          <w:i/>
          <w:spacing w:val="-4"/>
          <w:sz w:val="16"/>
        </w:rPr>
        <w:t> </w:t>
      </w:r>
      <w:r>
        <w:rPr>
          <w:rFonts w:ascii="Calibri" w:hAnsi="Calibri"/>
          <w:i/>
          <w:sz w:val="16"/>
        </w:rPr>
        <w:t>for</w:t>
      </w:r>
      <w:r>
        <w:rPr>
          <w:rFonts w:ascii="Calibri" w:hAnsi="Calibri"/>
          <w:i/>
          <w:spacing w:val="-3"/>
          <w:sz w:val="16"/>
        </w:rPr>
        <w:t> </w:t>
      </w:r>
      <w:r>
        <w:rPr>
          <w:rFonts w:ascii="Calibri" w:hAnsi="Calibri"/>
          <w:i/>
          <w:sz w:val="16"/>
        </w:rPr>
        <w:t>Curaçao</w:t>
      </w:r>
      <w:r>
        <w:rPr>
          <w:rFonts w:ascii="Calibri" w:hAnsi="Calibri"/>
          <w:sz w:val="16"/>
        </w:rPr>
        <w:t>.</w:t>
      </w:r>
      <w:r>
        <w:rPr>
          <w:rFonts w:ascii="Calibri" w:hAnsi="Calibri"/>
          <w:spacing w:val="-3"/>
          <w:sz w:val="16"/>
        </w:rPr>
        <w:t> </w:t>
      </w:r>
      <w:r>
        <w:rPr>
          <w:rFonts w:ascii="Calibri" w:hAnsi="Calibri"/>
          <w:sz w:val="16"/>
        </w:rPr>
        <w:t>Dick</w:t>
      </w:r>
      <w:r>
        <w:rPr>
          <w:rFonts w:ascii="Calibri" w:hAnsi="Calibri"/>
          <w:spacing w:val="-4"/>
          <w:sz w:val="16"/>
        </w:rPr>
        <w:t> </w:t>
      </w:r>
      <w:r>
        <w:rPr>
          <w:rFonts w:ascii="Calibri" w:hAnsi="Calibri"/>
          <w:sz w:val="16"/>
        </w:rPr>
        <w:t>Pope</w:t>
      </w:r>
      <w:r>
        <w:rPr>
          <w:rFonts w:ascii="Calibri" w:hAnsi="Calibri"/>
          <w:spacing w:val="-3"/>
          <w:sz w:val="16"/>
        </w:rPr>
        <w:t> </w:t>
      </w:r>
      <w:r>
        <w:rPr>
          <w:rFonts w:ascii="Calibri" w:hAnsi="Calibri"/>
          <w:sz w:val="16"/>
        </w:rPr>
        <w:t>Sr.</w:t>
      </w:r>
      <w:r>
        <w:rPr>
          <w:rFonts w:ascii="Calibri" w:hAnsi="Calibri"/>
          <w:spacing w:val="-3"/>
          <w:sz w:val="16"/>
        </w:rPr>
        <w:t> </w:t>
      </w:r>
      <w:r>
        <w:rPr>
          <w:rFonts w:ascii="Calibri" w:hAnsi="Calibri"/>
          <w:sz w:val="16"/>
        </w:rPr>
        <w:t>Institute</w:t>
      </w:r>
      <w:r>
        <w:rPr>
          <w:rFonts w:ascii="Calibri" w:hAnsi="Calibri"/>
          <w:spacing w:val="-2"/>
          <w:sz w:val="16"/>
        </w:rPr>
        <w:t> </w:t>
      </w:r>
      <w:r>
        <w:rPr>
          <w:rFonts w:ascii="Calibri" w:hAnsi="Calibri"/>
          <w:sz w:val="16"/>
        </w:rPr>
        <w:t>for</w:t>
      </w:r>
      <w:r>
        <w:rPr>
          <w:rFonts w:ascii="Calibri" w:hAnsi="Calibri"/>
          <w:spacing w:val="-4"/>
          <w:sz w:val="16"/>
        </w:rPr>
        <w:t> </w:t>
      </w:r>
      <w:r>
        <w:rPr>
          <w:rFonts w:ascii="Calibri" w:hAnsi="Calibri"/>
          <w:sz w:val="16"/>
        </w:rPr>
        <w:t>Tourism</w:t>
      </w:r>
      <w:r>
        <w:rPr>
          <w:rFonts w:ascii="Calibri" w:hAnsi="Calibri"/>
          <w:spacing w:val="-3"/>
          <w:sz w:val="16"/>
        </w:rPr>
        <w:t> </w:t>
      </w:r>
      <w:r>
        <w:rPr>
          <w:rFonts w:ascii="Calibri" w:hAnsi="Calibri"/>
          <w:sz w:val="16"/>
        </w:rPr>
        <w:t>Studies:</w:t>
      </w:r>
      <w:r>
        <w:rPr>
          <w:rFonts w:ascii="Calibri" w:hAnsi="Calibri"/>
          <w:spacing w:val="-4"/>
          <w:sz w:val="16"/>
        </w:rPr>
        <w:t> </w:t>
      </w:r>
      <w:r>
        <w:rPr>
          <w:rFonts w:ascii="Calibri" w:hAnsi="Calibri"/>
          <w:sz w:val="16"/>
        </w:rPr>
        <w:t>Orlando,</w:t>
      </w:r>
      <w:r>
        <w:rPr>
          <w:rFonts w:ascii="Calibri" w:hAnsi="Calibri"/>
          <w:spacing w:val="-3"/>
          <w:sz w:val="16"/>
        </w:rPr>
        <w:t> </w:t>
      </w:r>
      <w:r>
        <w:rPr>
          <w:rFonts w:ascii="Calibri" w:hAnsi="Calibri"/>
          <w:sz w:val="16"/>
        </w:rPr>
        <w:t>FL.</w:t>
      </w:r>
    </w:p>
    <w:p>
      <w:pPr>
        <w:spacing w:after="0" w:line="247" w:lineRule="auto"/>
        <w:jc w:val="left"/>
        <w:rPr>
          <w:rFonts w:ascii="Calibri" w:hAnsi="Calibri" w:cs="Calibri" w:eastAsia="Calibri" w:hint="default"/>
          <w:sz w:val="16"/>
          <w:szCs w:val="16"/>
        </w:rPr>
        <w:sectPr>
          <w:footerReference w:type="default" r:id="rId16"/>
          <w:pgSz w:w="12240" w:h="15840"/>
          <w:pgMar w:footer="533" w:header="0" w:top="840" w:bottom="720" w:left="0" w:right="0"/>
          <w:pgNumType w:start="11"/>
        </w:sectPr>
      </w:pPr>
    </w:p>
    <w:p>
      <w:pPr>
        <w:spacing w:line="240" w:lineRule="auto" w:before="0"/>
        <w:ind w:right="0"/>
        <w:rPr>
          <w:rFonts w:ascii="Calibri" w:hAnsi="Calibri" w:cs="Calibri" w:eastAsia="Calibri" w:hint="default"/>
          <w:sz w:val="20"/>
          <w:szCs w:val="20"/>
        </w:rPr>
      </w:pPr>
    </w:p>
    <w:p>
      <w:pPr>
        <w:spacing w:line="240" w:lineRule="auto" w:before="12" w:after="0"/>
        <w:ind w:right="0"/>
        <w:rPr>
          <w:rFonts w:ascii="Calibri" w:hAnsi="Calibri" w:cs="Calibri" w:eastAsia="Calibri" w:hint="default"/>
          <w:sz w:val="27"/>
          <w:szCs w:val="27"/>
        </w:rPr>
      </w:pPr>
    </w:p>
    <w:p>
      <w:pPr>
        <w:spacing w:line="240" w:lineRule="auto"/>
        <w:ind w:left="3134"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779777" cy="1335024"/>
            <wp:effectExtent l="0" t="0" r="0" b="0"/>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9" cstate="print"/>
                    <a:stretch>
                      <a:fillRect/>
                    </a:stretch>
                  </pic:blipFill>
                  <pic:spPr>
                    <a:xfrm>
                      <a:off x="0" y="0"/>
                      <a:ext cx="3779777" cy="1335024"/>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2"/>
        <w:ind w:left="23" w:right="26"/>
        <w:jc w:val="center"/>
        <w:rPr>
          <w:rFonts w:ascii="Calibri" w:hAnsi="Calibri" w:cs="Calibri" w:eastAsia="Calibri" w:hint="default"/>
          <w:b w:val="0"/>
          <w:bCs w:val="0"/>
        </w:rPr>
      </w:pPr>
      <w:bookmarkStart w:name="_bookmark24" w:id="25"/>
      <w:bookmarkEnd w:id="25"/>
      <w:r>
        <w:rPr>
          <w:b w:val="0"/>
          <w:bCs w:val="0"/>
        </w:rPr>
      </w:r>
      <w:r>
        <w:rPr/>
        <w:t>Figure 5:  </w:t>
      </w:r>
      <w:r>
        <w:rPr>
          <w:rFonts w:ascii="Calibri" w:hAnsi="Calibri" w:cs="Calibri" w:eastAsia="Calibri" w:hint="default"/>
        </w:rPr>
        <w:t>Curaçao’s tourist</w:t>
      </w:r>
      <w:r>
        <w:rPr>
          <w:rFonts w:ascii="Calibri" w:hAnsi="Calibri" w:cs="Calibri" w:eastAsia="Calibri" w:hint="default"/>
          <w:spacing w:val="-14"/>
        </w:rPr>
        <w:t> </w:t>
      </w:r>
      <w:r>
        <w:rPr>
          <w:rFonts w:ascii="Calibri" w:hAnsi="Calibri" w:cs="Calibri" w:eastAsia="Calibri" w:hint="default"/>
        </w:rPr>
        <w:t>arrivals</w:t>
      </w:r>
      <w:r>
        <w:rPr>
          <w:rFonts w:ascii="Calibri" w:hAnsi="Calibri" w:cs="Calibri" w:eastAsia="Calibri" w:hint="default"/>
          <w:b w:val="0"/>
          <w:bCs w:val="0"/>
        </w:rPr>
      </w:r>
    </w:p>
    <w:p>
      <w:pPr>
        <w:spacing w:line="240" w:lineRule="auto" w:before="1"/>
        <w:ind w:right="0"/>
        <w:rPr>
          <w:rFonts w:ascii="Calibri" w:hAnsi="Calibri" w:cs="Calibri" w:eastAsia="Calibri" w:hint="default"/>
          <w:b/>
          <w:bCs/>
          <w:sz w:val="20"/>
          <w:szCs w:val="20"/>
        </w:rPr>
      </w:pPr>
    </w:p>
    <w:p>
      <w:pPr>
        <w:pStyle w:val="BodyText"/>
        <w:spacing w:line="240" w:lineRule="auto"/>
        <w:ind w:right="1435"/>
        <w:jc w:val="both"/>
      </w:pPr>
      <w:r>
        <w:rPr/>
        <w:t>Over time, Curaçao has closed the performance gap with one of its competitors, St. Maarten. Traditionally, St. Maarten had outperformed Curaçao in the past. However, since 2012, </w:t>
      </w:r>
      <w:r>
        <w:rPr>
          <w:rFonts w:ascii="Calibri" w:hAnsi="Calibri" w:cs="Calibri" w:eastAsia="Calibri" w:hint="default"/>
        </w:rPr>
        <w:t>Curacao’s </w:t>
      </w:r>
      <w:r>
        <w:rPr/>
        <w:t>tourism industry has significantly decreased the performance gap in terms of arrivals between the two</w:t>
      </w:r>
      <w:r>
        <w:rPr>
          <w:spacing w:val="-29"/>
        </w:rPr>
        <w:t> </w:t>
      </w:r>
      <w:r>
        <w:rPr/>
        <w:t>islands.</w:t>
      </w:r>
    </w:p>
    <w:p>
      <w:pPr>
        <w:spacing w:line="240" w:lineRule="auto"/>
        <w:ind w:left="3139"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768385" cy="1576863"/>
            <wp:effectExtent l="0" t="0" r="0" b="0"/>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20" cstate="print"/>
                    <a:stretch>
                      <a:fillRect/>
                    </a:stretch>
                  </pic:blipFill>
                  <pic:spPr>
                    <a:xfrm>
                      <a:off x="0" y="0"/>
                      <a:ext cx="3768385" cy="1576863"/>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10"/>
        <w:ind w:left="25" w:right="26"/>
        <w:jc w:val="center"/>
        <w:rPr>
          <w:rFonts w:ascii="Calibri" w:hAnsi="Calibri" w:cs="Calibri" w:eastAsia="Calibri" w:hint="default"/>
          <w:b w:val="0"/>
          <w:bCs w:val="0"/>
        </w:rPr>
      </w:pPr>
      <w:bookmarkStart w:name="_bookmark25" w:id="26"/>
      <w:bookmarkEnd w:id="26"/>
      <w:r>
        <w:rPr>
          <w:b w:val="0"/>
          <w:bCs w:val="0"/>
        </w:rPr>
      </w:r>
      <w:r>
        <w:rPr/>
        <w:t>Figure 6:  </w:t>
      </w:r>
      <w:r>
        <w:rPr>
          <w:rFonts w:ascii="Calibri" w:hAnsi="Calibri" w:cs="Calibri" w:eastAsia="Calibri" w:hint="default"/>
        </w:rPr>
        <w:t>Curaçao’s tourist</w:t>
      </w:r>
      <w:r>
        <w:rPr>
          <w:rFonts w:ascii="Calibri" w:hAnsi="Calibri" w:cs="Calibri" w:eastAsia="Calibri" w:hint="default"/>
          <w:spacing w:val="-15"/>
        </w:rPr>
        <w:t> </w:t>
      </w:r>
      <w:r>
        <w:rPr>
          <w:rFonts w:ascii="Calibri" w:hAnsi="Calibri" w:cs="Calibri" w:eastAsia="Calibri" w:hint="default"/>
        </w:rPr>
        <w:t>receipts</w:t>
      </w:r>
      <w:r>
        <w:rPr>
          <w:rFonts w:ascii="Calibri" w:hAnsi="Calibri" w:cs="Calibri" w:eastAsia="Calibri" w:hint="default"/>
          <w:b w:val="0"/>
          <w:bCs w:val="0"/>
        </w:rPr>
      </w:r>
    </w:p>
    <w:p>
      <w:pPr>
        <w:spacing w:line="240" w:lineRule="auto" w:before="1"/>
        <w:ind w:right="0"/>
        <w:rPr>
          <w:rFonts w:ascii="Calibri" w:hAnsi="Calibri" w:cs="Calibri" w:eastAsia="Calibri" w:hint="default"/>
          <w:b/>
          <w:bCs/>
          <w:sz w:val="20"/>
          <w:szCs w:val="20"/>
        </w:rPr>
      </w:pPr>
    </w:p>
    <w:p>
      <w:pPr>
        <w:pStyle w:val="BodyText"/>
        <w:spacing w:line="240" w:lineRule="auto"/>
        <w:ind w:right="1435"/>
        <w:jc w:val="both"/>
      </w:pPr>
      <w:r>
        <w:rPr/>
        <w:t>The annual average increase in international arrivals to Curaçao had increased by 6.9% from 2000-2014, while St. Maarten</w:t>
      </w:r>
      <w:r>
        <w:rPr>
          <w:spacing w:val="-11"/>
        </w:rPr>
        <w:t> </w:t>
      </w:r>
      <w:r>
        <w:rPr/>
        <w:t>had</w:t>
      </w:r>
      <w:r>
        <w:rPr>
          <w:spacing w:val="-9"/>
        </w:rPr>
        <w:t> </w:t>
      </w:r>
      <w:r>
        <w:rPr/>
        <w:t>only</w:t>
      </w:r>
      <w:r>
        <w:rPr>
          <w:spacing w:val="-11"/>
        </w:rPr>
        <w:t> </w:t>
      </w:r>
      <w:r>
        <w:rPr/>
        <w:t>experienced</w:t>
      </w:r>
      <w:r>
        <w:rPr>
          <w:spacing w:val="-11"/>
        </w:rPr>
        <w:t> </w:t>
      </w:r>
      <w:r>
        <w:rPr/>
        <w:t>an</w:t>
      </w:r>
      <w:r>
        <w:rPr>
          <w:spacing w:val="-10"/>
        </w:rPr>
        <w:t> </w:t>
      </w:r>
      <w:r>
        <w:rPr/>
        <w:t>average</w:t>
      </w:r>
      <w:r>
        <w:rPr>
          <w:spacing w:val="-13"/>
        </w:rPr>
        <w:t> </w:t>
      </w:r>
      <w:r>
        <w:rPr/>
        <w:t>annual</w:t>
      </w:r>
      <w:r>
        <w:rPr>
          <w:spacing w:val="-11"/>
        </w:rPr>
        <w:t> </w:t>
      </w:r>
      <w:r>
        <w:rPr/>
        <w:t>increase</w:t>
      </w:r>
      <w:r>
        <w:rPr>
          <w:spacing w:val="-10"/>
        </w:rPr>
        <w:t> </w:t>
      </w:r>
      <w:r>
        <w:rPr/>
        <w:t>of</w:t>
      </w:r>
      <w:r>
        <w:rPr>
          <w:spacing w:val="-12"/>
        </w:rPr>
        <w:t> </w:t>
      </w:r>
      <w:r>
        <w:rPr/>
        <w:t>1.2%</w:t>
      </w:r>
      <w:r>
        <w:rPr>
          <w:spacing w:val="-13"/>
        </w:rPr>
        <w:t> </w:t>
      </w:r>
      <w:r>
        <w:rPr/>
        <w:t>over</w:t>
      </w:r>
      <w:r>
        <w:rPr>
          <w:spacing w:val="-12"/>
        </w:rPr>
        <w:t> </w:t>
      </w:r>
      <w:r>
        <w:rPr/>
        <w:t>the</w:t>
      </w:r>
      <w:r>
        <w:rPr>
          <w:spacing w:val="-10"/>
        </w:rPr>
        <w:t> </w:t>
      </w:r>
      <w:r>
        <w:rPr/>
        <w:t>same</w:t>
      </w:r>
      <w:r>
        <w:rPr>
          <w:spacing w:val="-12"/>
        </w:rPr>
        <w:t> </w:t>
      </w:r>
      <w:r>
        <w:rPr/>
        <w:t>timespan</w:t>
      </w:r>
      <w:r>
        <w:rPr>
          <w:spacing w:val="-10"/>
        </w:rPr>
        <w:t> </w:t>
      </w:r>
      <w:r>
        <w:rPr/>
        <w:t>(see</w:t>
      </w:r>
      <w:r>
        <w:rPr>
          <w:spacing w:val="-10"/>
        </w:rPr>
        <w:t> </w:t>
      </w:r>
      <w:r>
        <w:rPr/>
        <w:t>Table</w:t>
      </w:r>
      <w:r>
        <w:rPr>
          <w:spacing w:val="-13"/>
        </w:rPr>
        <w:t> </w:t>
      </w:r>
      <w:r>
        <w:rPr/>
        <w:t>2).</w:t>
      </w:r>
      <w:r>
        <w:rPr>
          <w:spacing w:val="22"/>
        </w:rPr>
        <w:t> </w:t>
      </w:r>
      <w:r>
        <w:rPr/>
        <w:t>This</w:t>
      </w:r>
      <w:r>
        <w:rPr>
          <w:spacing w:val="-11"/>
        </w:rPr>
        <w:t> </w:t>
      </w:r>
      <w:r>
        <w:rPr/>
        <w:t>means </w:t>
      </w:r>
      <w:r>
        <w:rPr/>
        <w:t>that</w:t>
      </w:r>
      <w:r>
        <w:rPr>
          <w:spacing w:val="-6"/>
        </w:rPr>
        <w:t> </w:t>
      </w:r>
      <w:r>
        <w:rPr/>
        <w:t>Curaçao</w:t>
      </w:r>
      <w:r>
        <w:rPr>
          <w:spacing w:val="-6"/>
        </w:rPr>
        <w:t> </w:t>
      </w:r>
      <w:r>
        <w:rPr/>
        <w:t>seems</w:t>
      </w:r>
      <w:r>
        <w:rPr>
          <w:spacing w:val="-8"/>
        </w:rPr>
        <w:t> </w:t>
      </w:r>
      <w:r>
        <w:rPr/>
        <w:t>to</w:t>
      </w:r>
      <w:r>
        <w:rPr>
          <w:spacing w:val="-4"/>
        </w:rPr>
        <w:t> </w:t>
      </w:r>
      <w:r>
        <w:rPr/>
        <w:t>be</w:t>
      </w:r>
      <w:r>
        <w:rPr>
          <w:spacing w:val="-8"/>
        </w:rPr>
        <w:t> </w:t>
      </w:r>
      <w:r>
        <w:rPr/>
        <w:t>quickly</w:t>
      </w:r>
      <w:r>
        <w:rPr>
          <w:spacing w:val="-6"/>
        </w:rPr>
        <w:t> </w:t>
      </w:r>
      <w:r>
        <w:rPr/>
        <w:t>catching</w:t>
      </w:r>
      <w:r>
        <w:rPr>
          <w:spacing w:val="-7"/>
        </w:rPr>
        <w:t> </w:t>
      </w:r>
      <w:r>
        <w:rPr/>
        <w:t>up</w:t>
      </w:r>
      <w:r>
        <w:rPr>
          <w:spacing w:val="-6"/>
        </w:rPr>
        <w:t> </w:t>
      </w:r>
      <w:r>
        <w:rPr/>
        <w:t>with</w:t>
      </w:r>
      <w:r>
        <w:rPr>
          <w:spacing w:val="-6"/>
        </w:rPr>
        <w:t> </w:t>
      </w:r>
      <w:r>
        <w:rPr/>
        <w:t>St.</w:t>
      </w:r>
      <w:r>
        <w:rPr>
          <w:spacing w:val="-4"/>
        </w:rPr>
        <w:t> </w:t>
      </w:r>
      <w:r>
        <w:rPr/>
        <w:t>Maarten</w:t>
      </w:r>
      <w:r>
        <w:rPr>
          <w:spacing w:val="-6"/>
        </w:rPr>
        <w:t> </w:t>
      </w:r>
      <w:r>
        <w:rPr/>
        <w:t>in</w:t>
      </w:r>
      <w:r>
        <w:rPr>
          <w:spacing w:val="-6"/>
        </w:rPr>
        <w:t> </w:t>
      </w:r>
      <w:r>
        <w:rPr/>
        <w:t>stay-over</w:t>
      </w:r>
      <w:r>
        <w:rPr>
          <w:spacing w:val="-7"/>
        </w:rPr>
        <w:t> </w:t>
      </w:r>
      <w:r>
        <w:rPr/>
        <w:t>tourists,</w:t>
      </w:r>
      <w:r>
        <w:rPr>
          <w:spacing w:val="-6"/>
        </w:rPr>
        <w:t> </w:t>
      </w:r>
      <w:r>
        <w:rPr/>
        <w:t>thereby</w:t>
      </w:r>
      <w:r>
        <w:rPr>
          <w:spacing w:val="-6"/>
        </w:rPr>
        <w:t> </w:t>
      </w:r>
      <w:r>
        <w:rPr/>
        <w:t>implying</w:t>
      </w:r>
      <w:r>
        <w:rPr>
          <w:spacing w:val="-7"/>
        </w:rPr>
        <w:t> </w:t>
      </w:r>
      <w:r>
        <w:rPr/>
        <w:t>that</w:t>
      </w:r>
      <w:r>
        <w:rPr>
          <w:spacing w:val="-3"/>
        </w:rPr>
        <w:t> </w:t>
      </w:r>
      <w:r>
        <w:rPr/>
        <w:t>Curaçao</w:t>
      </w:r>
      <w:r>
        <w:rPr>
          <w:rFonts w:ascii="Calibri" w:hAnsi="Calibri" w:cs="Calibri" w:eastAsia="Calibri" w:hint="default"/>
        </w:rPr>
        <w:t>’s </w:t>
      </w:r>
      <w:r>
        <w:rPr/>
        <w:t>competitive position seems to be improving when compared to St.</w:t>
      </w:r>
      <w:r>
        <w:rPr>
          <w:spacing w:val="-21"/>
        </w:rPr>
        <w:t> </w:t>
      </w:r>
      <w:r>
        <w:rPr/>
        <w:t>Maarten.</w:t>
      </w:r>
    </w:p>
    <w:p>
      <w:pPr>
        <w:spacing w:line="240" w:lineRule="auto" w:before="11"/>
        <w:ind w:right="0"/>
        <w:rPr>
          <w:rFonts w:ascii="Calibri" w:hAnsi="Calibri" w:cs="Calibri" w:eastAsia="Calibri" w:hint="default"/>
          <w:sz w:val="19"/>
          <w:szCs w:val="19"/>
        </w:rPr>
      </w:pPr>
    </w:p>
    <w:p>
      <w:pPr>
        <w:pStyle w:val="Heading9"/>
        <w:spacing w:line="240" w:lineRule="auto"/>
        <w:ind w:right="26"/>
        <w:jc w:val="center"/>
        <w:rPr>
          <w:b w:val="0"/>
          <w:bCs w:val="0"/>
          <w:sz w:val="12"/>
          <w:szCs w:val="12"/>
        </w:rPr>
      </w:pPr>
      <w:bookmarkStart w:name="_bookmark26" w:id="27"/>
      <w:bookmarkEnd w:id="27"/>
      <w:r>
        <w:rPr>
          <w:b w:val="0"/>
          <w:bCs w:val="0"/>
        </w:rPr>
      </w:r>
      <w:r>
        <w:rPr/>
        <w:t>Table 2:  Curaçao vs. St. </w:t>
      </w:r>
      <w:r>
        <w:rPr>
          <w:rFonts w:ascii="Calibri" w:hAnsi="Calibri" w:cs="Calibri" w:eastAsia="Calibri" w:hint="default"/>
        </w:rPr>
        <w:t>Maarten’s tourism performance over</w:t>
      </w:r>
      <w:r>
        <w:rPr>
          <w:rFonts w:ascii="Calibri" w:hAnsi="Calibri" w:cs="Calibri" w:eastAsia="Calibri" w:hint="default"/>
          <w:spacing w:val="-19"/>
        </w:rPr>
        <w:t> </w:t>
      </w:r>
      <w:r>
        <w:rPr/>
        <w:t>time</w:t>
      </w:r>
      <w:r>
        <w:rPr>
          <w:position w:val="5"/>
          <w:sz w:val="12"/>
          <w:szCs w:val="12"/>
        </w:rPr>
        <w:t>8</w:t>
      </w:r>
      <w:r>
        <w:rPr>
          <w:b w:val="0"/>
          <w:bCs w:val="0"/>
          <w:sz w:val="12"/>
          <w:szCs w:val="12"/>
        </w:rPr>
      </w:r>
    </w:p>
    <w:tbl>
      <w:tblPr>
        <w:tblW w:w="0" w:type="auto"/>
        <w:jc w:val="left"/>
        <w:tblInd w:w="1433" w:type="dxa"/>
        <w:tblLayout w:type="fixed"/>
        <w:tblCellMar>
          <w:top w:w="0" w:type="dxa"/>
          <w:left w:w="0" w:type="dxa"/>
          <w:bottom w:w="0" w:type="dxa"/>
          <w:right w:w="0" w:type="dxa"/>
        </w:tblCellMar>
        <w:tblLook w:val="01E0"/>
      </w:tblPr>
      <w:tblGrid>
        <w:gridCol w:w="2345"/>
        <w:gridCol w:w="3272"/>
        <w:gridCol w:w="3757"/>
      </w:tblGrid>
      <w:tr>
        <w:trPr>
          <w:trHeight w:val="302" w:hRule="exact"/>
        </w:trPr>
        <w:tc>
          <w:tcPr>
            <w:tcW w:w="2345" w:type="dxa"/>
            <w:tcBorders>
              <w:top w:val="single" w:sz="4" w:space="0" w:color="000000"/>
              <w:left w:val="nil" w:sz="6" w:space="0" w:color="auto"/>
              <w:bottom w:val="single" w:sz="4" w:space="0" w:color="000000"/>
              <w:right w:val="nil" w:sz="6" w:space="0" w:color="auto"/>
            </w:tcBorders>
          </w:tcPr>
          <w:p>
            <w:pPr>
              <w:pStyle w:val="TableParagraph"/>
              <w:spacing w:line="240" w:lineRule="auto" w:before="23"/>
              <w:ind w:left="806" w:right="0"/>
              <w:jc w:val="left"/>
              <w:rPr>
                <w:rFonts w:ascii="Calibri" w:hAnsi="Calibri" w:cs="Calibri" w:eastAsia="Calibri" w:hint="default"/>
                <w:sz w:val="20"/>
                <w:szCs w:val="20"/>
              </w:rPr>
            </w:pPr>
            <w:r>
              <w:rPr>
                <w:rFonts w:ascii="Calibri"/>
                <w:b/>
                <w:sz w:val="20"/>
              </w:rPr>
              <w:t>Year</w:t>
            </w:r>
            <w:r>
              <w:rPr>
                <w:rFonts w:ascii="Calibri"/>
                <w:sz w:val="20"/>
              </w:rPr>
            </w:r>
          </w:p>
        </w:tc>
        <w:tc>
          <w:tcPr>
            <w:tcW w:w="3272" w:type="dxa"/>
            <w:tcBorders>
              <w:top w:val="single" w:sz="4" w:space="0" w:color="000000"/>
              <w:left w:val="nil" w:sz="6" w:space="0" w:color="auto"/>
              <w:bottom w:val="single" w:sz="4" w:space="0" w:color="000000"/>
              <w:right w:val="nil" w:sz="6" w:space="0" w:color="auto"/>
            </w:tcBorders>
          </w:tcPr>
          <w:p>
            <w:pPr>
              <w:pStyle w:val="TableParagraph"/>
              <w:spacing w:line="240" w:lineRule="auto" w:before="23"/>
              <w:ind w:left="1154" w:right="0"/>
              <w:jc w:val="left"/>
              <w:rPr>
                <w:rFonts w:ascii="Calibri" w:hAnsi="Calibri" w:cs="Calibri" w:eastAsia="Calibri" w:hint="default"/>
                <w:sz w:val="20"/>
                <w:szCs w:val="20"/>
              </w:rPr>
            </w:pPr>
            <w:r>
              <w:rPr>
                <w:rFonts w:ascii="Calibri" w:hAnsi="Calibri"/>
                <w:b/>
                <w:sz w:val="20"/>
              </w:rPr>
              <w:t>Curaçao</w:t>
            </w:r>
            <w:r>
              <w:rPr>
                <w:rFonts w:ascii="Calibri" w:hAnsi="Calibri"/>
                <w:sz w:val="20"/>
              </w:rPr>
            </w:r>
          </w:p>
        </w:tc>
        <w:tc>
          <w:tcPr>
            <w:tcW w:w="3757" w:type="dxa"/>
            <w:tcBorders>
              <w:top w:val="single" w:sz="4" w:space="0" w:color="000000"/>
              <w:left w:val="nil" w:sz="6" w:space="0" w:color="auto"/>
              <w:bottom w:val="single" w:sz="4" w:space="0" w:color="000000"/>
              <w:right w:val="nil" w:sz="6" w:space="0" w:color="auto"/>
            </w:tcBorders>
          </w:tcPr>
          <w:p>
            <w:pPr>
              <w:pStyle w:val="TableParagraph"/>
              <w:spacing w:line="240" w:lineRule="auto" w:before="23"/>
              <w:ind w:left="67" w:right="0"/>
              <w:jc w:val="center"/>
              <w:rPr>
                <w:rFonts w:ascii="Calibri" w:hAnsi="Calibri" w:cs="Calibri" w:eastAsia="Calibri" w:hint="default"/>
                <w:sz w:val="20"/>
                <w:szCs w:val="20"/>
              </w:rPr>
            </w:pPr>
            <w:r>
              <w:rPr>
                <w:rFonts w:ascii="Calibri"/>
                <w:b/>
                <w:sz w:val="20"/>
              </w:rPr>
              <w:t>St.</w:t>
            </w:r>
            <w:r>
              <w:rPr>
                <w:rFonts w:ascii="Calibri"/>
                <w:b/>
                <w:spacing w:val="-4"/>
                <w:sz w:val="20"/>
              </w:rPr>
              <w:t> </w:t>
            </w:r>
            <w:r>
              <w:rPr>
                <w:rFonts w:ascii="Calibri"/>
                <w:b/>
                <w:sz w:val="20"/>
              </w:rPr>
              <w:t>Maarten</w:t>
            </w:r>
            <w:r>
              <w:rPr>
                <w:rFonts w:ascii="Calibri"/>
                <w:sz w:val="20"/>
              </w:rPr>
            </w:r>
          </w:p>
        </w:tc>
      </w:tr>
      <w:tr>
        <w:trPr>
          <w:trHeight w:val="303" w:hRule="exact"/>
        </w:trPr>
        <w:tc>
          <w:tcPr>
            <w:tcW w:w="2345" w:type="dxa"/>
            <w:tcBorders>
              <w:top w:val="single" w:sz="4" w:space="0" w:color="000000"/>
              <w:left w:val="nil" w:sz="6" w:space="0" w:color="auto"/>
              <w:bottom w:val="nil" w:sz="6" w:space="0" w:color="auto"/>
              <w:right w:val="nil" w:sz="6" w:space="0" w:color="auto"/>
            </w:tcBorders>
          </w:tcPr>
          <w:p>
            <w:pPr>
              <w:pStyle w:val="TableParagraph"/>
              <w:spacing w:line="240" w:lineRule="auto" w:before="26"/>
              <w:ind w:left="772" w:right="0"/>
              <w:jc w:val="left"/>
              <w:rPr>
                <w:rFonts w:ascii="Arial" w:hAnsi="Arial" w:cs="Arial" w:eastAsia="Arial" w:hint="default"/>
                <w:sz w:val="20"/>
                <w:szCs w:val="20"/>
              </w:rPr>
            </w:pPr>
            <w:r>
              <w:rPr>
                <w:rFonts w:ascii="Arial"/>
                <w:sz w:val="20"/>
              </w:rPr>
              <w:t>2000</w:t>
            </w:r>
          </w:p>
        </w:tc>
        <w:tc>
          <w:tcPr>
            <w:tcW w:w="3272" w:type="dxa"/>
            <w:tcBorders>
              <w:top w:val="single" w:sz="4" w:space="0" w:color="000000"/>
              <w:left w:val="nil" w:sz="6" w:space="0" w:color="auto"/>
              <w:bottom w:val="nil" w:sz="6" w:space="0" w:color="auto"/>
              <w:right w:val="nil" w:sz="6" w:space="0" w:color="auto"/>
            </w:tcBorders>
          </w:tcPr>
          <w:p>
            <w:pPr>
              <w:pStyle w:val="TableParagraph"/>
              <w:spacing w:line="240" w:lineRule="auto" w:before="26"/>
              <w:ind w:left="1130" w:right="0"/>
              <w:jc w:val="left"/>
              <w:rPr>
                <w:rFonts w:ascii="Arial" w:hAnsi="Arial" w:cs="Arial" w:eastAsia="Arial" w:hint="default"/>
                <w:sz w:val="20"/>
                <w:szCs w:val="20"/>
              </w:rPr>
            </w:pPr>
            <w:r>
              <w:rPr>
                <w:rFonts w:ascii="Arial"/>
                <w:sz w:val="20"/>
              </w:rPr>
              <w:t>191,246</w:t>
            </w:r>
          </w:p>
        </w:tc>
        <w:tc>
          <w:tcPr>
            <w:tcW w:w="3757" w:type="dxa"/>
            <w:tcBorders>
              <w:top w:val="single" w:sz="4" w:space="0" w:color="000000"/>
              <w:left w:val="nil" w:sz="6" w:space="0" w:color="auto"/>
              <w:bottom w:val="nil" w:sz="6" w:space="0" w:color="auto"/>
              <w:right w:val="nil" w:sz="6" w:space="0" w:color="auto"/>
            </w:tcBorders>
          </w:tcPr>
          <w:p>
            <w:pPr>
              <w:pStyle w:val="TableParagraph"/>
              <w:spacing w:line="240" w:lineRule="auto" w:before="26"/>
              <w:ind w:left="64" w:right="0"/>
              <w:jc w:val="center"/>
              <w:rPr>
                <w:rFonts w:ascii="Arial" w:hAnsi="Arial" w:cs="Arial" w:eastAsia="Arial" w:hint="default"/>
                <w:sz w:val="20"/>
                <w:szCs w:val="20"/>
              </w:rPr>
            </w:pPr>
            <w:r>
              <w:rPr>
                <w:rFonts w:ascii="Arial"/>
                <w:sz w:val="20"/>
              </w:rPr>
              <w:t>432,292</w:t>
            </w:r>
          </w:p>
        </w:tc>
      </w:tr>
      <w:tr>
        <w:trPr>
          <w:trHeight w:val="292" w:hRule="exact"/>
        </w:trPr>
        <w:tc>
          <w:tcPr>
            <w:tcW w:w="2345" w:type="dxa"/>
            <w:tcBorders>
              <w:top w:val="nil" w:sz="6" w:space="0" w:color="auto"/>
              <w:left w:val="nil" w:sz="6" w:space="0" w:color="auto"/>
              <w:bottom w:val="nil" w:sz="6" w:space="0" w:color="auto"/>
              <w:right w:val="nil" w:sz="6" w:space="0" w:color="auto"/>
            </w:tcBorders>
          </w:tcPr>
          <w:p>
            <w:pPr>
              <w:pStyle w:val="TableParagraph"/>
              <w:spacing w:line="240" w:lineRule="auto" w:before="20"/>
              <w:ind w:left="772" w:right="0"/>
              <w:jc w:val="left"/>
              <w:rPr>
                <w:rFonts w:ascii="Arial" w:hAnsi="Arial" w:cs="Arial" w:eastAsia="Arial" w:hint="default"/>
                <w:sz w:val="20"/>
                <w:szCs w:val="20"/>
              </w:rPr>
            </w:pPr>
            <w:r>
              <w:rPr>
                <w:rFonts w:ascii="Arial"/>
                <w:sz w:val="20"/>
              </w:rPr>
              <w:t>2001</w:t>
            </w:r>
          </w:p>
        </w:tc>
        <w:tc>
          <w:tcPr>
            <w:tcW w:w="3272" w:type="dxa"/>
            <w:tcBorders>
              <w:top w:val="nil" w:sz="6" w:space="0" w:color="auto"/>
              <w:left w:val="nil" w:sz="6" w:space="0" w:color="auto"/>
              <w:bottom w:val="nil" w:sz="6" w:space="0" w:color="auto"/>
              <w:right w:val="nil" w:sz="6" w:space="0" w:color="auto"/>
            </w:tcBorders>
          </w:tcPr>
          <w:p>
            <w:pPr>
              <w:pStyle w:val="TableParagraph"/>
              <w:spacing w:line="240" w:lineRule="auto" w:before="20"/>
              <w:ind w:left="1130" w:right="0"/>
              <w:jc w:val="left"/>
              <w:rPr>
                <w:rFonts w:ascii="Arial" w:hAnsi="Arial" w:cs="Arial" w:eastAsia="Arial" w:hint="default"/>
                <w:sz w:val="20"/>
                <w:szCs w:val="20"/>
              </w:rPr>
            </w:pPr>
            <w:r>
              <w:rPr>
                <w:rFonts w:ascii="Arial"/>
                <w:sz w:val="20"/>
              </w:rPr>
              <w:t>204,603</w:t>
            </w:r>
          </w:p>
        </w:tc>
        <w:tc>
          <w:tcPr>
            <w:tcW w:w="3757" w:type="dxa"/>
            <w:tcBorders>
              <w:top w:val="nil" w:sz="6" w:space="0" w:color="auto"/>
              <w:left w:val="nil" w:sz="6" w:space="0" w:color="auto"/>
              <w:bottom w:val="nil" w:sz="6" w:space="0" w:color="auto"/>
              <w:right w:val="nil" w:sz="6" w:space="0" w:color="auto"/>
            </w:tcBorders>
          </w:tcPr>
          <w:p>
            <w:pPr>
              <w:pStyle w:val="TableParagraph"/>
              <w:spacing w:line="240" w:lineRule="auto" w:before="20"/>
              <w:ind w:left="64" w:right="0"/>
              <w:jc w:val="center"/>
              <w:rPr>
                <w:rFonts w:ascii="Arial" w:hAnsi="Arial" w:cs="Arial" w:eastAsia="Arial" w:hint="default"/>
                <w:sz w:val="20"/>
                <w:szCs w:val="20"/>
              </w:rPr>
            </w:pPr>
            <w:r>
              <w:rPr>
                <w:rFonts w:ascii="Arial"/>
                <w:sz w:val="20"/>
              </w:rPr>
              <w:t>402,649</w:t>
            </w:r>
          </w:p>
        </w:tc>
      </w:tr>
      <w:tr>
        <w:trPr>
          <w:trHeight w:val="290" w:hRule="exact"/>
        </w:trPr>
        <w:tc>
          <w:tcPr>
            <w:tcW w:w="2345" w:type="dxa"/>
            <w:tcBorders>
              <w:top w:val="nil" w:sz="6" w:space="0" w:color="auto"/>
              <w:left w:val="nil" w:sz="6" w:space="0" w:color="auto"/>
              <w:bottom w:val="nil" w:sz="6" w:space="0" w:color="auto"/>
              <w:right w:val="nil" w:sz="6" w:space="0" w:color="auto"/>
            </w:tcBorders>
          </w:tcPr>
          <w:p>
            <w:pPr>
              <w:pStyle w:val="TableParagraph"/>
              <w:spacing w:line="240" w:lineRule="auto" w:before="19"/>
              <w:ind w:left="772" w:right="0"/>
              <w:jc w:val="left"/>
              <w:rPr>
                <w:rFonts w:ascii="Arial" w:hAnsi="Arial" w:cs="Arial" w:eastAsia="Arial" w:hint="default"/>
                <w:sz w:val="20"/>
                <w:szCs w:val="20"/>
              </w:rPr>
            </w:pPr>
            <w:r>
              <w:rPr>
                <w:rFonts w:ascii="Arial"/>
                <w:sz w:val="20"/>
              </w:rPr>
              <w:t>2002</w:t>
            </w:r>
          </w:p>
        </w:tc>
        <w:tc>
          <w:tcPr>
            <w:tcW w:w="3272" w:type="dxa"/>
            <w:tcBorders>
              <w:top w:val="nil" w:sz="6" w:space="0" w:color="auto"/>
              <w:left w:val="nil" w:sz="6" w:space="0" w:color="auto"/>
              <w:bottom w:val="nil" w:sz="6" w:space="0" w:color="auto"/>
              <w:right w:val="nil" w:sz="6" w:space="0" w:color="auto"/>
            </w:tcBorders>
          </w:tcPr>
          <w:p>
            <w:pPr>
              <w:pStyle w:val="TableParagraph"/>
              <w:spacing w:line="240" w:lineRule="auto" w:before="19"/>
              <w:ind w:left="1130" w:right="0"/>
              <w:jc w:val="left"/>
              <w:rPr>
                <w:rFonts w:ascii="Arial" w:hAnsi="Arial" w:cs="Arial" w:eastAsia="Arial" w:hint="default"/>
                <w:sz w:val="20"/>
                <w:szCs w:val="20"/>
              </w:rPr>
            </w:pPr>
            <w:r>
              <w:rPr>
                <w:rFonts w:ascii="Arial"/>
                <w:sz w:val="20"/>
              </w:rPr>
              <w:t>217,963</w:t>
            </w:r>
          </w:p>
        </w:tc>
        <w:tc>
          <w:tcPr>
            <w:tcW w:w="3757" w:type="dxa"/>
            <w:tcBorders>
              <w:top w:val="nil" w:sz="6" w:space="0" w:color="auto"/>
              <w:left w:val="nil" w:sz="6" w:space="0" w:color="auto"/>
              <w:bottom w:val="nil" w:sz="6" w:space="0" w:color="auto"/>
              <w:right w:val="nil" w:sz="6" w:space="0" w:color="auto"/>
            </w:tcBorders>
          </w:tcPr>
          <w:p>
            <w:pPr>
              <w:pStyle w:val="TableParagraph"/>
              <w:spacing w:line="240" w:lineRule="auto" w:before="19"/>
              <w:ind w:left="64" w:right="0"/>
              <w:jc w:val="center"/>
              <w:rPr>
                <w:rFonts w:ascii="Arial" w:hAnsi="Arial" w:cs="Arial" w:eastAsia="Arial" w:hint="default"/>
                <w:sz w:val="20"/>
                <w:szCs w:val="20"/>
              </w:rPr>
            </w:pPr>
            <w:r>
              <w:rPr>
                <w:rFonts w:ascii="Arial"/>
                <w:sz w:val="20"/>
              </w:rPr>
              <w:t>380,801</w:t>
            </w:r>
          </w:p>
        </w:tc>
      </w:tr>
      <w:tr>
        <w:trPr>
          <w:trHeight w:val="290" w:hRule="exact"/>
        </w:trPr>
        <w:tc>
          <w:tcPr>
            <w:tcW w:w="2345" w:type="dxa"/>
            <w:tcBorders>
              <w:top w:val="nil" w:sz="6" w:space="0" w:color="auto"/>
              <w:left w:val="nil" w:sz="6" w:space="0" w:color="auto"/>
              <w:bottom w:val="nil" w:sz="6" w:space="0" w:color="auto"/>
              <w:right w:val="nil" w:sz="6" w:space="0" w:color="auto"/>
            </w:tcBorders>
          </w:tcPr>
          <w:p>
            <w:pPr>
              <w:pStyle w:val="TableParagraph"/>
              <w:spacing w:line="240" w:lineRule="auto" w:before="19"/>
              <w:ind w:left="772" w:right="0"/>
              <w:jc w:val="left"/>
              <w:rPr>
                <w:rFonts w:ascii="Arial" w:hAnsi="Arial" w:cs="Arial" w:eastAsia="Arial" w:hint="default"/>
                <w:sz w:val="20"/>
                <w:szCs w:val="20"/>
              </w:rPr>
            </w:pPr>
            <w:r>
              <w:rPr>
                <w:rFonts w:ascii="Arial"/>
                <w:sz w:val="20"/>
              </w:rPr>
              <w:t>2003</w:t>
            </w:r>
          </w:p>
        </w:tc>
        <w:tc>
          <w:tcPr>
            <w:tcW w:w="3272" w:type="dxa"/>
            <w:tcBorders>
              <w:top w:val="nil" w:sz="6" w:space="0" w:color="auto"/>
              <w:left w:val="nil" w:sz="6" w:space="0" w:color="auto"/>
              <w:bottom w:val="nil" w:sz="6" w:space="0" w:color="auto"/>
              <w:right w:val="nil" w:sz="6" w:space="0" w:color="auto"/>
            </w:tcBorders>
          </w:tcPr>
          <w:p>
            <w:pPr>
              <w:pStyle w:val="TableParagraph"/>
              <w:spacing w:line="240" w:lineRule="auto" w:before="19"/>
              <w:ind w:left="1130" w:right="0"/>
              <w:jc w:val="left"/>
              <w:rPr>
                <w:rFonts w:ascii="Arial" w:hAnsi="Arial" w:cs="Arial" w:eastAsia="Arial" w:hint="default"/>
                <w:sz w:val="20"/>
                <w:szCs w:val="20"/>
              </w:rPr>
            </w:pPr>
            <w:r>
              <w:rPr>
                <w:rFonts w:ascii="Arial"/>
                <w:sz w:val="20"/>
              </w:rPr>
              <w:t>221,395</w:t>
            </w:r>
          </w:p>
        </w:tc>
        <w:tc>
          <w:tcPr>
            <w:tcW w:w="3757" w:type="dxa"/>
            <w:tcBorders>
              <w:top w:val="nil" w:sz="6" w:space="0" w:color="auto"/>
              <w:left w:val="nil" w:sz="6" w:space="0" w:color="auto"/>
              <w:bottom w:val="nil" w:sz="6" w:space="0" w:color="auto"/>
              <w:right w:val="nil" w:sz="6" w:space="0" w:color="auto"/>
            </w:tcBorders>
          </w:tcPr>
          <w:p>
            <w:pPr>
              <w:pStyle w:val="TableParagraph"/>
              <w:spacing w:line="240" w:lineRule="auto" w:before="19"/>
              <w:ind w:left="64" w:right="0"/>
              <w:jc w:val="center"/>
              <w:rPr>
                <w:rFonts w:ascii="Arial" w:hAnsi="Arial" w:cs="Arial" w:eastAsia="Arial" w:hint="default"/>
                <w:sz w:val="20"/>
                <w:szCs w:val="20"/>
              </w:rPr>
            </w:pPr>
            <w:r>
              <w:rPr>
                <w:rFonts w:ascii="Arial"/>
                <w:sz w:val="20"/>
              </w:rPr>
              <w:t>427,587</w:t>
            </w:r>
          </w:p>
        </w:tc>
      </w:tr>
      <w:tr>
        <w:trPr>
          <w:trHeight w:val="292" w:hRule="exact"/>
        </w:trPr>
        <w:tc>
          <w:tcPr>
            <w:tcW w:w="2345" w:type="dxa"/>
            <w:tcBorders>
              <w:top w:val="nil" w:sz="6" w:space="0" w:color="auto"/>
              <w:left w:val="nil" w:sz="6" w:space="0" w:color="auto"/>
              <w:bottom w:val="nil" w:sz="6" w:space="0" w:color="auto"/>
              <w:right w:val="nil" w:sz="6" w:space="0" w:color="auto"/>
            </w:tcBorders>
          </w:tcPr>
          <w:p>
            <w:pPr>
              <w:pStyle w:val="TableParagraph"/>
              <w:spacing w:line="240" w:lineRule="auto" w:before="19"/>
              <w:ind w:left="772" w:right="0"/>
              <w:jc w:val="left"/>
              <w:rPr>
                <w:rFonts w:ascii="Arial" w:hAnsi="Arial" w:cs="Arial" w:eastAsia="Arial" w:hint="default"/>
                <w:sz w:val="20"/>
                <w:szCs w:val="20"/>
              </w:rPr>
            </w:pPr>
            <w:r>
              <w:rPr>
                <w:rFonts w:ascii="Arial"/>
                <w:sz w:val="20"/>
              </w:rPr>
              <w:t>2004</w:t>
            </w:r>
          </w:p>
        </w:tc>
        <w:tc>
          <w:tcPr>
            <w:tcW w:w="3272" w:type="dxa"/>
            <w:tcBorders>
              <w:top w:val="nil" w:sz="6" w:space="0" w:color="auto"/>
              <w:left w:val="nil" w:sz="6" w:space="0" w:color="auto"/>
              <w:bottom w:val="nil" w:sz="6" w:space="0" w:color="auto"/>
              <w:right w:val="nil" w:sz="6" w:space="0" w:color="auto"/>
            </w:tcBorders>
          </w:tcPr>
          <w:p>
            <w:pPr>
              <w:pStyle w:val="TableParagraph"/>
              <w:spacing w:line="240" w:lineRule="auto" w:before="19"/>
              <w:ind w:left="1130" w:right="0"/>
              <w:jc w:val="left"/>
              <w:rPr>
                <w:rFonts w:ascii="Arial" w:hAnsi="Arial" w:cs="Arial" w:eastAsia="Arial" w:hint="default"/>
                <w:sz w:val="20"/>
                <w:szCs w:val="20"/>
              </w:rPr>
            </w:pPr>
            <w:r>
              <w:rPr>
                <w:rFonts w:ascii="Arial"/>
                <w:sz w:val="20"/>
              </w:rPr>
              <w:t>223,453</w:t>
            </w:r>
          </w:p>
        </w:tc>
        <w:tc>
          <w:tcPr>
            <w:tcW w:w="3757" w:type="dxa"/>
            <w:tcBorders>
              <w:top w:val="nil" w:sz="6" w:space="0" w:color="auto"/>
              <w:left w:val="nil" w:sz="6" w:space="0" w:color="auto"/>
              <w:bottom w:val="nil" w:sz="6" w:space="0" w:color="auto"/>
              <w:right w:val="nil" w:sz="6" w:space="0" w:color="auto"/>
            </w:tcBorders>
          </w:tcPr>
          <w:p>
            <w:pPr>
              <w:pStyle w:val="TableParagraph"/>
              <w:spacing w:line="240" w:lineRule="auto" w:before="19"/>
              <w:ind w:left="64" w:right="0"/>
              <w:jc w:val="center"/>
              <w:rPr>
                <w:rFonts w:ascii="Arial" w:hAnsi="Arial" w:cs="Arial" w:eastAsia="Arial" w:hint="default"/>
                <w:sz w:val="20"/>
                <w:szCs w:val="20"/>
              </w:rPr>
            </w:pPr>
            <w:r>
              <w:rPr>
                <w:rFonts w:ascii="Arial"/>
                <w:sz w:val="20"/>
              </w:rPr>
              <w:t>475,032</w:t>
            </w:r>
          </w:p>
        </w:tc>
      </w:tr>
      <w:tr>
        <w:trPr>
          <w:trHeight w:val="292" w:hRule="exact"/>
        </w:trPr>
        <w:tc>
          <w:tcPr>
            <w:tcW w:w="2345" w:type="dxa"/>
            <w:tcBorders>
              <w:top w:val="nil" w:sz="6" w:space="0" w:color="auto"/>
              <w:left w:val="nil" w:sz="6" w:space="0" w:color="auto"/>
              <w:bottom w:val="nil" w:sz="6" w:space="0" w:color="auto"/>
              <w:right w:val="nil" w:sz="6" w:space="0" w:color="auto"/>
            </w:tcBorders>
          </w:tcPr>
          <w:p>
            <w:pPr>
              <w:pStyle w:val="TableParagraph"/>
              <w:spacing w:line="240" w:lineRule="auto" w:before="20"/>
              <w:ind w:left="772" w:right="0"/>
              <w:jc w:val="left"/>
              <w:rPr>
                <w:rFonts w:ascii="Arial" w:hAnsi="Arial" w:cs="Arial" w:eastAsia="Arial" w:hint="default"/>
                <w:sz w:val="20"/>
                <w:szCs w:val="20"/>
              </w:rPr>
            </w:pPr>
            <w:r>
              <w:rPr>
                <w:rFonts w:ascii="Arial"/>
                <w:sz w:val="20"/>
              </w:rPr>
              <w:t>2005</w:t>
            </w:r>
          </w:p>
        </w:tc>
        <w:tc>
          <w:tcPr>
            <w:tcW w:w="3272" w:type="dxa"/>
            <w:tcBorders>
              <w:top w:val="nil" w:sz="6" w:space="0" w:color="auto"/>
              <w:left w:val="nil" w:sz="6" w:space="0" w:color="auto"/>
              <w:bottom w:val="nil" w:sz="6" w:space="0" w:color="auto"/>
              <w:right w:val="nil" w:sz="6" w:space="0" w:color="auto"/>
            </w:tcBorders>
          </w:tcPr>
          <w:p>
            <w:pPr>
              <w:pStyle w:val="TableParagraph"/>
              <w:spacing w:line="240" w:lineRule="auto" w:before="20"/>
              <w:ind w:left="1130" w:right="0"/>
              <w:jc w:val="left"/>
              <w:rPr>
                <w:rFonts w:ascii="Arial" w:hAnsi="Arial" w:cs="Arial" w:eastAsia="Arial" w:hint="default"/>
                <w:sz w:val="20"/>
                <w:szCs w:val="20"/>
              </w:rPr>
            </w:pPr>
            <w:r>
              <w:rPr>
                <w:rFonts w:ascii="Arial"/>
                <w:sz w:val="20"/>
              </w:rPr>
              <w:t>222,099</w:t>
            </w:r>
          </w:p>
        </w:tc>
        <w:tc>
          <w:tcPr>
            <w:tcW w:w="3757" w:type="dxa"/>
            <w:tcBorders>
              <w:top w:val="nil" w:sz="6" w:space="0" w:color="auto"/>
              <w:left w:val="nil" w:sz="6" w:space="0" w:color="auto"/>
              <w:bottom w:val="nil" w:sz="6" w:space="0" w:color="auto"/>
              <w:right w:val="nil" w:sz="6" w:space="0" w:color="auto"/>
            </w:tcBorders>
          </w:tcPr>
          <w:p>
            <w:pPr>
              <w:pStyle w:val="TableParagraph"/>
              <w:spacing w:line="240" w:lineRule="auto" w:before="20"/>
              <w:ind w:left="64" w:right="0"/>
              <w:jc w:val="center"/>
              <w:rPr>
                <w:rFonts w:ascii="Arial" w:hAnsi="Arial" w:cs="Arial" w:eastAsia="Arial" w:hint="default"/>
                <w:sz w:val="20"/>
                <w:szCs w:val="20"/>
              </w:rPr>
            </w:pPr>
            <w:r>
              <w:rPr>
                <w:rFonts w:ascii="Arial"/>
                <w:sz w:val="20"/>
              </w:rPr>
              <w:t>467,861</w:t>
            </w:r>
          </w:p>
        </w:tc>
      </w:tr>
      <w:tr>
        <w:trPr>
          <w:trHeight w:val="290" w:hRule="exact"/>
        </w:trPr>
        <w:tc>
          <w:tcPr>
            <w:tcW w:w="2345" w:type="dxa"/>
            <w:tcBorders>
              <w:top w:val="nil" w:sz="6" w:space="0" w:color="auto"/>
              <w:left w:val="nil" w:sz="6" w:space="0" w:color="auto"/>
              <w:bottom w:val="nil" w:sz="6" w:space="0" w:color="auto"/>
              <w:right w:val="nil" w:sz="6" w:space="0" w:color="auto"/>
            </w:tcBorders>
          </w:tcPr>
          <w:p>
            <w:pPr>
              <w:pStyle w:val="TableParagraph"/>
              <w:spacing w:line="240" w:lineRule="auto" w:before="19"/>
              <w:ind w:left="772" w:right="0"/>
              <w:jc w:val="left"/>
              <w:rPr>
                <w:rFonts w:ascii="Arial" w:hAnsi="Arial" w:cs="Arial" w:eastAsia="Arial" w:hint="default"/>
                <w:sz w:val="20"/>
                <w:szCs w:val="20"/>
              </w:rPr>
            </w:pPr>
            <w:r>
              <w:rPr>
                <w:rFonts w:ascii="Arial"/>
                <w:sz w:val="20"/>
              </w:rPr>
              <w:t>2006</w:t>
            </w:r>
          </w:p>
        </w:tc>
        <w:tc>
          <w:tcPr>
            <w:tcW w:w="3272" w:type="dxa"/>
            <w:tcBorders>
              <w:top w:val="nil" w:sz="6" w:space="0" w:color="auto"/>
              <w:left w:val="nil" w:sz="6" w:space="0" w:color="auto"/>
              <w:bottom w:val="nil" w:sz="6" w:space="0" w:color="auto"/>
              <w:right w:val="nil" w:sz="6" w:space="0" w:color="auto"/>
            </w:tcBorders>
          </w:tcPr>
          <w:p>
            <w:pPr>
              <w:pStyle w:val="TableParagraph"/>
              <w:spacing w:line="240" w:lineRule="auto" w:before="19"/>
              <w:ind w:left="1130" w:right="0"/>
              <w:jc w:val="left"/>
              <w:rPr>
                <w:rFonts w:ascii="Arial" w:hAnsi="Arial" w:cs="Arial" w:eastAsia="Arial" w:hint="default"/>
                <w:sz w:val="20"/>
                <w:szCs w:val="20"/>
              </w:rPr>
            </w:pPr>
            <w:r>
              <w:rPr>
                <w:rFonts w:ascii="Arial"/>
                <w:sz w:val="20"/>
              </w:rPr>
              <w:t>234,383</w:t>
            </w:r>
          </w:p>
        </w:tc>
        <w:tc>
          <w:tcPr>
            <w:tcW w:w="3757" w:type="dxa"/>
            <w:tcBorders>
              <w:top w:val="nil" w:sz="6" w:space="0" w:color="auto"/>
              <w:left w:val="nil" w:sz="6" w:space="0" w:color="auto"/>
              <w:bottom w:val="nil" w:sz="6" w:space="0" w:color="auto"/>
              <w:right w:val="nil" w:sz="6" w:space="0" w:color="auto"/>
            </w:tcBorders>
          </w:tcPr>
          <w:p>
            <w:pPr>
              <w:pStyle w:val="TableParagraph"/>
              <w:spacing w:line="240" w:lineRule="auto" w:before="19"/>
              <w:ind w:left="64" w:right="0"/>
              <w:jc w:val="center"/>
              <w:rPr>
                <w:rFonts w:ascii="Arial" w:hAnsi="Arial" w:cs="Arial" w:eastAsia="Arial" w:hint="default"/>
                <w:sz w:val="20"/>
                <w:szCs w:val="20"/>
              </w:rPr>
            </w:pPr>
            <w:r>
              <w:rPr>
                <w:rFonts w:ascii="Arial"/>
                <w:sz w:val="20"/>
              </w:rPr>
              <w:t>467,804</w:t>
            </w:r>
          </w:p>
        </w:tc>
      </w:tr>
      <w:tr>
        <w:trPr>
          <w:trHeight w:val="291" w:hRule="exact"/>
        </w:trPr>
        <w:tc>
          <w:tcPr>
            <w:tcW w:w="2345" w:type="dxa"/>
            <w:tcBorders>
              <w:top w:val="nil" w:sz="6" w:space="0" w:color="auto"/>
              <w:left w:val="nil" w:sz="6" w:space="0" w:color="auto"/>
              <w:bottom w:val="nil" w:sz="6" w:space="0" w:color="auto"/>
              <w:right w:val="nil" w:sz="6" w:space="0" w:color="auto"/>
            </w:tcBorders>
          </w:tcPr>
          <w:p>
            <w:pPr>
              <w:pStyle w:val="TableParagraph"/>
              <w:spacing w:line="240" w:lineRule="auto" w:before="19"/>
              <w:ind w:left="772" w:right="0"/>
              <w:jc w:val="left"/>
              <w:rPr>
                <w:rFonts w:ascii="Arial" w:hAnsi="Arial" w:cs="Arial" w:eastAsia="Arial" w:hint="default"/>
                <w:sz w:val="20"/>
                <w:szCs w:val="20"/>
              </w:rPr>
            </w:pPr>
            <w:r>
              <w:rPr>
                <w:rFonts w:ascii="Arial"/>
                <w:sz w:val="20"/>
              </w:rPr>
              <w:t>2007</w:t>
            </w:r>
          </w:p>
        </w:tc>
        <w:tc>
          <w:tcPr>
            <w:tcW w:w="3272" w:type="dxa"/>
            <w:tcBorders>
              <w:top w:val="nil" w:sz="6" w:space="0" w:color="auto"/>
              <w:left w:val="nil" w:sz="6" w:space="0" w:color="auto"/>
              <w:bottom w:val="nil" w:sz="6" w:space="0" w:color="auto"/>
              <w:right w:val="nil" w:sz="6" w:space="0" w:color="auto"/>
            </w:tcBorders>
          </w:tcPr>
          <w:p>
            <w:pPr>
              <w:pStyle w:val="TableParagraph"/>
              <w:spacing w:line="240" w:lineRule="auto" w:before="19"/>
              <w:ind w:left="1130" w:right="0"/>
              <w:jc w:val="left"/>
              <w:rPr>
                <w:rFonts w:ascii="Arial" w:hAnsi="Arial" w:cs="Arial" w:eastAsia="Arial" w:hint="default"/>
                <w:sz w:val="20"/>
                <w:szCs w:val="20"/>
              </w:rPr>
            </w:pPr>
            <w:r>
              <w:rPr>
                <w:rFonts w:ascii="Arial"/>
                <w:sz w:val="20"/>
              </w:rPr>
              <w:t>299,730</w:t>
            </w:r>
          </w:p>
        </w:tc>
        <w:tc>
          <w:tcPr>
            <w:tcW w:w="3757" w:type="dxa"/>
            <w:tcBorders>
              <w:top w:val="nil" w:sz="6" w:space="0" w:color="auto"/>
              <w:left w:val="nil" w:sz="6" w:space="0" w:color="auto"/>
              <w:bottom w:val="nil" w:sz="6" w:space="0" w:color="auto"/>
              <w:right w:val="nil" w:sz="6" w:space="0" w:color="auto"/>
            </w:tcBorders>
          </w:tcPr>
          <w:p>
            <w:pPr>
              <w:pStyle w:val="TableParagraph"/>
              <w:spacing w:line="240" w:lineRule="auto" w:before="19"/>
              <w:ind w:left="64" w:right="0"/>
              <w:jc w:val="center"/>
              <w:rPr>
                <w:rFonts w:ascii="Arial" w:hAnsi="Arial" w:cs="Arial" w:eastAsia="Arial" w:hint="default"/>
                <w:sz w:val="20"/>
                <w:szCs w:val="20"/>
              </w:rPr>
            </w:pPr>
            <w:r>
              <w:rPr>
                <w:rFonts w:ascii="Arial"/>
                <w:sz w:val="20"/>
              </w:rPr>
              <w:t>469,424</w:t>
            </w:r>
          </w:p>
        </w:tc>
      </w:tr>
      <w:tr>
        <w:trPr>
          <w:trHeight w:val="292" w:hRule="exact"/>
        </w:trPr>
        <w:tc>
          <w:tcPr>
            <w:tcW w:w="2345" w:type="dxa"/>
            <w:tcBorders>
              <w:top w:val="nil" w:sz="6" w:space="0" w:color="auto"/>
              <w:left w:val="nil" w:sz="6" w:space="0" w:color="auto"/>
              <w:bottom w:val="nil" w:sz="6" w:space="0" w:color="auto"/>
              <w:right w:val="nil" w:sz="6" w:space="0" w:color="auto"/>
            </w:tcBorders>
          </w:tcPr>
          <w:p>
            <w:pPr>
              <w:pStyle w:val="TableParagraph"/>
              <w:spacing w:line="240" w:lineRule="auto" w:before="19"/>
              <w:ind w:left="772" w:right="0"/>
              <w:jc w:val="left"/>
              <w:rPr>
                <w:rFonts w:ascii="Arial" w:hAnsi="Arial" w:cs="Arial" w:eastAsia="Arial" w:hint="default"/>
                <w:sz w:val="20"/>
                <w:szCs w:val="20"/>
              </w:rPr>
            </w:pPr>
            <w:r>
              <w:rPr>
                <w:rFonts w:ascii="Arial"/>
                <w:sz w:val="20"/>
              </w:rPr>
              <w:t>2008</w:t>
            </w:r>
          </w:p>
        </w:tc>
        <w:tc>
          <w:tcPr>
            <w:tcW w:w="3272" w:type="dxa"/>
            <w:tcBorders>
              <w:top w:val="nil" w:sz="6" w:space="0" w:color="auto"/>
              <w:left w:val="nil" w:sz="6" w:space="0" w:color="auto"/>
              <w:bottom w:val="nil" w:sz="6" w:space="0" w:color="auto"/>
              <w:right w:val="nil" w:sz="6" w:space="0" w:color="auto"/>
            </w:tcBorders>
          </w:tcPr>
          <w:p>
            <w:pPr>
              <w:pStyle w:val="TableParagraph"/>
              <w:spacing w:line="240" w:lineRule="auto" w:before="19"/>
              <w:ind w:left="1130" w:right="0"/>
              <w:jc w:val="left"/>
              <w:rPr>
                <w:rFonts w:ascii="Arial" w:hAnsi="Arial" w:cs="Arial" w:eastAsia="Arial" w:hint="default"/>
                <w:sz w:val="20"/>
                <w:szCs w:val="20"/>
              </w:rPr>
            </w:pPr>
            <w:r>
              <w:rPr>
                <w:rFonts w:ascii="Arial"/>
                <w:sz w:val="20"/>
              </w:rPr>
              <w:t>408,844</w:t>
            </w:r>
          </w:p>
        </w:tc>
        <w:tc>
          <w:tcPr>
            <w:tcW w:w="3757" w:type="dxa"/>
            <w:tcBorders>
              <w:top w:val="nil" w:sz="6" w:space="0" w:color="auto"/>
              <w:left w:val="nil" w:sz="6" w:space="0" w:color="auto"/>
              <w:bottom w:val="nil" w:sz="6" w:space="0" w:color="auto"/>
              <w:right w:val="nil" w:sz="6" w:space="0" w:color="auto"/>
            </w:tcBorders>
          </w:tcPr>
          <w:p>
            <w:pPr>
              <w:pStyle w:val="TableParagraph"/>
              <w:spacing w:line="240" w:lineRule="auto" w:before="19"/>
              <w:ind w:left="64" w:right="0"/>
              <w:jc w:val="center"/>
              <w:rPr>
                <w:rFonts w:ascii="Arial" w:hAnsi="Arial" w:cs="Arial" w:eastAsia="Arial" w:hint="default"/>
                <w:sz w:val="20"/>
                <w:szCs w:val="20"/>
              </w:rPr>
            </w:pPr>
            <w:r>
              <w:rPr>
                <w:rFonts w:ascii="Arial"/>
                <w:sz w:val="20"/>
              </w:rPr>
              <w:t>475,410</w:t>
            </w:r>
          </w:p>
        </w:tc>
      </w:tr>
      <w:tr>
        <w:trPr>
          <w:trHeight w:val="292" w:hRule="exact"/>
        </w:trPr>
        <w:tc>
          <w:tcPr>
            <w:tcW w:w="2345" w:type="dxa"/>
            <w:tcBorders>
              <w:top w:val="nil" w:sz="6" w:space="0" w:color="auto"/>
              <w:left w:val="nil" w:sz="6" w:space="0" w:color="auto"/>
              <w:bottom w:val="nil" w:sz="6" w:space="0" w:color="auto"/>
              <w:right w:val="nil" w:sz="6" w:space="0" w:color="auto"/>
            </w:tcBorders>
          </w:tcPr>
          <w:p>
            <w:pPr>
              <w:pStyle w:val="TableParagraph"/>
              <w:spacing w:line="240" w:lineRule="auto" w:before="20"/>
              <w:ind w:left="772" w:right="0"/>
              <w:jc w:val="left"/>
              <w:rPr>
                <w:rFonts w:ascii="Arial" w:hAnsi="Arial" w:cs="Arial" w:eastAsia="Arial" w:hint="default"/>
                <w:sz w:val="20"/>
                <w:szCs w:val="20"/>
              </w:rPr>
            </w:pPr>
            <w:r>
              <w:rPr>
                <w:rFonts w:ascii="Arial"/>
                <w:sz w:val="20"/>
              </w:rPr>
              <w:t>2009</w:t>
            </w:r>
          </w:p>
        </w:tc>
        <w:tc>
          <w:tcPr>
            <w:tcW w:w="3272" w:type="dxa"/>
            <w:tcBorders>
              <w:top w:val="nil" w:sz="6" w:space="0" w:color="auto"/>
              <w:left w:val="nil" w:sz="6" w:space="0" w:color="auto"/>
              <w:bottom w:val="nil" w:sz="6" w:space="0" w:color="auto"/>
              <w:right w:val="nil" w:sz="6" w:space="0" w:color="auto"/>
            </w:tcBorders>
          </w:tcPr>
          <w:p>
            <w:pPr>
              <w:pStyle w:val="TableParagraph"/>
              <w:spacing w:line="240" w:lineRule="auto" w:before="20"/>
              <w:ind w:left="1130" w:right="0"/>
              <w:jc w:val="left"/>
              <w:rPr>
                <w:rFonts w:ascii="Arial" w:hAnsi="Arial" w:cs="Arial" w:eastAsia="Arial" w:hint="default"/>
                <w:sz w:val="20"/>
                <w:szCs w:val="20"/>
              </w:rPr>
            </w:pPr>
            <w:r>
              <w:rPr>
                <w:rFonts w:ascii="Arial"/>
                <w:sz w:val="20"/>
              </w:rPr>
              <w:t>366,703</w:t>
            </w:r>
          </w:p>
        </w:tc>
        <w:tc>
          <w:tcPr>
            <w:tcW w:w="3757" w:type="dxa"/>
            <w:tcBorders>
              <w:top w:val="nil" w:sz="6" w:space="0" w:color="auto"/>
              <w:left w:val="nil" w:sz="6" w:space="0" w:color="auto"/>
              <w:bottom w:val="nil" w:sz="6" w:space="0" w:color="auto"/>
              <w:right w:val="nil" w:sz="6" w:space="0" w:color="auto"/>
            </w:tcBorders>
          </w:tcPr>
          <w:p>
            <w:pPr>
              <w:pStyle w:val="TableParagraph"/>
              <w:spacing w:line="240" w:lineRule="auto" w:before="20"/>
              <w:ind w:left="64" w:right="0"/>
              <w:jc w:val="center"/>
              <w:rPr>
                <w:rFonts w:ascii="Arial" w:hAnsi="Arial" w:cs="Arial" w:eastAsia="Arial" w:hint="default"/>
                <w:sz w:val="20"/>
                <w:szCs w:val="20"/>
              </w:rPr>
            </w:pPr>
            <w:r>
              <w:rPr>
                <w:rFonts w:ascii="Arial"/>
                <w:sz w:val="20"/>
              </w:rPr>
              <w:t>440,185</w:t>
            </w:r>
          </w:p>
        </w:tc>
      </w:tr>
      <w:tr>
        <w:trPr>
          <w:trHeight w:val="290" w:hRule="exact"/>
        </w:trPr>
        <w:tc>
          <w:tcPr>
            <w:tcW w:w="2345" w:type="dxa"/>
            <w:tcBorders>
              <w:top w:val="nil" w:sz="6" w:space="0" w:color="auto"/>
              <w:left w:val="nil" w:sz="6" w:space="0" w:color="auto"/>
              <w:bottom w:val="nil" w:sz="6" w:space="0" w:color="auto"/>
              <w:right w:val="nil" w:sz="6" w:space="0" w:color="auto"/>
            </w:tcBorders>
          </w:tcPr>
          <w:p>
            <w:pPr>
              <w:pStyle w:val="TableParagraph"/>
              <w:spacing w:line="240" w:lineRule="auto" w:before="19"/>
              <w:ind w:left="772" w:right="0"/>
              <w:jc w:val="left"/>
              <w:rPr>
                <w:rFonts w:ascii="Arial" w:hAnsi="Arial" w:cs="Arial" w:eastAsia="Arial" w:hint="default"/>
                <w:sz w:val="20"/>
                <w:szCs w:val="20"/>
              </w:rPr>
            </w:pPr>
            <w:r>
              <w:rPr>
                <w:rFonts w:ascii="Arial"/>
                <w:sz w:val="20"/>
              </w:rPr>
              <w:t>2010</w:t>
            </w:r>
          </w:p>
        </w:tc>
        <w:tc>
          <w:tcPr>
            <w:tcW w:w="3272" w:type="dxa"/>
            <w:tcBorders>
              <w:top w:val="nil" w:sz="6" w:space="0" w:color="auto"/>
              <w:left w:val="nil" w:sz="6" w:space="0" w:color="auto"/>
              <w:bottom w:val="nil" w:sz="6" w:space="0" w:color="auto"/>
              <w:right w:val="nil" w:sz="6" w:space="0" w:color="auto"/>
            </w:tcBorders>
          </w:tcPr>
          <w:p>
            <w:pPr>
              <w:pStyle w:val="TableParagraph"/>
              <w:spacing w:line="240" w:lineRule="auto" w:before="19"/>
              <w:ind w:left="1130" w:right="0"/>
              <w:jc w:val="left"/>
              <w:rPr>
                <w:rFonts w:ascii="Arial" w:hAnsi="Arial" w:cs="Arial" w:eastAsia="Arial" w:hint="default"/>
                <w:sz w:val="20"/>
                <w:szCs w:val="20"/>
              </w:rPr>
            </w:pPr>
            <w:r>
              <w:rPr>
                <w:rFonts w:ascii="Arial"/>
                <w:sz w:val="20"/>
              </w:rPr>
              <w:t>341,651</w:t>
            </w:r>
          </w:p>
        </w:tc>
        <w:tc>
          <w:tcPr>
            <w:tcW w:w="3757" w:type="dxa"/>
            <w:tcBorders>
              <w:top w:val="nil" w:sz="6" w:space="0" w:color="auto"/>
              <w:left w:val="nil" w:sz="6" w:space="0" w:color="auto"/>
              <w:bottom w:val="nil" w:sz="6" w:space="0" w:color="auto"/>
              <w:right w:val="nil" w:sz="6" w:space="0" w:color="auto"/>
            </w:tcBorders>
          </w:tcPr>
          <w:p>
            <w:pPr>
              <w:pStyle w:val="TableParagraph"/>
              <w:spacing w:line="240" w:lineRule="auto" w:before="19"/>
              <w:ind w:left="64" w:right="0"/>
              <w:jc w:val="center"/>
              <w:rPr>
                <w:rFonts w:ascii="Arial" w:hAnsi="Arial" w:cs="Arial" w:eastAsia="Arial" w:hint="default"/>
                <w:sz w:val="20"/>
                <w:szCs w:val="20"/>
              </w:rPr>
            </w:pPr>
            <w:r>
              <w:rPr>
                <w:rFonts w:ascii="Arial"/>
                <w:sz w:val="20"/>
              </w:rPr>
              <w:t>443,136</w:t>
            </w:r>
          </w:p>
        </w:tc>
      </w:tr>
      <w:tr>
        <w:trPr>
          <w:trHeight w:val="290" w:hRule="exact"/>
        </w:trPr>
        <w:tc>
          <w:tcPr>
            <w:tcW w:w="2345" w:type="dxa"/>
            <w:tcBorders>
              <w:top w:val="nil" w:sz="6" w:space="0" w:color="auto"/>
              <w:left w:val="nil" w:sz="6" w:space="0" w:color="auto"/>
              <w:bottom w:val="nil" w:sz="6" w:space="0" w:color="auto"/>
              <w:right w:val="nil" w:sz="6" w:space="0" w:color="auto"/>
            </w:tcBorders>
          </w:tcPr>
          <w:p>
            <w:pPr>
              <w:pStyle w:val="TableParagraph"/>
              <w:spacing w:line="240" w:lineRule="auto" w:before="19"/>
              <w:ind w:left="772" w:right="0"/>
              <w:jc w:val="left"/>
              <w:rPr>
                <w:rFonts w:ascii="Arial" w:hAnsi="Arial" w:cs="Arial" w:eastAsia="Arial" w:hint="default"/>
                <w:sz w:val="20"/>
                <w:szCs w:val="20"/>
              </w:rPr>
            </w:pPr>
            <w:r>
              <w:rPr>
                <w:rFonts w:ascii="Arial"/>
                <w:sz w:val="20"/>
              </w:rPr>
              <w:t>2011</w:t>
            </w:r>
          </w:p>
        </w:tc>
        <w:tc>
          <w:tcPr>
            <w:tcW w:w="3272" w:type="dxa"/>
            <w:tcBorders>
              <w:top w:val="nil" w:sz="6" w:space="0" w:color="auto"/>
              <w:left w:val="nil" w:sz="6" w:space="0" w:color="auto"/>
              <w:bottom w:val="nil" w:sz="6" w:space="0" w:color="auto"/>
              <w:right w:val="nil" w:sz="6" w:space="0" w:color="auto"/>
            </w:tcBorders>
          </w:tcPr>
          <w:p>
            <w:pPr>
              <w:pStyle w:val="TableParagraph"/>
              <w:spacing w:line="240" w:lineRule="auto" w:before="19"/>
              <w:ind w:left="1130" w:right="0"/>
              <w:jc w:val="left"/>
              <w:rPr>
                <w:rFonts w:ascii="Arial" w:hAnsi="Arial" w:cs="Arial" w:eastAsia="Arial" w:hint="default"/>
                <w:sz w:val="20"/>
                <w:szCs w:val="20"/>
              </w:rPr>
            </w:pPr>
            <w:r>
              <w:rPr>
                <w:rFonts w:ascii="Arial"/>
                <w:sz w:val="20"/>
              </w:rPr>
              <w:t>390,282</w:t>
            </w:r>
          </w:p>
        </w:tc>
        <w:tc>
          <w:tcPr>
            <w:tcW w:w="3757" w:type="dxa"/>
            <w:tcBorders>
              <w:top w:val="nil" w:sz="6" w:space="0" w:color="auto"/>
              <w:left w:val="nil" w:sz="6" w:space="0" w:color="auto"/>
              <w:bottom w:val="nil" w:sz="6" w:space="0" w:color="auto"/>
              <w:right w:val="nil" w:sz="6" w:space="0" w:color="auto"/>
            </w:tcBorders>
          </w:tcPr>
          <w:p>
            <w:pPr>
              <w:pStyle w:val="TableParagraph"/>
              <w:spacing w:line="240" w:lineRule="auto" w:before="19"/>
              <w:ind w:left="64" w:right="0"/>
              <w:jc w:val="center"/>
              <w:rPr>
                <w:rFonts w:ascii="Arial" w:hAnsi="Arial" w:cs="Arial" w:eastAsia="Arial" w:hint="default"/>
                <w:sz w:val="20"/>
                <w:szCs w:val="20"/>
              </w:rPr>
            </w:pPr>
            <w:r>
              <w:rPr>
                <w:rFonts w:ascii="Arial"/>
                <w:sz w:val="20"/>
              </w:rPr>
              <w:t>424,340</w:t>
            </w:r>
          </w:p>
        </w:tc>
      </w:tr>
      <w:tr>
        <w:trPr>
          <w:trHeight w:val="276" w:hRule="exact"/>
        </w:trPr>
        <w:tc>
          <w:tcPr>
            <w:tcW w:w="2345" w:type="dxa"/>
            <w:tcBorders>
              <w:top w:val="nil" w:sz="6" w:space="0" w:color="auto"/>
              <w:left w:val="nil" w:sz="6" w:space="0" w:color="auto"/>
              <w:bottom w:val="nil" w:sz="6" w:space="0" w:color="auto"/>
              <w:right w:val="nil" w:sz="6" w:space="0" w:color="auto"/>
            </w:tcBorders>
          </w:tcPr>
          <w:p>
            <w:pPr>
              <w:pStyle w:val="TableParagraph"/>
              <w:spacing w:line="240" w:lineRule="auto" w:before="19"/>
              <w:ind w:left="772" w:right="0"/>
              <w:jc w:val="left"/>
              <w:rPr>
                <w:rFonts w:ascii="Arial" w:hAnsi="Arial" w:cs="Arial" w:eastAsia="Arial" w:hint="default"/>
                <w:sz w:val="20"/>
                <w:szCs w:val="20"/>
              </w:rPr>
            </w:pPr>
            <w:r>
              <w:rPr>
                <w:rFonts w:ascii="Arial"/>
                <w:sz w:val="20"/>
              </w:rPr>
              <w:t>2012</w:t>
            </w:r>
          </w:p>
        </w:tc>
        <w:tc>
          <w:tcPr>
            <w:tcW w:w="3272" w:type="dxa"/>
            <w:tcBorders>
              <w:top w:val="nil" w:sz="6" w:space="0" w:color="auto"/>
              <w:left w:val="nil" w:sz="6" w:space="0" w:color="auto"/>
              <w:bottom w:val="nil" w:sz="6" w:space="0" w:color="auto"/>
              <w:right w:val="nil" w:sz="6" w:space="0" w:color="auto"/>
            </w:tcBorders>
          </w:tcPr>
          <w:p>
            <w:pPr>
              <w:pStyle w:val="TableParagraph"/>
              <w:spacing w:line="240" w:lineRule="auto" w:before="19"/>
              <w:ind w:left="1130" w:right="0"/>
              <w:jc w:val="left"/>
              <w:rPr>
                <w:rFonts w:ascii="Arial" w:hAnsi="Arial" w:cs="Arial" w:eastAsia="Arial" w:hint="default"/>
                <w:sz w:val="20"/>
                <w:szCs w:val="20"/>
              </w:rPr>
            </w:pPr>
            <w:r>
              <w:rPr>
                <w:rFonts w:ascii="Arial"/>
                <w:sz w:val="20"/>
              </w:rPr>
              <w:t>419,810</w:t>
            </w:r>
          </w:p>
        </w:tc>
        <w:tc>
          <w:tcPr>
            <w:tcW w:w="3757" w:type="dxa"/>
            <w:tcBorders>
              <w:top w:val="nil" w:sz="6" w:space="0" w:color="auto"/>
              <w:left w:val="nil" w:sz="6" w:space="0" w:color="auto"/>
              <w:bottom w:val="nil" w:sz="6" w:space="0" w:color="auto"/>
              <w:right w:val="nil" w:sz="6" w:space="0" w:color="auto"/>
            </w:tcBorders>
          </w:tcPr>
          <w:p>
            <w:pPr>
              <w:pStyle w:val="TableParagraph"/>
              <w:spacing w:line="240" w:lineRule="auto" w:before="19"/>
              <w:ind w:left="64" w:right="0"/>
              <w:jc w:val="center"/>
              <w:rPr>
                <w:rFonts w:ascii="Arial" w:hAnsi="Arial" w:cs="Arial" w:eastAsia="Arial" w:hint="default"/>
                <w:sz w:val="20"/>
                <w:szCs w:val="20"/>
              </w:rPr>
            </w:pPr>
            <w:r>
              <w:rPr>
                <w:rFonts w:ascii="Arial"/>
                <w:sz w:val="20"/>
              </w:rPr>
              <w:t>456,720</w:t>
            </w:r>
          </w:p>
        </w:tc>
      </w:tr>
      <w:tr>
        <w:trPr>
          <w:trHeight w:val="230" w:hRule="exact"/>
        </w:trPr>
        <w:tc>
          <w:tcPr>
            <w:tcW w:w="2345" w:type="dxa"/>
            <w:tcBorders>
              <w:top w:val="nil" w:sz="6" w:space="0" w:color="auto"/>
              <w:left w:val="nil" w:sz="6" w:space="0" w:color="auto"/>
              <w:bottom w:val="nil" w:sz="6" w:space="0" w:color="auto"/>
              <w:right w:val="nil" w:sz="6" w:space="0" w:color="auto"/>
            </w:tcBorders>
          </w:tcPr>
          <w:p>
            <w:pPr>
              <w:pStyle w:val="TableParagraph"/>
              <w:spacing w:line="240" w:lineRule="auto" w:before="5"/>
              <w:ind w:left="772" w:right="0"/>
              <w:jc w:val="left"/>
              <w:rPr>
                <w:rFonts w:ascii="Arial" w:hAnsi="Arial" w:cs="Arial" w:eastAsia="Arial" w:hint="default"/>
                <w:sz w:val="20"/>
                <w:szCs w:val="20"/>
              </w:rPr>
            </w:pPr>
            <w:r>
              <w:rPr>
                <w:rFonts w:ascii="Arial"/>
                <w:sz w:val="20"/>
              </w:rPr>
              <w:t>2013</w:t>
            </w:r>
          </w:p>
        </w:tc>
        <w:tc>
          <w:tcPr>
            <w:tcW w:w="3272" w:type="dxa"/>
            <w:tcBorders>
              <w:top w:val="nil" w:sz="6" w:space="0" w:color="auto"/>
              <w:left w:val="nil" w:sz="6" w:space="0" w:color="auto"/>
              <w:bottom w:val="nil" w:sz="6" w:space="0" w:color="auto"/>
              <w:right w:val="nil" w:sz="6" w:space="0" w:color="auto"/>
            </w:tcBorders>
          </w:tcPr>
          <w:p>
            <w:pPr>
              <w:pStyle w:val="TableParagraph"/>
              <w:spacing w:line="240" w:lineRule="auto" w:before="5"/>
              <w:ind w:left="1130" w:right="0"/>
              <w:jc w:val="left"/>
              <w:rPr>
                <w:rFonts w:ascii="Arial" w:hAnsi="Arial" w:cs="Arial" w:eastAsia="Arial" w:hint="default"/>
                <w:sz w:val="20"/>
                <w:szCs w:val="20"/>
              </w:rPr>
            </w:pPr>
            <w:r>
              <w:rPr>
                <w:rFonts w:ascii="Arial"/>
                <w:sz w:val="20"/>
              </w:rPr>
              <w:t>440,714</w:t>
            </w:r>
          </w:p>
        </w:tc>
        <w:tc>
          <w:tcPr>
            <w:tcW w:w="3757" w:type="dxa"/>
            <w:tcBorders>
              <w:top w:val="nil" w:sz="6" w:space="0" w:color="auto"/>
              <w:left w:val="nil" w:sz="6" w:space="0" w:color="auto"/>
              <w:bottom w:val="nil" w:sz="6" w:space="0" w:color="auto"/>
              <w:right w:val="nil" w:sz="6" w:space="0" w:color="auto"/>
            </w:tcBorders>
          </w:tcPr>
          <w:p>
            <w:pPr>
              <w:pStyle w:val="TableParagraph"/>
              <w:spacing w:line="240" w:lineRule="auto" w:before="5"/>
              <w:ind w:left="64" w:right="0"/>
              <w:jc w:val="center"/>
              <w:rPr>
                <w:rFonts w:ascii="Arial" w:hAnsi="Arial" w:cs="Arial" w:eastAsia="Arial" w:hint="default"/>
                <w:sz w:val="20"/>
                <w:szCs w:val="20"/>
              </w:rPr>
            </w:pPr>
            <w:r>
              <w:rPr>
                <w:rFonts w:ascii="Arial"/>
                <w:sz w:val="20"/>
              </w:rPr>
              <w:t>466,955</w:t>
            </w:r>
          </w:p>
        </w:tc>
      </w:tr>
    </w:tbl>
    <w:p>
      <w:pPr>
        <w:spacing w:line="240" w:lineRule="auto" w:before="7" w:after="0"/>
        <w:ind w:right="0"/>
        <w:rPr>
          <w:rFonts w:ascii="Calibri" w:hAnsi="Calibri" w:cs="Calibri" w:eastAsia="Calibri" w:hint="default"/>
          <w:b/>
          <w:bCs/>
          <w:sz w:val="28"/>
          <w:szCs w:val="28"/>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before="91"/>
        <w:ind w:left="1440" w:right="0" w:firstLine="0"/>
        <w:jc w:val="left"/>
        <w:rPr>
          <w:rFonts w:ascii="Calibri" w:hAnsi="Calibri" w:cs="Calibri" w:eastAsia="Calibri" w:hint="default"/>
          <w:sz w:val="16"/>
          <w:szCs w:val="16"/>
        </w:rPr>
      </w:pPr>
      <w:r>
        <w:rPr>
          <w:rFonts w:ascii="Calibri"/>
          <w:position w:val="5"/>
          <w:sz w:val="12"/>
        </w:rPr>
        <w:t>8</w:t>
      </w:r>
      <w:r>
        <w:rPr>
          <w:rFonts w:ascii="Calibri"/>
          <w:sz w:val="16"/>
        </w:rPr>
        <w:t>Source:</w:t>
      </w:r>
      <w:r>
        <w:rPr>
          <w:rFonts w:ascii="Calibri"/>
          <w:color w:val="0462C1"/>
          <w:sz w:val="16"/>
        </w:rPr>
      </w:r>
      <w:hyperlink r:id="rId21">
        <w:r>
          <w:rPr>
            <w:rFonts w:ascii="Calibri"/>
            <w:color w:val="0462C1"/>
            <w:sz w:val="16"/>
            <w:u w:val="single" w:color="0462C1"/>
          </w:rPr>
          <w:t>http://www-</w:t>
        </w:r>
        <w:r>
          <w:rPr>
            <w:rFonts w:ascii="Calibri"/>
            <w:color w:val="0462C1"/>
            <w:sz w:val="16"/>
          </w:rPr>
        </w:r>
        <w:r>
          <w:rPr>
            <w:rFonts w:ascii="Calibri"/>
            <w:sz w:val="16"/>
          </w:rPr>
        </w:r>
      </w:hyperlink>
    </w:p>
    <w:p>
      <w:pPr>
        <w:spacing w:before="6"/>
        <w:ind w:left="1440" w:right="0" w:firstLine="0"/>
        <w:jc w:val="left"/>
        <w:rPr>
          <w:rFonts w:ascii="Calibri" w:hAnsi="Calibri" w:cs="Calibri" w:eastAsia="Calibri" w:hint="default"/>
          <w:sz w:val="16"/>
          <w:szCs w:val="16"/>
        </w:rPr>
      </w:pPr>
      <w:r>
        <w:rPr>
          <w:rFonts w:ascii="Calibri"/>
          <w:color w:val="0462C1"/>
          <w:w w:val="100"/>
          <w:sz w:val="16"/>
        </w:rPr>
      </w:r>
      <w:r>
        <w:rPr>
          <w:rFonts w:ascii="Calibri"/>
          <w:color w:val="0462C1"/>
          <w:sz w:val="16"/>
          <w:u w:val="single" w:color="0462C1"/>
        </w:rPr>
        <w:t>wds.worldbank.org/external/default/WDSContentServer/WDSP/IB/1986/08/26/000009265_3960926032140/Rendered/INDEX/multi0page.txt</w:t>
      </w:r>
      <w:r>
        <w:rPr>
          <w:rFonts w:ascii="Calibri"/>
          <w:color w:val="0462C1"/>
          <w:sz w:val="16"/>
        </w:rPr>
        <w:t>.</w:t>
      </w:r>
      <w:r>
        <w:rPr>
          <w:rFonts w:ascii="Calibri"/>
          <w:sz w:val="16"/>
        </w:rPr>
      </w:r>
    </w:p>
    <w:p>
      <w:pPr>
        <w:spacing w:after="0"/>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2"/>
        <w:ind w:right="0"/>
        <w:rPr>
          <w:rFonts w:ascii="Calibri" w:hAnsi="Calibri" w:cs="Calibri" w:eastAsia="Calibri" w:hint="default"/>
          <w:sz w:val="28"/>
          <w:szCs w:val="28"/>
        </w:rPr>
      </w:pPr>
    </w:p>
    <w:p>
      <w:pPr>
        <w:pStyle w:val="Heading2"/>
        <w:spacing w:line="240" w:lineRule="auto"/>
        <w:ind w:right="0"/>
        <w:jc w:val="both"/>
        <w:rPr>
          <w:rFonts w:ascii="Calibri" w:hAnsi="Calibri" w:cs="Calibri" w:eastAsia="Calibri" w:hint="default"/>
          <w:b w:val="0"/>
          <w:bCs w:val="0"/>
        </w:rPr>
      </w:pPr>
      <w:bookmarkStart w:name="_bookmark27" w:id="28"/>
      <w:bookmarkEnd w:id="28"/>
      <w:r>
        <w:rPr>
          <w:b w:val="0"/>
          <w:bCs w:val="0"/>
        </w:rPr>
      </w:r>
      <w:r>
        <w:rPr>
          <w:rFonts w:ascii="Calibri" w:hAnsi="Calibri" w:cs="Calibri" w:eastAsia="Calibri" w:hint="default"/>
        </w:rPr>
        <w:t>Curaçao’s</w:t>
      </w:r>
      <w:r>
        <w:rPr>
          <w:rFonts w:ascii="Calibri" w:hAnsi="Calibri" w:cs="Calibri" w:eastAsia="Calibri" w:hint="default"/>
          <w:spacing w:val="-16"/>
        </w:rPr>
        <w:t> </w:t>
      </w:r>
      <w:r>
        <w:rPr>
          <w:rFonts w:ascii="Calibri" w:hAnsi="Calibri" w:cs="Calibri" w:eastAsia="Calibri" w:hint="default"/>
        </w:rPr>
        <w:t>destination</w:t>
      </w:r>
      <w:r>
        <w:rPr>
          <w:rFonts w:ascii="Calibri" w:hAnsi="Calibri" w:cs="Calibri" w:eastAsia="Calibri" w:hint="default"/>
          <w:spacing w:val="-16"/>
        </w:rPr>
        <w:t> </w:t>
      </w:r>
      <w:r>
        <w:rPr>
          <w:rFonts w:ascii="Calibri" w:hAnsi="Calibri" w:cs="Calibri" w:eastAsia="Calibri" w:hint="default"/>
        </w:rPr>
        <w:t>image</w:t>
      </w:r>
      <w:r>
        <w:rPr>
          <w:rFonts w:ascii="Calibri" w:hAnsi="Calibri" w:cs="Calibri" w:eastAsia="Calibri" w:hint="default"/>
          <w:spacing w:val="-15"/>
        </w:rPr>
        <w:t> </w:t>
      </w:r>
      <w:r>
        <w:rPr>
          <w:rFonts w:ascii="Calibri" w:hAnsi="Calibri" w:cs="Calibri" w:eastAsia="Calibri" w:hint="default"/>
        </w:rPr>
        <w:t>compared</w:t>
      </w:r>
      <w:r>
        <w:rPr>
          <w:rFonts w:ascii="Calibri" w:hAnsi="Calibri" w:cs="Calibri" w:eastAsia="Calibri" w:hint="default"/>
          <w:spacing w:val="-15"/>
        </w:rPr>
        <w:t> </w:t>
      </w:r>
      <w:r>
        <w:rPr>
          <w:rFonts w:ascii="Calibri" w:hAnsi="Calibri" w:cs="Calibri" w:eastAsia="Calibri" w:hint="default"/>
        </w:rPr>
        <w:t>to</w:t>
      </w:r>
      <w:r>
        <w:rPr>
          <w:rFonts w:ascii="Calibri" w:hAnsi="Calibri" w:cs="Calibri" w:eastAsia="Calibri" w:hint="default"/>
          <w:spacing w:val="-13"/>
        </w:rPr>
        <w:t> </w:t>
      </w:r>
      <w:r>
        <w:rPr>
          <w:rFonts w:ascii="Calibri" w:hAnsi="Calibri" w:cs="Calibri" w:eastAsia="Calibri" w:hint="default"/>
        </w:rPr>
        <w:t>other</w:t>
      </w:r>
      <w:r>
        <w:rPr>
          <w:rFonts w:ascii="Calibri" w:hAnsi="Calibri" w:cs="Calibri" w:eastAsia="Calibri" w:hint="default"/>
          <w:spacing w:val="-13"/>
        </w:rPr>
        <w:t> </w:t>
      </w:r>
      <w:r>
        <w:rPr>
          <w:rFonts w:ascii="Calibri" w:hAnsi="Calibri" w:cs="Calibri" w:eastAsia="Calibri" w:hint="default"/>
        </w:rPr>
        <w:t>Caribbean</w:t>
      </w:r>
      <w:r>
        <w:rPr>
          <w:rFonts w:ascii="Calibri" w:hAnsi="Calibri" w:cs="Calibri" w:eastAsia="Calibri" w:hint="default"/>
          <w:spacing w:val="-16"/>
        </w:rPr>
        <w:t> </w:t>
      </w:r>
      <w:r>
        <w:rPr>
          <w:rFonts w:ascii="Calibri" w:hAnsi="Calibri" w:cs="Calibri" w:eastAsia="Calibri" w:hint="default"/>
        </w:rPr>
        <w:t>competitors</w:t>
      </w:r>
      <w:r>
        <w:rPr>
          <w:rFonts w:ascii="Calibri" w:hAnsi="Calibri" w:cs="Calibri" w:eastAsia="Calibri" w:hint="default"/>
          <w:b w:val="0"/>
          <w:bCs w:val="0"/>
        </w:rPr>
      </w:r>
    </w:p>
    <w:p>
      <w:pPr>
        <w:pStyle w:val="BodyText"/>
        <w:spacing w:line="240" w:lineRule="auto" w:before="189"/>
        <w:ind w:right="1439"/>
        <w:jc w:val="both"/>
      </w:pPr>
      <w:r>
        <w:rPr/>
        <w:t>Image</w:t>
      </w:r>
      <w:r>
        <w:rPr>
          <w:spacing w:val="-12"/>
        </w:rPr>
        <w:t> </w:t>
      </w:r>
      <w:r>
        <w:rPr/>
        <w:t>is</w:t>
      </w:r>
      <w:r>
        <w:rPr>
          <w:spacing w:val="-13"/>
        </w:rPr>
        <w:t> </w:t>
      </w:r>
      <w:r>
        <w:rPr/>
        <w:t>an</w:t>
      </w:r>
      <w:r>
        <w:rPr>
          <w:spacing w:val="-10"/>
        </w:rPr>
        <w:t> </w:t>
      </w:r>
      <w:r>
        <w:rPr/>
        <w:t>important</w:t>
      </w:r>
      <w:r>
        <w:rPr>
          <w:spacing w:val="-11"/>
        </w:rPr>
        <w:t> </w:t>
      </w:r>
      <w:r>
        <w:rPr/>
        <w:t>factor</w:t>
      </w:r>
      <w:r>
        <w:rPr>
          <w:spacing w:val="-12"/>
        </w:rPr>
        <w:t> </w:t>
      </w:r>
      <w:r>
        <w:rPr/>
        <w:t>in</w:t>
      </w:r>
      <w:r>
        <w:rPr>
          <w:spacing w:val="-11"/>
        </w:rPr>
        <w:t> </w:t>
      </w:r>
      <w:r>
        <w:rPr/>
        <w:t>the</w:t>
      </w:r>
      <w:r>
        <w:rPr>
          <w:spacing w:val="-12"/>
        </w:rPr>
        <w:t> </w:t>
      </w:r>
      <w:r>
        <w:rPr/>
        <w:t>success</w:t>
      </w:r>
      <w:r>
        <w:rPr>
          <w:spacing w:val="-13"/>
        </w:rPr>
        <w:t> </w:t>
      </w:r>
      <w:r>
        <w:rPr/>
        <w:t>of</w:t>
      </w:r>
      <w:r>
        <w:rPr>
          <w:spacing w:val="-12"/>
        </w:rPr>
        <w:t> </w:t>
      </w:r>
      <w:r>
        <w:rPr/>
        <w:t>tourism</w:t>
      </w:r>
      <w:r>
        <w:rPr>
          <w:spacing w:val="-12"/>
        </w:rPr>
        <w:t> </w:t>
      </w:r>
      <w:r>
        <w:rPr/>
        <w:t>development</w:t>
      </w:r>
      <w:r>
        <w:rPr>
          <w:spacing w:val="-11"/>
        </w:rPr>
        <w:t> </w:t>
      </w:r>
      <w:r>
        <w:rPr/>
        <w:t>for</w:t>
      </w:r>
      <w:r>
        <w:rPr>
          <w:spacing w:val="-12"/>
        </w:rPr>
        <w:t> </w:t>
      </w:r>
      <w:r>
        <w:rPr/>
        <w:t>a</w:t>
      </w:r>
      <w:r>
        <w:rPr>
          <w:spacing w:val="-11"/>
        </w:rPr>
        <w:t> </w:t>
      </w:r>
      <w:r>
        <w:rPr/>
        <w:t>destination.</w:t>
      </w:r>
      <w:r>
        <w:rPr>
          <w:spacing w:val="26"/>
        </w:rPr>
        <w:t> </w:t>
      </w:r>
      <w:r>
        <w:rPr/>
        <w:t>Image</w:t>
      </w:r>
      <w:r>
        <w:rPr>
          <w:spacing w:val="-12"/>
        </w:rPr>
        <w:t> </w:t>
      </w:r>
      <w:r>
        <w:rPr/>
        <w:t>includes</w:t>
      </w:r>
      <w:r>
        <w:rPr>
          <w:spacing w:val="-12"/>
        </w:rPr>
        <w:t> </w:t>
      </w:r>
      <w:r>
        <w:rPr/>
        <w:t>the</w:t>
      </w:r>
      <w:r>
        <w:rPr>
          <w:spacing w:val="-12"/>
        </w:rPr>
        <w:t> </w:t>
      </w:r>
      <w:r>
        <w:rPr/>
        <w:t>knowledge, </w:t>
      </w:r>
      <w:r>
        <w:rPr/>
        <w:t>thoughts, and opinions that tourists and potential tourists will have about a destination and its people. The image that tourists and potential tourists have concerning a destination could make those individuals feel a certain way toward the overall destination (i.e. Curaçao), and, in return, will influence their desire (or non-desire) to visit the destination for vacation</w:t>
      </w:r>
      <w:r>
        <w:rPr>
          <w:spacing w:val="-16"/>
        </w:rPr>
        <w:t> </w:t>
      </w:r>
      <w:r>
        <w:rPr/>
        <w:t>purposes.</w:t>
      </w:r>
    </w:p>
    <w:p>
      <w:pPr>
        <w:spacing w:line="240" w:lineRule="auto" w:before="1"/>
        <w:ind w:right="0"/>
        <w:rPr>
          <w:rFonts w:ascii="Calibri" w:hAnsi="Calibri" w:cs="Calibri" w:eastAsia="Calibri" w:hint="default"/>
          <w:sz w:val="20"/>
          <w:szCs w:val="20"/>
        </w:rPr>
      </w:pPr>
    </w:p>
    <w:p>
      <w:pPr>
        <w:pStyle w:val="BodyText"/>
        <w:spacing w:line="240" w:lineRule="auto"/>
        <w:ind w:right="1437"/>
        <w:jc w:val="both"/>
      </w:pPr>
      <w:r>
        <w:rPr/>
        <w:t>Destination image is a critical component of success for any tourism industry in that the image serves a vital role in influencing tourist</w:t>
      </w:r>
      <w:r>
        <w:rPr>
          <w:rFonts w:ascii="Calibri" w:hAnsi="Calibri" w:cs="Calibri" w:eastAsia="Calibri" w:hint="default"/>
        </w:rPr>
        <w:t>s’ </w:t>
      </w:r>
      <w:r>
        <w:rPr/>
        <w:t>behavior before, during, and after the consumption of a destination.</w:t>
      </w:r>
      <w:r>
        <w:rPr>
          <w:position w:val="5"/>
          <w:sz w:val="12"/>
          <w:szCs w:val="12"/>
        </w:rPr>
        <w:t>9 </w:t>
      </w:r>
      <w:r>
        <w:rPr/>
        <w:t>Based on the </w:t>
      </w:r>
      <w:r>
        <w:rPr>
          <w:rFonts w:ascii="Calibri" w:hAnsi="Calibri" w:cs="Calibri" w:eastAsia="Calibri" w:hint="default"/>
        </w:rPr>
        <w:t>tourists’ </w:t>
      </w:r>
      <w:r>
        <w:rPr/>
        <w:t>image, travelers may or may not choose a destination for their next vacation, may or may not revisit a destination, may or may not stay longer, may or may not spend more money than usual, and may or may not spread positive word-of-mouth advertising about the</w:t>
      </w:r>
      <w:r>
        <w:rPr>
          <w:spacing w:val="-18"/>
        </w:rPr>
        <w:t> </w:t>
      </w:r>
      <w:r>
        <w:rPr/>
        <w:t>destination.</w:t>
      </w:r>
    </w:p>
    <w:p>
      <w:pPr>
        <w:spacing w:line="240" w:lineRule="auto" w:before="12"/>
        <w:ind w:right="0"/>
        <w:rPr>
          <w:rFonts w:ascii="Calibri" w:hAnsi="Calibri" w:cs="Calibri" w:eastAsia="Calibri" w:hint="default"/>
          <w:sz w:val="19"/>
          <w:szCs w:val="19"/>
        </w:rPr>
      </w:pPr>
    </w:p>
    <w:p>
      <w:pPr>
        <w:pStyle w:val="BodyText"/>
        <w:spacing w:line="240" w:lineRule="auto"/>
        <w:ind w:right="1437"/>
        <w:jc w:val="both"/>
        <w:rPr>
          <w:rFonts w:ascii="Calibri" w:hAnsi="Calibri" w:cs="Calibri" w:eastAsia="Calibri" w:hint="default"/>
        </w:rPr>
      </w:pPr>
      <w:r>
        <w:rPr/>
        <w:t>For these reasons, the DPITS felt it was important to ga</w:t>
      </w:r>
      <w:r>
        <w:rPr>
          <w:rFonts w:ascii="Calibri" w:hAnsi="Calibri" w:cs="Calibri" w:eastAsia="Calibri" w:hint="default"/>
        </w:rPr>
        <w:t>uge Curaçao’s image from both visitors </w:t>
      </w:r>
      <w:r>
        <w:rPr/>
        <w:t>and non-</w:t>
      </w:r>
      <w:r>
        <w:rPr>
          <w:rFonts w:ascii="Calibri" w:hAnsi="Calibri" w:cs="Calibri" w:eastAsia="Calibri" w:hint="default"/>
        </w:rPr>
        <w:t>visitors’ </w:t>
      </w:r>
      <w:r>
        <w:rPr/>
        <w:t>perspectives. In other words, images were derived from those people who had been to Curaçao in the past and those people who had never been to Curaçao, but had been to other Caribbean destinations within the last five </w:t>
      </w:r>
      <w:r>
        <w:rPr>
          <w:rFonts w:ascii="Calibri" w:hAnsi="Calibri" w:cs="Calibri" w:eastAsia="Calibri" w:hint="default"/>
        </w:rPr>
        <w:t>years. Measuring Curaçao’s destination image from both of these groups provides a comprehensive understanding of Curaçao’s potential strengths and weaknesses </w:t>
      </w:r>
      <w:r>
        <w:rPr/>
        <w:t>as viewed by visitors and non-visitors. Also, this data could be further decomposed into varying segments based on geography, gender, and other socio-demographic profiling traits, which will </w:t>
      </w:r>
      <w:r>
        <w:rPr>
          <w:rFonts w:ascii="Calibri" w:hAnsi="Calibri" w:cs="Calibri" w:eastAsia="Calibri" w:hint="default"/>
        </w:rPr>
        <w:t>give clues regarding Curaçao’s position in the overall tourist</w:t>
      </w:r>
      <w:r>
        <w:rPr>
          <w:rFonts w:ascii="Calibri" w:hAnsi="Calibri" w:cs="Calibri" w:eastAsia="Calibri" w:hint="default"/>
          <w:spacing w:val="-29"/>
        </w:rPr>
        <w:t> </w:t>
      </w:r>
      <w:r>
        <w:rPr>
          <w:rFonts w:ascii="Calibri" w:hAnsi="Calibri" w:cs="Calibri" w:eastAsia="Calibri" w:hint="default"/>
        </w:rPr>
        <w:t>market.</w:t>
      </w:r>
    </w:p>
    <w:p>
      <w:pPr>
        <w:spacing w:line="240" w:lineRule="auto" w:before="1"/>
        <w:ind w:right="0"/>
        <w:rPr>
          <w:rFonts w:ascii="Calibri" w:hAnsi="Calibri" w:cs="Calibri" w:eastAsia="Calibri" w:hint="default"/>
          <w:sz w:val="20"/>
          <w:szCs w:val="20"/>
        </w:rPr>
      </w:pPr>
    </w:p>
    <w:p>
      <w:pPr>
        <w:pStyle w:val="BodyText"/>
        <w:spacing w:line="240" w:lineRule="auto"/>
        <w:ind w:right="1437"/>
        <w:jc w:val="both"/>
      </w:pPr>
      <w:r>
        <w:rPr/>
        <w:t>Table 3 shows the distribution of Cura</w:t>
      </w:r>
      <w:r>
        <w:rPr>
          <w:rFonts w:ascii="Calibri" w:hAnsi="Calibri" w:cs="Calibri" w:eastAsia="Calibri" w:hint="default"/>
        </w:rPr>
        <w:t>çao’s destination attributes (</w:t>
      </w:r>
      <w:r>
        <w:rPr/>
        <w:t>e.g. climate, beach quality, etc.) in three categories:</w:t>
      </w:r>
      <w:r>
        <w:rPr>
          <w:spacing w:val="-13"/>
        </w:rPr>
        <w:t> </w:t>
      </w:r>
      <w:r>
        <w:rPr/>
        <w:t>negative</w:t>
      </w:r>
      <w:r>
        <w:rPr>
          <w:spacing w:val="-13"/>
        </w:rPr>
        <w:t> </w:t>
      </w:r>
      <w:r>
        <w:rPr/>
        <w:t>impression,</w:t>
      </w:r>
      <w:r>
        <w:rPr>
          <w:spacing w:val="-12"/>
        </w:rPr>
        <w:t> </w:t>
      </w:r>
      <w:r>
        <w:rPr/>
        <w:t>neutral</w:t>
      </w:r>
      <w:r>
        <w:rPr>
          <w:spacing w:val="-13"/>
        </w:rPr>
        <w:t> </w:t>
      </w:r>
      <w:r>
        <w:rPr/>
        <w:t>impression,</w:t>
      </w:r>
      <w:r>
        <w:rPr>
          <w:spacing w:val="-12"/>
        </w:rPr>
        <w:t> </w:t>
      </w:r>
      <w:r>
        <w:rPr/>
        <w:t>and</w:t>
      </w:r>
      <w:r>
        <w:rPr>
          <w:spacing w:val="-12"/>
        </w:rPr>
        <w:t> </w:t>
      </w:r>
      <w:r>
        <w:rPr/>
        <w:t>positive</w:t>
      </w:r>
      <w:r>
        <w:rPr>
          <w:spacing w:val="-13"/>
        </w:rPr>
        <w:t> </w:t>
      </w:r>
      <w:r>
        <w:rPr/>
        <w:t>impression</w:t>
      </w:r>
      <w:r>
        <w:rPr>
          <w:spacing w:val="-12"/>
        </w:rPr>
        <w:t> </w:t>
      </w:r>
      <w:r>
        <w:rPr/>
        <w:t>from</w:t>
      </w:r>
      <w:r>
        <w:rPr>
          <w:spacing w:val="-13"/>
        </w:rPr>
        <w:t> </w:t>
      </w:r>
      <w:r>
        <w:rPr/>
        <w:t>the</w:t>
      </w:r>
      <w:r>
        <w:rPr>
          <w:spacing w:val="-13"/>
        </w:rPr>
        <w:t> </w:t>
      </w:r>
      <w:r>
        <w:rPr/>
        <w:t>primary</w:t>
      </w:r>
      <w:r>
        <w:rPr>
          <w:spacing w:val="-12"/>
        </w:rPr>
        <w:t> </w:t>
      </w:r>
      <w:r>
        <w:rPr/>
        <w:t>market</w:t>
      </w:r>
      <w:r>
        <w:rPr>
          <w:spacing w:val="-13"/>
        </w:rPr>
        <w:t> </w:t>
      </w:r>
      <w:r>
        <w:rPr/>
        <w:t>segments</w:t>
      </w:r>
      <w:r>
        <w:rPr>
          <w:spacing w:val="-13"/>
        </w:rPr>
        <w:t> </w:t>
      </w:r>
      <w:r>
        <w:rPr/>
        <w:t>that </w:t>
      </w:r>
      <w:r>
        <w:rPr/>
        <w:t>frequent</w:t>
      </w:r>
      <w:r>
        <w:rPr>
          <w:spacing w:val="-5"/>
        </w:rPr>
        <w:t> </w:t>
      </w:r>
      <w:r>
        <w:rPr/>
        <w:t>Curaçao</w:t>
      </w:r>
      <w:r>
        <w:rPr>
          <w:spacing w:val="-5"/>
        </w:rPr>
        <w:t> </w:t>
      </w:r>
      <w:r>
        <w:rPr/>
        <w:t>(USA,</w:t>
      </w:r>
      <w:r>
        <w:rPr>
          <w:spacing w:val="-5"/>
        </w:rPr>
        <w:t> </w:t>
      </w:r>
      <w:r>
        <w:rPr/>
        <w:t>Dutch,</w:t>
      </w:r>
      <w:r>
        <w:rPr>
          <w:spacing w:val="-5"/>
        </w:rPr>
        <w:t> </w:t>
      </w:r>
      <w:r>
        <w:rPr/>
        <w:t>Venezuela/Colombia).</w:t>
      </w:r>
      <w:r>
        <w:rPr>
          <w:spacing w:val="35"/>
        </w:rPr>
        <w:t> </w:t>
      </w:r>
      <w:r>
        <w:rPr/>
        <w:t>As</w:t>
      </w:r>
      <w:r>
        <w:rPr>
          <w:spacing w:val="-7"/>
        </w:rPr>
        <w:t> </w:t>
      </w:r>
      <w:r>
        <w:rPr/>
        <w:t>can</w:t>
      </w:r>
      <w:r>
        <w:rPr>
          <w:spacing w:val="-5"/>
        </w:rPr>
        <w:t> </w:t>
      </w:r>
      <w:r>
        <w:rPr/>
        <w:t>be</w:t>
      </w:r>
      <w:r>
        <w:rPr>
          <w:spacing w:val="-6"/>
        </w:rPr>
        <w:t> </w:t>
      </w:r>
      <w:r>
        <w:rPr/>
        <w:t>seen</w:t>
      </w:r>
      <w:r>
        <w:rPr>
          <w:spacing w:val="-5"/>
        </w:rPr>
        <w:t> </w:t>
      </w:r>
      <w:r>
        <w:rPr/>
        <w:t>from</w:t>
      </w:r>
      <w:r>
        <w:rPr>
          <w:spacing w:val="-4"/>
        </w:rPr>
        <w:t> </w:t>
      </w:r>
      <w:r>
        <w:rPr/>
        <w:t>Table</w:t>
      </w:r>
      <w:r>
        <w:rPr>
          <w:spacing w:val="-6"/>
        </w:rPr>
        <w:t> </w:t>
      </w:r>
      <w:r>
        <w:rPr/>
        <w:t>3,</w:t>
      </w:r>
      <w:r>
        <w:rPr>
          <w:spacing w:val="-5"/>
        </w:rPr>
        <w:t> </w:t>
      </w:r>
      <w:r>
        <w:rPr/>
        <w:t>the</w:t>
      </w:r>
      <w:r>
        <w:rPr>
          <w:spacing w:val="-6"/>
        </w:rPr>
        <w:t> </w:t>
      </w:r>
      <w:r>
        <w:rPr/>
        <w:t>largest</w:t>
      </w:r>
      <w:r>
        <w:rPr>
          <w:spacing w:val="-5"/>
        </w:rPr>
        <w:t> </w:t>
      </w:r>
      <w:r>
        <w:rPr/>
        <w:t>frequency</w:t>
      </w:r>
      <w:r>
        <w:rPr>
          <w:spacing w:val="-5"/>
        </w:rPr>
        <w:t> </w:t>
      </w:r>
      <w:r>
        <w:rPr/>
        <w:t>lies</w:t>
      </w:r>
      <w:r>
        <w:rPr>
          <w:spacing w:val="-6"/>
        </w:rPr>
        <w:t> </w:t>
      </w:r>
      <w:r>
        <w:rPr/>
        <w:t>within </w:t>
      </w:r>
      <w:r>
        <w:rPr/>
        <w:t>the positive impression category for all market segments except for the duty-free related items that are mostly neutral.</w:t>
      </w:r>
    </w:p>
    <w:p>
      <w:pPr>
        <w:spacing w:line="240" w:lineRule="auto" w:before="12"/>
        <w:ind w:right="0"/>
        <w:rPr>
          <w:rFonts w:ascii="Calibri" w:hAnsi="Calibri" w:cs="Calibri" w:eastAsia="Calibri" w:hint="default"/>
          <w:sz w:val="19"/>
          <w:szCs w:val="19"/>
        </w:rPr>
      </w:pPr>
    </w:p>
    <w:p>
      <w:pPr>
        <w:pStyle w:val="BodyText"/>
        <w:spacing w:line="240" w:lineRule="auto"/>
        <w:ind w:right="1440"/>
        <w:jc w:val="both"/>
      </w:pPr>
      <w:r>
        <w:rPr/>
        <w:t>This table reveals important impression information for Curaçao. All market segments have a high impression regar</w:t>
      </w:r>
      <w:r>
        <w:rPr>
          <w:rFonts w:ascii="Calibri" w:hAnsi="Calibri" w:cs="Calibri" w:eastAsia="Calibri" w:hint="default"/>
        </w:rPr>
        <w:t>ding Curaçao’s climate, beach quality, and </w:t>
      </w:r>
      <w:r>
        <w:rPr/>
        <w:t>its variety of water activities. This seems to indicate that tourists have</w:t>
      </w:r>
      <w:r>
        <w:rPr>
          <w:spacing w:val="-5"/>
        </w:rPr>
        <w:t> </w:t>
      </w:r>
      <w:r>
        <w:rPr>
          <w:rFonts w:ascii="Calibri" w:hAnsi="Calibri" w:cs="Calibri" w:eastAsia="Calibri" w:hint="default"/>
        </w:rPr>
        <w:t>positive</w:t>
      </w:r>
      <w:r>
        <w:rPr>
          <w:rFonts w:ascii="Calibri" w:hAnsi="Calibri" w:cs="Calibri" w:eastAsia="Calibri" w:hint="default"/>
          <w:spacing w:val="-5"/>
        </w:rPr>
        <w:t> </w:t>
      </w:r>
      <w:r>
        <w:rPr>
          <w:rFonts w:ascii="Calibri" w:hAnsi="Calibri" w:cs="Calibri" w:eastAsia="Calibri" w:hint="default"/>
        </w:rPr>
        <w:t>impressions</w:t>
      </w:r>
      <w:r>
        <w:rPr>
          <w:rFonts w:ascii="Calibri" w:hAnsi="Calibri" w:cs="Calibri" w:eastAsia="Calibri" w:hint="default"/>
          <w:spacing w:val="-5"/>
        </w:rPr>
        <w:t> </w:t>
      </w:r>
      <w:r>
        <w:rPr>
          <w:rFonts w:ascii="Calibri" w:hAnsi="Calibri" w:cs="Calibri" w:eastAsia="Calibri" w:hint="default"/>
        </w:rPr>
        <w:t>of</w:t>
      </w:r>
      <w:r>
        <w:rPr>
          <w:rFonts w:ascii="Calibri" w:hAnsi="Calibri" w:cs="Calibri" w:eastAsia="Calibri" w:hint="default"/>
          <w:spacing w:val="-5"/>
        </w:rPr>
        <w:t> </w:t>
      </w:r>
      <w:r>
        <w:rPr>
          <w:rFonts w:ascii="Calibri" w:hAnsi="Calibri" w:cs="Calibri" w:eastAsia="Calibri" w:hint="default"/>
        </w:rPr>
        <w:t>the</w:t>
      </w:r>
      <w:r>
        <w:rPr>
          <w:rFonts w:ascii="Calibri" w:hAnsi="Calibri" w:cs="Calibri" w:eastAsia="Calibri" w:hint="default"/>
          <w:spacing w:val="-5"/>
        </w:rPr>
        <w:t> </w:t>
      </w:r>
      <w:r>
        <w:rPr>
          <w:rFonts w:ascii="Calibri" w:hAnsi="Calibri" w:cs="Calibri" w:eastAsia="Calibri" w:hint="default"/>
        </w:rPr>
        <w:t>Caribbean’s</w:t>
      </w:r>
      <w:r>
        <w:rPr>
          <w:rFonts w:ascii="Calibri" w:hAnsi="Calibri" w:cs="Calibri" w:eastAsia="Calibri" w:hint="default"/>
          <w:spacing w:val="-5"/>
        </w:rPr>
        <w:t> </w:t>
      </w:r>
      <w:r>
        <w:rPr>
          <w:rFonts w:ascii="Calibri" w:hAnsi="Calibri" w:cs="Calibri" w:eastAsia="Calibri" w:hint="default"/>
        </w:rPr>
        <w:t>sun,</w:t>
      </w:r>
      <w:r>
        <w:rPr>
          <w:rFonts w:ascii="Calibri" w:hAnsi="Calibri" w:cs="Calibri" w:eastAsia="Calibri" w:hint="default"/>
          <w:spacing w:val="-4"/>
        </w:rPr>
        <w:t> </w:t>
      </w:r>
      <w:r>
        <w:rPr>
          <w:rFonts w:ascii="Calibri" w:hAnsi="Calibri" w:cs="Calibri" w:eastAsia="Calibri" w:hint="default"/>
        </w:rPr>
        <w:t>sand,</w:t>
      </w:r>
      <w:r>
        <w:rPr>
          <w:rFonts w:ascii="Calibri" w:hAnsi="Calibri" w:cs="Calibri" w:eastAsia="Calibri" w:hint="default"/>
          <w:spacing w:val="-4"/>
        </w:rPr>
        <w:t> </w:t>
      </w:r>
      <w:r>
        <w:rPr>
          <w:rFonts w:ascii="Calibri" w:hAnsi="Calibri" w:cs="Calibri" w:eastAsia="Calibri" w:hint="default"/>
        </w:rPr>
        <w:t>and</w:t>
      </w:r>
      <w:r>
        <w:rPr>
          <w:rFonts w:ascii="Calibri" w:hAnsi="Calibri" w:cs="Calibri" w:eastAsia="Calibri" w:hint="default"/>
          <w:spacing w:val="-6"/>
        </w:rPr>
        <w:t> </w:t>
      </w:r>
      <w:r>
        <w:rPr>
          <w:rFonts w:ascii="Calibri" w:hAnsi="Calibri" w:cs="Calibri" w:eastAsia="Calibri" w:hint="default"/>
        </w:rPr>
        <w:t>sea</w:t>
      </w:r>
      <w:r>
        <w:rPr>
          <w:rFonts w:ascii="Calibri" w:hAnsi="Calibri" w:cs="Calibri" w:eastAsia="Calibri" w:hint="default"/>
          <w:spacing w:val="-4"/>
        </w:rPr>
        <w:t> </w:t>
      </w:r>
      <w:r>
        <w:rPr>
          <w:rFonts w:ascii="Calibri" w:hAnsi="Calibri" w:cs="Calibri" w:eastAsia="Calibri" w:hint="default"/>
        </w:rPr>
        <w:t>destinat</w:t>
      </w:r>
      <w:r>
        <w:rPr/>
        <w:t>ions;</w:t>
      </w:r>
      <w:r>
        <w:rPr>
          <w:spacing w:val="-5"/>
        </w:rPr>
        <w:t> </w:t>
      </w:r>
      <w:r>
        <w:rPr/>
        <w:t>thus,</w:t>
      </w:r>
      <w:r>
        <w:rPr>
          <w:spacing w:val="-4"/>
        </w:rPr>
        <w:t> </w:t>
      </w:r>
      <w:r>
        <w:rPr/>
        <w:t>as</w:t>
      </w:r>
      <w:r>
        <w:rPr>
          <w:spacing w:val="-5"/>
        </w:rPr>
        <w:t> </w:t>
      </w:r>
      <w:r>
        <w:rPr/>
        <w:t>Curaçao</w:t>
      </w:r>
      <w:r>
        <w:rPr>
          <w:spacing w:val="-4"/>
        </w:rPr>
        <w:t> </w:t>
      </w:r>
      <w:r>
        <w:rPr/>
        <w:t>possesses</w:t>
      </w:r>
      <w:r>
        <w:rPr>
          <w:spacing w:val="-5"/>
        </w:rPr>
        <w:t> </w:t>
      </w:r>
      <w:r>
        <w:rPr/>
        <w:t>strength</w:t>
      </w:r>
      <w:r>
        <w:rPr>
          <w:spacing w:val="-4"/>
        </w:rPr>
        <w:t> </w:t>
      </w:r>
      <w:r>
        <w:rPr/>
        <w:t>in </w:t>
      </w:r>
      <w:r>
        <w:rPr/>
        <w:t>this area, it also adopts prominent positioning. The Venezuelan/Colombian markets are also pleased with the lodging quality and the food and beverage quality. Table 3 also suggests that tourists have a positive perception of Curaçao</w:t>
      </w:r>
      <w:r>
        <w:rPr>
          <w:rFonts w:ascii="Calibri" w:hAnsi="Calibri" w:cs="Calibri" w:eastAsia="Calibri" w:hint="default"/>
        </w:rPr>
        <w:t>’s </w:t>
      </w:r>
      <w:r>
        <w:rPr/>
        <w:t>cultural component as revealed by service delivery, quality, and</w:t>
      </w:r>
      <w:r>
        <w:rPr>
          <w:spacing w:val="-31"/>
        </w:rPr>
        <w:t> </w:t>
      </w:r>
      <w:r>
        <w:rPr/>
        <w:t>people.</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t>An interesting wedge of information that emerges within the American market segment pertains to the amount of </w:t>
      </w:r>
      <w:r>
        <w:rPr>
          <w:rFonts w:ascii="Calibri" w:hAnsi="Calibri" w:cs="Calibri" w:eastAsia="Calibri" w:hint="default"/>
        </w:rPr>
        <w:t>“neutral impressions” that exist regarding Curacao’s attributes. Table 3 reveals that these neutral impressions </w:t>
      </w:r>
      <w:r>
        <w:rPr>
          <w:rFonts w:ascii="Calibri" w:hAnsi="Calibri" w:cs="Calibri" w:eastAsia="Calibri" w:hint="default"/>
          <w:spacing w:val="3"/>
        </w:rPr>
        <w:t>f</w:t>
      </w:r>
      <w:r>
        <w:rPr>
          <w:spacing w:val="3"/>
        </w:rPr>
        <w:t>or </w:t>
      </w:r>
      <w:r>
        <w:rPr>
          <w:rFonts w:ascii="Calibri" w:hAnsi="Calibri" w:cs="Calibri" w:eastAsia="Calibri" w:hint="default"/>
        </w:rPr>
        <w:t>most of Curacao’s destination attributes are almost always above those of the other two markets. </w:t>
      </w:r>
      <w:r>
        <w:rPr/>
        <w:t>From a positioning perspective, this implies that Curaçao is under positioned within the American market. That is, Americans</w:t>
      </w:r>
      <w:r>
        <w:rPr>
          <w:spacing w:val="-5"/>
        </w:rPr>
        <w:t> </w:t>
      </w:r>
      <w:r>
        <w:rPr/>
        <w:t>who</w:t>
      </w:r>
      <w:r>
        <w:rPr>
          <w:spacing w:val="-4"/>
        </w:rPr>
        <w:t> </w:t>
      </w:r>
      <w:r>
        <w:rPr/>
        <w:t>have</w:t>
      </w:r>
      <w:r>
        <w:rPr>
          <w:spacing w:val="-5"/>
        </w:rPr>
        <w:t> </w:t>
      </w:r>
      <w:r>
        <w:rPr/>
        <w:t>not</w:t>
      </w:r>
      <w:r>
        <w:rPr>
          <w:spacing w:val="-4"/>
        </w:rPr>
        <w:t> </w:t>
      </w:r>
      <w:r>
        <w:rPr/>
        <w:t>traveled</w:t>
      </w:r>
      <w:r>
        <w:rPr>
          <w:spacing w:val="-4"/>
        </w:rPr>
        <w:t> </w:t>
      </w:r>
      <w:r>
        <w:rPr/>
        <w:t>to</w:t>
      </w:r>
      <w:r>
        <w:rPr>
          <w:spacing w:val="-4"/>
        </w:rPr>
        <w:t> </w:t>
      </w:r>
      <w:r>
        <w:rPr/>
        <w:t>Curaçao</w:t>
      </w:r>
      <w:r>
        <w:rPr>
          <w:spacing w:val="-4"/>
        </w:rPr>
        <w:t> </w:t>
      </w:r>
      <w:r>
        <w:rPr/>
        <w:t>are</w:t>
      </w:r>
      <w:r>
        <w:rPr>
          <w:spacing w:val="-5"/>
        </w:rPr>
        <w:t> </w:t>
      </w:r>
      <w:r>
        <w:rPr/>
        <w:t>neutral</w:t>
      </w:r>
      <w:r>
        <w:rPr>
          <w:spacing w:val="-5"/>
        </w:rPr>
        <w:t> </w:t>
      </w:r>
      <w:r>
        <w:rPr/>
        <w:t>in</w:t>
      </w:r>
      <w:r>
        <w:rPr>
          <w:spacing w:val="-4"/>
        </w:rPr>
        <w:t> </w:t>
      </w:r>
      <w:r>
        <w:rPr/>
        <w:t>their</w:t>
      </w:r>
      <w:r>
        <w:rPr>
          <w:spacing w:val="-5"/>
        </w:rPr>
        <w:t> </w:t>
      </w:r>
      <w:r>
        <w:rPr/>
        <w:t>impressions</w:t>
      </w:r>
      <w:r>
        <w:rPr>
          <w:spacing w:val="-5"/>
        </w:rPr>
        <w:t> </w:t>
      </w:r>
      <w:r>
        <w:rPr/>
        <w:t>for</w:t>
      </w:r>
      <w:r>
        <w:rPr>
          <w:spacing w:val="-4"/>
        </w:rPr>
        <w:t> </w:t>
      </w:r>
      <w:r>
        <w:rPr/>
        <w:t>each</w:t>
      </w:r>
      <w:r>
        <w:rPr>
          <w:spacing w:val="-4"/>
        </w:rPr>
        <w:t> </w:t>
      </w:r>
      <w:r>
        <w:rPr/>
        <w:t>destination</w:t>
      </w:r>
      <w:r>
        <w:rPr>
          <w:spacing w:val="-4"/>
        </w:rPr>
        <w:t> </w:t>
      </w:r>
      <w:r>
        <w:rPr/>
        <w:t>attribute</w:t>
      </w:r>
      <w:r>
        <w:rPr>
          <w:spacing w:val="-5"/>
        </w:rPr>
        <w:t> </w:t>
      </w:r>
      <w:r>
        <w:rPr/>
        <w:t>because </w:t>
      </w:r>
      <w:r>
        <w:rPr/>
        <w:t>they do not know what they can expect from</w:t>
      </w:r>
      <w:r>
        <w:rPr>
          <w:spacing w:val="-18"/>
        </w:rPr>
        <w:t> </w:t>
      </w:r>
      <w:r>
        <w:rPr/>
        <w:t>Curaçao.</w:t>
      </w:r>
    </w:p>
    <w:p>
      <w:pPr>
        <w:spacing w:line="240" w:lineRule="auto" w:before="12"/>
        <w:ind w:right="0"/>
        <w:rPr>
          <w:rFonts w:ascii="Calibri" w:hAnsi="Calibri" w:cs="Calibri" w:eastAsia="Calibri" w:hint="default"/>
          <w:sz w:val="19"/>
          <w:szCs w:val="19"/>
        </w:rPr>
      </w:pPr>
    </w:p>
    <w:p>
      <w:pPr>
        <w:pStyle w:val="BodyText"/>
        <w:spacing w:line="240" w:lineRule="auto"/>
        <w:ind w:right="1436"/>
        <w:jc w:val="both"/>
      </w:pPr>
      <w:r>
        <w:rPr/>
        <w:t>If you compare this finding to the other two markets, it is evident that the Dutch and Venezuela/Colombia tourists who</w:t>
      </w:r>
      <w:r>
        <w:rPr>
          <w:spacing w:val="-3"/>
        </w:rPr>
        <w:t> </w:t>
      </w:r>
      <w:r>
        <w:rPr/>
        <w:t>have</w:t>
      </w:r>
      <w:r>
        <w:rPr>
          <w:spacing w:val="-4"/>
        </w:rPr>
        <w:t> </w:t>
      </w:r>
      <w:r>
        <w:rPr/>
        <w:t>not</w:t>
      </w:r>
      <w:r>
        <w:rPr>
          <w:spacing w:val="-3"/>
        </w:rPr>
        <w:t> </w:t>
      </w:r>
      <w:r>
        <w:rPr/>
        <w:t>been</w:t>
      </w:r>
      <w:r>
        <w:rPr>
          <w:spacing w:val="-3"/>
        </w:rPr>
        <w:t> </w:t>
      </w:r>
      <w:r>
        <w:rPr/>
        <w:t>to</w:t>
      </w:r>
      <w:r>
        <w:rPr>
          <w:spacing w:val="-3"/>
        </w:rPr>
        <w:t> </w:t>
      </w:r>
      <w:r>
        <w:rPr/>
        <w:t>Curaçao</w:t>
      </w:r>
      <w:r>
        <w:rPr>
          <w:spacing w:val="-3"/>
        </w:rPr>
        <w:t> </w:t>
      </w:r>
      <w:r>
        <w:rPr/>
        <w:t>have</w:t>
      </w:r>
      <w:r>
        <w:rPr>
          <w:spacing w:val="-4"/>
        </w:rPr>
        <w:t> </w:t>
      </w:r>
      <w:r>
        <w:rPr/>
        <w:t>low</w:t>
      </w:r>
      <w:r>
        <w:rPr>
          <w:spacing w:val="-4"/>
        </w:rPr>
        <w:t> </w:t>
      </w:r>
      <w:r>
        <w:rPr/>
        <w:t>neutral</w:t>
      </w:r>
      <w:r>
        <w:rPr>
          <w:spacing w:val="-4"/>
        </w:rPr>
        <w:t> </w:t>
      </w:r>
      <w:r>
        <w:rPr/>
        <w:t>values.</w:t>
      </w:r>
      <w:r>
        <w:rPr>
          <w:spacing w:val="-3"/>
        </w:rPr>
        <w:t> </w:t>
      </w:r>
      <w:r>
        <w:rPr/>
        <w:t>This</w:t>
      </w:r>
      <w:r>
        <w:rPr>
          <w:spacing w:val="-4"/>
        </w:rPr>
        <w:t> </w:t>
      </w:r>
      <w:r>
        <w:rPr/>
        <w:t>means</w:t>
      </w:r>
      <w:r>
        <w:rPr>
          <w:spacing w:val="-4"/>
        </w:rPr>
        <w:t> </w:t>
      </w:r>
      <w:r>
        <w:rPr/>
        <w:t>that,</w:t>
      </w:r>
      <w:r>
        <w:rPr>
          <w:spacing w:val="-2"/>
        </w:rPr>
        <w:t> </w:t>
      </w:r>
      <w:r>
        <w:rPr/>
        <w:t>even</w:t>
      </w:r>
      <w:r>
        <w:rPr>
          <w:spacing w:val="-3"/>
        </w:rPr>
        <w:t> </w:t>
      </w:r>
      <w:r>
        <w:rPr/>
        <w:t>though</w:t>
      </w:r>
      <w:r>
        <w:rPr>
          <w:spacing w:val="-3"/>
        </w:rPr>
        <w:t> </w:t>
      </w:r>
      <w:r>
        <w:rPr/>
        <w:t>people</w:t>
      </w:r>
      <w:r>
        <w:rPr>
          <w:spacing w:val="-4"/>
        </w:rPr>
        <w:t> </w:t>
      </w:r>
      <w:r>
        <w:rPr/>
        <w:t>from</w:t>
      </w:r>
      <w:r>
        <w:rPr>
          <w:spacing w:val="-3"/>
        </w:rPr>
        <w:t> </w:t>
      </w:r>
      <w:r>
        <w:rPr/>
        <w:t>the</w:t>
      </w:r>
      <w:r>
        <w:rPr>
          <w:spacing w:val="-4"/>
        </w:rPr>
        <w:t> </w:t>
      </w:r>
      <w:r>
        <w:rPr/>
        <w:t>Netherlands </w:t>
      </w:r>
      <w:r>
        <w:rPr/>
        <w:t>and Venezuela/Colombia have not been to Curaçao, they have a strong impression regarding what they can expect </w:t>
      </w:r>
      <w:r>
        <w:rPr>
          <w:rFonts w:ascii="Calibri" w:hAnsi="Calibri" w:cs="Calibri" w:eastAsia="Calibri" w:hint="default"/>
        </w:rPr>
        <w:t>from Curaçao’s destination attributes. This </w:t>
      </w:r>
      <w:r>
        <w:rPr/>
        <w:t>implies that Curaçao has established a strong position within these two markets, but may be nearing a point of market</w:t>
      </w:r>
      <w:r>
        <w:rPr>
          <w:spacing w:val="-17"/>
        </w:rPr>
        <w:t> </w:t>
      </w:r>
      <w:r>
        <w:rPr/>
        <w:t>saturation.</w:t>
      </w:r>
    </w:p>
    <w:p>
      <w:pPr>
        <w:spacing w:line="240" w:lineRule="auto" w:before="8" w:after="0"/>
        <w:ind w:right="0"/>
        <w:rPr>
          <w:rFonts w:ascii="Calibri" w:hAnsi="Calibri" w:cs="Calibri" w:eastAsia="Calibri" w:hint="default"/>
          <w:sz w:val="16"/>
          <w:szCs w:val="16"/>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2" w:lineRule="auto" w:before="89"/>
        <w:ind w:left="1440" w:right="1640" w:firstLine="0"/>
        <w:jc w:val="left"/>
        <w:rPr>
          <w:rFonts w:ascii="Calibri" w:hAnsi="Calibri" w:cs="Calibri" w:eastAsia="Calibri" w:hint="default"/>
          <w:sz w:val="16"/>
          <w:szCs w:val="16"/>
        </w:rPr>
      </w:pPr>
      <w:r>
        <w:rPr>
          <w:rFonts w:ascii="Calibri"/>
          <w:position w:val="5"/>
          <w:sz w:val="12"/>
        </w:rPr>
        <w:t>9 </w:t>
      </w:r>
      <w:r>
        <w:rPr>
          <w:rFonts w:ascii="Calibri"/>
          <w:sz w:val="16"/>
        </w:rPr>
        <w:t>See the following sources for a review on the importance of destination image: Alhemoud and Armstrong 1996; Baloglu and Brinberg 1997; </w:t>
      </w:r>
      <w:r>
        <w:rPr>
          <w:rFonts w:ascii="Calibri"/>
          <w:sz w:val="16"/>
        </w:rPr>
        <w:t>Chen and Hsu 2000; Chen and Kerstetter 1999; Court and Lupton 1997; Crompton 1979; Dadgostar and Isotalo 1992; Dann 1996; Fakeye and Crompton 1991; Gartner 1993; Goodrich 1977; Hunt 1975; MacKay and Fesenmaier 1997; Mayo 1973; Mayo and Jarvis 1981; Ross 1993; Schroeder</w:t>
      </w:r>
      <w:r>
        <w:rPr>
          <w:rFonts w:ascii="Calibri"/>
          <w:spacing w:val="-3"/>
          <w:sz w:val="16"/>
        </w:rPr>
        <w:t> </w:t>
      </w:r>
      <w:r>
        <w:rPr>
          <w:rFonts w:ascii="Calibri"/>
          <w:sz w:val="16"/>
        </w:rPr>
        <w:t>1996;</w:t>
      </w:r>
      <w:r>
        <w:rPr>
          <w:rFonts w:ascii="Calibri"/>
          <w:spacing w:val="-2"/>
          <w:sz w:val="16"/>
        </w:rPr>
        <w:t> </w:t>
      </w:r>
      <w:r>
        <w:rPr>
          <w:rFonts w:ascii="Calibri"/>
          <w:sz w:val="16"/>
        </w:rPr>
        <w:t>Tapachai</w:t>
      </w:r>
      <w:r>
        <w:rPr>
          <w:rFonts w:ascii="Calibri"/>
          <w:spacing w:val="-3"/>
          <w:sz w:val="16"/>
        </w:rPr>
        <w:t> </w:t>
      </w:r>
      <w:r>
        <w:rPr>
          <w:rFonts w:ascii="Calibri"/>
          <w:sz w:val="16"/>
        </w:rPr>
        <w:t>and</w:t>
      </w:r>
      <w:r>
        <w:rPr>
          <w:rFonts w:ascii="Calibri"/>
          <w:spacing w:val="-3"/>
          <w:sz w:val="16"/>
        </w:rPr>
        <w:t> </w:t>
      </w:r>
      <w:r>
        <w:rPr>
          <w:rFonts w:ascii="Calibri"/>
          <w:sz w:val="16"/>
        </w:rPr>
        <w:t>Waryszak</w:t>
      </w:r>
      <w:r>
        <w:rPr>
          <w:rFonts w:ascii="Calibri"/>
          <w:spacing w:val="-4"/>
          <w:sz w:val="16"/>
        </w:rPr>
        <w:t> </w:t>
      </w:r>
      <w:r>
        <w:rPr>
          <w:rFonts w:ascii="Calibri"/>
          <w:sz w:val="16"/>
        </w:rPr>
        <w:t>2000;</w:t>
      </w:r>
      <w:r>
        <w:rPr>
          <w:rFonts w:ascii="Calibri"/>
          <w:spacing w:val="-2"/>
          <w:sz w:val="16"/>
        </w:rPr>
        <w:t> </w:t>
      </w:r>
      <w:r>
        <w:rPr>
          <w:rFonts w:ascii="Calibri"/>
          <w:sz w:val="16"/>
        </w:rPr>
        <w:t>Tasci</w:t>
      </w:r>
      <w:r>
        <w:rPr>
          <w:rFonts w:ascii="Calibri"/>
          <w:spacing w:val="-3"/>
          <w:sz w:val="16"/>
        </w:rPr>
        <w:t> </w:t>
      </w:r>
      <w:r>
        <w:rPr>
          <w:rFonts w:ascii="Calibri"/>
          <w:sz w:val="16"/>
        </w:rPr>
        <w:t>and</w:t>
      </w:r>
      <w:r>
        <w:rPr>
          <w:rFonts w:ascii="Calibri"/>
          <w:spacing w:val="-3"/>
          <w:sz w:val="16"/>
        </w:rPr>
        <w:t> </w:t>
      </w:r>
      <w:r>
        <w:rPr>
          <w:rFonts w:ascii="Calibri"/>
          <w:sz w:val="16"/>
        </w:rPr>
        <w:t>Gartner,</w:t>
      </w:r>
      <w:r>
        <w:rPr>
          <w:rFonts w:ascii="Calibri"/>
          <w:spacing w:val="-2"/>
          <w:sz w:val="16"/>
        </w:rPr>
        <w:t> </w:t>
      </w:r>
      <w:r>
        <w:rPr>
          <w:rFonts w:ascii="Calibri"/>
          <w:sz w:val="16"/>
        </w:rPr>
        <w:t>2007;</w:t>
      </w:r>
      <w:r>
        <w:rPr>
          <w:rFonts w:ascii="Calibri"/>
          <w:spacing w:val="-2"/>
          <w:sz w:val="16"/>
        </w:rPr>
        <w:t> </w:t>
      </w:r>
      <w:r>
        <w:rPr>
          <w:rFonts w:ascii="Calibri"/>
          <w:sz w:val="16"/>
        </w:rPr>
        <w:t>Tasci,</w:t>
      </w:r>
      <w:r>
        <w:rPr>
          <w:rFonts w:ascii="Calibri"/>
          <w:spacing w:val="-1"/>
          <w:sz w:val="16"/>
        </w:rPr>
        <w:t> </w:t>
      </w:r>
      <w:r>
        <w:rPr>
          <w:rFonts w:ascii="Calibri"/>
          <w:sz w:val="16"/>
        </w:rPr>
        <w:t>Gartner</w:t>
      </w:r>
      <w:r>
        <w:rPr>
          <w:rFonts w:ascii="Calibri"/>
          <w:spacing w:val="-3"/>
          <w:sz w:val="16"/>
        </w:rPr>
        <w:t> </w:t>
      </w:r>
      <w:r>
        <w:rPr>
          <w:rFonts w:ascii="Calibri"/>
          <w:sz w:val="16"/>
        </w:rPr>
        <w:t>and</w:t>
      </w:r>
      <w:r>
        <w:rPr>
          <w:rFonts w:ascii="Calibri"/>
          <w:spacing w:val="-3"/>
          <w:sz w:val="16"/>
        </w:rPr>
        <w:t> </w:t>
      </w:r>
      <w:r>
        <w:rPr>
          <w:rFonts w:ascii="Calibri"/>
          <w:sz w:val="16"/>
        </w:rPr>
        <w:t>Cavusgil,</w:t>
      </w:r>
      <w:r>
        <w:rPr>
          <w:rFonts w:ascii="Calibri"/>
          <w:spacing w:val="-2"/>
          <w:sz w:val="16"/>
        </w:rPr>
        <w:t> </w:t>
      </w:r>
      <w:r>
        <w:rPr>
          <w:rFonts w:ascii="Calibri"/>
          <w:sz w:val="16"/>
        </w:rPr>
        <w:t>2007;</w:t>
      </w:r>
      <w:r>
        <w:rPr>
          <w:rFonts w:ascii="Calibri"/>
          <w:spacing w:val="-2"/>
          <w:sz w:val="16"/>
        </w:rPr>
        <w:t> </w:t>
      </w:r>
      <w:r>
        <w:rPr>
          <w:rFonts w:ascii="Calibri"/>
          <w:sz w:val="16"/>
        </w:rPr>
        <w:t>Walmsley</w:t>
      </w:r>
      <w:r>
        <w:rPr>
          <w:rFonts w:ascii="Calibri"/>
          <w:spacing w:val="-3"/>
          <w:sz w:val="16"/>
        </w:rPr>
        <w:t> </w:t>
      </w:r>
      <w:r>
        <w:rPr>
          <w:rFonts w:ascii="Calibri"/>
          <w:sz w:val="16"/>
        </w:rPr>
        <w:t>and</w:t>
      </w:r>
      <w:r>
        <w:rPr>
          <w:rFonts w:ascii="Calibri"/>
          <w:spacing w:val="-3"/>
          <w:sz w:val="16"/>
        </w:rPr>
        <w:t> </w:t>
      </w:r>
      <w:r>
        <w:rPr>
          <w:rFonts w:ascii="Calibri"/>
          <w:sz w:val="16"/>
        </w:rPr>
        <w:t>Young</w:t>
      </w:r>
      <w:r>
        <w:rPr>
          <w:rFonts w:ascii="Calibri"/>
          <w:spacing w:val="-1"/>
          <w:sz w:val="16"/>
        </w:rPr>
        <w:t> </w:t>
      </w:r>
      <w:r>
        <w:rPr>
          <w:rFonts w:ascii="Calibri"/>
          <w:sz w:val="16"/>
        </w:rPr>
        <w:t>1998.</w:t>
      </w:r>
    </w:p>
    <w:p>
      <w:pPr>
        <w:spacing w:after="0" w:line="242"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2"/>
        <w:ind w:right="0"/>
        <w:rPr>
          <w:rFonts w:ascii="Calibri" w:hAnsi="Calibri" w:cs="Calibri" w:eastAsia="Calibri" w:hint="default"/>
          <w:sz w:val="23"/>
          <w:szCs w:val="23"/>
        </w:rPr>
      </w:pPr>
    </w:p>
    <w:p>
      <w:pPr>
        <w:pStyle w:val="Heading9"/>
        <w:tabs>
          <w:tab w:pos="4620" w:val="left" w:leader="none"/>
          <w:tab w:pos="11060" w:val="left" w:leader="none"/>
        </w:tabs>
        <w:spacing w:line="240" w:lineRule="auto" w:before="59" w:after="66"/>
        <w:ind w:left="1180" w:right="0"/>
        <w:jc w:val="left"/>
        <w:rPr>
          <w:b w:val="0"/>
          <w:bCs w:val="0"/>
        </w:rPr>
      </w:pPr>
      <w:bookmarkStart w:name="_bookmark28" w:id="29"/>
      <w:bookmarkEnd w:id="29"/>
      <w:r>
        <w:rPr>
          <w:b w:val="0"/>
        </w:rPr>
      </w:r>
      <w:r>
        <w:rPr>
          <w:w w:val="99"/>
        </w:rPr>
      </w:r>
      <w:r>
        <w:rPr>
          <w:w w:val="99"/>
          <w:u w:val="single" w:color="000000"/>
        </w:rPr>
        <w:t> </w:t>
      </w:r>
      <w:r>
        <w:rPr>
          <w:u w:val="single" w:color="000000"/>
        </w:rPr>
        <w:tab/>
        <w:t>Table 3:  Impressions about</w:t>
      </w:r>
      <w:r>
        <w:rPr>
          <w:spacing w:val="-19"/>
          <w:u w:val="single" w:color="000000"/>
        </w:rPr>
        <w:t> </w:t>
      </w:r>
      <w:r>
        <w:rPr>
          <w:u w:val="single" w:color="000000"/>
        </w:rPr>
        <w:t>Curaçao</w:t>
        <w:tab/>
      </w:r>
      <w:r>
        <w:rPr/>
      </w:r>
      <w:r>
        <w:rPr>
          <w:b w:val="0"/>
        </w:rPr>
      </w:r>
    </w:p>
    <w:tbl>
      <w:tblPr>
        <w:tblW w:w="0" w:type="auto"/>
        <w:jc w:val="left"/>
        <w:tblInd w:w="1166" w:type="dxa"/>
        <w:tblLayout w:type="fixed"/>
        <w:tblCellMar>
          <w:top w:w="0" w:type="dxa"/>
          <w:left w:w="0" w:type="dxa"/>
          <w:bottom w:w="0" w:type="dxa"/>
          <w:right w:w="0" w:type="dxa"/>
        </w:tblCellMar>
        <w:tblLook w:val="01E0"/>
      </w:tblPr>
      <w:tblGrid>
        <w:gridCol w:w="3613"/>
        <w:gridCol w:w="615"/>
        <w:gridCol w:w="914"/>
        <w:gridCol w:w="532"/>
        <w:gridCol w:w="664"/>
        <w:gridCol w:w="869"/>
        <w:gridCol w:w="577"/>
        <w:gridCol w:w="665"/>
        <w:gridCol w:w="781"/>
        <w:gridCol w:w="664"/>
      </w:tblGrid>
      <w:tr>
        <w:trPr>
          <w:trHeight w:val="210" w:hRule="exact"/>
        </w:trPr>
        <w:tc>
          <w:tcPr>
            <w:tcW w:w="5143" w:type="dxa"/>
            <w:gridSpan w:val="3"/>
            <w:tcBorders>
              <w:top w:val="nil" w:sz="6" w:space="0" w:color="auto"/>
              <w:left w:val="nil" w:sz="6" w:space="0" w:color="auto"/>
              <w:bottom w:val="nil" w:sz="6" w:space="0" w:color="auto"/>
              <w:right w:val="nil" w:sz="6" w:space="0" w:color="auto"/>
            </w:tcBorders>
          </w:tcPr>
          <w:p>
            <w:pPr>
              <w:pStyle w:val="TableParagraph"/>
              <w:spacing w:line="183" w:lineRule="exact"/>
              <w:ind w:right="-25"/>
              <w:jc w:val="right"/>
              <w:rPr>
                <w:rFonts w:ascii="Calibri" w:hAnsi="Calibri" w:cs="Calibri" w:eastAsia="Calibri" w:hint="default"/>
                <w:sz w:val="18"/>
                <w:szCs w:val="18"/>
              </w:rPr>
            </w:pPr>
            <w:r>
              <w:rPr>
                <w:rFonts w:ascii="Calibri"/>
                <w:b/>
                <w:sz w:val="18"/>
              </w:rPr>
              <w:t>United</w:t>
            </w:r>
            <w:r>
              <w:rPr>
                <w:rFonts w:ascii="Calibri"/>
                <w:b/>
                <w:spacing w:val="-4"/>
                <w:sz w:val="18"/>
              </w:rPr>
              <w:t> </w:t>
            </w:r>
            <w:r>
              <w:rPr>
                <w:rFonts w:ascii="Calibri"/>
                <w:b/>
                <w:sz w:val="18"/>
              </w:rPr>
              <w:t>States</w:t>
            </w:r>
            <w:r>
              <w:rPr>
                <w:rFonts w:ascii="Calibri"/>
                <w:sz w:val="18"/>
              </w:rPr>
            </w:r>
          </w:p>
        </w:tc>
        <w:tc>
          <w:tcPr>
            <w:tcW w:w="532" w:type="dxa"/>
            <w:tcBorders>
              <w:top w:val="nil" w:sz="6" w:space="0" w:color="auto"/>
              <w:left w:val="nil" w:sz="6" w:space="0" w:color="auto"/>
              <w:bottom w:val="nil" w:sz="6" w:space="0" w:color="auto"/>
              <w:right w:val="nil" w:sz="6" w:space="0" w:color="auto"/>
            </w:tcBorders>
          </w:tcPr>
          <w:p>
            <w:pPr/>
          </w:p>
        </w:tc>
        <w:tc>
          <w:tcPr>
            <w:tcW w:w="1533" w:type="dxa"/>
            <w:gridSpan w:val="2"/>
            <w:tcBorders>
              <w:top w:val="nil" w:sz="6" w:space="0" w:color="auto"/>
              <w:left w:val="nil" w:sz="6" w:space="0" w:color="auto"/>
              <w:bottom w:val="nil" w:sz="6" w:space="0" w:color="auto"/>
              <w:right w:val="nil" w:sz="6" w:space="0" w:color="auto"/>
            </w:tcBorders>
          </w:tcPr>
          <w:p>
            <w:pPr>
              <w:pStyle w:val="TableParagraph"/>
              <w:spacing w:line="183" w:lineRule="exact"/>
              <w:ind w:left="593" w:right="0"/>
              <w:jc w:val="left"/>
              <w:rPr>
                <w:rFonts w:ascii="Calibri" w:hAnsi="Calibri" w:cs="Calibri" w:eastAsia="Calibri" w:hint="default"/>
                <w:sz w:val="18"/>
                <w:szCs w:val="18"/>
              </w:rPr>
            </w:pPr>
            <w:r>
              <w:rPr>
                <w:rFonts w:ascii="Calibri"/>
                <w:b/>
                <w:sz w:val="18"/>
              </w:rPr>
              <w:t>Netherlands</w:t>
            </w:r>
            <w:r>
              <w:rPr>
                <w:rFonts w:ascii="Calibri"/>
                <w:sz w:val="18"/>
              </w:rPr>
            </w:r>
          </w:p>
        </w:tc>
        <w:tc>
          <w:tcPr>
            <w:tcW w:w="577" w:type="dxa"/>
            <w:tcBorders>
              <w:top w:val="nil" w:sz="6" w:space="0" w:color="auto"/>
              <w:left w:val="nil" w:sz="6" w:space="0" w:color="auto"/>
              <w:bottom w:val="nil" w:sz="6" w:space="0" w:color="auto"/>
              <w:right w:val="nil" w:sz="6" w:space="0" w:color="auto"/>
            </w:tcBorders>
          </w:tcPr>
          <w:p>
            <w:pPr/>
          </w:p>
        </w:tc>
        <w:tc>
          <w:tcPr>
            <w:tcW w:w="2111" w:type="dxa"/>
            <w:gridSpan w:val="3"/>
            <w:tcBorders>
              <w:top w:val="nil" w:sz="6" w:space="0" w:color="auto"/>
              <w:left w:val="nil" w:sz="6" w:space="0" w:color="auto"/>
              <w:bottom w:val="nil" w:sz="6" w:space="0" w:color="auto"/>
              <w:right w:val="nil" w:sz="6" w:space="0" w:color="auto"/>
            </w:tcBorders>
          </w:tcPr>
          <w:p>
            <w:pPr>
              <w:pStyle w:val="TableParagraph"/>
              <w:spacing w:line="183" w:lineRule="exact"/>
              <w:ind w:left="274" w:right="0"/>
              <w:jc w:val="left"/>
              <w:rPr>
                <w:rFonts w:ascii="Calibri" w:hAnsi="Calibri" w:cs="Calibri" w:eastAsia="Calibri" w:hint="default"/>
                <w:sz w:val="18"/>
                <w:szCs w:val="18"/>
              </w:rPr>
            </w:pPr>
            <w:r>
              <w:rPr>
                <w:rFonts w:ascii="Calibri"/>
                <w:b/>
                <w:sz w:val="18"/>
              </w:rPr>
              <w:t>Venezuela/Colombia</w:t>
            </w:r>
            <w:r>
              <w:rPr>
                <w:rFonts w:ascii="Calibri"/>
                <w:sz w:val="18"/>
              </w:rPr>
            </w:r>
          </w:p>
        </w:tc>
      </w:tr>
      <w:tr>
        <w:trPr>
          <w:trHeight w:val="220" w:hRule="exact"/>
        </w:trPr>
        <w:tc>
          <w:tcPr>
            <w:tcW w:w="3613" w:type="dxa"/>
            <w:tcBorders>
              <w:top w:val="nil" w:sz="6" w:space="0" w:color="auto"/>
              <w:left w:val="nil" w:sz="6" w:space="0" w:color="auto"/>
              <w:bottom w:val="single" w:sz="4" w:space="0" w:color="000000"/>
              <w:right w:val="nil" w:sz="6" w:space="0" w:color="auto"/>
            </w:tcBorders>
          </w:tcPr>
          <w:p>
            <w:pPr/>
          </w:p>
        </w:tc>
        <w:tc>
          <w:tcPr>
            <w:tcW w:w="615" w:type="dxa"/>
            <w:tcBorders>
              <w:top w:val="nil" w:sz="6" w:space="0" w:color="auto"/>
              <w:left w:val="nil" w:sz="6" w:space="0" w:color="auto"/>
              <w:bottom w:val="single" w:sz="4" w:space="0" w:color="000000"/>
              <w:right w:val="nil" w:sz="6" w:space="0" w:color="auto"/>
            </w:tcBorders>
          </w:tcPr>
          <w:p>
            <w:pPr>
              <w:pStyle w:val="TableParagraph"/>
              <w:spacing w:line="213" w:lineRule="exact"/>
              <w:ind w:left="40" w:right="0"/>
              <w:jc w:val="center"/>
              <w:rPr>
                <w:rFonts w:ascii="Calibri" w:hAnsi="Calibri" w:cs="Calibri" w:eastAsia="Calibri" w:hint="default"/>
                <w:sz w:val="18"/>
                <w:szCs w:val="18"/>
              </w:rPr>
            </w:pPr>
            <w:r>
              <w:rPr>
                <w:rFonts w:ascii="Calibri"/>
                <w:b/>
                <w:sz w:val="18"/>
              </w:rPr>
              <w:t>(-)</w:t>
            </w:r>
            <w:r>
              <w:rPr>
                <w:rFonts w:ascii="Calibri"/>
                <w:sz w:val="18"/>
              </w:rPr>
            </w:r>
          </w:p>
        </w:tc>
        <w:tc>
          <w:tcPr>
            <w:tcW w:w="914" w:type="dxa"/>
            <w:tcBorders>
              <w:top w:val="nil" w:sz="6" w:space="0" w:color="auto"/>
              <w:left w:val="nil" w:sz="6" w:space="0" w:color="auto"/>
              <w:bottom w:val="single" w:sz="4" w:space="0" w:color="000000"/>
              <w:right w:val="nil" w:sz="6" w:space="0" w:color="auto"/>
            </w:tcBorders>
          </w:tcPr>
          <w:p>
            <w:pPr>
              <w:pStyle w:val="TableParagraph"/>
              <w:spacing w:line="213" w:lineRule="exact"/>
              <w:ind w:left="107" w:right="0"/>
              <w:jc w:val="left"/>
              <w:rPr>
                <w:rFonts w:ascii="Calibri" w:hAnsi="Calibri" w:cs="Calibri" w:eastAsia="Calibri" w:hint="default"/>
                <w:sz w:val="18"/>
                <w:szCs w:val="18"/>
              </w:rPr>
            </w:pPr>
            <w:r>
              <w:rPr>
                <w:rFonts w:ascii="Calibri"/>
                <w:b/>
                <w:sz w:val="18"/>
              </w:rPr>
              <w:t>Neutral</w:t>
            </w:r>
            <w:r>
              <w:rPr>
                <w:rFonts w:ascii="Calibri"/>
                <w:sz w:val="18"/>
              </w:rPr>
            </w:r>
          </w:p>
        </w:tc>
        <w:tc>
          <w:tcPr>
            <w:tcW w:w="532" w:type="dxa"/>
            <w:tcBorders>
              <w:top w:val="nil" w:sz="6" w:space="0" w:color="auto"/>
              <w:left w:val="nil" w:sz="6" w:space="0" w:color="auto"/>
              <w:bottom w:val="single" w:sz="4" w:space="0" w:color="000000"/>
              <w:right w:val="nil" w:sz="6" w:space="0" w:color="auto"/>
            </w:tcBorders>
          </w:tcPr>
          <w:p>
            <w:pPr>
              <w:pStyle w:val="TableParagraph"/>
              <w:spacing w:line="213" w:lineRule="exact"/>
              <w:ind w:right="135"/>
              <w:jc w:val="center"/>
              <w:rPr>
                <w:rFonts w:ascii="Calibri" w:hAnsi="Calibri" w:cs="Calibri" w:eastAsia="Calibri" w:hint="default"/>
                <w:sz w:val="18"/>
                <w:szCs w:val="18"/>
              </w:rPr>
            </w:pPr>
            <w:r>
              <w:rPr>
                <w:rFonts w:ascii="Calibri"/>
                <w:b/>
                <w:sz w:val="18"/>
              </w:rPr>
              <w:t>(+)</w:t>
            </w:r>
            <w:r>
              <w:rPr>
                <w:rFonts w:ascii="Calibri"/>
                <w:sz w:val="18"/>
              </w:rPr>
            </w:r>
          </w:p>
        </w:tc>
        <w:tc>
          <w:tcPr>
            <w:tcW w:w="664" w:type="dxa"/>
            <w:tcBorders>
              <w:top w:val="nil" w:sz="6" w:space="0" w:color="auto"/>
              <w:left w:val="nil" w:sz="6" w:space="0" w:color="auto"/>
              <w:bottom w:val="single" w:sz="4" w:space="0" w:color="000000"/>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b/>
                <w:sz w:val="18"/>
              </w:rPr>
              <w:t>(-)</w:t>
            </w:r>
            <w:r>
              <w:rPr>
                <w:rFonts w:ascii="Calibri"/>
                <w:sz w:val="18"/>
              </w:rPr>
            </w:r>
          </w:p>
        </w:tc>
        <w:tc>
          <w:tcPr>
            <w:tcW w:w="869" w:type="dxa"/>
            <w:tcBorders>
              <w:top w:val="nil" w:sz="6" w:space="0" w:color="auto"/>
              <w:left w:val="nil" w:sz="6" w:space="0" w:color="auto"/>
              <w:bottom w:val="single" w:sz="4" w:space="0" w:color="000000"/>
              <w:right w:val="nil" w:sz="6" w:space="0" w:color="auto"/>
            </w:tcBorders>
          </w:tcPr>
          <w:p>
            <w:pPr>
              <w:pStyle w:val="TableParagraph"/>
              <w:spacing w:line="213" w:lineRule="exact"/>
              <w:ind w:right="87"/>
              <w:jc w:val="center"/>
              <w:rPr>
                <w:rFonts w:ascii="Calibri" w:hAnsi="Calibri" w:cs="Calibri" w:eastAsia="Calibri" w:hint="default"/>
                <w:sz w:val="18"/>
                <w:szCs w:val="18"/>
              </w:rPr>
            </w:pPr>
            <w:r>
              <w:rPr>
                <w:rFonts w:ascii="Calibri"/>
                <w:b/>
                <w:sz w:val="18"/>
              </w:rPr>
              <w:t>Neutral</w:t>
            </w:r>
            <w:r>
              <w:rPr>
                <w:rFonts w:ascii="Calibri"/>
                <w:sz w:val="18"/>
              </w:rPr>
            </w:r>
          </w:p>
        </w:tc>
        <w:tc>
          <w:tcPr>
            <w:tcW w:w="577" w:type="dxa"/>
            <w:tcBorders>
              <w:top w:val="nil" w:sz="6" w:space="0" w:color="auto"/>
              <w:left w:val="nil" w:sz="6" w:space="0" w:color="auto"/>
              <w:bottom w:val="single" w:sz="4" w:space="0" w:color="000000"/>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b/>
                <w:sz w:val="18"/>
              </w:rPr>
              <w:t>(+)</w:t>
            </w:r>
            <w:r>
              <w:rPr>
                <w:rFonts w:ascii="Calibri"/>
                <w:sz w:val="18"/>
              </w:rPr>
            </w:r>
          </w:p>
        </w:tc>
        <w:tc>
          <w:tcPr>
            <w:tcW w:w="665" w:type="dxa"/>
            <w:tcBorders>
              <w:top w:val="nil" w:sz="6" w:space="0" w:color="auto"/>
              <w:left w:val="nil" w:sz="6" w:space="0" w:color="auto"/>
              <w:bottom w:val="single" w:sz="4" w:space="0" w:color="000000"/>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b/>
                <w:sz w:val="18"/>
              </w:rPr>
              <w:t>(-)</w:t>
            </w:r>
            <w:r>
              <w:rPr>
                <w:rFonts w:ascii="Calibri"/>
                <w:sz w:val="18"/>
              </w:rPr>
            </w:r>
          </w:p>
        </w:tc>
        <w:tc>
          <w:tcPr>
            <w:tcW w:w="781" w:type="dxa"/>
            <w:tcBorders>
              <w:top w:val="nil" w:sz="6" w:space="0" w:color="auto"/>
              <w:left w:val="nil" w:sz="6" w:space="0" w:color="auto"/>
              <w:bottom w:val="single" w:sz="4" w:space="0" w:color="000000"/>
              <w:right w:val="nil" w:sz="6" w:space="0" w:color="auto"/>
            </w:tcBorders>
          </w:tcPr>
          <w:p>
            <w:pPr>
              <w:pStyle w:val="TableParagraph"/>
              <w:spacing w:line="213" w:lineRule="exact"/>
              <w:ind w:left="108" w:right="0"/>
              <w:jc w:val="left"/>
              <w:rPr>
                <w:rFonts w:ascii="Calibri" w:hAnsi="Calibri" w:cs="Calibri" w:eastAsia="Calibri" w:hint="default"/>
                <w:sz w:val="18"/>
                <w:szCs w:val="18"/>
              </w:rPr>
            </w:pPr>
            <w:r>
              <w:rPr>
                <w:rFonts w:ascii="Calibri"/>
                <w:b/>
                <w:sz w:val="18"/>
              </w:rPr>
              <w:t>Neutral</w:t>
            </w:r>
            <w:r>
              <w:rPr>
                <w:rFonts w:ascii="Calibri"/>
                <w:sz w:val="18"/>
              </w:rPr>
            </w:r>
          </w:p>
        </w:tc>
        <w:tc>
          <w:tcPr>
            <w:tcW w:w="664" w:type="dxa"/>
            <w:tcBorders>
              <w:top w:val="nil" w:sz="6" w:space="0" w:color="auto"/>
              <w:left w:val="nil" w:sz="6" w:space="0" w:color="auto"/>
              <w:bottom w:val="single" w:sz="4" w:space="0" w:color="000000"/>
              <w:right w:val="nil" w:sz="6" w:space="0" w:color="auto"/>
            </w:tcBorders>
          </w:tcPr>
          <w:p>
            <w:pPr>
              <w:pStyle w:val="TableParagraph"/>
              <w:spacing w:line="213" w:lineRule="exact"/>
              <w:ind w:right="3"/>
              <w:jc w:val="center"/>
              <w:rPr>
                <w:rFonts w:ascii="Calibri" w:hAnsi="Calibri" w:cs="Calibri" w:eastAsia="Calibri" w:hint="default"/>
                <w:sz w:val="18"/>
                <w:szCs w:val="18"/>
              </w:rPr>
            </w:pPr>
            <w:r>
              <w:rPr>
                <w:rFonts w:ascii="Calibri"/>
                <w:b/>
                <w:sz w:val="18"/>
              </w:rPr>
              <w:t>(+)</w:t>
            </w:r>
            <w:r>
              <w:rPr>
                <w:rFonts w:ascii="Calibri"/>
                <w:sz w:val="18"/>
              </w:rPr>
            </w:r>
          </w:p>
        </w:tc>
      </w:tr>
      <w:tr>
        <w:trPr>
          <w:trHeight w:val="269" w:hRule="exact"/>
        </w:trPr>
        <w:tc>
          <w:tcPr>
            <w:tcW w:w="3613" w:type="dxa"/>
            <w:tcBorders>
              <w:top w:val="single" w:sz="4" w:space="0" w:color="000000"/>
              <w:left w:val="nil" w:sz="6" w:space="0" w:color="auto"/>
              <w:bottom w:val="nil" w:sz="6" w:space="0" w:color="auto"/>
              <w:right w:val="nil" w:sz="6" w:space="0" w:color="auto"/>
            </w:tcBorders>
          </w:tcPr>
          <w:p>
            <w:pPr>
              <w:pStyle w:val="TableParagraph"/>
              <w:spacing w:line="240" w:lineRule="auto" w:before="18"/>
              <w:ind w:left="122" w:right="0"/>
              <w:jc w:val="left"/>
              <w:rPr>
                <w:rFonts w:ascii="Calibri" w:hAnsi="Calibri" w:cs="Calibri" w:eastAsia="Calibri" w:hint="default"/>
                <w:sz w:val="18"/>
                <w:szCs w:val="18"/>
              </w:rPr>
            </w:pPr>
            <w:r>
              <w:rPr>
                <w:rFonts w:ascii="Calibri"/>
                <w:sz w:val="18"/>
              </w:rPr>
              <w:t>Climate</w:t>
            </w:r>
          </w:p>
        </w:tc>
        <w:tc>
          <w:tcPr>
            <w:tcW w:w="615" w:type="dxa"/>
            <w:tcBorders>
              <w:top w:val="single" w:sz="4" w:space="0" w:color="000000"/>
              <w:left w:val="nil" w:sz="6" w:space="0" w:color="auto"/>
              <w:bottom w:val="nil" w:sz="6" w:space="0" w:color="auto"/>
              <w:right w:val="nil" w:sz="6" w:space="0" w:color="auto"/>
            </w:tcBorders>
          </w:tcPr>
          <w:p>
            <w:pPr>
              <w:pStyle w:val="TableParagraph"/>
              <w:spacing w:line="240" w:lineRule="auto" w:before="18"/>
              <w:ind w:left="43" w:right="0"/>
              <w:jc w:val="center"/>
              <w:rPr>
                <w:rFonts w:ascii="Calibri" w:hAnsi="Calibri" w:cs="Calibri" w:eastAsia="Calibri" w:hint="default"/>
                <w:sz w:val="18"/>
                <w:szCs w:val="18"/>
              </w:rPr>
            </w:pPr>
            <w:r>
              <w:rPr>
                <w:rFonts w:ascii="Calibri"/>
                <w:sz w:val="18"/>
              </w:rPr>
              <w:t>1.2%</w:t>
            </w:r>
          </w:p>
        </w:tc>
        <w:tc>
          <w:tcPr>
            <w:tcW w:w="914" w:type="dxa"/>
            <w:tcBorders>
              <w:top w:val="single" w:sz="4" w:space="0" w:color="000000"/>
              <w:left w:val="nil" w:sz="6" w:space="0" w:color="auto"/>
              <w:bottom w:val="nil" w:sz="6" w:space="0" w:color="auto"/>
              <w:right w:val="nil" w:sz="6" w:space="0" w:color="auto"/>
            </w:tcBorders>
          </w:tcPr>
          <w:p>
            <w:pPr>
              <w:pStyle w:val="TableParagraph"/>
              <w:spacing w:line="240" w:lineRule="auto" w:before="18"/>
              <w:ind w:left="164" w:right="0"/>
              <w:jc w:val="left"/>
              <w:rPr>
                <w:rFonts w:ascii="Calibri" w:hAnsi="Calibri" w:cs="Calibri" w:eastAsia="Calibri" w:hint="default"/>
                <w:sz w:val="18"/>
                <w:szCs w:val="18"/>
              </w:rPr>
            </w:pPr>
            <w:r>
              <w:rPr>
                <w:rFonts w:ascii="Calibri"/>
                <w:sz w:val="18"/>
              </w:rPr>
              <w:t>18.7%</w:t>
            </w:r>
          </w:p>
        </w:tc>
        <w:tc>
          <w:tcPr>
            <w:tcW w:w="532" w:type="dxa"/>
            <w:tcBorders>
              <w:top w:val="single" w:sz="4" w:space="0" w:color="000000"/>
              <w:left w:val="nil" w:sz="6" w:space="0" w:color="auto"/>
              <w:bottom w:val="nil" w:sz="6" w:space="0" w:color="auto"/>
              <w:right w:val="nil" w:sz="6" w:space="0" w:color="auto"/>
            </w:tcBorders>
          </w:tcPr>
          <w:p>
            <w:pPr>
              <w:pStyle w:val="TableParagraph"/>
              <w:spacing w:line="240" w:lineRule="auto" w:before="18"/>
              <w:ind w:left="-25" w:right="106"/>
              <w:jc w:val="center"/>
              <w:rPr>
                <w:rFonts w:ascii="Calibri" w:hAnsi="Calibri" w:cs="Calibri" w:eastAsia="Calibri" w:hint="default"/>
                <w:sz w:val="18"/>
                <w:szCs w:val="18"/>
              </w:rPr>
            </w:pPr>
            <w:r>
              <w:rPr>
                <w:rFonts w:ascii="Calibri"/>
                <w:sz w:val="18"/>
              </w:rPr>
              <w:t>80.1%</w:t>
            </w:r>
          </w:p>
        </w:tc>
        <w:tc>
          <w:tcPr>
            <w:tcW w:w="664" w:type="dxa"/>
            <w:tcBorders>
              <w:top w:val="single" w:sz="4" w:space="0" w:color="000000"/>
              <w:left w:val="nil" w:sz="6" w:space="0" w:color="auto"/>
              <w:bottom w:val="nil" w:sz="6" w:space="0" w:color="auto"/>
              <w:right w:val="nil" w:sz="6" w:space="0" w:color="auto"/>
            </w:tcBorders>
          </w:tcPr>
          <w:p>
            <w:pPr>
              <w:pStyle w:val="TableParagraph"/>
              <w:spacing w:line="240" w:lineRule="auto" w:before="18"/>
              <w:ind w:left="1" w:right="0"/>
              <w:jc w:val="center"/>
              <w:rPr>
                <w:rFonts w:ascii="Calibri" w:hAnsi="Calibri" w:cs="Calibri" w:eastAsia="Calibri" w:hint="default"/>
                <w:sz w:val="18"/>
                <w:szCs w:val="18"/>
              </w:rPr>
            </w:pPr>
            <w:r>
              <w:rPr>
                <w:rFonts w:ascii="Calibri"/>
                <w:sz w:val="18"/>
              </w:rPr>
              <w:t>1.2%</w:t>
            </w:r>
          </w:p>
        </w:tc>
        <w:tc>
          <w:tcPr>
            <w:tcW w:w="869" w:type="dxa"/>
            <w:tcBorders>
              <w:top w:val="single" w:sz="4" w:space="0" w:color="000000"/>
              <w:left w:val="nil" w:sz="6" w:space="0" w:color="auto"/>
              <w:bottom w:val="nil" w:sz="6" w:space="0" w:color="auto"/>
              <w:right w:val="nil" w:sz="6" w:space="0" w:color="auto"/>
            </w:tcBorders>
          </w:tcPr>
          <w:p>
            <w:pPr>
              <w:pStyle w:val="TableParagraph"/>
              <w:spacing w:line="240" w:lineRule="auto" w:before="18"/>
              <w:ind w:right="89"/>
              <w:jc w:val="center"/>
              <w:rPr>
                <w:rFonts w:ascii="Calibri" w:hAnsi="Calibri" w:cs="Calibri" w:eastAsia="Calibri" w:hint="default"/>
                <w:sz w:val="18"/>
                <w:szCs w:val="18"/>
              </w:rPr>
            </w:pPr>
            <w:r>
              <w:rPr>
                <w:rFonts w:ascii="Calibri"/>
                <w:sz w:val="18"/>
              </w:rPr>
              <w:t>8.1%</w:t>
            </w:r>
          </w:p>
        </w:tc>
        <w:tc>
          <w:tcPr>
            <w:tcW w:w="577" w:type="dxa"/>
            <w:tcBorders>
              <w:top w:val="single" w:sz="4" w:space="0" w:color="000000"/>
              <w:left w:val="nil" w:sz="6" w:space="0" w:color="auto"/>
              <w:bottom w:val="nil" w:sz="6" w:space="0" w:color="auto"/>
              <w:right w:val="nil" w:sz="6" w:space="0" w:color="auto"/>
            </w:tcBorders>
          </w:tcPr>
          <w:p>
            <w:pPr>
              <w:pStyle w:val="TableParagraph"/>
              <w:spacing w:line="240" w:lineRule="auto" w:before="18"/>
              <w:ind w:right="85"/>
              <w:jc w:val="center"/>
              <w:rPr>
                <w:rFonts w:ascii="Calibri" w:hAnsi="Calibri" w:cs="Calibri" w:eastAsia="Calibri" w:hint="default"/>
                <w:sz w:val="18"/>
                <w:szCs w:val="18"/>
              </w:rPr>
            </w:pPr>
            <w:r>
              <w:rPr>
                <w:rFonts w:ascii="Calibri"/>
                <w:sz w:val="18"/>
              </w:rPr>
              <w:t>90.7%</w:t>
            </w:r>
          </w:p>
        </w:tc>
        <w:tc>
          <w:tcPr>
            <w:tcW w:w="665" w:type="dxa"/>
            <w:tcBorders>
              <w:top w:val="single" w:sz="4" w:space="0" w:color="000000"/>
              <w:left w:val="nil" w:sz="6" w:space="0" w:color="auto"/>
              <w:bottom w:val="nil" w:sz="6" w:space="0" w:color="auto"/>
              <w:right w:val="nil" w:sz="6" w:space="0" w:color="auto"/>
            </w:tcBorders>
          </w:tcPr>
          <w:p>
            <w:pPr>
              <w:pStyle w:val="TableParagraph"/>
              <w:spacing w:line="240" w:lineRule="auto" w:before="18"/>
              <w:ind w:right="0"/>
              <w:jc w:val="center"/>
              <w:rPr>
                <w:rFonts w:ascii="Calibri" w:hAnsi="Calibri" w:cs="Calibri" w:eastAsia="Calibri" w:hint="default"/>
                <w:sz w:val="18"/>
                <w:szCs w:val="18"/>
              </w:rPr>
            </w:pPr>
            <w:r>
              <w:rPr>
                <w:rFonts w:ascii="Calibri"/>
                <w:sz w:val="18"/>
              </w:rPr>
              <w:t>0.8%</w:t>
            </w:r>
          </w:p>
        </w:tc>
        <w:tc>
          <w:tcPr>
            <w:tcW w:w="781" w:type="dxa"/>
            <w:tcBorders>
              <w:top w:val="single" w:sz="4" w:space="0" w:color="000000"/>
              <w:left w:val="nil" w:sz="6" w:space="0" w:color="auto"/>
              <w:bottom w:val="nil" w:sz="6" w:space="0" w:color="auto"/>
              <w:right w:val="nil" w:sz="6" w:space="0" w:color="auto"/>
            </w:tcBorders>
          </w:tcPr>
          <w:p>
            <w:pPr>
              <w:pStyle w:val="TableParagraph"/>
              <w:spacing w:line="240" w:lineRule="auto" w:before="18"/>
              <w:ind w:left="166" w:right="0"/>
              <w:jc w:val="left"/>
              <w:rPr>
                <w:rFonts w:ascii="Calibri" w:hAnsi="Calibri" w:cs="Calibri" w:eastAsia="Calibri" w:hint="default"/>
                <w:sz w:val="18"/>
                <w:szCs w:val="18"/>
              </w:rPr>
            </w:pPr>
            <w:r>
              <w:rPr>
                <w:rFonts w:ascii="Calibri"/>
                <w:sz w:val="18"/>
              </w:rPr>
              <w:t>13.7%</w:t>
            </w:r>
          </w:p>
        </w:tc>
        <w:tc>
          <w:tcPr>
            <w:tcW w:w="664" w:type="dxa"/>
            <w:tcBorders>
              <w:top w:val="single" w:sz="4" w:space="0" w:color="000000"/>
              <w:left w:val="nil" w:sz="6" w:space="0" w:color="auto"/>
              <w:bottom w:val="nil" w:sz="6" w:space="0" w:color="auto"/>
              <w:right w:val="nil" w:sz="6" w:space="0" w:color="auto"/>
            </w:tcBorders>
          </w:tcPr>
          <w:p>
            <w:pPr>
              <w:pStyle w:val="TableParagraph"/>
              <w:spacing w:line="240" w:lineRule="auto" w:before="18"/>
              <w:ind w:right="1"/>
              <w:jc w:val="center"/>
              <w:rPr>
                <w:rFonts w:ascii="Calibri" w:hAnsi="Calibri" w:cs="Calibri" w:eastAsia="Calibri" w:hint="default"/>
                <w:sz w:val="18"/>
                <w:szCs w:val="18"/>
              </w:rPr>
            </w:pPr>
            <w:r>
              <w:rPr>
                <w:rFonts w:ascii="Calibri"/>
                <w:sz w:val="18"/>
              </w:rPr>
              <w:t>85.5%</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hAnsi="Calibri" w:cs="Calibri" w:eastAsia="Calibri" w:hint="default"/>
                <w:sz w:val="18"/>
                <w:szCs w:val="18"/>
              </w:rPr>
              <w:t>Beaches’</w:t>
            </w:r>
            <w:r>
              <w:rPr>
                <w:rFonts w:ascii="Calibri" w:hAnsi="Calibri" w:cs="Calibri" w:eastAsia="Calibri" w:hint="default"/>
                <w:spacing w:val="-6"/>
                <w:sz w:val="18"/>
                <w:szCs w:val="18"/>
              </w:rPr>
              <w:t> </w:t>
            </w:r>
            <w:r>
              <w:rPr>
                <w:rFonts w:ascii="Calibri" w:hAnsi="Calibri" w:cs="Calibri" w:eastAsia="Calibri" w:hint="default"/>
                <w:sz w:val="18"/>
                <w:szCs w:val="18"/>
              </w:rPr>
              <w:t>Quality</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0.9%</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20.9%</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78.2%</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1.4%</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12.1%</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86.5%</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1.6%</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211" w:right="0"/>
              <w:jc w:val="left"/>
              <w:rPr>
                <w:rFonts w:ascii="Calibri" w:hAnsi="Calibri" w:cs="Calibri" w:eastAsia="Calibri" w:hint="default"/>
                <w:sz w:val="18"/>
                <w:szCs w:val="18"/>
              </w:rPr>
            </w:pPr>
            <w:r>
              <w:rPr>
                <w:rFonts w:ascii="Calibri"/>
                <w:sz w:val="18"/>
              </w:rPr>
              <w:t>9.3%</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89.1%</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hAnsi="Calibri" w:cs="Calibri" w:eastAsia="Calibri" w:hint="default"/>
                <w:sz w:val="18"/>
                <w:szCs w:val="18"/>
              </w:rPr>
              <w:t>Beaches’</w:t>
            </w:r>
            <w:r>
              <w:rPr>
                <w:rFonts w:ascii="Calibri" w:hAnsi="Calibri" w:cs="Calibri" w:eastAsia="Calibri" w:hint="default"/>
                <w:spacing w:val="-7"/>
                <w:sz w:val="18"/>
                <w:szCs w:val="18"/>
              </w:rPr>
              <w:t> </w:t>
            </w:r>
            <w:r>
              <w:rPr>
                <w:rFonts w:ascii="Calibri" w:hAnsi="Calibri" w:cs="Calibri" w:eastAsia="Calibri" w:hint="default"/>
                <w:sz w:val="18"/>
                <w:szCs w:val="18"/>
              </w:rPr>
              <w:t>Facilities</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1.2%</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35.8%</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63.0%</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1.4%</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26.5%</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72.1%</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2.0%</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23.8%</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74.2%</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Water Activity</w:t>
            </w:r>
            <w:r>
              <w:rPr>
                <w:rFonts w:ascii="Calibri"/>
                <w:spacing w:val="-8"/>
                <w:sz w:val="18"/>
              </w:rPr>
              <w:t> </w:t>
            </w:r>
            <w:r>
              <w:rPr>
                <w:rFonts w:ascii="Calibri"/>
                <w:sz w:val="18"/>
              </w:rPr>
              <w:t>Variety</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1.0%</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24.5%</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74.5%</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0.9%</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13.3%</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85.8%</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1.2%</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13.7%</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85.1%</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Land-based Activity</w:t>
            </w:r>
            <w:r>
              <w:rPr>
                <w:rFonts w:ascii="Calibri"/>
                <w:spacing w:val="-7"/>
                <w:sz w:val="18"/>
              </w:rPr>
              <w:t> </w:t>
            </w:r>
            <w:r>
              <w:rPr>
                <w:rFonts w:ascii="Calibri"/>
                <w:sz w:val="18"/>
              </w:rPr>
              <w:t>Variety</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1.5%</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29.1%</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69.5%</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2.8%</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29.8%</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67.4%</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4.0%</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33.1%</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62.9%</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Cultural &amp; Heritage Attractions</w:t>
            </w:r>
            <w:r>
              <w:rPr>
                <w:rFonts w:ascii="Calibri"/>
                <w:spacing w:val="-10"/>
                <w:sz w:val="18"/>
              </w:rPr>
              <w:t> </w:t>
            </w:r>
            <w:r>
              <w:rPr>
                <w:rFonts w:ascii="Calibri"/>
                <w:sz w:val="18"/>
              </w:rPr>
              <w:t>Variety</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2.2%</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34.8%</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63.0%</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5.8%</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33.0%</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61.2%</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7.7%</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29.4%</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62.9%</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Nightlife &amp; Entertainment</w:t>
            </w:r>
            <w:r>
              <w:rPr>
                <w:rFonts w:ascii="Calibri"/>
                <w:spacing w:val="-9"/>
                <w:sz w:val="18"/>
              </w:rPr>
              <w:t> </w:t>
            </w:r>
            <w:r>
              <w:rPr>
                <w:rFonts w:ascii="Calibri"/>
                <w:sz w:val="18"/>
              </w:rPr>
              <w:t>Variety</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1.6%</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32.7%</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65.6%</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2.6%</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27.7%</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69.8%</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2.8%</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12.9%</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84.3%</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Gaming</w:t>
            </w:r>
            <w:r>
              <w:rPr>
                <w:rFonts w:ascii="Calibri"/>
                <w:spacing w:val="-7"/>
                <w:sz w:val="18"/>
              </w:rPr>
              <w:t> </w:t>
            </w:r>
            <w:r>
              <w:rPr>
                <w:rFonts w:ascii="Calibri"/>
                <w:sz w:val="18"/>
              </w:rPr>
              <w:t>(Casino)</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4.0%</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41.4%</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54.6%</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4.0%</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43.5%</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52.6%</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2.4%</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23.8%</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73.8%</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F&amp;B</w:t>
            </w:r>
            <w:r>
              <w:rPr>
                <w:rFonts w:ascii="Calibri"/>
                <w:spacing w:val="-5"/>
                <w:sz w:val="18"/>
              </w:rPr>
              <w:t> </w:t>
            </w:r>
            <w:r>
              <w:rPr>
                <w:rFonts w:ascii="Calibri"/>
                <w:sz w:val="18"/>
              </w:rPr>
              <w:t>Quality</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1.5%</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29.2%</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69.3%</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2.1%</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18.8%</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79.1%</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1.6%</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14.5%</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83.9%</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hAnsi="Calibri" w:cs="Calibri" w:eastAsia="Calibri" w:hint="default"/>
                <w:sz w:val="18"/>
                <w:szCs w:val="18"/>
              </w:rPr>
              <w:t>Restaurants’</w:t>
            </w:r>
            <w:r>
              <w:rPr>
                <w:rFonts w:ascii="Calibri" w:hAnsi="Calibri" w:cs="Calibri" w:eastAsia="Calibri" w:hint="default"/>
                <w:spacing w:val="-6"/>
                <w:sz w:val="18"/>
                <w:szCs w:val="18"/>
              </w:rPr>
              <w:t> </w:t>
            </w:r>
            <w:r>
              <w:rPr>
                <w:rFonts w:ascii="Calibri" w:hAnsi="Calibri" w:cs="Calibri" w:eastAsia="Calibri" w:hint="default"/>
                <w:sz w:val="18"/>
                <w:szCs w:val="18"/>
              </w:rPr>
              <w:t>Prices</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4.1%</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36.9%</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59.0%</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7.0%</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40.9%</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52.1%</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4.4%</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40.7%</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54.8%</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Accommodation</w:t>
            </w:r>
            <w:r>
              <w:rPr>
                <w:rFonts w:ascii="Calibri"/>
                <w:spacing w:val="-7"/>
                <w:sz w:val="18"/>
              </w:rPr>
              <w:t> </w:t>
            </w:r>
            <w:r>
              <w:rPr>
                <w:rFonts w:ascii="Calibri"/>
                <w:sz w:val="18"/>
              </w:rPr>
              <w:t>Quality</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1.6%</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30.2%</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68.1%</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2.8%</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21.9%</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75.3%</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1.6%</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13.3%</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85.1%</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4" w:lineRule="exact"/>
              <w:ind w:left="122" w:right="0"/>
              <w:jc w:val="left"/>
              <w:rPr>
                <w:rFonts w:ascii="Calibri" w:hAnsi="Calibri" w:cs="Calibri" w:eastAsia="Calibri" w:hint="default"/>
                <w:sz w:val="18"/>
                <w:szCs w:val="18"/>
              </w:rPr>
            </w:pPr>
            <w:r>
              <w:rPr>
                <w:rFonts w:ascii="Calibri"/>
                <w:sz w:val="18"/>
              </w:rPr>
              <w:t>Accommodation</w:t>
            </w:r>
            <w:r>
              <w:rPr>
                <w:rFonts w:ascii="Calibri"/>
                <w:spacing w:val="-4"/>
                <w:sz w:val="18"/>
              </w:rPr>
              <w:t> </w:t>
            </w:r>
            <w:r>
              <w:rPr>
                <w:rFonts w:ascii="Calibri"/>
                <w:sz w:val="18"/>
              </w:rPr>
              <w:t>Prices</w:t>
            </w:r>
          </w:p>
        </w:tc>
        <w:tc>
          <w:tcPr>
            <w:tcW w:w="615" w:type="dxa"/>
            <w:tcBorders>
              <w:top w:val="nil" w:sz="6" w:space="0" w:color="auto"/>
              <w:left w:val="nil" w:sz="6" w:space="0" w:color="auto"/>
              <w:bottom w:val="nil" w:sz="6" w:space="0" w:color="auto"/>
              <w:right w:val="nil" w:sz="6" w:space="0" w:color="auto"/>
            </w:tcBorders>
          </w:tcPr>
          <w:p>
            <w:pPr>
              <w:pStyle w:val="TableParagraph"/>
              <w:spacing w:line="214" w:lineRule="exact"/>
              <w:ind w:left="43" w:right="0"/>
              <w:jc w:val="center"/>
              <w:rPr>
                <w:rFonts w:ascii="Calibri" w:hAnsi="Calibri" w:cs="Calibri" w:eastAsia="Calibri" w:hint="default"/>
                <w:sz w:val="18"/>
                <w:szCs w:val="18"/>
              </w:rPr>
            </w:pPr>
            <w:r>
              <w:rPr>
                <w:rFonts w:ascii="Calibri"/>
                <w:sz w:val="18"/>
              </w:rPr>
              <w:t>3.7%</w:t>
            </w:r>
          </w:p>
        </w:tc>
        <w:tc>
          <w:tcPr>
            <w:tcW w:w="914" w:type="dxa"/>
            <w:tcBorders>
              <w:top w:val="nil" w:sz="6" w:space="0" w:color="auto"/>
              <w:left w:val="nil" w:sz="6" w:space="0" w:color="auto"/>
              <w:bottom w:val="nil" w:sz="6" w:space="0" w:color="auto"/>
              <w:right w:val="nil" w:sz="6" w:space="0" w:color="auto"/>
            </w:tcBorders>
          </w:tcPr>
          <w:p>
            <w:pPr>
              <w:pStyle w:val="TableParagraph"/>
              <w:spacing w:line="214" w:lineRule="exact"/>
              <w:ind w:left="164" w:right="0"/>
              <w:jc w:val="left"/>
              <w:rPr>
                <w:rFonts w:ascii="Calibri" w:hAnsi="Calibri" w:cs="Calibri" w:eastAsia="Calibri" w:hint="default"/>
                <w:sz w:val="18"/>
                <w:szCs w:val="18"/>
              </w:rPr>
            </w:pPr>
            <w:r>
              <w:rPr>
                <w:rFonts w:ascii="Calibri"/>
                <w:sz w:val="18"/>
              </w:rPr>
              <w:t>36.7%</w:t>
            </w:r>
          </w:p>
        </w:tc>
        <w:tc>
          <w:tcPr>
            <w:tcW w:w="532" w:type="dxa"/>
            <w:tcBorders>
              <w:top w:val="nil" w:sz="6" w:space="0" w:color="auto"/>
              <w:left w:val="nil" w:sz="6" w:space="0" w:color="auto"/>
              <w:bottom w:val="nil" w:sz="6" w:space="0" w:color="auto"/>
              <w:right w:val="nil" w:sz="6" w:space="0" w:color="auto"/>
            </w:tcBorders>
          </w:tcPr>
          <w:p>
            <w:pPr>
              <w:pStyle w:val="TableParagraph"/>
              <w:spacing w:line="214" w:lineRule="exact"/>
              <w:ind w:left="-25" w:right="106"/>
              <w:jc w:val="center"/>
              <w:rPr>
                <w:rFonts w:ascii="Calibri" w:hAnsi="Calibri" w:cs="Calibri" w:eastAsia="Calibri" w:hint="default"/>
                <w:sz w:val="18"/>
                <w:szCs w:val="18"/>
              </w:rPr>
            </w:pPr>
            <w:r>
              <w:rPr>
                <w:rFonts w:ascii="Calibri"/>
                <w:sz w:val="18"/>
              </w:rPr>
              <w:t>59.6%</w:t>
            </w:r>
          </w:p>
        </w:tc>
        <w:tc>
          <w:tcPr>
            <w:tcW w:w="664" w:type="dxa"/>
            <w:tcBorders>
              <w:top w:val="nil" w:sz="6" w:space="0" w:color="auto"/>
              <w:left w:val="nil" w:sz="6" w:space="0" w:color="auto"/>
              <w:bottom w:val="nil" w:sz="6" w:space="0" w:color="auto"/>
              <w:right w:val="nil" w:sz="6" w:space="0" w:color="auto"/>
            </w:tcBorders>
          </w:tcPr>
          <w:p>
            <w:pPr>
              <w:pStyle w:val="TableParagraph"/>
              <w:spacing w:line="214" w:lineRule="exact"/>
              <w:ind w:left="1" w:right="0"/>
              <w:jc w:val="center"/>
              <w:rPr>
                <w:rFonts w:ascii="Calibri" w:hAnsi="Calibri" w:cs="Calibri" w:eastAsia="Calibri" w:hint="default"/>
                <w:sz w:val="18"/>
                <w:szCs w:val="18"/>
              </w:rPr>
            </w:pPr>
            <w:r>
              <w:rPr>
                <w:rFonts w:ascii="Calibri"/>
                <w:sz w:val="18"/>
              </w:rPr>
              <w:t>10.5%</w:t>
            </w:r>
          </w:p>
        </w:tc>
        <w:tc>
          <w:tcPr>
            <w:tcW w:w="869" w:type="dxa"/>
            <w:tcBorders>
              <w:top w:val="nil" w:sz="6" w:space="0" w:color="auto"/>
              <w:left w:val="nil" w:sz="6" w:space="0" w:color="auto"/>
              <w:bottom w:val="nil" w:sz="6" w:space="0" w:color="auto"/>
              <w:right w:val="nil" w:sz="6" w:space="0" w:color="auto"/>
            </w:tcBorders>
          </w:tcPr>
          <w:p>
            <w:pPr>
              <w:pStyle w:val="TableParagraph"/>
              <w:spacing w:line="214" w:lineRule="exact"/>
              <w:ind w:right="89"/>
              <w:jc w:val="center"/>
              <w:rPr>
                <w:rFonts w:ascii="Calibri" w:hAnsi="Calibri" w:cs="Calibri" w:eastAsia="Calibri" w:hint="default"/>
                <w:sz w:val="18"/>
                <w:szCs w:val="18"/>
              </w:rPr>
            </w:pPr>
            <w:r>
              <w:rPr>
                <w:rFonts w:ascii="Calibri"/>
                <w:sz w:val="18"/>
              </w:rPr>
              <w:t>36.0%</w:t>
            </w:r>
          </w:p>
        </w:tc>
        <w:tc>
          <w:tcPr>
            <w:tcW w:w="577" w:type="dxa"/>
            <w:tcBorders>
              <w:top w:val="nil" w:sz="6" w:space="0" w:color="auto"/>
              <w:left w:val="nil" w:sz="6" w:space="0" w:color="auto"/>
              <w:bottom w:val="nil" w:sz="6" w:space="0" w:color="auto"/>
              <w:right w:val="nil" w:sz="6" w:space="0" w:color="auto"/>
            </w:tcBorders>
          </w:tcPr>
          <w:p>
            <w:pPr>
              <w:pStyle w:val="TableParagraph"/>
              <w:spacing w:line="214" w:lineRule="exact"/>
              <w:ind w:right="85"/>
              <w:jc w:val="center"/>
              <w:rPr>
                <w:rFonts w:ascii="Calibri" w:hAnsi="Calibri" w:cs="Calibri" w:eastAsia="Calibri" w:hint="default"/>
                <w:sz w:val="18"/>
                <w:szCs w:val="18"/>
              </w:rPr>
            </w:pPr>
            <w:r>
              <w:rPr>
                <w:rFonts w:ascii="Calibri"/>
                <w:sz w:val="18"/>
              </w:rPr>
              <w:t>53.5%</w:t>
            </w:r>
          </w:p>
        </w:tc>
        <w:tc>
          <w:tcPr>
            <w:tcW w:w="665" w:type="dxa"/>
            <w:tcBorders>
              <w:top w:val="nil" w:sz="6" w:space="0" w:color="auto"/>
              <w:left w:val="nil" w:sz="6" w:space="0" w:color="auto"/>
              <w:bottom w:val="nil" w:sz="6" w:space="0" w:color="auto"/>
              <w:right w:val="nil" w:sz="6" w:space="0" w:color="auto"/>
            </w:tcBorders>
          </w:tcPr>
          <w:p>
            <w:pPr>
              <w:pStyle w:val="TableParagraph"/>
              <w:spacing w:line="214" w:lineRule="exact"/>
              <w:ind w:right="0"/>
              <w:jc w:val="center"/>
              <w:rPr>
                <w:rFonts w:ascii="Calibri" w:hAnsi="Calibri" w:cs="Calibri" w:eastAsia="Calibri" w:hint="default"/>
                <w:sz w:val="18"/>
                <w:szCs w:val="18"/>
              </w:rPr>
            </w:pPr>
            <w:r>
              <w:rPr>
                <w:rFonts w:ascii="Calibri"/>
                <w:sz w:val="18"/>
              </w:rPr>
              <w:t>6.0%</w:t>
            </w:r>
          </w:p>
        </w:tc>
        <w:tc>
          <w:tcPr>
            <w:tcW w:w="781" w:type="dxa"/>
            <w:tcBorders>
              <w:top w:val="nil" w:sz="6" w:space="0" w:color="auto"/>
              <w:left w:val="nil" w:sz="6" w:space="0" w:color="auto"/>
              <w:bottom w:val="nil" w:sz="6" w:space="0" w:color="auto"/>
              <w:right w:val="nil" w:sz="6" w:space="0" w:color="auto"/>
            </w:tcBorders>
          </w:tcPr>
          <w:p>
            <w:pPr>
              <w:pStyle w:val="TableParagraph"/>
              <w:spacing w:line="214" w:lineRule="exact"/>
              <w:ind w:left="166" w:right="0"/>
              <w:jc w:val="left"/>
              <w:rPr>
                <w:rFonts w:ascii="Calibri" w:hAnsi="Calibri" w:cs="Calibri" w:eastAsia="Calibri" w:hint="default"/>
                <w:sz w:val="18"/>
                <w:szCs w:val="18"/>
              </w:rPr>
            </w:pPr>
            <w:r>
              <w:rPr>
                <w:rFonts w:ascii="Calibri"/>
                <w:sz w:val="18"/>
              </w:rPr>
              <w:t>31.0%</w:t>
            </w:r>
          </w:p>
        </w:tc>
        <w:tc>
          <w:tcPr>
            <w:tcW w:w="664" w:type="dxa"/>
            <w:tcBorders>
              <w:top w:val="nil" w:sz="6" w:space="0" w:color="auto"/>
              <w:left w:val="nil" w:sz="6" w:space="0" w:color="auto"/>
              <w:bottom w:val="nil" w:sz="6" w:space="0" w:color="auto"/>
              <w:right w:val="nil" w:sz="6" w:space="0" w:color="auto"/>
            </w:tcBorders>
          </w:tcPr>
          <w:p>
            <w:pPr>
              <w:pStyle w:val="TableParagraph"/>
              <w:spacing w:line="214" w:lineRule="exact"/>
              <w:ind w:right="1"/>
              <w:jc w:val="center"/>
              <w:rPr>
                <w:rFonts w:ascii="Calibri" w:hAnsi="Calibri" w:cs="Calibri" w:eastAsia="Calibri" w:hint="default"/>
                <w:sz w:val="18"/>
                <w:szCs w:val="18"/>
              </w:rPr>
            </w:pPr>
            <w:r>
              <w:rPr>
                <w:rFonts w:ascii="Calibri"/>
                <w:sz w:val="18"/>
              </w:rPr>
              <w:t>62.9%</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Shopping</w:t>
            </w:r>
            <w:r>
              <w:rPr>
                <w:rFonts w:ascii="Calibri"/>
                <w:spacing w:val="-10"/>
                <w:sz w:val="18"/>
              </w:rPr>
              <w:t> </w:t>
            </w:r>
            <w:r>
              <w:rPr>
                <w:rFonts w:ascii="Calibri"/>
                <w:sz w:val="18"/>
              </w:rPr>
              <w:t>Opportunities</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2.8%</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31.3%</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65.9%</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2.8%</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36.5%</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60.7%</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3.2%</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23.4%</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73.4%</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Shopping</w:t>
            </w:r>
            <w:r>
              <w:rPr>
                <w:rFonts w:ascii="Calibri"/>
                <w:spacing w:val="-5"/>
                <w:sz w:val="18"/>
              </w:rPr>
              <w:t> </w:t>
            </w:r>
            <w:r>
              <w:rPr>
                <w:rFonts w:ascii="Calibri"/>
                <w:sz w:val="18"/>
              </w:rPr>
              <w:t>Prices</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3.8%</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37.6%</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58.6%</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7.2%</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46.7%</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46.0%</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9.7%</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34.3%</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56.0%</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Info. Signage</w:t>
            </w:r>
            <w:r>
              <w:rPr>
                <w:rFonts w:ascii="Calibri"/>
                <w:spacing w:val="-10"/>
                <w:sz w:val="18"/>
              </w:rPr>
              <w:t> </w:t>
            </w:r>
            <w:r>
              <w:rPr>
                <w:rFonts w:ascii="Calibri"/>
                <w:sz w:val="18"/>
              </w:rPr>
              <w:t>(Attractions)</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1.2%</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37.3%</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61.5%</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4.9%</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40.7%</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54.4%</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3.2%</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30.6%</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66.1%</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Directional Signage</w:t>
            </w:r>
            <w:r>
              <w:rPr>
                <w:rFonts w:ascii="Calibri"/>
                <w:spacing w:val="-11"/>
                <w:sz w:val="18"/>
              </w:rPr>
              <w:t> </w:t>
            </w:r>
            <w:r>
              <w:rPr>
                <w:rFonts w:ascii="Calibri"/>
                <w:sz w:val="18"/>
              </w:rPr>
              <w:t>(Roads)</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1.9%</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39.5%</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58.6%</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6.3%</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40.0%</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53.7%</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2.8%</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30.6%</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66.5%</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Locals' Communication with Tourist</w:t>
            </w:r>
            <w:r>
              <w:rPr>
                <w:rFonts w:ascii="Calibri"/>
                <w:spacing w:val="-16"/>
                <w:sz w:val="18"/>
              </w:rPr>
              <w:t> </w:t>
            </w:r>
            <w:r>
              <w:rPr>
                <w:rFonts w:ascii="Calibri"/>
                <w:sz w:val="18"/>
              </w:rPr>
              <w:t>Language</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2.8%</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34.5%</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62.7%</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3.5%</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20.0%</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76.5%</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9.3%</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25.4%</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65.3%</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Overall Safety &amp;</w:t>
            </w:r>
            <w:r>
              <w:rPr>
                <w:rFonts w:ascii="Calibri"/>
                <w:spacing w:val="-8"/>
                <w:sz w:val="18"/>
              </w:rPr>
              <w:t> </w:t>
            </w:r>
            <w:r>
              <w:rPr>
                <w:rFonts w:ascii="Calibri"/>
                <w:sz w:val="18"/>
              </w:rPr>
              <w:t>Security</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3.8%</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33.9%</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62.2%</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13.5%</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40.5%</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46.0%</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2.4%</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21.8%</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75.8%</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hAnsi="Calibri" w:cs="Calibri" w:eastAsia="Calibri" w:hint="default"/>
                <w:sz w:val="18"/>
                <w:szCs w:val="18"/>
              </w:rPr>
              <w:t>Locals’ Friendliness &amp;</w:t>
            </w:r>
            <w:r>
              <w:rPr>
                <w:rFonts w:ascii="Calibri" w:hAnsi="Calibri" w:cs="Calibri" w:eastAsia="Calibri" w:hint="default"/>
                <w:spacing w:val="-12"/>
                <w:sz w:val="18"/>
                <w:szCs w:val="18"/>
              </w:rPr>
              <w:t> </w:t>
            </w:r>
            <w:r>
              <w:rPr>
                <w:rFonts w:ascii="Calibri" w:hAnsi="Calibri" w:cs="Calibri" w:eastAsia="Calibri" w:hint="default"/>
                <w:sz w:val="18"/>
                <w:szCs w:val="18"/>
              </w:rPr>
              <w:t>Hospitality</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2.2%</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29.5%</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68.3%</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3.0%</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18.8%</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78.1%</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0.4%</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12.5%</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87.1%</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Overall Cleanliness &amp;</w:t>
            </w:r>
            <w:r>
              <w:rPr>
                <w:rFonts w:ascii="Calibri"/>
                <w:spacing w:val="-13"/>
                <w:sz w:val="18"/>
              </w:rPr>
              <w:t> </w:t>
            </w:r>
            <w:r>
              <w:rPr>
                <w:rFonts w:ascii="Calibri"/>
                <w:sz w:val="18"/>
              </w:rPr>
              <w:t>Hygiene</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4.0%</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34.7%</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61.4%</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7.0%</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34.0%</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59.1%</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1.2%</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18.1%</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80.6%</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Food &amp; Water</w:t>
            </w:r>
            <w:r>
              <w:rPr>
                <w:rFonts w:ascii="Calibri"/>
                <w:spacing w:val="-8"/>
                <w:sz w:val="18"/>
              </w:rPr>
              <w:t> </w:t>
            </w:r>
            <w:r>
              <w:rPr>
                <w:rFonts w:ascii="Calibri"/>
                <w:sz w:val="18"/>
              </w:rPr>
              <w:t>Safety</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4.3%</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37.5%</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58.3%</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4.7%</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34.7%</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60.7%</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1.2%</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20.2%</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78.6%</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Destination Ease of</w:t>
            </w:r>
            <w:r>
              <w:rPr>
                <w:rFonts w:ascii="Calibri"/>
                <w:spacing w:val="-10"/>
                <w:sz w:val="18"/>
              </w:rPr>
              <w:t> </w:t>
            </w:r>
            <w:r>
              <w:rPr>
                <w:rFonts w:ascii="Calibri"/>
                <w:sz w:val="18"/>
              </w:rPr>
              <w:t>Access</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4.4%</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31.4%</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64.2%</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1.9%</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19.5%</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78.6%</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3.2%</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14.5%</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82.3%</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Transportation Cost to</w:t>
            </w:r>
            <w:r>
              <w:rPr>
                <w:rFonts w:ascii="Calibri"/>
                <w:spacing w:val="-9"/>
                <w:sz w:val="18"/>
              </w:rPr>
              <w:t> </w:t>
            </w:r>
            <w:r>
              <w:rPr>
                <w:rFonts w:ascii="Calibri"/>
                <w:sz w:val="18"/>
              </w:rPr>
              <w:t>Destination</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7.4%</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36.7%</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55.9%</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11.9%</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38.4%</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49.8%</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10.1%</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29.4%</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60.5%</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Local Food</w:t>
            </w:r>
            <w:r>
              <w:rPr>
                <w:rFonts w:ascii="Calibri"/>
                <w:spacing w:val="-4"/>
                <w:sz w:val="18"/>
              </w:rPr>
              <w:t> </w:t>
            </w:r>
            <w:r>
              <w:rPr>
                <w:rFonts w:ascii="Calibri"/>
                <w:sz w:val="18"/>
              </w:rPr>
              <w:t>Taste</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1.9%</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33.2%</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64.9%</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2.1%</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22.6%</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75.3%</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1.6%</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21.8%</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76.6%</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Social</w:t>
            </w:r>
            <w:r>
              <w:rPr>
                <w:rFonts w:ascii="Calibri"/>
                <w:spacing w:val="-8"/>
                <w:sz w:val="18"/>
              </w:rPr>
              <w:t> </w:t>
            </w:r>
            <w:r>
              <w:rPr>
                <w:rFonts w:ascii="Calibri"/>
                <w:sz w:val="18"/>
              </w:rPr>
              <w:t>Mingling</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2.7%</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36.7%</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60.6%</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3.3%</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24.4%</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72.3%</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2.4%</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20.2%</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77.4%</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4" w:lineRule="exact"/>
              <w:ind w:left="122" w:right="0"/>
              <w:jc w:val="left"/>
              <w:rPr>
                <w:rFonts w:ascii="Calibri" w:hAnsi="Calibri" w:cs="Calibri" w:eastAsia="Calibri" w:hint="default"/>
                <w:sz w:val="18"/>
                <w:szCs w:val="18"/>
              </w:rPr>
            </w:pPr>
            <w:r>
              <w:rPr>
                <w:rFonts w:ascii="Calibri"/>
                <w:sz w:val="18"/>
              </w:rPr>
              <w:t>High Prestige Product &amp;</w:t>
            </w:r>
            <w:r>
              <w:rPr>
                <w:rFonts w:ascii="Calibri"/>
                <w:spacing w:val="-12"/>
                <w:sz w:val="18"/>
              </w:rPr>
              <w:t> </w:t>
            </w:r>
            <w:r>
              <w:rPr>
                <w:rFonts w:ascii="Calibri"/>
                <w:sz w:val="18"/>
              </w:rPr>
              <w:t>Service</w:t>
            </w:r>
          </w:p>
        </w:tc>
        <w:tc>
          <w:tcPr>
            <w:tcW w:w="615" w:type="dxa"/>
            <w:tcBorders>
              <w:top w:val="nil" w:sz="6" w:space="0" w:color="auto"/>
              <w:left w:val="nil" w:sz="6" w:space="0" w:color="auto"/>
              <w:bottom w:val="nil" w:sz="6" w:space="0" w:color="auto"/>
              <w:right w:val="nil" w:sz="6" w:space="0" w:color="auto"/>
            </w:tcBorders>
          </w:tcPr>
          <w:p>
            <w:pPr>
              <w:pStyle w:val="TableParagraph"/>
              <w:spacing w:line="214" w:lineRule="exact"/>
              <w:ind w:left="43" w:right="0"/>
              <w:jc w:val="center"/>
              <w:rPr>
                <w:rFonts w:ascii="Calibri" w:hAnsi="Calibri" w:cs="Calibri" w:eastAsia="Calibri" w:hint="default"/>
                <w:sz w:val="18"/>
                <w:szCs w:val="18"/>
              </w:rPr>
            </w:pPr>
            <w:r>
              <w:rPr>
                <w:rFonts w:ascii="Calibri"/>
                <w:sz w:val="18"/>
              </w:rPr>
              <w:t>3.8%</w:t>
            </w:r>
          </w:p>
        </w:tc>
        <w:tc>
          <w:tcPr>
            <w:tcW w:w="914" w:type="dxa"/>
            <w:tcBorders>
              <w:top w:val="nil" w:sz="6" w:space="0" w:color="auto"/>
              <w:left w:val="nil" w:sz="6" w:space="0" w:color="auto"/>
              <w:bottom w:val="nil" w:sz="6" w:space="0" w:color="auto"/>
              <w:right w:val="nil" w:sz="6" w:space="0" w:color="auto"/>
            </w:tcBorders>
          </w:tcPr>
          <w:p>
            <w:pPr>
              <w:pStyle w:val="TableParagraph"/>
              <w:spacing w:line="214" w:lineRule="exact"/>
              <w:ind w:left="164" w:right="0"/>
              <w:jc w:val="left"/>
              <w:rPr>
                <w:rFonts w:ascii="Calibri" w:hAnsi="Calibri" w:cs="Calibri" w:eastAsia="Calibri" w:hint="default"/>
                <w:sz w:val="18"/>
                <w:szCs w:val="18"/>
              </w:rPr>
            </w:pPr>
            <w:r>
              <w:rPr>
                <w:rFonts w:ascii="Calibri"/>
                <w:sz w:val="18"/>
              </w:rPr>
              <w:t>34.5%</w:t>
            </w:r>
          </w:p>
        </w:tc>
        <w:tc>
          <w:tcPr>
            <w:tcW w:w="532" w:type="dxa"/>
            <w:tcBorders>
              <w:top w:val="nil" w:sz="6" w:space="0" w:color="auto"/>
              <w:left w:val="nil" w:sz="6" w:space="0" w:color="auto"/>
              <w:bottom w:val="nil" w:sz="6" w:space="0" w:color="auto"/>
              <w:right w:val="nil" w:sz="6" w:space="0" w:color="auto"/>
            </w:tcBorders>
          </w:tcPr>
          <w:p>
            <w:pPr>
              <w:pStyle w:val="TableParagraph"/>
              <w:spacing w:line="214" w:lineRule="exact"/>
              <w:ind w:left="-25" w:right="106"/>
              <w:jc w:val="center"/>
              <w:rPr>
                <w:rFonts w:ascii="Calibri" w:hAnsi="Calibri" w:cs="Calibri" w:eastAsia="Calibri" w:hint="default"/>
                <w:sz w:val="18"/>
                <w:szCs w:val="18"/>
              </w:rPr>
            </w:pPr>
            <w:r>
              <w:rPr>
                <w:rFonts w:ascii="Calibri"/>
                <w:sz w:val="18"/>
              </w:rPr>
              <w:t>61.7%</w:t>
            </w:r>
          </w:p>
        </w:tc>
        <w:tc>
          <w:tcPr>
            <w:tcW w:w="664" w:type="dxa"/>
            <w:tcBorders>
              <w:top w:val="nil" w:sz="6" w:space="0" w:color="auto"/>
              <w:left w:val="nil" w:sz="6" w:space="0" w:color="auto"/>
              <w:bottom w:val="nil" w:sz="6" w:space="0" w:color="auto"/>
              <w:right w:val="nil" w:sz="6" w:space="0" w:color="auto"/>
            </w:tcBorders>
          </w:tcPr>
          <w:p>
            <w:pPr>
              <w:pStyle w:val="TableParagraph"/>
              <w:spacing w:line="214" w:lineRule="exact"/>
              <w:ind w:left="1" w:right="0"/>
              <w:jc w:val="center"/>
              <w:rPr>
                <w:rFonts w:ascii="Calibri" w:hAnsi="Calibri" w:cs="Calibri" w:eastAsia="Calibri" w:hint="default"/>
                <w:sz w:val="18"/>
                <w:szCs w:val="18"/>
              </w:rPr>
            </w:pPr>
            <w:r>
              <w:rPr>
                <w:rFonts w:ascii="Calibri"/>
                <w:sz w:val="18"/>
              </w:rPr>
              <w:t>2.6%</w:t>
            </w:r>
          </w:p>
        </w:tc>
        <w:tc>
          <w:tcPr>
            <w:tcW w:w="869" w:type="dxa"/>
            <w:tcBorders>
              <w:top w:val="nil" w:sz="6" w:space="0" w:color="auto"/>
              <w:left w:val="nil" w:sz="6" w:space="0" w:color="auto"/>
              <w:bottom w:val="nil" w:sz="6" w:space="0" w:color="auto"/>
              <w:right w:val="nil" w:sz="6" w:space="0" w:color="auto"/>
            </w:tcBorders>
          </w:tcPr>
          <w:p>
            <w:pPr>
              <w:pStyle w:val="TableParagraph"/>
              <w:spacing w:line="214" w:lineRule="exact"/>
              <w:ind w:right="89"/>
              <w:jc w:val="center"/>
              <w:rPr>
                <w:rFonts w:ascii="Calibri" w:hAnsi="Calibri" w:cs="Calibri" w:eastAsia="Calibri" w:hint="default"/>
                <w:sz w:val="18"/>
                <w:szCs w:val="18"/>
              </w:rPr>
            </w:pPr>
            <w:r>
              <w:rPr>
                <w:rFonts w:ascii="Calibri"/>
                <w:sz w:val="18"/>
              </w:rPr>
              <w:t>37.9%</w:t>
            </w:r>
          </w:p>
        </w:tc>
        <w:tc>
          <w:tcPr>
            <w:tcW w:w="577" w:type="dxa"/>
            <w:tcBorders>
              <w:top w:val="nil" w:sz="6" w:space="0" w:color="auto"/>
              <w:left w:val="nil" w:sz="6" w:space="0" w:color="auto"/>
              <w:bottom w:val="nil" w:sz="6" w:space="0" w:color="auto"/>
              <w:right w:val="nil" w:sz="6" w:space="0" w:color="auto"/>
            </w:tcBorders>
          </w:tcPr>
          <w:p>
            <w:pPr>
              <w:pStyle w:val="TableParagraph"/>
              <w:spacing w:line="214" w:lineRule="exact"/>
              <w:ind w:right="85"/>
              <w:jc w:val="center"/>
              <w:rPr>
                <w:rFonts w:ascii="Calibri" w:hAnsi="Calibri" w:cs="Calibri" w:eastAsia="Calibri" w:hint="default"/>
                <w:sz w:val="18"/>
                <w:szCs w:val="18"/>
              </w:rPr>
            </w:pPr>
            <w:r>
              <w:rPr>
                <w:rFonts w:ascii="Calibri"/>
                <w:sz w:val="18"/>
              </w:rPr>
              <w:t>59.5%</w:t>
            </w:r>
          </w:p>
        </w:tc>
        <w:tc>
          <w:tcPr>
            <w:tcW w:w="665" w:type="dxa"/>
            <w:tcBorders>
              <w:top w:val="nil" w:sz="6" w:space="0" w:color="auto"/>
              <w:left w:val="nil" w:sz="6" w:space="0" w:color="auto"/>
              <w:bottom w:val="nil" w:sz="6" w:space="0" w:color="auto"/>
              <w:right w:val="nil" w:sz="6" w:space="0" w:color="auto"/>
            </w:tcBorders>
          </w:tcPr>
          <w:p>
            <w:pPr>
              <w:pStyle w:val="TableParagraph"/>
              <w:spacing w:line="214" w:lineRule="exact"/>
              <w:ind w:right="0"/>
              <w:jc w:val="center"/>
              <w:rPr>
                <w:rFonts w:ascii="Calibri" w:hAnsi="Calibri" w:cs="Calibri" w:eastAsia="Calibri" w:hint="default"/>
                <w:sz w:val="18"/>
                <w:szCs w:val="18"/>
              </w:rPr>
            </w:pPr>
            <w:r>
              <w:rPr>
                <w:rFonts w:ascii="Calibri"/>
                <w:sz w:val="18"/>
              </w:rPr>
              <w:t>1.6%</w:t>
            </w:r>
          </w:p>
        </w:tc>
        <w:tc>
          <w:tcPr>
            <w:tcW w:w="781" w:type="dxa"/>
            <w:tcBorders>
              <w:top w:val="nil" w:sz="6" w:space="0" w:color="auto"/>
              <w:left w:val="nil" w:sz="6" w:space="0" w:color="auto"/>
              <w:bottom w:val="nil" w:sz="6" w:space="0" w:color="auto"/>
              <w:right w:val="nil" w:sz="6" w:space="0" w:color="auto"/>
            </w:tcBorders>
          </w:tcPr>
          <w:p>
            <w:pPr>
              <w:pStyle w:val="TableParagraph"/>
              <w:spacing w:line="214" w:lineRule="exact"/>
              <w:ind w:left="166" w:right="0"/>
              <w:jc w:val="left"/>
              <w:rPr>
                <w:rFonts w:ascii="Calibri" w:hAnsi="Calibri" w:cs="Calibri" w:eastAsia="Calibri" w:hint="default"/>
                <w:sz w:val="18"/>
                <w:szCs w:val="18"/>
              </w:rPr>
            </w:pPr>
            <w:r>
              <w:rPr>
                <w:rFonts w:ascii="Calibri"/>
                <w:sz w:val="18"/>
              </w:rPr>
              <w:t>22.6%</w:t>
            </w:r>
          </w:p>
        </w:tc>
        <w:tc>
          <w:tcPr>
            <w:tcW w:w="664" w:type="dxa"/>
            <w:tcBorders>
              <w:top w:val="nil" w:sz="6" w:space="0" w:color="auto"/>
              <w:left w:val="nil" w:sz="6" w:space="0" w:color="auto"/>
              <w:bottom w:val="nil" w:sz="6" w:space="0" w:color="auto"/>
              <w:right w:val="nil" w:sz="6" w:space="0" w:color="auto"/>
            </w:tcBorders>
          </w:tcPr>
          <w:p>
            <w:pPr>
              <w:pStyle w:val="TableParagraph"/>
              <w:spacing w:line="214" w:lineRule="exact"/>
              <w:ind w:right="1"/>
              <w:jc w:val="center"/>
              <w:rPr>
                <w:rFonts w:ascii="Calibri" w:hAnsi="Calibri" w:cs="Calibri" w:eastAsia="Calibri" w:hint="default"/>
                <w:sz w:val="18"/>
                <w:szCs w:val="18"/>
              </w:rPr>
            </w:pPr>
            <w:r>
              <w:rPr>
                <w:rFonts w:ascii="Calibri"/>
                <w:sz w:val="18"/>
              </w:rPr>
              <w:t>75.8%</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Ease of Mobility Within the</w:t>
            </w:r>
            <w:r>
              <w:rPr>
                <w:rFonts w:ascii="Calibri"/>
                <w:spacing w:val="-13"/>
                <w:sz w:val="18"/>
              </w:rPr>
              <w:t> </w:t>
            </w:r>
            <w:r>
              <w:rPr>
                <w:rFonts w:ascii="Calibri"/>
                <w:sz w:val="18"/>
              </w:rPr>
              <w:t>Destination</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1.9%</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36.1%</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61.9%</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3.3%</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31.2%</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65.6%</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2.0%</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20.2%</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77.8%</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hAnsi="Calibri" w:cs="Calibri" w:eastAsia="Calibri" w:hint="default"/>
                <w:sz w:val="18"/>
                <w:szCs w:val="18"/>
              </w:rPr>
              <w:t>Restaurant</w:t>
            </w:r>
            <w:r>
              <w:rPr>
                <w:rFonts w:ascii="Calibri" w:hAnsi="Calibri" w:cs="Calibri" w:eastAsia="Calibri" w:hint="default"/>
                <w:sz w:val="18"/>
                <w:szCs w:val="18"/>
              </w:rPr>
              <w:t>s’ </w:t>
            </w:r>
            <w:r>
              <w:rPr>
                <w:rFonts w:ascii="Calibri" w:hAnsi="Calibri" w:cs="Calibri" w:eastAsia="Calibri" w:hint="default"/>
                <w:sz w:val="18"/>
                <w:szCs w:val="18"/>
              </w:rPr>
              <w:t>Service</w:t>
            </w:r>
            <w:r>
              <w:rPr>
                <w:rFonts w:ascii="Calibri" w:hAnsi="Calibri" w:cs="Calibri" w:eastAsia="Calibri" w:hint="default"/>
                <w:spacing w:val="-11"/>
                <w:sz w:val="18"/>
                <w:szCs w:val="18"/>
              </w:rPr>
              <w:t> </w:t>
            </w:r>
            <w:r>
              <w:rPr>
                <w:rFonts w:ascii="Calibri" w:hAnsi="Calibri" w:cs="Calibri" w:eastAsia="Calibri" w:hint="default"/>
                <w:sz w:val="18"/>
                <w:szCs w:val="18"/>
              </w:rPr>
              <w:t>Quality</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1.9%</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34.4%</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63.7%</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2.6%</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26.3%</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71.2%</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0.8%</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13.7%</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85.5%</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hAnsi="Calibri" w:cs="Calibri" w:eastAsia="Calibri" w:hint="default"/>
                <w:sz w:val="18"/>
                <w:szCs w:val="18"/>
              </w:rPr>
              <w:t>Accommodations</w:t>
            </w:r>
            <w:r>
              <w:rPr>
                <w:rFonts w:ascii="Calibri" w:hAnsi="Calibri" w:cs="Calibri" w:eastAsia="Calibri" w:hint="default"/>
                <w:sz w:val="18"/>
                <w:szCs w:val="18"/>
              </w:rPr>
              <w:t>’ </w:t>
            </w:r>
            <w:r>
              <w:rPr>
                <w:rFonts w:ascii="Calibri" w:hAnsi="Calibri" w:cs="Calibri" w:eastAsia="Calibri" w:hint="default"/>
                <w:sz w:val="18"/>
                <w:szCs w:val="18"/>
              </w:rPr>
              <w:t>Service</w:t>
            </w:r>
            <w:r>
              <w:rPr>
                <w:rFonts w:ascii="Calibri" w:hAnsi="Calibri" w:cs="Calibri" w:eastAsia="Calibri" w:hint="default"/>
                <w:spacing w:val="-11"/>
                <w:sz w:val="18"/>
                <w:szCs w:val="18"/>
              </w:rPr>
              <w:t> </w:t>
            </w:r>
            <w:r>
              <w:rPr>
                <w:rFonts w:ascii="Calibri" w:hAnsi="Calibri" w:cs="Calibri" w:eastAsia="Calibri" w:hint="default"/>
                <w:sz w:val="18"/>
                <w:szCs w:val="18"/>
              </w:rPr>
              <w:t>Quality</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2.2%</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33.0%</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64.7%</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2.3%</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27.2%</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70.5%</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2.0%</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211" w:right="0"/>
              <w:jc w:val="left"/>
              <w:rPr>
                <w:rFonts w:ascii="Calibri" w:hAnsi="Calibri" w:cs="Calibri" w:eastAsia="Calibri" w:hint="default"/>
                <w:sz w:val="18"/>
                <w:szCs w:val="18"/>
              </w:rPr>
            </w:pPr>
            <w:r>
              <w:rPr>
                <w:rFonts w:ascii="Calibri"/>
                <w:sz w:val="18"/>
              </w:rPr>
              <w:t>9.7%</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88.3%</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Available</w:t>
            </w:r>
            <w:r>
              <w:rPr>
                <w:rFonts w:ascii="Calibri"/>
                <w:spacing w:val="-7"/>
                <w:sz w:val="18"/>
              </w:rPr>
              <w:t> </w:t>
            </w:r>
            <w:r>
              <w:rPr>
                <w:rFonts w:ascii="Calibri"/>
                <w:sz w:val="18"/>
              </w:rPr>
              <w:t>Duty-free</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2.4%</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40.4%</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57.2%</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5.1%</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52.6%</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42.3%</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6.0%</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29.8%</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64.1%</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Available Luxury Brands in</w:t>
            </w:r>
            <w:r>
              <w:rPr>
                <w:rFonts w:ascii="Calibri"/>
                <w:spacing w:val="-10"/>
                <w:sz w:val="18"/>
              </w:rPr>
              <w:t> </w:t>
            </w:r>
            <w:r>
              <w:rPr>
                <w:rFonts w:ascii="Calibri"/>
                <w:sz w:val="18"/>
              </w:rPr>
              <w:t>Duty-free</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2.2%</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42.5%</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55.3%</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4.7%</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52.6%</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42.8%</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4.8%</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25.8%</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69.4%</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Product Quality in</w:t>
            </w:r>
            <w:r>
              <w:rPr>
                <w:rFonts w:ascii="Calibri"/>
                <w:spacing w:val="-8"/>
                <w:sz w:val="18"/>
              </w:rPr>
              <w:t> </w:t>
            </w:r>
            <w:r>
              <w:rPr>
                <w:rFonts w:ascii="Calibri"/>
                <w:sz w:val="18"/>
              </w:rPr>
              <w:t>Duty-free</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1.8%</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41.0%</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57.2%</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2.6%</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52.1%</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45.3%</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3.2%</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28.6%</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68.1%</w:t>
            </w:r>
          </w:p>
        </w:tc>
      </w:tr>
      <w:tr>
        <w:trPr>
          <w:trHeight w:val="240" w:hRule="exact"/>
        </w:trPr>
        <w:tc>
          <w:tcPr>
            <w:tcW w:w="3613" w:type="dxa"/>
            <w:tcBorders>
              <w:top w:val="nil" w:sz="6" w:space="0" w:color="auto"/>
              <w:left w:val="nil" w:sz="6" w:space="0" w:color="auto"/>
              <w:bottom w:val="nil" w:sz="6" w:space="0" w:color="auto"/>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Product Variety in</w:t>
            </w:r>
            <w:r>
              <w:rPr>
                <w:rFonts w:ascii="Calibri"/>
                <w:spacing w:val="-8"/>
                <w:sz w:val="18"/>
              </w:rPr>
              <w:t> </w:t>
            </w:r>
            <w:r>
              <w:rPr>
                <w:rFonts w:ascii="Calibri"/>
                <w:sz w:val="18"/>
              </w:rPr>
              <w:t>Duty-free</w:t>
            </w:r>
          </w:p>
        </w:tc>
        <w:tc>
          <w:tcPr>
            <w:tcW w:w="615" w:type="dxa"/>
            <w:tcBorders>
              <w:top w:val="nil" w:sz="6" w:space="0" w:color="auto"/>
              <w:left w:val="nil" w:sz="6" w:space="0" w:color="auto"/>
              <w:bottom w:val="nil" w:sz="6" w:space="0" w:color="auto"/>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2.2%</w:t>
            </w:r>
          </w:p>
        </w:tc>
        <w:tc>
          <w:tcPr>
            <w:tcW w:w="914" w:type="dxa"/>
            <w:tcBorders>
              <w:top w:val="nil" w:sz="6" w:space="0" w:color="auto"/>
              <w:left w:val="nil" w:sz="6" w:space="0" w:color="auto"/>
              <w:bottom w:val="nil" w:sz="6" w:space="0" w:color="auto"/>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39.7%</w:t>
            </w:r>
          </w:p>
        </w:tc>
        <w:tc>
          <w:tcPr>
            <w:tcW w:w="532" w:type="dxa"/>
            <w:tcBorders>
              <w:top w:val="nil" w:sz="6" w:space="0" w:color="auto"/>
              <w:left w:val="nil" w:sz="6" w:space="0" w:color="auto"/>
              <w:bottom w:val="nil" w:sz="6" w:space="0" w:color="auto"/>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58.1%</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4.0%</w:t>
            </w:r>
          </w:p>
        </w:tc>
        <w:tc>
          <w:tcPr>
            <w:tcW w:w="869" w:type="dxa"/>
            <w:tcBorders>
              <w:top w:val="nil" w:sz="6" w:space="0" w:color="auto"/>
              <w:left w:val="nil" w:sz="6" w:space="0" w:color="auto"/>
              <w:bottom w:val="nil" w:sz="6" w:space="0" w:color="auto"/>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53.0%</w:t>
            </w:r>
          </w:p>
        </w:tc>
        <w:tc>
          <w:tcPr>
            <w:tcW w:w="577" w:type="dxa"/>
            <w:tcBorders>
              <w:top w:val="nil" w:sz="6" w:space="0" w:color="auto"/>
              <w:left w:val="nil" w:sz="6" w:space="0" w:color="auto"/>
              <w:bottom w:val="nil" w:sz="6" w:space="0" w:color="auto"/>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43.0%</w:t>
            </w:r>
          </w:p>
        </w:tc>
        <w:tc>
          <w:tcPr>
            <w:tcW w:w="665" w:type="dxa"/>
            <w:tcBorders>
              <w:top w:val="nil" w:sz="6" w:space="0" w:color="auto"/>
              <w:left w:val="nil" w:sz="6" w:space="0" w:color="auto"/>
              <w:bottom w:val="nil" w:sz="6" w:space="0" w:color="auto"/>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4.4%</w:t>
            </w:r>
          </w:p>
        </w:tc>
        <w:tc>
          <w:tcPr>
            <w:tcW w:w="781" w:type="dxa"/>
            <w:tcBorders>
              <w:top w:val="nil" w:sz="6" w:space="0" w:color="auto"/>
              <w:left w:val="nil" w:sz="6" w:space="0" w:color="auto"/>
              <w:bottom w:val="nil" w:sz="6" w:space="0" w:color="auto"/>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26.2%</w:t>
            </w:r>
          </w:p>
        </w:tc>
        <w:tc>
          <w:tcPr>
            <w:tcW w:w="664" w:type="dxa"/>
            <w:tcBorders>
              <w:top w:val="nil" w:sz="6" w:space="0" w:color="auto"/>
              <w:left w:val="nil" w:sz="6" w:space="0" w:color="auto"/>
              <w:bottom w:val="nil" w:sz="6" w:space="0" w:color="auto"/>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69.4%</w:t>
            </w:r>
          </w:p>
        </w:tc>
      </w:tr>
      <w:tr>
        <w:trPr>
          <w:trHeight w:val="220" w:hRule="exact"/>
        </w:trPr>
        <w:tc>
          <w:tcPr>
            <w:tcW w:w="3613" w:type="dxa"/>
            <w:tcBorders>
              <w:top w:val="nil" w:sz="6" w:space="0" w:color="auto"/>
              <w:left w:val="nil" w:sz="6" w:space="0" w:color="auto"/>
              <w:bottom w:val="single" w:sz="4" w:space="0" w:color="000000"/>
              <w:right w:val="nil" w:sz="6" w:space="0" w:color="auto"/>
            </w:tcBorders>
          </w:tcPr>
          <w:p>
            <w:pPr>
              <w:pStyle w:val="TableParagraph"/>
              <w:spacing w:line="213" w:lineRule="exact"/>
              <w:ind w:left="122" w:right="0"/>
              <w:jc w:val="left"/>
              <w:rPr>
                <w:rFonts w:ascii="Calibri" w:hAnsi="Calibri" w:cs="Calibri" w:eastAsia="Calibri" w:hint="default"/>
                <w:sz w:val="18"/>
                <w:szCs w:val="18"/>
              </w:rPr>
            </w:pPr>
            <w:r>
              <w:rPr>
                <w:rFonts w:ascii="Calibri"/>
                <w:sz w:val="18"/>
              </w:rPr>
              <w:t>Price in</w:t>
            </w:r>
            <w:r>
              <w:rPr>
                <w:rFonts w:ascii="Calibri"/>
                <w:spacing w:val="-7"/>
                <w:sz w:val="18"/>
              </w:rPr>
              <w:t> </w:t>
            </w:r>
            <w:r>
              <w:rPr>
                <w:rFonts w:ascii="Calibri"/>
                <w:sz w:val="18"/>
              </w:rPr>
              <w:t>Duty-free</w:t>
            </w:r>
          </w:p>
        </w:tc>
        <w:tc>
          <w:tcPr>
            <w:tcW w:w="615" w:type="dxa"/>
            <w:tcBorders>
              <w:top w:val="nil" w:sz="6" w:space="0" w:color="auto"/>
              <w:left w:val="nil" w:sz="6" w:space="0" w:color="auto"/>
              <w:bottom w:val="single" w:sz="4" w:space="0" w:color="000000"/>
              <w:right w:val="nil" w:sz="6" w:space="0" w:color="auto"/>
            </w:tcBorders>
          </w:tcPr>
          <w:p>
            <w:pPr>
              <w:pStyle w:val="TableParagraph"/>
              <w:spacing w:line="213" w:lineRule="exact"/>
              <w:ind w:left="43" w:right="0"/>
              <w:jc w:val="center"/>
              <w:rPr>
                <w:rFonts w:ascii="Calibri" w:hAnsi="Calibri" w:cs="Calibri" w:eastAsia="Calibri" w:hint="default"/>
                <w:sz w:val="18"/>
                <w:szCs w:val="18"/>
              </w:rPr>
            </w:pPr>
            <w:r>
              <w:rPr>
                <w:rFonts w:ascii="Calibri"/>
                <w:sz w:val="18"/>
              </w:rPr>
              <w:t>2.7%</w:t>
            </w:r>
          </w:p>
        </w:tc>
        <w:tc>
          <w:tcPr>
            <w:tcW w:w="914" w:type="dxa"/>
            <w:tcBorders>
              <w:top w:val="nil" w:sz="6" w:space="0" w:color="auto"/>
              <w:left w:val="nil" w:sz="6" w:space="0" w:color="auto"/>
              <w:bottom w:val="single" w:sz="4" w:space="0" w:color="000000"/>
              <w:right w:val="nil" w:sz="6" w:space="0" w:color="auto"/>
            </w:tcBorders>
          </w:tcPr>
          <w:p>
            <w:pPr>
              <w:pStyle w:val="TableParagraph"/>
              <w:spacing w:line="213" w:lineRule="exact"/>
              <w:ind w:left="164" w:right="0"/>
              <w:jc w:val="left"/>
              <w:rPr>
                <w:rFonts w:ascii="Calibri" w:hAnsi="Calibri" w:cs="Calibri" w:eastAsia="Calibri" w:hint="default"/>
                <w:sz w:val="18"/>
                <w:szCs w:val="18"/>
              </w:rPr>
            </w:pPr>
            <w:r>
              <w:rPr>
                <w:rFonts w:ascii="Calibri"/>
                <w:sz w:val="18"/>
              </w:rPr>
              <w:t>40.9%</w:t>
            </w:r>
          </w:p>
        </w:tc>
        <w:tc>
          <w:tcPr>
            <w:tcW w:w="532" w:type="dxa"/>
            <w:tcBorders>
              <w:top w:val="nil" w:sz="6" w:space="0" w:color="auto"/>
              <w:left w:val="nil" w:sz="6" w:space="0" w:color="auto"/>
              <w:bottom w:val="single" w:sz="4" w:space="0" w:color="000000"/>
              <w:right w:val="nil" w:sz="6" w:space="0" w:color="auto"/>
            </w:tcBorders>
          </w:tcPr>
          <w:p>
            <w:pPr>
              <w:pStyle w:val="TableParagraph"/>
              <w:spacing w:line="213" w:lineRule="exact"/>
              <w:ind w:left="-25" w:right="106"/>
              <w:jc w:val="center"/>
              <w:rPr>
                <w:rFonts w:ascii="Calibri" w:hAnsi="Calibri" w:cs="Calibri" w:eastAsia="Calibri" w:hint="default"/>
                <w:sz w:val="18"/>
                <w:szCs w:val="18"/>
              </w:rPr>
            </w:pPr>
            <w:r>
              <w:rPr>
                <w:rFonts w:ascii="Calibri"/>
                <w:sz w:val="18"/>
              </w:rPr>
              <w:t>56.5%</w:t>
            </w:r>
          </w:p>
        </w:tc>
        <w:tc>
          <w:tcPr>
            <w:tcW w:w="664" w:type="dxa"/>
            <w:tcBorders>
              <w:top w:val="nil" w:sz="6" w:space="0" w:color="auto"/>
              <w:left w:val="nil" w:sz="6" w:space="0" w:color="auto"/>
              <w:bottom w:val="single" w:sz="4" w:space="0" w:color="000000"/>
              <w:right w:val="nil" w:sz="6" w:space="0" w:color="auto"/>
            </w:tcBorders>
          </w:tcPr>
          <w:p>
            <w:pPr>
              <w:pStyle w:val="TableParagraph"/>
              <w:spacing w:line="213" w:lineRule="exact"/>
              <w:ind w:left="1" w:right="0"/>
              <w:jc w:val="center"/>
              <w:rPr>
                <w:rFonts w:ascii="Calibri" w:hAnsi="Calibri" w:cs="Calibri" w:eastAsia="Calibri" w:hint="default"/>
                <w:sz w:val="18"/>
                <w:szCs w:val="18"/>
              </w:rPr>
            </w:pPr>
            <w:r>
              <w:rPr>
                <w:rFonts w:ascii="Calibri"/>
                <w:sz w:val="18"/>
              </w:rPr>
              <w:t>5.8%</w:t>
            </w:r>
          </w:p>
        </w:tc>
        <w:tc>
          <w:tcPr>
            <w:tcW w:w="869" w:type="dxa"/>
            <w:tcBorders>
              <w:top w:val="nil" w:sz="6" w:space="0" w:color="auto"/>
              <w:left w:val="nil" w:sz="6" w:space="0" w:color="auto"/>
              <w:bottom w:val="single" w:sz="4" w:space="0" w:color="000000"/>
              <w:right w:val="nil" w:sz="6" w:space="0" w:color="auto"/>
            </w:tcBorders>
          </w:tcPr>
          <w:p>
            <w:pPr>
              <w:pStyle w:val="TableParagraph"/>
              <w:spacing w:line="213" w:lineRule="exact"/>
              <w:ind w:right="89"/>
              <w:jc w:val="center"/>
              <w:rPr>
                <w:rFonts w:ascii="Calibri" w:hAnsi="Calibri" w:cs="Calibri" w:eastAsia="Calibri" w:hint="default"/>
                <w:sz w:val="18"/>
                <w:szCs w:val="18"/>
              </w:rPr>
            </w:pPr>
            <w:r>
              <w:rPr>
                <w:rFonts w:ascii="Calibri"/>
                <w:sz w:val="18"/>
              </w:rPr>
              <w:t>56.3%</w:t>
            </w:r>
          </w:p>
        </w:tc>
        <w:tc>
          <w:tcPr>
            <w:tcW w:w="577" w:type="dxa"/>
            <w:tcBorders>
              <w:top w:val="nil" w:sz="6" w:space="0" w:color="auto"/>
              <w:left w:val="nil" w:sz="6" w:space="0" w:color="auto"/>
              <w:bottom w:val="single" w:sz="4" w:space="0" w:color="000000"/>
              <w:right w:val="nil" w:sz="6" w:space="0" w:color="auto"/>
            </w:tcBorders>
          </w:tcPr>
          <w:p>
            <w:pPr>
              <w:pStyle w:val="TableParagraph"/>
              <w:spacing w:line="213" w:lineRule="exact"/>
              <w:ind w:right="85"/>
              <w:jc w:val="center"/>
              <w:rPr>
                <w:rFonts w:ascii="Calibri" w:hAnsi="Calibri" w:cs="Calibri" w:eastAsia="Calibri" w:hint="default"/>
                <w:sz w:val="18"/>
                <w:szCs w:val="18"/>
              </w:rPr>
            </w:pPr>
            <w:r>
              <w:rPr>
                <w:rFonts w:ascii="Calibri"/>
                <w:sz w:val="18"/>
              </w:rPr>
              <w:t>37.9%</w:t>
            </w:r>
          </w:p>
        </w:tc>
        <w:tc>
          <w:tcPr>
            <w:tcW w:w="665" w:type="dxa"/>
            <w:tcBorders>
              <w:top w:val="nil" w:sz="6" w:space="0" w:color="auto"/>
              <w:left w:val="nil" w:sz="6" w:space="0" w:color="auto"/>
              <w:bottom w:val="single" w:sz="4" w:space="0" w:color="000000"/>
              <w:right w:val="nil" w:sz="6" w:space="0" w:color="auto"/>
            </w:tcBorders>
          </w:tcPr>
          <w:p>
            <w:pPr>
              <w:pStyle w:val="TableParagraph"/>
              <w:spacing w:line="213" w:lineRule="exact"/>
              <w:ind w:right="0"/>
              <w:jc w:val="center"/>
              <w:rPr>
                <w:rFonts w:ascii="Calibri" w:hAnsi="Calibri" w:cs="Calibri" w:eastAsia="Calibri" w:hint="default"/>
                <w:sz w:val="18"/>
                <w:szCs w:val="18"/>
              </w:rPr>
            </w:pPr>
            <w:r>
              <w:rPr>
                <w:rFonts w:ascii="Calibri"/>
                <w:sz w:val="18"/>
              </w:rPr>
              <w:t>4.8%</w:t>
            </w:r>
          </w:p>
        </w:tc>
        <w:tc>
          <w:tcPr>
            <w:tcW w:w="781" w:type="dxa"/>
            <w:tcBorders>
              <w:top w:val="nil" w:sz="6" w:space="0" w:color="auto"/>
              <w:left w:val="nil" w:sz="6" w:space="0" w:color="auto"/>
              <w:bottom w:val="single" w:sz="4" w:space="0" w:color="000000"/>
              <w:right w:val="nil" w:sz="6" w:space="0" w:color="auto"/>
            </w:tcBorders>
          </w:tcPr>
          <w:p>
            <w:pPr>
              <w:pStyle w:val="TableParagraph"/>
              <w:spacing w:line="213" w:lineRule="exact"/>
              <w:ind w:left="166" w:right="0"/>
              <w:jc w:val="left"/>
              <w:rPr>
                <w:rFonts w:ascii="Calibri" w:hAnsi="Calibri" w:cs="Calibri" w:eastAsia="Calibri" w:hint="default"/>
                <w:sz w:val="18"/>
                <w:szCs w:val="18"/>
              </w:rPr>
            </w:pPr>
            <w:r>
              <w:rPr>
                <w:rFonts w:ascii="Calibri"/>
                <w:sz w:val="18"/>
              </w:rPr>
              <w:t>35.1%</w:t>
            </w:r>
          </w:p>
        </w:tc>
        <w:tc>
          <w:tcPr>
            <w:tcW w:w="664" w:type="dxa"/>
            <w:tcBorders>
              <w:top w:val="nil" w:sz="6" w:space="0" w:color="auto"/>
              <w:left w:val="nil" w:sz="6" w:space="0" w:color="auto"/>
              <w:bottom w:val="single" w:sz="4" w:space="0" w:color="000000"/>
              <w:right w:val="nil" w:sz="6" w:space="0" w:color="auto"/>
            </w:tcBorders>
          </w:tcPr>
          <w:p>
            <w:pPr>
              <w:pStyle w:val="TableParagraph"/>
              <w:spacing w:line="213" w:lineRule="exact"/>
              <w:ind w:right="1"/>
              <w:jc w:val="center"/>
              <w:rPr>
                <w:rFonts w:ascii="Calibri" w:hAnsi="Calibri" w:cs="Calibri" w:eastAsia="Calibri" w:hint="default"/>
                <w:sz w:val="18"/>
                <w:szCs w:val="18"/>
              </w:rPr>
            </w:pPr>
            <w:r>
              <w:rPr>
                <w:rFonts w:ascii="Calibri"/>
                <w:sz w:val="18"/>
              </w:rPr>
              <w:t>60.1%</w:t>
            </w:r>
          </w:p>
        </w:tc>
      </w:tr>
    </w:tbl>
    <w:p>
      <w:pPr>
        <w:spacing w:line="240" w:lineRule="auto" w:before="2"/>
        <w:ind w:right="0"/>
        <w:rPr>
          <w:rFonts w:ascii="Calibri" w:hAnsi="Calibri" w:cs="Calibri" w:eastAsia="Calibri" w:hint="default"/>
          <w:b/>
          <w:bCs/>
          <w:sz w:val="15"/>
          <w:szCs w:val="15"/>
        </w:rPr>
      </w:pPr>
    </w:p>
    <w:p>
      <w:pPr>
        <w:pStyle w:val="BodyText"/>
        <w:spacing w:line="240" w:lineRule="auto" w:before="59"/>
        <w:ind w:right="1437"/>
        <w:jc w:val="both"/>
      </w:pPr>
      <w:r>
        <w:rPr/>
        <w:t>There is a low hanging fruit for Curaçao to increase the brand awareness of its destination attributes within the American segment. Nearly all Caribbean destinations that have enjoyed continued prosperity in tourism have possessed the American market as the foundation for demand. Currently, the American market has positive impressions for Curaçao, but the market requires more information from Curaçao regarding destination attributes in order to help form expectations prior to its consumption of</w:t>
      </w:r>
      <w:r>
        <w:rPr>
          <w:spacing w:val="-22"/>
        </w:rPr>
        <w:t> </w:t>
      </w:r>
      <w:r>
        <w:rPr/>
        <w:t>Curaçao.</w:t>
      </w:r>
    </w:p>
    <w:p>
      <w:pPr>
        <w:spacing w:line="240" w:lineRule="auto" w:before="11"/>
        <w:ind w:right="0"/>
        <w:rPr>
          <w:rFonts w:ascii="Calibri" w:hAnsi="Calibri" w:cs="Calibri" w:eastAsia="Calibri" w:hint="default"/>
          <w:sz w:val="19"/>
          <w:szCs w:val="19"/>
        </w:rPr>
      </w:pPr>
    </w:p>
    <w:p>
      <w:pPr>
        <w:pStyle w:val="BodyText"/>
        <w:spacing w:line="240" w:lineRule="auto"/>
        <w:ind w:right="1438"/>
        <w:jc w:val="both"/>
      </w:pPr>
      <w:r>
        <w:rPr/>
        <w:t>With regard </w:t>
      </w:r>
      <w:r>
        <w:rPr>
          <w:rFonts w:ascii="Calibri" w:hAnsi="Calibri" w:cs="Calibri" w:eastAsia="Calibri" w:hint="default"/>
        </w:rPr>
        <w:t>to the Dutch and Venezuelan/Colombian market segments, the positive impression of Curaçao’s </w:t>
      </w:r>
      <w:r>
        <w:rPr/>
        <w:t>destination</w:t>
      </w:r>
      <w:r>
        <w:rPr>
          <w:spacing w:val="-6"/>
        </w:rPr>
        <w:t> </w:t>
      </w:r>
      <w:r>
        <w:rPr/>
        <w:t>attributes</w:t>
      </w:r>
      <w:r>
        <w:rPr>
          <w:spacing w:val="-7"/>
        </w:rPr>
        <w:t> </w:t>
      </w:r>
      <w:r>
        <w:rPr/>
        <w:t>is</w:t>
      </w:r>
      <w:r>
        <w:rPr>
          <w:spacing w:val="-7"/>
        </w:rPr>
        <w:t> </w:t>
      </w:r>
      <w:r>
        <w:rPr/>
        <w:t>almost</w:t>
      </w:r>
      <w:r>
        <w:rPr>
          <w:spacing w:val="-6"/>
        </w:rPr>
        <w:t> </w:t>
      </w:r>
      <w:r>
        <w:rPr/>
        <w:t>always</w:t>
      </w:r>
      <w:r>
        <w:rPr>
          <w:spacing w:val="-7"/>
        </w:rPr>
        <w:t> </w:t>
      </w:r>
      <w:r>
        <w:rPr/>
        <w:t>higher</w:t>
      </w:r>
      <w:r>
        <w:rPr>
          <w:spacing w:val="-5"/>
        </w:rPr>
        <w:t> </w:t>
      </w:r>
      <w:r>
        <w:rPr/>
        <w:t>than</w:t>
      </w:r>
      <w:r>
        <w:rPr>
          <w:spacing w:val="-6"/>
        </w:rPr>
        <w:t> </w:t>
      </w:r>
      <w:r>
        <w:rPr/>
        <w:t>that</w:t>
      </w:r>
      <w:r>
        <w:rPr>
          <w:spacing w:val="-6"/>
        </w:rPr>
        <w:t> </w:t>
      </w:r>
      <w:r>
        <w:rPr/>
        <w:t>of</w:t>
      </w:r>
      <w:r>
        <w:rPr>
          <w:spacing w:val="-7"/>
        </w:rPr>
        <w:t> </w:t>
      </w:r>
      <w:r>
        <w:rPr/>
        <w:t>the</w:t>
      </w:r>
      <w:r>
        <w:rPr>
          <w:spacing w:val="-7"/>
        </w:rPr>
        <w:t> </w:t>
      </w:r>
      <w:r>
        <w:rPr/>
        <w:t>American</w:t>
      </w:r>
      <w:r>
        <w:rPr>
          <w:spacing w:val="-6"/>
        </w:rPr>
        <w:t> </w:t>
      </w:r>
      <w:r>
        <w:rPr/>
        <w:t>impression.</w:t>
      </w:r>
      <w:r>
        <w:rPr>
          <w:spacing w:val="36"/>
        </w:rPr>
        <w:t> </w:t>
      </w:r>
      <w:r>
        <w:rPr/>
        <w:t>This</w:t>
      </w:r>
      <w:r>
        <w:rPr>
          <w:spacing w:val="-7"/>
        </w:rPr>
        <w:t> </w:t>
      </w:r>
      <w:r>
        <w:rPr/>
        <w:t>indicates</w:t>
      </w:r>
      <w:r>
        <w:rPr>
          <w:spacing w:val="-8"/>
        </w:rPr>
        <w:t> </w:t>
      </w:r>
      <w:r>
        <w:rPr/>
        <w:t>that</w:t>
      </w:r>
      <w:r>
        <w:rPr>
          <w:spacing w:val="-4"/>
        </w:rPr>
        <w:t> </w:t>
      </w:r>
      <w:r>
        <w:rPr/>
        <w:t>Curaçao</w:t>
      </w:r>
      <w:r>
        <w:rPr>
          <w:spacing w:val="-6"/>
        </w:rPr>
        <w:t> </w:t>
      </w:r>
      <w:r>
        <w:rPr/>
        <w:t>has </w:t>
      </w:r>
      <w:r>
        <w:rPr/>
        <w:t>done a good job establishing a positive impression within these two markets. Curaçao should strive to keep its positive impression with these two market segments, but should also strive to decrease the neutral impression of the Americans. Also important </w:t>
      </w:r>
      <w:r>
        <w:rPr>
          <w:rFonts w:ascii="Calibri" w:hAnsi="Calibri" w:cs="Calibri" w:eastAsia="Calibri" w:hint="default"/>
        </w:rPr>
        <w:t>is that there are very few negative impressions regarding Curaçao’s destination </w:t>
      </w:r>
      <w:r>
        <w:rPr/>
        <w:t>attributes from any of the three primary market</w:t>
      </w:r>
      <w:r>
        <w:rPr>
          <w:spacing w:val="-26"/>
        </w:rPr>
        <w:t> </w:t>
      </w:r>
      <w:r>
        <w:rPr/>
        <w:t>segments.</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6"/>
        <w:jc w:val="both"/>
      </w:pPr>
      <w:r>
        <w:rPr/>
        <w:t>For the entire sample, Cura</w:t>
      </w:r>
      <w:r>
        <w:rPr>
          <w:rFonts w:ascii="Calibri" w:hAnsi="Calibri" w:cs="Calibri" w:eastAsia="Calibri" w:hint="default"/>
        </w:rPr>
        <w:t>çao’s top rated attributes from potential tourists and past tourists are climate, beach </w:t>
      </w:r>
      <w:r>
        <w:rPr/>
        <w:t>quality, and water activity variety, while the bottom rated attributes for the entire sample are duty- free prices, shopping prices, and transportation costs to the destination. The top rated attributes were the same for the USA and Dutch market segments (i.e., climate, water activity, and beach quality), whereas the Venezuelan/Colombian </w:t>
      </w:r>
      <w:r>
        <w:rPr>
          <w:rFonts w:ascii="Calibri" w:hAnsi="Calibri" w:cs="Calibri" w:eastAsia="Calibri" w:hint="default"/>
        </w:rPr>
        <w:t>segment rated Curaçao’s beach quality the highest followed by accommodation service </w:t>
      </w:r>
      <w:r>
        <w:rPr/>
        <w:t>quality and food and beverage (F&amp;B)</w:t>
      </w:r>
      <w:r>
        <w:rPr>
          <w:spacing w:val="-11"/>
        </w:rPr>
        <w:t> </w:t>
      </w:r>
      <w:r>
        <w:rPr/>
        <w:t>quality.</w:t>
      </w:r>
    </w:p>
    <w:p>
      <w:pPr>
        <w:spacing w:line="240" w:lineRule="auto" w:before="11"/>
        <w:ind w:right="0"/>
        <w:rPr>
          <w:rFonts w:ascii="Calibri" w:hAnsi="Calibri" w:cs="Calibri" w:eastAsia="Calibri" w:hint="default"/>
          <w:sz w:val="19"/>
          <w:szCs w:val="19"/>
        </w:rPr>
      </w:pPr>
    </w:p>
    <w:p>
      <w:pPr>
        <w:pStyle w:val="BodyText"/>
        <w:spacing w:line="240" w:lineRule="auto"/>
        <w:ind w:right="1440"/>
        <w:jc w:val="both"/>
      </w:pPr>
      <w:r>
        <w:rPr/>
        <w:t>This</w:t>
      </w:r>
      <w:r>
        <w:rPr>
          <w:spacing w:val="-12"/>
        </w:rPr>
        <w:t> </w:t>
      </w:r>
      <w:r>
        <w:rPr/>
        <w:t>is</w:t>
      </w:r>
      <w:r>
        <w:rPr>
          <w:spacing w:val="-11"/>
        </w:rPr>
        <w:t> </w:t>
      </w:r>
      <w:r>
        <w:rPr/>
        <w:t>interesting</w:t>
      </w:r>
      <w:r>
        <w:rPr>
          <w:spacing w:val="-10"/>
        </w:rPr>
        <w:t> </w:t>
      </w:r>
      <w:r>
        <w:rPr/>
        <w:t>information</w:t>
      </w:r>
      <w:r>
        <w:rPr>
          <w:spacing w:val="-9"/>
        </w:rPr>
        <w:t> </w:t>
      </w:r>
      <w:r>
        <w:rPr/>
        <w:t>in</w:t>
      </w:r>
      <w:r>
        <w:rPr>
          <w:spacing w:val="-10"/>
        </w:rPr>
        <w:t> </w:t>
      </w:r>
      <w:r>
        <w:rPr/>
        <w:t>that,</w:t>
      </w:r>
      <w:r>
        <w:rPr>
          <w:spacing w:val="-10"/>
        </w:rPr>
        <w:t> </w:t>
      </w:r>
      <w:r>
        <w:rPr/>
        <w:t>during</w:t>
      </w:r>
      <w:r>
        <w:rPr>
          <w:spacing w:val="-10"/>
        </w:rPr>
        <w:t> </w:t>
      </w:r>
      <w:r>
        <w:rPr/>
        <w:t>qualitative</w:t>
      </w:r>
      <w:r>
        <w:rPr>
          <w:spacing w:val="-11"/>
        </w:rPr>
        <w:t> </w:t>
      </w:r>
      <w:r>
        <w:rPr/>
        <w:t>interviews,</w:t>
      </w:r>
      <w:r>
        <w:rPr>
          <w:spacing w:val="-8"/>
        </w:rPr>
        <w:t> </w:t>
      </w:r>
      <w:r>
        <w:rPr/>
        <w:t>the</w:t>
      </w:r>
      <w:r>
        <w:rPr>
          <w:spacing w:val="-9"/>
        </w:rPr>
        <w:t> </w:t>
      </w:r>
      <w:r>
        <w:rPr/>
        <w:t>majority</w:t>
      </w:r>
      <w:r>
        <w:rPr>
          <w:spacing w:val="-9"/>
        </w:rPr>
        <w:t> </w:t>
      </w:r>
      <w:r>
        <w:rPr/>
        <w:t>of</w:t>
      </w:r>
      <w:r>
        <w:rPr>
          <w:spacing w:val="-11"/>
        </w:rPr>
        <w:t> </w:t>
      </w:r>
      <w:r>
        <w:rPr/>
        <w:t>stakeholders</w:t>
      </w:r>
      <w:r>
        <w:rPr>
          <w:spacing w:val="-11"/>
        </w:rPr>
        <w:t> </w:t>
      </w:r>
      <w:r>
        <w:rPr/>
        <w:t>expressed</w:t>
      </w:r>
      <w:r>
        <w:rPr>
          <w:spacing w:val="-10"/>
        </w:rPr>
        <w:t> </w:t>
      </w:r>
      <w:r>
        <w:rPr/>
        <w:t>that</w:t>
      </w:r>
      <w:r>
        <w:rPr>
          <w:spacing w:val="-9"/>
        </w:rPr>
        <w:t> </w:t>
      </w:r>
      <w:r>
        <w:rPr/>
        <w:t>they </w:t>
      </w:r>
      <w:r>
        <w:rPr/>
      </w:r>
      <w:r>
        <w:rPr>
          <w:rFonts w:ascii="Calibri" w:hAnsi="Calibri" w:cs="Calibri" w:eastAsia="Calibri" w:hint="default"/>
        </w:rPr>
        <w:t>did not feel tourists would have a positive impression of the quality of Curaçao’s bea</w:t>
      </w:r>
      <w:r>
        <w:rPr/>
        <w:t>ches. The tourist data actually reveals the</w:t>
      </w:r>
      <w:r>
        <w:rPr>
          <w:spacing w:val="-9"/>
        </w:rPr>
        <w:t> </w:t>
      </w:r>
      <w:r>
        <w:rPr/>
        <w:t>contrary.</w:t>
      </w:r>
    </w:p>
    <w:p>
      <w:pPr>
        <w:pStyle w:val="Heading2"/>
        <w:spacing w:line="240" w:lineRule="auto" w:before="35"/>
        <w:ind w:right="0"/>
        <w:jc w:val="both"/>
        <w:rPr>
          <w:b w:val="0"/>
          <w:bCs w:val="0"/>
        </w:rPr>
      </w:pPr>
      <w:bookmarkStart w:name="_bookmark29" w:id="30"/>
      <w:bookmarkEnd w:id="30"/>
      <w:r>
        <w:rPr>
          <w:b w:val="0"/>
          <w:bCs w:val="0"/>
        </w:rPr>
      </w:r>
      <w:r>
        <w:rPr>
          <w:rFonts w:ascii="Calibri" w:hAnsi="Calibri" w:cs="Calibri" w:eastAsia="Calibri" w:hint="default"/>
        </w:rPr>
        <w:t>Tourists’ perceptions </w:t>
      </w:r>
      <w:r>
        <w:rPr/>
        <w:t>after visiting</w:t>
      </w:r>
      <w:r>
        <w:rPr>
          <w:spacing w:val="-14"/>
        </w:rPr>
        <w:t> </w:t>
      </w:r>
      <w:r>
        <w:rPr/>
        <w:t>Curaçao</w:t>
      </w:r>
      <w:r>
        <w:rPr>
          <w:b w:val="0"/>
          <w:bCs w:val="0"/>
        </w:rPr>
      </w:r>
    </w:p>
    <w:p>
      <w:pPr>
        <w:pStyle w:val="BodyText"/>
        <w:spacing w:line="240" w:lineRule="auto" w:before="191"/>
        <w:ind w:right="1441"/>
        <w:jc w:val="both"/>
      </w:pPr>
      <w:r>
        <w:rPr/>
        <w:t>A total of 1,701 tourists who had visited Curaçao were polled at either the Hato Airport while waiting for their departure</w:t>
      </w:r>
      <w:r>
        <w:rPr>
          <w:spacing w:val="-13"/>
        </w:rPr>
        <w:t> </w:t>
      </w:r>
      <w:r>
        <w:rPr/>
        <w:t>flight,</w:t>
      </w:r>
      <w:r>
        <w:rPr>
          <w:spacing w:val="-12"/>
        </w:rPr>
        <w:t> </w:t>
      </w:r>
      <w:r>
        <w:rPr/>
        <w:t>or</w:t>
      </w:r>
      <w:r>
        <w:rPr>
          <w:spacing w:val="-13"/>
        </w:rPr>
        <w:t> </w:t>
      </w:r>
      <w:r>
        <w:rPr/>
        <w:t>via</w:t>
      </w:r>
      <w:r>
        <w:rPr>
          <w:spacing w:val="-12"/>
        </w:rPr>
        <w:t> </w:t>
      </w:r>
      <w:r>
        <w:rPr/>
        <w:t>an</w:t>
      </w:r>
      <w:r>
        <w:rPr>
          <w:spacing w:val="-11"/>
        </w:rPr>
        <w:t> </w:t>
      </w:r>
      <w:r>
        <w:rPr/>
        <w:t>online</w:t>
      </w:r>
      <w:r>
        <w:rPr>
          <w:spacing w:val="-13"/>
        </w:rPr>
        <w:t> </w:t>
      </w:r>
      <w:r>
        <w:rPr/>
        <w:t>survey.</w:t>
      </w:r>
      <w:r>
        <w:rPr>
          <w:spacing w:val="23"/>
        </w:rPr>
        <w:t> </w:t>
      </w:r>
      <w:r>
        <w:rPr/>
        <w:t>Regardless</w:t>
      </w:r>
      <w:r>
        <w:rPr>
          <w:spacing w:val="-14"/>
        </w:rPr>
        <w:t> </w:t>
      </w:r>
      <w:r>
        <w:rPr/>
        <w:t>of</w:t>
      </w:r>
      <w:r>
        <w:rPr>
          <w:spacing w:val="-13"/>
        </w:rPr>
        <w:t> </w:t>
      </w:r>
      <w:r>
        <w:rPr/>
        <w:t>the</w:t>
      </w:r>
      <w:r>
        <w:rPr>
          <w:spacing w:val="-13"/>
        </w:rPr>
        <w:t> </w:t>
      </w:r>
      <w:r>
        <w:rPr/>
        <w:t>data</w:t>
      </w:r>
      <w:r>
        <w:rPr>
          <w:spacing w:val="-12"/>
        </w:rPr>
        <w:t> </w:t>
      </w:r>
      <w:r>
        <w:rPr/>
        <w:t>collection</w:t>
      </w:r>
      <w:r>
        <w:rPr>
          <w:spacing w:val="-12"/>
        </w:rPr>
        <w:t> </w:t>
      </w:r>
      <w:r>
        <w:rPr/>
        <w:t>method,</w:t>
      </w:r>
      <w:r>
        <w:rPr>
          <w:spacing w:val="-12"/>
        </w:rPr>
        <w:t> </w:t>
      </w:r>
      <w:r>
        <w:rPr/>
        <w:t>all</w:t>
      </w:r>
      <w:r>
        <w:rPr>
          <w:spacing w:val="-12"/>
        </w:rPr>
        <w:t> </w:t>
      </w:r>
      <w:r>
        <w:rPr/>
        <w:t>tourist</w:t>
      </w:r>
      <w:r>
        <w:rPr>
          <w:spacing w:val="-12"/>
        </w:rPr>
        <w:t> </w:t>
      </w:r>
      <w:r>
        <w:rPr/>
        <w:t>respondents</w:t>
      </w:r>
      <w:r>
        <w:rPr>
          <w:spacing w:val="-14"/>
        </w:rPr>
        <w:t> </w:t>
      </w:r>
      <w:r>
        <w:rPr/>
        <w:t>had</w:t>
      </w:r>
      <w:r>
        <w:rPr>
          <w:spacing w:val="-11"/>
        </w:rPr>
        <w:t> </w:t>
      </w:r>
      <w:r>
        <w:rPr/>
        <w:t>visited </w:t>
      </w:r>
      <w:r>
        <w:rPr/>
      </w:r>
      <w:r>
        <w:rPr>
          <w:rFonts w:ascii="Calibri" w:hAnsi="Calibri" w:cs="Calibri" w:eastAsia="Calibri" w:hint="default"/>
        </w:rPr>
        <w:t>Curaçao within the last year. The survey gauged the tourists’ overall perception of Curaçao’s destination attributes </w:t>
      </w:r>
      <w:r>
        <w:rPr/>
        <w:t>by</w:t>
      </w:r>
      <w:r>
        <w:rPr>
          <w:spacing w:val="-2"/>
        </w:rPr>
        <w:t> </w:t>
      </w:r>
      <w:r>
        <w:rPr/>
        <w:t>asking</w:t>
      </w:r>
      <w:r>
        <w:rPr>
          <w:spacing w:val="-3"/>
        </w:rPr>
        <w:t> </w:t>
      </w:r>
      <w:r>
        <w:rPr/>
        <w:t>the</w:t>
      </w:r>
      <w:r>
        <w:rPr>
          <w:spacing w:val="-3"/>
        </w:rPr>
        <w:t> </w:t>
      </w:r>
      <w:r>
        <w:rPr/>
        <w:t>respondents</w:t>
      </w:r>
      <w:r>
        <w:rPr>
          <w:spacing w:val="-3"/>
        </w:rPr>
        <w:t> </w:t>
      </w:r>
      <w:r>
        <w:rPr/>
        <w:t>to</w:t>
      </w:r>
      <w:r>
        <w:rPr>
          <w:spacing w:val="-2"/>
        </w:rPr>
        <w:t> </w:t>
      </w:r>
      <w:r>
        <w:rPr/>
        <w:t>rate</w:t>
      </w:r>
      <w:r>
        <w:rPr>
          <w:spacing w:val="-3"/>
        </w:rPr>
        <w:t> </w:t>
      </w:r>
      <w:r>
        <w:rPr/>
        <w:t>each</w:t>
      </w:r>
      <w:r>
        <w:rPr>
          <w:spacing w:val="-2"/>
        </w:rPr>
        <w:t> </w:t>
      </w:r>
      <w:r>
        <w:rPr/>
        <w:t>attribute</w:t>
      </w:r>
      <w:r>
        <w:rPr>
          <w:spacing w:val="-3"/>
        </w:rPr>
        <w:t> </w:t>
      </w:r>
      <w:r>
        <w:rPr/>
        <w:t>(1</w:t>
      </w:r>
      <w:r>
        <w:rPr>
          <w:spacing w:val="2"/>
        </w:rPr>
        <w:t> </w:t>
      </w:r>
      <w:r>
        <w:rPr/>
        <w:t>=</w:t>
      </w:r>
      <w:r>
        <w:rPr>
          <w:spacing w:val="-3"/>
        </w:rPr>
        <w:t> </w:t>
      </w:r>
      <w:r>
        <w:rPr/>
        <w:t>low</w:t>
      </w:r>
      <w:r>
        <w:rPr>
          <w:spacing w:val="-3"/>
        </w:rPr>
        <w:t> </w:t>
      </w:r>
      <w:r>
        <w:rPr/>
        <w:t>rating</w:t>
      </w:r>
      <w:r>
        <w:rPr>
          <w:spacing w:val="-3"/>
        </w:rPr>
        <w:t> </w:t>
      </w:r>
      <w:r>
        <w:rPr/>
        <w:t>and 6</w:t>
      </w:r>
      <w:r>
        <w:rPr>
          <w:spacing w:val="-2"/>
        </w:rPr>
        <w:t> </w:t>
      </w:r>
      <w:r>
        <w:rPr/>
        <w:t>=</w:t>
      </w:r>
      <w:r>
        <w:rPr>
          <w:spacing w:val="-3"/>
        </w:rPr>
        <w:t> </w:t>
      </w:r>
      <w:r>
        <w:rPr/>
        <w:t>high</w:t>
      </w:r>
      <w:r>
        <w:rPr>
          <w:spacing w:val="-2"/>
        </w:rPr>
        <w:t> </w:t>
      </w:r>
      <w:r>
        <w:rPr/>
        <w:t>rating)</w:t>
      </w:r>
      <w:r>
        <w:rPr>
          <w:spacing w:val="-3"/>
        </w:rPr>
        <w:t> </w:t>
      </w:r>
      <w:r>
        <w:rPr/>
        <w:t>(see</w:t>
      </w:r>
      <w:r>
        <w:rPr>
          <w:spacing w:val="-1"/>
        </w:rPr>
        <w:t> </w:t>
      </w:r>
      <w:r>
        <w:rPr/>
        <w:t>Table</w:t>
      </w:r>
      <w:r>
        <w:rPr>
          <w:spacing w:val="-4"/>
        </w:rPr>
        <w:t> </w:t>
      </w:r>
      <w:r>
        <w:rPr/>
        <w:t>4).</w:t>
      </w:r>
    </w:p>
    <w:p>
      <w:pPr>
        <w:spacing w:line="240" w:lineRule="auto" w:before="1"/>
        <w:ind w:right="0"/>
        <w:rPr>
          <w:rFonts w:ascii="Calibri" w:hAnsi="Calibri" w:cs="Calibri" w:eastAsia="Calibri" w:hint="default"/>
          <w:sz w:val="20"/>
          <w:szCs w:val="20"/>
        </w:rPr>
      </w:pPr>
    </w:p>
    <w:p>
      <w:pPr>
        <w:pStyle w:val="Heading9"/>
        <w:tabs>
          <w:tab w:pos="3660" w:val="left" w:leader="none"/>
          <w:tab w:pos="10614" w:val="left" w:leader="none"/>
        </w:tabs>
        <w:spacing w:line="240" w:lineRule="auto" w:after="44"/>
        <w:ind w:left="1440" w:right="0"/>
        <w:jc w:val="both"/>
        <w:rPr>
          <w:rFonts w:ascii="Calibri" w:hAnsi="Calibri" w:cs="Calibri" w:eastAsia="Calibri" w:hint="default"/>
          <w:b w:val="0"/>
          <w:bCs w:val="0"/>
        </w:rPr>
      </w:pPr>
      <w:bookmarkStart w:name="_bookmark30" w:id="31"/>
      <w:bookmarkEnd w:id="31"/>
      <w:r>
        <w:rPr>
          <w:b w:val="0"/>
          <w:bCs w:val="0"/>
        </w:rPr>
      </w:r>
      <w:r>
        <w:rPr>
          <w:w w:val="99"/>
        </w:rPr>
      </w:r>
      <w:r>
        <w:rPr>
          <w:w w:val="99"/>
          <w:u w:val="single" w:color="000000"/>
        </w:rPr>
        <w:t> </w:t>
      </w:r>
      <w:r>
        <w:rPr>
          <w:u w:val="single" w:color="000000"/>
        </w:rPr>
        <w:tab/>
        <w:t>Table 4:  </w:t>
      </w:r>
      <w:r>
        <w:rPr>
          <w:rFonts w:ascii="Calibri" w:hAnsi="Calibri" w:cs="Calibri" w:eastAsia="Calibri" w:hint="default"/>
          <w:u w:val="single" w:color="000000"/>
        </w:rPr>
        <w:t>Tourists’ rating of Curaçao’s destination</w:t>
      </w:r>
      <w:r>
        <w:rPr>
          <w:rFonts w:ascii="Calibri" w:hAnsi="Calibri" w:cs="Calibri" w:eastAsia="Calibri" w:hint="default"/>
          <w:spacing w:val="-22"/>
          <w:u w:val="single" w:color="000000"/>
        </w:rPr>
        <w:t> </w:t>
      </w:r>
      <w:r>
        <w:rPr>
          <w:rFonts w:ascii="Calibri" w:hAnsi="Calibri" w:cs="Calibri" w:eastAsia="Calibri" w:hint="default"/>
          <w:u w:val="single" w:color="000000"/>
        </w:rPr>
        <w:t>attributes</w:t>
        <w:tab/>
      </w:r>
      <w:r>
        <w:rPr>
          <w:rFonts w:ascii="Calibri" w:hAnsi="Calibri" w:cs="Calibri" w:eastAsia="Calibri" w:hint="default"/>
        </w:rPr>
      </w:r>
      <w:r>
        <w:rPr>
          <w:rFonts w:ascii="Calibri" w:hAnsi="Calibri" w:cs="Calibri" w:eastAsia="Calibri" w:hint="default"/>
          <w:b w:val="0"/>
          <w:bCs w:val="0"/>
        </w:rPr>
      </w:r>
    </w:p>
    <w:tbl>
      <w:tblPr>
        <w:tblW w:w="0" w:type="auto"/>
        <w:jc w:val="left"/>
        <w:tblInd w:w="1440" w:type="dxa"/>
        <w:tblLayout w:type="fixed"/>
        <w:tblCellMar>
          <w:top w:w="0" w:type="dxa"/>
          <w:left w:w="0" w:type="dxa"/>
          <w:bottom w:w="0" w:type="dxa"/>
          <w:right w:w="0" w:type="dxa"/>
        </w:tblCellMar>
        <w:tblLook w:val="01E0"/>
      </w:tblPr>
      <w:tblGrid>
        <w:gridCol w:w="6069"/>
        <w:gridCol w:w="3106"/>
      </w:tblGrid>
      <w:tr>
        <w:trPr>
          <w:trHeight w:val="190" w:hRule="exact"/>
        </w:trPr>
        <w:tc>
          <w:tcPr>
            <w:tcW w:w="6069" w:type="dxa"/>
            <w:tcBorders>
              <w:top w:val="nil" w:sz="6" w:space="0" w:color="auto"/>
              <w:left w:val="nil" w:sz="6" w:space="0" w:color="auto"/>
              <w:bottom w:val="single" w:sz="4" w:space="0" w:color="000000"/>
              <w:right w:val="nil" w:sz="6" w:space="0" w:color="auto"/>
            </w:tcBorders>
          </w:tcPr>
          <w:p>
            <w:pPr>
              <w:pStyle w:val="TableParagraph"/>
              <w:spacing w:line="183" w:lineRule="exact"/>
              <w:ind w:left="69" w:right="0"/>
              <w:jc w:val="left"/>
              <w:rPr>
                <w:rFonts w:ascii="Calibri" w:hAnsi="Calibri" w:cs="Calibri" w:eastAsia="Calibri" w:hint="default"/>
                <w:sz w:val="18"/>
                <w:szCs w:val="18"/>
              </w:rPr>
            </w:pPr>
            <w:r>
              <w:rPr>
                <w:rFonts w:ascii="Calibri"/>
                <w:b/>
                <w:sz w:val="18"/>
              </w:rPr>
              <w:t>Island</w:t>
            </w:r>
            <w:r>
              <w:rPr>
                <w:rFonts w:ascii="Calibri"/>
                <w:b/>
                <w:spacing w:val="-7"/>
                <w:sz w:val="18"/>
              </w:rPr>
              <w:t> </w:t>
            </w:r>
            <w:r>
              <w:rPr>
                <w:rFonts w:ascii="Calibri"/>
                <w:b/>
                <w:sz w:val="18"/>
              </w:rPr>
              <w:t>perceptions</w:t>
            </w:r>
            <w:r>
              <w:rPr>
                <w:rFonts w:ascii="Calibri"/>
                <w:sz w:val="18"/>
              </w:rPr>
            </w:r>
          </w:p>
        </w:tc>
        <w:tc>
          <w:tcPr>
            <w:tcW w:w="3106" w:type="dxa"/>
            <w:tcBorders>
              <w:top w:val="nil" w:sz="6" w:space="0" w:color="auto"/>
              <w:left w:val="nil" w:sz="6" w:space="0" w:color="auto"/>
              <w:bottom w:val="single" w:sz="4" w:space="0" w:color="000000"/>
              <w:right w:val="nil" w:sz="6" w:space="0" w:color="auto"/>
            </w:tcBorders>
          </w:tcPr>
          <w:p>
            <w:pPr>
              <w:pStyle w:val="TableParagraph"/>
              <w:spacing w:line="183" w:lineRule="exact"/>
              <w:ind w:right="734"/>
              <w:jc w:val="right"/>
              <w:rPr>
                <w:rFonts w:ascii="Calibri" w:hAnsi="Calibri" w:cs="Calibri" w:eastAsia="Calibri" w:hint="default"/>
                <w:sz w:val="18"/>
                <w:szCs w:val="18"/>
              </w:rPr>
            </w:pPr>
            <w:r>
              <w:rPr>
                <w:rFonts w:ascii="Calibri"/>
                <w:b/>
                <w:sz w:val="18"/>
              </w:rPr>
              <w:t>Mean</w:t>
            </w:r>
            <w:r>
              <w:rPr>
                <w:rFonts w:ascii="Calibri"/>
                <w:sz w:val="18"/>
              </w:rPr>
            </w:r>
          </w:p>
        </w:tc>
      </w:tr>
      <w:tr>
        <w:trPr>
          <w:trHeight w:val="241" w:hRule="exact"/>
        </w:trPr>
        <w:tc>
          <w:tcPr>
            <w:tcW w:w="6069" w:type="dxa"/>
            <w:tcBorders>
              <w:top w:val="single" w:sz="4" w:space="0" w:color="000000"/>
              <w:left w:val="nil" w:sz="6" w:space="0" w:color="auto"/>
              <w:bottom w:val="nil" w:sz="6" w:space="0" w:color="auto"/>
              <w:right w:val="nil" w:sz="6" w:space="0" w:color="auto"/>
            </w:tcBorders>
          </w:tcPr>
          <w:p>
            <w:pPr>
              <w:pStyle w:val="TableParagraph"/>
              <w:spacing w:line="219" w:lineRule="exact"/>
              <w:ind w:left="69" w:right="0"/>
              <w:jc w:val="left"/>
              <w:rPr>
                <w:rFonts w:ascii="Calibri" w:hAnsi="Calibri" w:cs="Calibri" w:eastAsia="Calibri" w:hint="default"/>
                <w:sz w:val="18"/>
                <w:szCs w:val="18"/>
              </w:rPr>
            </w:pPr>
            <w:r>
              <w:rPr>
                <w:rFonts w:ascii="Calibri"/>
                <w:sz w:val="18"/>
              </w:rPr>
              <w:t>Accommodation Staff</w:t>
            </w:r>
            <w:r>
              <w:rPr>
                <w:rFonts w:ascii="Calibri"/>
                <w:spacing w:val="-9"/>
                <w:sz w:val="18"/>
              </w:rPr>
              <w:t> </w:t>
            </w:r>
            <w:r>
              <w:rPr>
                <w:rFonts w:ascii="Calibri"/>
                <w:sz w:val="18"/>
              </w:rPr>
              <w:t>Friendliness</w:t>
            </w:r>
          </w:p>
        </w:tc>
        <w:tc>
          <w:tcPr>
            <w:tcW w:w="3106" w:type="dxa"/>
            <w:tcBorders>
              <w:top w:val="single" w:sz="4" w:space="0" w:color="000000"/>
              <w:left w:val="nil" w:sz="6" w:space="0" w:color="auto"/>
              <w:bottom w:val="nil" w:sz="6" w:space="0" w:color="auto"/>
              <w:right w:val="nil" w:sz="6" w:space="0" w:color="auto"/>
            </w:tcBorders>
          </w:tcPr>
          <w:p>
            <w:pPr>
              <w:pStyle w:val="TableParagraph"/>
              <w:spacing w:line="219" w:lineRule="exact"/>
              <w:ind w:right="792"/>
              <w:jc w:val="right"/>
              <w:rPr>
                <w:rFonts w:ascii="Calibri" w:hAnsi="Calibri" w:cs="Calibri" w:eastAsia="Calibri" w:hint="default"/>
                <w:sz w:val="18"/>
                <w:szCs w:val="18"/>
              </w:rPr>
            </w:pPr>
            <w:r>
              <w:rPr>
                <w:rFonts w:ascii="Calibri"/>
                <w:sz w:val="18"/>
              </w:rPr>
              <w:t>5.21</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Accommodation Safety and</w:t>
            </w:r>
            <w:r>
              <w:rPr>
                <w:rFonts w:ascii="Calibri"/>
                <w:spacing w:val="-8"/>
                <w:sz w:val="18"/>
              </w:rPr>
              <w:t> </w:t>
            </w:r>
            <w:r>
              <w:rPr>
                <w:rFonts w:ascii="Calibri"/>
                <w:sz w:val="18"/>
              </w:rPr>
              <w:t>Security</w:t>
            </w:r>
          </w:p>
        </w:tc>
        <w:tc>
          <w:tcPr>
            <w:tcW w:w="3106" w:type="dxa"/>
            <w:tcBorders>
              <w:top w:val="nil" w:sz="6" w:space="0" w:color="auto"/>
              <w:left w:val="nil" w:sz="6" w:space="0" w:color="auto"/>
              <w:bottom w:val="nil" w:sz="6" w:space="0" w:color="auto"/>
              <w:right w:val="nil" w:sz="6" w:space="0" w:color="auto"/>
            </w:tcBorders>
          </w:tcPr>
          <w:p>
            <w:pPr>
              <w:pStyle w:val="TableParagraph"/>
              <w:spacing w:line="204" w:lineRule="exact"/>
              <w:ind w:right="792"/>
              <w:jc w:val="right"/>
              <w:rPr>
                <w:rFonts w:ascii="Calibri" w:hAnsi="Calibri" w:cs="Calibri" w:eastAsia="Calibri" w:hint="default"/>
                <w:sz w:val="18"/>
                <w:szCs w:val="18"/>
              </w:rPr>
            </w:pPr>
            <w:r>
              <w:rPr>
                <w:rFonts w:ascii="Calibri"/>
                <w:sz w:val="18"/>
              </w:rPr>
              <w:t>5.12</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3" w:lineRule="exact"/>
              <w:ind w:left="69" w:right="0"/>
              <w:jc w:val="left"/>
              <w:rPr>
                <w:rFonts w:ascii="Calibri" w:hAnsi="Calibri" w:cs="Calibri" w:eastAsia="Calibri" w:hint="default"/>
                <w:sz w:val="18"/>
                <w:szCs w:val="18"/>
              </w:rPr>
            </w:pPr>
            <w:r>
              <w:rPr>
                <w:rFonts w:ascii="Calibri"/>
                <w:sz w:val="18"/>
              </w:rPr>
              <w:t>Restaurant Staff</w:t>
            </w:r>
            <w:r>
              <w:rPr>
                <w:rFonts w:ascii="Calibri"/>
                <w:spacing w:val="-11"/>
                <w:sz w:val="18"/>
              </w:rPr>
              <w:t> </w:t>
            </w:r>
            <w:r>
              <w:rPr>
                <w:rFonts w:ascii="Calibri"/>
                <w:sz w:val="18"/>
              </w:rPr>
              <w:t>Friendliness</w:t>
            </w:r>
          </w:p>
        </w:tc>
        <w:tc>
          <w:tcPr>
            <w:tcW w:w="3106" w:type="dxa"/>
            <w:tcBorders>
              <w:top w:val="nil" w:sz="6" w:space="0" w:color="auto"/>
              <w:left w:val="nil" w:sz="6" w:space="0" w:color="auto"/>
              <w:bottom w:val="nil" w:sz="6" w:space="0" w:color="auto"/>
              <w:right w:val="nil" w:sz="6" w:space="0" w:color="auto"/>
            </w:tcBorders>
          </w:tcPr>
          <w:p>
            <w:pPr>
              <w:pStyle w:val="TableParagraph"/>
              <w:spacing w:line="203" w:lineRule="exact"/>
              <w:ind w:right="792"/>
              <w:jc w:val="right"/>
              <w:rPr>
                <w:rFonts w:ascii="Calibri" w:hAnsi="Calibri" w:cs="Calibri" w:eastAsia="Calibri" w:hint="default"/>
                <w:sz w:val="18"/>
                <w:szCs w:val="18"/>
              </w:rPr>
            </w:pPr>
            <w:r>
              <w:rPr>
                <w:rFonts w:ascii="Calibri"/>
                <w:sz w:val="18"/>
              </w:rPr>
              <w:t>5.11</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Accommodation &amp; Restaurant Payment</w:t>
            </w:r>
            <w:r>
              <w:rPr>
                <w:rFonts w:ascii="Calibri"/>
                <w:spacing w:val="-10"/>
                <w:sz w:val="18"/>
              </w:rPr>
              <w:t> </w:t>
            </w:r>
            <w:r>
              <w:rPr>
                <w:rFonts w:ascii="Calibri"/>
                <w:sz w:val="18"/>
              </w:rPr>
              <w:t>Options</w:t>
            </w:r>
          </w:p>
        </w:tc>
        <w:tc>
          <w:tcPr>
            <w:tcW w:w="3106" w:type="dxa"/>
            <w:tcBorders>
              <w:top w:val="nil" w:sz="6" w:space="0" w:color="auto"/>
              <w:left w:val="nil" w:sz="6" w:space="0" w:color="auto"/>
              <w:bottom w:val="nil" w:sz="6" w:space="0" w:color="auto"/>
              <w:right w:val="nil" w:sz="6" w:space="0" w:color="auto"/>
            </w:tcBorders>
          </w:tcPr>
          <w:p>
            <w:pPr>
              <w:pStyle w:val="TableParagraph"/>
              <w:spacing w:line="204" w:lineRule="exact"/>
              <w:ind w:right="792"/>
              <w:jc w:val="right"/>
              <w:rPr>
                <w:rFonts w:ascii="Calibri" w:hAnsi="Calibri" w:cs="Calibri" w:eastAsia="Calibri" w:hint="default"/>
                <w:sz w:val="18"/>
                <w:szCs w:val="18"/>
              </w:rPr>
            </w:pPr>
            <w:r>
              <w:rPr>
                <w:rFonts w:ascii="Calibri"/>
                <w:sz w:val="18"/>
              </w:rPr>
              <w:t>5.10</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3" w:lineRule="exact"/>
              <w:ind w:left="69" w:right="0"/>
              <w:jc w:val="left"/>
              <w:rPr>
                <w:rFonts w:ascii="Calibri" w:hAnsi="Calibri" w:cs="Calibri" w:eastAsia="Calibri" w:hint="default"/>
                <w:sz w:val="18"/>
                <w:szCs w:val="18"/>
              </w:rPr>
            </w:pPr>
            <w:r>
              <w:rPr>
                <w:rFonts w:ascii="Calibri"/>
                <w:sz w:val="18"/>
              </w:rPr>
              <w:t>Local</w:t>
            </w:r>
            <w:r>
              <w:rPr>
                <w:rFonts w:ascii="Calibri"/>
                <w:spacing w:val="-6"/>
                <w:sz w:val="18"/>
              </w:rPr>
              <w:t> </w:t>
            </w:r>
            <w:r>
              <w:rPr>
                <w:rFonts w:ascii="Calibri"/>
                <w:sz w:val="18"/>
              </w:rPr>
              <w:t>Friendliness</w:t>
            </w:r>
          </w:p>
        </w:tc>
        <w:tc>
          <w:tcPr>
            <w:tcW w:w="3106" w:type="dxa"/>
            <w:tcBorders>
              <w:top w:val="nil" w:sz="6" w:space="0" w:color="auto"/>
              <w:left w:val="nil" w:sz="6" w:space="0" w:color="auto"/>
              <w:bottom w:val="nil" w:sz="6" w:space="0" w:color="auto"/>
              <w:right w:val="nil" w:sz="6" w:space="0" w:color="auto"/>
            </w:tcBorders>
          </w:tcPr>
          <w:p>
            <w:pPr>
              <w:pStyle w:val="TableParagraph"/>
              <w:spacing w:line="203" w:lineRule="exact"/>
              <w:ind w:right="792"/>
              <w:jc w:val="right"/>
              <w:rPr>
                <w:rFonts w:ascii="Calibri" w:hAnsi="Calibri" w:cs="Calibri" w:eastAsia="Calibri" w:hint="default"/>
                <w:sz w:val="18"/>
                <w:szCs w:val="18"/>
              </w:rPr>
            </w:pPr>
            <w:r>
              <w:rPr>
                <w:rFonts w:ascii="Calibri"/>
                <w:sz w:val="18"/>
              </w:rPr>
              <w:t>5.10</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Multi-lingual</w:t>
            </w:r>
            <w:r>
              <w:rPr>
                <w:rFonts w:ascii="Calibri"/>
                <w:spacing w:val="-5"/>
                <w:sz w:val="18"/>
              </w:rPr>
              <w:t> </w:t>
            </w:r>
            <w:r>
              <w:rPr>
                <w:rFonts w:ascii="Calibri"/>
                <w:sz w:val="18"/>
              </w:rPr>
              <w:t>Locals</w:t>
            </w:r>
          </w:p>
        </w:tc>
        <w:tc>
          <w:tcPr>
            <w:tcW w:w="3106" w:type="dxa"/>
            <w:tcBorders>
              <w:top w:val="nil" w:sz="6" w:space="0" w:color="auto"/>
              <w:left w:val="nil" w:sz="6" w:space="0" w:color="auto"/>
              <w:bottom w:val="nil" w:sz="6" w:space="0" w:color="auto"/>
              <w:right w:val="nil" w:sz="6" w:space="0" w:color="auto"/>
            </w:tcBorders>
          </w:tcPr>
          <w:p>
            <w:pPr>
              <w:pStyle w:val="TableParagraph"/>
              <w:spacing w:line="204" w:lineRule="exact"/>
              <w:ind w:right="792"/>
              <w:jc w:val="right"/>
              <w:rPr>
                <w:rFonts w:ascii="Calibri" w:hAnsi="Calibri" w:cs="Calibri" w:eastAsia="Calibri" w:hint="default"/>
                <w:sz w:val="18"/>
                <w:szCs w:val="18"/>
              </w:rPr>
            </w:pPr>
            <w:r>
              <w:rPr>
                <w:rFonts w:ascii="Calibri"/>
                <w:sz w:val="18"/>
              </w:rPr>
              <w:t>5.07</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3" w:lineRule="exact"/>
              <w:ind w:left="69" w:right="0"/>
              <w:jc w:val="left"/>
              <w:rPr>
                <w:rFonts w:ascii="Calibri" w:hAnsi="Calibri" w:cs="Calibri" w:eastAsia="Calibri" w:hint="default"/>
                <w:sz w:val="18"/>
                <w:szCs w:val="18"/>
              </w:rPr>
            </w:pPr>
            <w:r>
              <w:rPr>
                <w:rFonts w:ascii="Calibri"/>
                <w:sz w:val="18"/>
              </w:rPr>
              <w:t>Accommodation</w:t>
            </w:r>
            <w:r>
              <w:rPr>
                <w:rFonts w:ascii="Calibri"/>
                <w:spacing w:val="-11"/>
                <w:sz w:val="18"/>
              </w:rPr>
              <w:t> </w:t>
            </w:r>
            <w:r>
              <w:rPr>
                <w:rFonts w:ascii="Calibri"/>
                <w:sz w:val="18"/>
              </w:rPr>
              <w:t>Cleanliness</w:t>
            </w:r>
          </w:p>
        </w:tc>
        <w:tc>
          <w:tcPr>
            <w:tcW w:w="3106" w:type="dxa"/>
            <w:tcBorders>
              <w:top w:val="nil" w:sz="6" w:space="0" w:color="auto"/>
              <w:left w:val="nil" w:sz="6" w:space="0" w:color="auto"/>
              <w:bottom w:val="nil" w:sz="6" w:space="0" w:color="auto"/>
              <w:right w:val="nil" w:sz="6" w:space="0" w:color="auto"/>
            </w:tcBorders>
          </w:tcPr>
          <w:p>
            <w:pPr>
              <w:pStyle w:val="TableParagraph"/>
              <w:spacing w:line="203" w:lineRule="exact"/>
              <w:ind w:right="792"/>
              <w:jc w:val="right"/>
              <w:rPr>
                <w:rFonts w:ascii="Calibri" w:hAnsi="Calibri" w:cs="Calibri" w:eastAsia="Calibri" w:hint="default"/>
                <w:sz w:val="18"/>
                <w:szCs w:val="18"/>
              </w:rPr>
            </w:pPr>
            <w:r>
              <w:rPr>
                <w:rFonts w:ascii="Calibri"/>
                <w:sz w:val="18"/>
              </w:rPr>
              <w:t>5.03</w:t>
            </w:r>
          </w:p>
        </w:tc>
      </w:tr>
      <w:tr>
        <w:trPr>
          <w:trHeight w:val="221"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Accommodation</w:t>
            </w:r>
            <w:r>
              <w:rPr>
                <w:rFonts w:ascii="Calibri"/>
                <w:spacing w:val="-8"/>
                <w:sz w:val="18"/>
              </w:rPr>
              <w:t> </w:t>
            </w:r>
            <w:r>
              <w:rPr>
                <w:rFonts w:ascii="Calibri"/>
                <w:sz w:val="18"/>
              </w:rPr>
              <w:t>Attractiveness</w:t>
            </w:r>
          </w:p>
        </w:tc>
        <w:tc>
          <w:tcPr>
            <w:tcW w:w="3106" w:type="dxa"/>
            <w:tcBorders>
              <w:top w:val="nil" w:sz="6" w:space="0" w:color="auto"/>
              <w:left w:val="nil" w:sz="6" w:space="0" w:color="auto"/>
              <w:bottom w:val="nil" w:sz="6" w:space="0" w:color="auto"/>
              <w:right w:val="nil" w:sz="6" w:space="0" w:color="auto"/>
            </w:tcBorders>
          </w:tcPr>
          <w:p>
            <w:pPr>
              <w:pStyle w:val="TableParagraph"/>
              <w:spacing w:line="204" w:lineRule="exact"/>
              <w:ind w:right="792"/>
              <w:jc w:val="right"/>
              <w:rPr>
                <w:rFonts w:ascii="Calibri" w:hAnsi="Calibri" w:cs="Calibri" w:eastAsia="Calibri" w:hint="default"/>
                <w:sz w:val="18"/>
                <w:szCs w:val="18"/>
              </w:rPr>
            </w:pPr>
            <w:r>
              <w:rPr>
                <w:rFonts w:ascii="Calibri"/>
                <w:sz w:val="18"/>
              </w:rPr>
              <w:t>5.02</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Airport Safety and</w:t>
            </w:r>
            <w:r>
              <w:rPr>
                <w:rFonts w:ascii="Calibri"/>
                <w:spacing w:val="-8"/>
                <w:sz w:val="18"/>
              </w:rPr>
              <w:t> </w:t>
            </w:r>
            <w:r>
              <w:rPr>
                <w:rFonts w:ascii="Calibri"/>
                <w:sz w:val="18"/>
              </w:rPr>
              <w:t>Security</w:t>
            </w:r>
          </w:p>
        </w:tc>
        <w:tc>
          <w:tcPr>
            <w:tcW w:w="3106" w:type="dxa"/>
            <w:tcBorders>
              <w:top w:val="nil" w:sz="6" w:space="0" w:color="auto"/>
              <w:left w:val="nil" w:sz="6" w:space="0" w:color="auto"/>
              <w:bottom w:val="nil" w:sz="6" w:space="0" w:color="auto"/>
              <w:right w:val="nil" w:sz="6" w:space="0" w:color="auto"/>
            </w:tcBorders>
          </w:tcPr>
          <w:p>
            <w:pPr>
              <w:pStyle w:val="TableParagraph"/>
              <w:spacing w:line="204" w:lineRule="exact"/>
              <w:ind w:right="792"/>
              <w:jc w:val="right"/>
              <w:rPr>
                <w:rFonts w:ascii="Calibri" w:hAnsi="Calibri" w:cs="Calibri" w:eastAsia="Calibri" w:hint="default"/>
                <w:sz w:val="18"/>
                <w:szCs w:val="18"/>
              </w:rPr>
            </w:pPr>
            <w:r>
              <w:rPr>
                <w:rFonts w:ascii="Calibri"/>
                <w:sz w:val="18"/>
              </w:rPr>
              <w:t>5.02</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3" w:lineRule="exact"/>
              <w:ind w:left="69" w:right="0"/>
              <w:jc w:val="left"/>
              <w:rPr>
                <w:rFonts w:ascii="Calibri" w:hAnsi="Calibri" w:cs="Calibri" w:eastAsia="Calibri" w:hint="default"/>
                <w:sz w:val="18"/>
                <w:szCs w:val="18"/>
              </w:rPr>
            </w:pPr>
            <w:r>
              <w:rPr>
                <w:rFonts w:ascii="Calibri"/>
                <w:sz w:val="18"/>
              </w:rPr>
              <w:t>Restaurant Safety and</w:t>
            </w:r>
            <w:r>
              <w:rPr>
                <w:rFonts w:ascii="Calibri"/>
                <w:spacing w:val="-9"/>
                <w:sz w:val="18"/>
              </w:rPr>
              <w:t> </w:t>
            </w:r>
            <w:r>
              <w:rPr>
                <w:rFonts w:ascii="Calibri"/>
                <w:sz w:val="18"/>
              </w:rPr>
              <w:t>Security</w:t>
            </w:r>
          </w:p>
        </w:tc>
        <w:tc>
          <w:tcPr>
            <w:tcW w:w="3106" w:type="dxa"/>
            <w:tcBorders>
              <w:top w:val="nil" w:sz="6" w:space="0" w:color="auto"/>
              <w:left w:val="nil" w:sz="6" w:space="0" w:color="auto"/>
              <w:bottom w:val="nil" w:sz="6" w:space="0" w:color="auto"/>
              <w:right w:val="nil" w:sz="6" w:space="0" w:color="auto"/>
            </w:tcBorders>
          </w:tcPr>
          <w:p>
            <w:pPr>
              <w:pStyle w:val="TableParagraph"/>
              <w:spacing w:line="203" w:lineRule="exact"/>
              <w:ind w:right="792"/>
              <w:jc w:val="right"/>
              <w:rPr>
                <w:rFonts w:ascii="Calibri" w:hAnsi="Calibri" w:cs="Calibri" w:eastAsia="Calibri" w:hint="default"/>
                <w:sz w:val="18"/>
                <w:szCs w:val="18"/>
              </w:rPr>
            </w:pPr>
            <w:r>
              <w:rPr>
                <w:rFonts w:ascii="Calibri"/>
                <w:sz w:val="18"/>
              </w:rPr>
              <w:t>5.02</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Airport</w:t>
            </w:r>
            <w:r>
              <w:rPr>
                <w:rFonts w:ascii="Calibri"/>
                <w:spacing w:val="-9"/>
                <w:sz w:val="18"/>
              </w:rPr>
              <w:t> </w:t>
            </w:r>
            <w:r>
              <w:rPr>
                <w:rFonts w:ascii="Calibri"/>
                <w:sz w:val="18"/>
              </w:rPr>
              <w:t>Cleanliness</w:t>
            </w:r>
          </w:p>
        </w:tc>
        <w:tc>
          <w:tcPr>
            <w:tcW w:w="3106" w:type="dxa"/>
            <w:tcBorders>
              <w:top w:val="nil" w:sz="6" w:space="0" w:color="auto"/>
              <w:left w:val="nil" w:sz="6" w:space="0" w:color="auto"/>
              <w:bottom w:val="nil" w:sz="6" w:space="0" w:color="auto"/>
              <w:right w:val="nil" w:sz="6" w:space="0" w:color="auto"/>
            </w:tcBorders>
          </w:tcPr>
          <w:p>
            <w:pPr>
              <w:pStyle w:val="TableParagraph"/>
              <w:spacing w:line="204" w:lineRule="exact"/>
              <w:ind w:right="792"/>
              <w:jc w:val="right"/>
              <w:rPr>
                <w:rFonts w:ascii="Calibri" w:hAnsi="Calibri" w:cs="Calibri" w:eastAsia="Calibri" w:hint="default"/>
                <w:sz w:val="18"/>
                <w:szCs w:val="18"/>
              </w:rPr>
            </w:pPr>
            <w:r>
              <w:rPr>
                <w:rFonts w:ascii="Calibri"/>
                <w:sz w:val="18"/>
              </w:rPr>
              <w:t>5.01</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3" w:lineRule="exact"/>
              <w:ind w:left="69" w:right="0"/>
              <w:jc w:val="left"/>
              <w:rPr>
                <w:rFonts w:ascii="Calibri" w:hAnsi="Calibri" w:cs="Calibri" w:eastAsia="Calibri" w:hint="default"/>
                <w:sz w:val="18"/>
                <w:szCs w:val="18"/>
              </w:rPr>
            </w:pPr>
            <w:r>
              <w:rPr>
                <w:rFonts w:ascii="Calibri"/>
                <w:sz w:val="18"/>
              </w:rPr>
              <w:t>Drinking Water</w:t>
            </w:r>
            <w:r>
              <w:rPr>
                <w:rFonts w:ascii="Calibri"/>
                <w:spacing w:val="-8"/>
                <w:sz w:val="18"/>
              </w:rPr>
              <w:t> </w:t>
            </w:r>
            <w:r>
              <w:rPr>
                <w:rFonts w:ascii="Calibri"/>
                <w:sz w:val="18"/>
              </w:rPr>
              <w:t>Quality</w:t>
            </w:r>
          </w:p>
        </w:tc>
        <w:tc>
          <w:tcPr>
            <w:tcW w:w="3106" w:type="dxa"/>
            <w:tcBorders>
              <w:top w:val="nil" w:sz="6" w:space="0" w:color="auto"/>
              <w:left w:val="nil" w:sz="6" w:space="0" w:color="auto"/>
              <w:bottom w:val="nil" w:sz="6" w:space="0" w:color="auto"/>
              <w:right w:val="nil" w:sz="6" w:space="0" w:color="auto"/>
            </w:tcBorders>
          </w:tcPr>
          <w:p>
            <w:pPr>
              <w:pStyle w:val="TableParagraph"/>
              <w:spacing w:line="203" w:lineRule="exact"/>
              <w:ind w:right="792"/>
              <w:jc w:val="right"/>
              <w:rPr>
                <w:rFonts w:ascii="Calibri" w:hAnsi="Calibri" w:cs="Calibri" w:eastAsia="Calibri" w:hint="default"/>
                <w:sz w:val="18"/>
                <w:szCs w:val="18"/>
              </w:rPr>
            </w:pPr>
            <w:r>
              <w:rPr>
                <w:rFonts w:ascii="Calibri"/>
                <w:sz w:val="18"/>
              </w:rPr>
              <w:t>5.01</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Restaurant</w:t>
            </w:r>
            <w:r>
              <w:rPr>
                <w:rFonts w:ascii="Calibri"/>
                <w:spacing w:val="-8"/>
                <w:sz w:val="18"/>
              </w:rPr>
              <w:t> </w:t>
            </w:r>
            <w:r>
              <w:rPr>
                <w:rFonts w:ascii="Calibri"/>
                <w:sz w:val="18"/>
              </w:rPr>
              <w:t>Cleanliness</w:t>
            </w:r>
          </w:p>
        </w:tc>
        <w:tc>
          <w:tcPr>
            <w:tcW w:w="3106" w:type="dxa"/>
            <w:tcBorders>
              <w:top w:val="nil" w:sz="6" w:space="0" w:color="auto"/>
              <w:left w:val="nil" w:sz="6" w:space="0" w:color="auto"/>
              <w:bottom w:val="nil" w:sz="6" w:space="0" w:color="auto"/>
              <w:right w:val="nil" w:sz="6" w:space="0" w:color="auto"/>
            </w:tcBorders>
          </w:tcPr>
          <w:p>
            <w:pPr>
              <w:pStyle w:val="TableParagraph"/>
              <w:spacing w:line="204" w:lineRule="exact"/>
              <w:ind w:right="792"/>
              <w:jc w:val="right"/>
              <w:rPr>
                <w:rFonts w:ascii="Calibri" w:hAnsi="Calibri" w:cs="Calibri" w:eastAsia="Calibri" w:hint="default"/>
                <w:sz w:val="18"/>
                <w:szCs w:val="18"/>
              </w:rPr>
            </w:pPr>
            <w:r>
              <w:rPr>
                <w:rFonts w:ascii="Calibri"/>
                <w:sz w:val="18"/>
              </w:rPr>
              <w:t>4.95</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3" w:lineRule="exact"/>
              <w:ind w:left="69" w:right="0"/>
              <w:jc w:val="left"/>
              <w:rPr>
                <w:rFonts w:ascii="Calibri" w:hAnsi="Calibri" w:cs="Calibri" w:eastAsia="Calibri" w:hint="default"/>
                <w:sz w:val="18"/>
                <w:szCs w:val="18"/>
              </w:rPr>
            </w:pPr>
            <w:r>
              <w:rPr>
                <w:rFonts w:ascii="Calibri"/>
                <w:sz w:val="18"/>
              </w:rPr>
              <w:t>Restaurant</w:t>
            </w:r>
            <w:r>
              <w:rPr>
                <w:rFonts w:ascii="Calibri"/>
                <w:spacing w:val="-7"/>
                <w:sz w:val="18"/>
              </w:rPr>
              <w:t> </w:t>
            </w:r>
            <w:r>
              <w:rPr>
                <w:rFonts w:ascii="Calibri"/>
                <w:sz w:val="18"/>
              </w:rPr>
              <w:t>Attractiveness</w:t>
            </w:r>
          </w:p>
        </w:tc>
        <w:tc>
          <w:tcPr>
            <w:tcW w:w="3106" w:type="dxa"/>
            <w:tcBorders>
              <w:top w:val="nil" w:sz="6" w:space="0" w:color="auto"/>
              <w:left w:val="nil" w:sz="6" w:space="0" w:color="auto"/>
              <w:bottom w:val="nil" w:sz="6" w:space="0" w:color="auto"/>
              <w:right w:val="nil" w:sz="6" w:space="0" w:color="auto"/>
            </w:tcBorders>
          </w:tcPr>
          <w:p>
            <w:pPr>
              <w:pStyle w:val="TableParagraph"/>
              <w:spacing w:line="203" w:lineRule="exact"/>
              <w:ind w:right="792"/>
              <w:jc w:val="right"/>
              <w:rPr>
                <w:rFonts w:ascii="Calibri" w:hAnsi="Calibri" w:cs="Calibri" w:eastAsia="Calibri" w:hint="default"/>
                <w:sz w:val="18"/>
                <w:szCs w:val="18"/>
              </w:rPr>
            </w:pPr>
            <w:r>
              <w:rPr>
                <w:rFonts w:ascii="Calibri"/>
                <w:sz w:val="18"/>
              </w:rPr>
              <w:t>4.89</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Convenience Car Rental</w:t>
            </w:r>
            <w:r>
              <w:rPr>
                <w:rFonts w:ascii="Calibri"/>
                <w:spacing w:val="-13"/>
                <w:sz w:val="18"/>
              </w:rPr>
              <w:t> </w:t>
            </w:r>
            <w:r>
              <w:rPr>
                <w:rFonts w:ascii="Calibri"/>
                <w:sz w:val="18"/>
              </w:rPr>
              <w:t>Facilities</w:t>
            </w:r>
          </w:p>
        </w:tc>
        <w:tc>
          <w:tcPr>
            <w:tcW w:w="3106" w:type="dxa"/>
            <w:tcBorders>
              <w:top w:val="nil" w:sz="6" w:space="0" w:color="auto"/>
              <w:left w:val="nil" w:sz="6" w:space="0" w:color="auto"/>
              <w:bottom w:val="nil" w:sz="6" w:space="0" w:color="auto"/>
              <w:right w:val="nil" w:sz="6" w:space="0" w:color="auto"/>
            </w:tcBorders>
          </w:tcPr>
          <w:p>
            <w:pPr>
              <w:pStyle w:val="TableParagraph"/>
              <w:spacing w:line="204" w:lineRule="exact"/>
              <w:ind w:right="795"/>
              <w:jc w:val="right"/>
              <w:rPr>
                <w:rFonts w:ascii="Calibri" w:hAnsi="Calibri" w:cs="Calibri" w:eastAsia="Calibri" w:hint="default"/>
                <w:sz w:val="18"/>
                <w:szCs w:val="18"/>
              </w:rPr>
            </w:pPr>
            <w:r>
              <w:rPr>
                <w:rFonts w:ascii="Calibri"/>
                <w:sz w:val="18"/>
              </w:rPr>
              <w:t>4.8S</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3" w:lineRule="exact"/>
              <w:ind w:left="69" w:right="0"/>
              <w:jc w:val="left"/>
              <w:rPr>
                <w:rFonts w:ascii="Calibri" w:hAnsi="Calibri" w:cs="Calibri" w:eastAsia="Calibri" w:hint="default"/>
                <w:sz w:val="18"/>
                <w:szCs w:val="18"/>
              </w:rPr>
            </w:pPr>
            <w:r>
              <w:rPr>
                <w:rFonts w:ascii="Calibri"/>
                <w:sz w:val="18"/>
              </w:rPr>
              <w:t>Sites</w:t>
            </w:r>
            <w:r>
              <w:rPr>
                <w:rFonts w:ascii="Calibri"/>
                <w:spacing w:val="-8"/>
                <w:sz w:val="18"/>
              </w:rPr>
              <w:t> </w:t>
            </w:r>
            <w:r>
              <w:rPr>
                <w:rFonts w:ascii="Calibri"/>
                <w:sz w:val="18"/>
              </w:rPr>
              <w:t>Accessibility</w:t>
            </w:r>
          </w:p>
        </w:tc>
        <w:tc>
          <w:tcPr>
            <w:tcW w:w="3106" w:type="dxa"/>
            <w:tcBorders>
              <w:top w:val="nil" w:sz="6" w:space="0" w:color="auto"/>
              <w:left w:val="nil" w:sz="6" w:space="0" w:color="auto"/>
              <w:bottom w:val="nil" w:sz="6" w:space="0" w:color="auto"/>
              <w:right w:val="nil" w:sz="6" w:space="0" w:color="auto"/>
            </w:tcBorders>
          </w:tcPr>
          <w:p>
            <w:pPr>
              <w:pStyle w:val="TableParagraph"/>
              <w:spacing w:line="203" w:lineRule="exact"/>
              <w:ind w:right="792"/>
              <w:jc w:val="right"/>
              <w:rPr>
                <w:rFonts w:ascii="Calibri" w:hAnsi="Calibri" w:cs="Calibri" w:eastAsia="Calibri" w:hint="default"/>
                <w:sz w:val="18"/>
                <w:szCs w:val="18"/>
              </w:rPr>
            </w:pPr>
            <w:r>
              <w:rPr>
                <w:rFonts w:ascii="Calibri"/>
                <w:sz w:val="18"/>
              </w:rPr>
              <w:t>4.78</w:t>
            </w:r>
          </w:p>
        </w:tc>
      </w:tr>
      <w:tr>
        <w:trPr>
          <w:trHeight w:val="221"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Social</w:t>
            </w:r>
            <w:r>
              <w:rPr>
                <w:rFonts w:ascii="Calibri"/>
                <w:spacing w:val="-7"/>
                <w:sz w:val="18"/>
              </w:rPr>
              <w:t> </w:t>
            </w:r>
            <w:r>
              <w:rPr>
                <w:rFonts w:ascii="Calibri"/>
                <w:sz w:val="18"/>
              </w:rPr>
              <w:t>Atmosphere</w:t>
            </w:r>
          </w:p>
        </w:tc>
        <w:tc>
          <w:tcPr>
            <w:tcW w:w="3106" w:type="dxa"/>
            <w:tcBorders>
              <w:top w:val="nil" w:sz="6" w:space="0" w:color="auto"/>
              <w:left w:val="nil" w:sz="6" w:space="0" w:color="auto"/>
              <w:bottom w:val="nil" w:sz="6" w:space="0" w:color="auto"/>
              <w:right w:val="nil" w:sz="6" w:space="0" w:color="auto"/>
            </w:tcBorders>
          </w:tcPr>
          <w:p>
            <w:pPr>
              <w:pStyle w:val="TableParagraph"/>
              <w:spacing w:line="204" w:lineRule="exact"/>
              <w:ind w:right="792"/>
              <w:jc w:val="right"/>
              <w:rPr>
                <w:rFonts w:ascii="Calibri" w:hAnsi="Calibri" w:cs="Calibri" w:eastAsia="Calibri" w:hint="default"/>
                <w:sz w:val="18"/>
                <w:szCs w:val="18"/>
              </w:rPr>
            </w:pPr>
            <w:r>
              <w:rPr>
                <w:rFonts w:ascii="Calibri"/>
                <w:sz w:val="18"/>
              </w:rPr>
              <w:t>4.73</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hAnsi="Calibri" w:cs="Calibri" w:eastAsia="Calibri" w:hint="default"/>
                <w:sz w:val="18"/>
                <w:szCs w:val="18"/>
              </w:rPr>
              <w:t>Taxi Drivers</w:t>
            </w:r>
            <w:r>
              <w:rPr>
                <w:rFonts w:ascii="Calibri" w:hAnsi="Calibri" w:cs="Calibri" w:eastAsia="Calibri" w:hint="default"/>
                <w:sz w:val="18"/>
                <w:szCs w:val="18"/>
              </w:rPr>
              <w:t>’</w:t>
            </w:r>
            <w:r>
              <w:rPr>
                <w:rFonts w:ascii="Calibri" w:hAnsi="Calibri" w:cs="Calibri" w:eastAsia="Calibri" w:hint="default"/>
                <w:spacing w:val="-11"/>
                <w:sz w:val="18"/>
                <w:szCs w:val="18"/>
              </w:rPr>
              <w:t> </w:t>
            </w:r>
            <w:r>
              <w:rPr>
                <w:rFonts w:ascii="Calibri" w:hAnsi="Calibri" w:cs="Calibri" w:eastAsia="Calibri" w:hint="default"/>
                <w:sz w:val="18"/>
                <w:szCs w:val="18"/>
              </w:rPr>
              <w:t>Hospitableness</w:t>
            </w:r>
          </w:p>
        </w:tc>
        <w:tc>
          <w:tcPr>
            <w:tcW w:w="3106" w:type="dxa"/>
            <w:tcBorders>
              <w:top w:val="nil" w:sz="6" w:space="0" w:color="auto"/>
              <w:left w:val="nil" w:sz="6" w:space="0" w:color="auto"/>
              <w:bottom w:val="nil" w:sz="6" w:space="0" w:color="auto"/>
              <w:right w:val="nil" w:sz="6" w:space="0" w:color="auto"/>
            </w:tcBorders>
          </w:tcPr>
          <w:p>
            <w:pPr>
              <w:pStyle w:val="TableParagraph"/>
              <w:spacing w:line="204" w:lineRule="exact"/>
              <w:ind w:right="792"/>
              <w:jc w:val="right"/>
              <w:rPr>
                <w:rFonts w:ascii="Calibri" w:hAnsi="Calibri" w:cs="Calibri" w:eastAsia="Calibri" w:hint="default"/>
                <w:sz w:val="18"/>
                <w:szCs w:val="18"/>
              </w:rPr>
            </w:pPr>
            <w:r>
              <w:rPr>
                <w:rFonts w:ascii="Calibri"/>
                <w:sz w:val="18"/>
              </w:rPr>
              <w:t>4.71</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3" w:lineRule="exact"/>
              <w:ind w:left="69" w:right="0"/>
              <w:jc w:val="left"/>
              <w:rPr>
                <w:rFonts w:ascii="Calibri" w:hAnsi="Calibri" w:cs="Calibri" w:eastAsia="Calibri" w:hint="default"/>
                <w:sz w:val="18"/>
                <w:szCs w:val="18"/>
              </w:rPr>
            </w:pPr>
            <w:r>
              <w:rPr>
                <w:rFonts w:ascii="Calibri"/>
                <w:sz w:val="18"/>
              </w:rPr>
              <w:t>Taxi Safety and</w:t>
            </w:r>
            <w:r>
              <w:rPr>
                <w:rFonts w:ascii="Calibri"/>
                <w:spacing w:val="-7"/>
                <w:sz w:val="18"/>
              </w:rPr>
              <w:t> </w:t>
            </w:r>
            <w:r>
              <w:rPr>
                <w:rFonts w:ascii="Calibri"/>
                <w:sz w:val="18"/>
              </w:rPr>
              <w:t>Security</w:t>
            </w:r>
          </w:p>
        </w:tc>
        <w:tc>
          <w:tcPr>
            <w:tcW w:w="3106" w:type="dxa"/>
            <w:tcBorders>
              <w:top w:val="nil" w:sz="6" w:space="0" w:color="auto"/>
              <w:left w:val="nil" w:sz="6" w:space="0" w:color="auto"/>
              <w:bottom w:val="nil" w:sz="6" w:space="0" w:color="auto"/>
              <w:right w:val="nil" w:sz="6" w:space="0" w:color="auto"/>
            </w:tcBorders>
          </w:tcPr>
          <w:p>
            <w:pPr>
              <w:pStyle w:val="TableParagraph"/>
              <w:spacing w:line="203" w:lineRule="exact"/>
              <w:ind w:right="792"/>
              <w:jc w:val="right"/>
              <w:rPr>
                <w:rFonts w:ascii="Calibri" w:hAnsi="Calibri" w:cs="Calibri" w:eastAsia="Calibri" w:hint="default"/>
                <w:sz w:val="18"/>
                <w:szCs w:val="18"/>
              </w:rPr>
            </w:pPr>
            <w:r>
              <w:rPr>
                <w:rFonts w:ascii="Calibri"/>
                <w:sz w:val="18"/>
              </w:rPr>
              <w:t>4.69</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Taxi Service</w:t>
            </w:r>
            <w:r>
              <w:rPr>
                <w:rFonts w:ascii="Calibri"/>
                <w:spacing w:val="-9"/>
                <w:sz w:val="18"/>
              </w:rPr>
              <w:t> </w:t>
            </w:r>
            <w:r>
              <w:rPr>
                <w:rFonts w:ascii="Calibri"/>
                <w:sz w:val="18"/>
              </w:rPr>
              <w:t>Reliability</w:t>
            </w:r>
          </w:p>
        </w:tc>
        <w:tc>
          <w:tcPr>
            <w:tcW w:w="3106" w:type="dxa"/>
            <w:tcBorders>
              <w:top w:val="nil" w:sz="6" w:space="0" w:color="auto"/>
              <w:left w:val="nil" w:sz="6" w:space="0" w:color="auto"/>
              <w:bottom w:val="nil" w:sz="6" w:space="0" w:color="auto"/>
              <w:right w:val="nil" w:sz="6" w:space="0" w:color="auto"/>
            </w:tcBorders>
          </w:tcPr>
          <w:p>
            <w:pPr>
              <w:pStyle w:val="TableParagraph"/>
              <w:spacing w:line="204" w:lineRule="exact"/>
              <w:ind w:right="792"/>
              <w:jc w:val="right"/>
              <w:rPr>
                <w:rFonts w:ascii="Calibri" w:hAnsi="Calibri" w:cs="Calibri" w:eastAsia="Calibri" w:hint="default"/>
                <w:sz w:val="18"/>
                <w:szCs w:val="18"/>
              </w:rPr>
            </w:pPr>
            <w:r>
              <w:rPr>
                <w:rFonts w:ascii="Calibri"/>
                <w:sz w:val="18"/>
              </w:rPr>
              <w:t>4.63</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3" w:lineRule="exact"/>
              <w:ind w:left="69" w:right="0"/>
              <w:jc w:val="left"/>
              <w:rPr>
                <w:rFonts w:ascii="Calibri" w:hAnsi="Calibri" w:cs="Calibri" w:eastAsia="Calibri" w:hint="default"/>
                <w:sz w:val="18"/>
                <w:szCs w:val="18"/>
              </w:rPr>
            </w:pPr>
            <w:r>
              <w:rPr>
                <w:rFonts w:ascii="Calibri"/>
                <w:sz w:val="18"/>
              </w:rPr>
              <w:t>Taxi Service</w:t>
            </w:r>
            <w:r>
              <w:rPr>
                <w:rFonts w:ascii="Calibri"/>
                <w:spacing w:val="-6"/>
                <w:sz w:val="18"/>
              </w:rPr>
              <w:t> </w:t>
            </w:r>
            <w:r>
              <w:rPr>
                <w:rFonts w:ascii="Calibri"/>
                <w:sz w:val="18"/>
              </w:rPr>
              <w:t>Quality</w:t>
            </w:r>
          </w:p>
        </w:tc>
        <w:tc>
          <w:tcPr>
            <w:tcW w:w="3106" w:type="dxa"/>
            <w:tcBorders>
              <w:top w:val="nil" w:sz="6" w:space="0" w:color="auto"/>
              <w:left w:val="nil" w:sz="6" w:space="0" w:color="auto"/>
              <w:bottom w:val="nil" w:sz="6" w:space="0" w:color="auto"/>
              <w:right w:val="nil" w:sz="6" w:space="0" w:color="auto"/>
            </w:tcBorders>
          </w:tcPr>
          <w:p>
            <w:pPr>
              <w:pStyle w:val="TableParagraph"/>
              <w:spacing w:line="203" w:lineRule="exact"/>
              <w:ind w:right="792"/>
              <w:jc w:val="right"/>
              <w:rPr>
                <w:rFonts w:ascii="Calibri" w:hAnsi="Calibri" w:cs="Calibri" w:eastAsia="Calibri" w:hint="default"/>
                <w:sz w:val="18"/>
                <w:szCs w:val="18"/>
              </w:rPr>
            </w:pPr>
            <w:r>
              <w:rPr>
                <w:rFonts w:ascii="Calibri"/>
                <w:sz w:val="18"/>
              </w:rPr>
              <w:t>4.63</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Taxi</w:t>
            </w:r>
            <w:r>
              <w:rPr>
                <w:rFonts w:ascii="Calibri"/>
                <w:spacing w:val="-7"/>
                <w:sz w:val="18"/>
              </w:rPr>
              <w:t> </w:t>
            </w:r>
            <w:r>
              <w:rPr>
                <w:rFonts w:ascii="Calibri"/>
                <w:sz w:val="18"/>
              </w:rPr>
              <w:t>Cleanliness</w:t>
            </w:r>
          </w:p>
        </w:tc>
        <w:tc>
          <w:tcPr>
            <w:tcW w:w="3106" w:type="dxa"/>
            <w:tcBorders>
              <w:top w:val="nil" w:sz="6" w:space="0" w:color="auto"/>
              <w:left w:val="nil" w:sz="6" w:space="0" w:color="auto"/>
              <w:bottom w:val="nil" w:sz="6" w:space="0" w:color="auto"/>
              <w:right w:val="nil" w:sz="6" w:space="0" w:color="auto"/>
            </w:tcBorders>
          </w:tcPr>
          <w:p>
            <w:pPr>
              <w:pStyle w:val="TableParagraph"/>
              <w:spacing w:line="204" w:lineRule="exact"/>
              <w:ind w:right="792"/>
              <w:jc w:val="right"/>
              <w:rPr>
                <w:rFonts w:ascii="Calibri" w:hAnsi="Calibri" w:cs="Calibri" w:eastAsia="Calibri" w:hint="default"/>
                <w:sz w:val="18"/>
                <w:szCs w:val="18"/>
              </w:rPr>
            </w:pPr>
            <w:r>
              <w:rPr>
                <w:rFonts w:ascii="Calibri"/>
                <w:sz w:val="18"/>
              </w:rPr>
              <w:t>4.61</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3" w:lineRule="exact"/>
              <w:ind w:left="69" w:right="0"/>
              <w:jc w:val="left"/>
              <w:rPr>
                <w:rFonts w:ascii="Calibri" w:hAnsi="Calibri" w:cs="Calibri" w:eastAsia="Calibri" w:hint="default"/>
                <w:sz w:val="18"/>
                <w:szCs w:val="18"/>
              </w:rPr>
            </w:pPr>
            <w:r>
              <w:rPr>
                <w:rFonts w:ascii="Calibri"/>
                <w:sz w:val="18"/>
              </w:rPr>
              <w:t>Hospitableness of Customs and Immigrations</w:t>
            </w:r>
            <w:r>
              <w:rPr>
                <w:rFonts w:ascii="Calibri"/>
                <w:spacing w:val="-21"/>
                <w:sz w:val="18"/>
              </w:rPr>
              <w:t> </w:t>
            </w:r>
            <w:r>
              <w:rPr>
                <w:rFonts w:ascii="Calibri"/>
                <w:sz w:val="18"/>
              </w:rPr>
              <w:t>Personnel</w:t>
            </w:r>
          </w:p>
        </w:tc>
        <w:tc>
          <w:tcPr>
            <w:tcW w:w="3106" w:type="dxa"/>
            <w:tcBorders>
              <w:top w:val="nil" w:sz="6" w:space="0" w:color="auto"/>
              <w:left w:val="nil" w:sz="6" w:space="0" w:color="auto"/>
              <w:bottom w:val="nil" w:sz="6" w:space="0" w:color="auto"/>
              <w:right w:val="nil" w:sz="6" w:space="0" w:color="auto"/>
            </w:tcBorders>
          </w:tcPr>
          <w:p>
            <w:pPr>
              <w:pStyle w:val="TableParagraph"/>
              <w:spacing w:line="203" w:lineRule="exact"/>
              <w:ind w:right="792"/>
              <w:jc w:val="right"/>
              <w:rPr>
                <w:rFonts w:ascii="Calibri" w:hAnsi="Calibri" w:cs="Calibri" w:eastAsia="Calibri" w:hint="default"/>
                <w:sz w:val="18"/>
                <w:szCs w:val="18"/>
              </w:rPr>
            </w:pPr>
            <w:r>
              <w:rPr>
                <w:rFonts w:ascii="Calibri"/>
                <w:sz w:val="18"/>
              </w:rPr>
              <w:t>4.56</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Island Safety and</w:t>
            </w:r>
            <w:r>
              <w:rPr>
                <w:rFonts w:ascii="Calibri"/>
                <w:spacing w:val="-7"/>
                <w:sz w:val="18"/>
              </w:rPr>
              <w:t> </w:t>
            </w:r>
            <w:r>
              <w:rPr>
                <w:rFonts w:ascii="Calibri"/>
                <w:sz w:val="18"/>
              </w:rPr>
              <w:t>Security</w:t>
            </w:r>
          </w:p>
        </w:tc>
        <w:tc>
          <w:tcPr>
            <w:tcW w:w="3106" w:type="dxa"/>
            <w:tcBorders>
              <w:top w:val="nil" w:sz="6" w:space="0" w:color="auto"/>
              <w:left w:val="nil" w:sz="6" w:space="0" w:color="auto"/>
              <w:bottom w:val="nil" w:sz="6" w:space="0" w:color="auto"/>
              <w:right w:val="nil" w:sz="6" w:space="0" w:color="auto"/>
            </w:tcBorders>
          </w:tcPr>
          <w:p>
            <w:pPr>
              <w:pStyle w:val="TableParagraph"/>
              <w:spacing w:line="204" w:lineRule="exact"/>
              <w:ind w:right="792"/>
              <w:jc w:val="right"/>
              <w:rPr>
                <w:rFonts w:ascii="Calibri" w:hAnsi="Calibri" w:cs="Calibri" w:eastAsia="Calibri" w:hint="default"/>
                <w:sz w:val="18"/>
                <w:szCs w:val="18"/>
              </w:rPr>
            </w:pPr>
            <w:r>
              <w:rPr>
                <w:rFonts w:ascii="Calibri"/>
                <w:sz w:val="18"/>
              </w:rPr>
              <w:t>4.53</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3" w:lineRule="exact"/>
              <w:ind w:left="69" w:right="0"/>
              <w:jc w:val="left"/>
              <w:rPr>
                <w:rFonts w:ascii="Calibri" w:hAnsi="Calibri" w:cs="Calibri" w:eastAsia="Calibri" w:hint="default"/>
                <w:sz w:val="18"/>
                <w:szCs w:val="18"/>
              </w:rPr>
            </w:pPr>
            <w:r>
              <w:rPr>
                <w:rFonts w:ascii="Calibri"/>
                <w:sz w:val="18"/>
              </w:rPr>
              <w:t>Signage &amp; Directions</w:t>
            </w:r>
            <w:r>
              <w:rPr>
                <w:rFonts w:ascii="Calibri"/>
                <w:spacing w:val="-14"/>
                <w:sz w:val="18"/>
              </w:rPr>
              <w:t> </w:t>
            </w:r>
            <w:r>
              <w:rPr>
                <w:rFonts w:ascii="Calibri"/>
                <w:sz w:val="18"/>
              </w:rPr>
              <w:t>Presence</w:t>
            </w:r>
          </w:p>
        </w:tc>
        <w:tc>
          <w:tcPr>
            <w:tcW w:w="3106" w:type="dxa"/>
            <w:tcBorders>
              <w:top w:val="nil" w:sz="6" w:space="0" w:color="auto"/>
              <w:left w:val="nil" w:sz="6" w:space="0" w:color="auto"/>
              <w:bottom w:val="nil" w:sz="6" w:space="0" w:color="auto"/>
              <w:right w:val="nil" w:sz="6" w:space="0" w:color="auto"/>
            </w:tcBorders>
          </w:tcPr>
          <w:p>
            <w:pPr>
              <w:pStyle w:val="TableParagraph"/>
              <w:spacing w:line="203" w:lineRule="exact"/>
              <w:ind w:right="792"/>
              <w:jc w:val="right"/>
              <w:rPr>
                <w:rFonts w:ascii="Calibri" w:hAnsi="Calibri" w:cs="Calibri" w:eastAsia="Calibri" w:hint="default"/>
                <w:sz w:val="18"/>
                <w:szCs w:val="18"/>
              </w:rPr>
            </w:pPr>
            <w:r>
              <w:rPr>
                <w:rFonts w:ascii="Calibri"/>
                <w:sz w:val="18"/>
              </w:rPr>
              <w:t>4.30</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Clarity of Road</w:t>
            </w:r>
            <w:r>
              <w:rPr>
                <w:rFonts w:ascii="Calibri"/>
                <w:spacing w:val="-10"/>
                <w:sz w:val="18"/>
              </w:rPr>
              <w:t> </w:t>
            </w:r>
            <w:r>
              <w:rPr>
                <w:rFonts w:ascii="Calibri"/>
                <w:sz w:val="18"/>
              </w:rPr>
              <w:t>Signage</w:t>
            </w:r>
          </w:p>
        </w:tc>
        <w:tc>
          <w:tcPr>
            <w:tcW w:w="3106" w:type="dxa"/>
            <w:tcBorders>
              <w:top w:val="nil" w:sz="6" w:space="0" w:color="auto"/>
              <w:left w:val="nil" w:sz="6" w:space="0" w:color="auto"/>
              <w:bottom w:val="nil" w:sz="6" w:space="0" w:color="auto"/>
              <w:right w:val="nil" w:sz="6" w:space="0" w:color="auto"/>
            </w:tcBorders>
          </w:tcPr>
          <w:p>
            <w:pPr>
              <w:pStyle w:val="TableParagraph"/>
              <w:spacing w:line="204" w:lineRule="exact"/>
              <w:ind w:right="792"/>
              <w:jc w:val="right"/>
              <w:rPr>
                <w:rFonts w:ascii="Calibri" w:hAnsi="Calibri" w:cs="Calibri" w:eastAsia="Calibri" w:hint="default"/>
                <w:sz w:val="18"/>
                <w:szCs w:val="18"/>
              </w:rPr>
            </w:pPr>
            <w:r>
              <w:rPr>
                <w:rFonts w:ascii="Calibri"/>
                <w:sz w:val="18"/>
              </w:rPr>
              <w:t>4.25</w:t>
            </w:r>
          </w:p>
        </w:tc>
      </w:tr>
      <w:tr>
        <w:trPr>
          <w:trHeight w:val="220" w:hRule="exact"/>
        </w:trPr>
        <w:tc>
          <w:tcPr>
            <w:tcW w:w="6069" w:type="dxa"/>
            <w:tcBorders>
              <w:top w:val="nil" w:sz="6" w:space="0" w:color="auto"/>
              <w:left w:val="nil" w:sz="6" w:space="0" w:color="auto"/>
              <w:bottom w:val="nil" w:sz="6" w:space="0" w:color="auto"/>
              <w:right w:val="nil" w:sz="6" w:space="0" w:color="auto"/>
            </w:tcBorders>
          </w:tcPr>
          <w:p>
            <w:pPr>
              <w:pStyle w:val="TableParagraph"/>
              <w:spacing w:line="203" w:lineRule="exact"/>
              <w:ind w:left="69" w:right="0"/>
              <w:jc w:val="left"/>
              <w:rPr>
                <w:rFonts w:ascii="Calibri" w:hAnsi="Calibri" w:cs="Calibri" w:eastAsia="Calibri" w:hint="default"/>
                <w:sz w:val="18"/>
                <w:szCs w:val="18"/>
              </w:rPr>
            </w:pPr>
            <w:r>
              <w:rPr>
                <w:rFonts w:ascii="Calibri"/>
                <w:sz w:val="18"/>
              </w:rPr>
              <w:t>Island</w:t>
            </w:r>
            <w:r>
              <w:rPr>
                <w:rFonts w:ascii="Calibri"/>
                <w:spacing w:val="-7"/>
                <w:sz w:val="18"/>
              </w:rPr>
              <w:t> </w:t>
            </w:r>
            <w:r>
              <w:rPr>
                <w:rFonts w:ascii="Calibri"/>
                <w:sz w:val="18"/>
              </w:rPr>
              <w:t>Cleanliness</w:t>
            </w:r>
          </w:p>
        </w:tc>
        <w:tc>
          <w:tcPr>
            <w:tcW w:w="3106" w:type="dxa"/>
            <w:tcBorders>
              <w:top w:val="nil" w:sz="6" w:space="0" w:color="auto"/>
              <w:left w:val="nil" w:sz="6" w:space="0" w:color="auto"/>
              <w:bottom w:val="nil" w:sz="6" w:space="0" w:color="auto"/>
              <w:right w:val="nil" w:sz="6" w:space="0" w:color="auto"/>
            </w:tcBorders>
          </w:tcPr>
          <w:p>
            <w:pPr>
              <w:pStyle w:val="TableParagraph"/>
              <w:spacing w:line="203" w:lineRule="exact"/>
              <w:ind w:right="792"/>
              <w:jc w:val="right"/>
              <w:rPr>
                <w:rFonts w:ascii="Calibri" w:hAnsi="Calibri" w:cs="Calibri" w:eastAsia="Calibri" w:hint="default"/>
                <w:sz w:val="18"/>
                <w:szCs w:val="18"/>
              </w:rPr>
            </w:pPr>
            <w:r>
              <w:rPr>
                <w:rFonts w:ascii="Calibri"/>
                <w:sz w:val="18"/>
              </w:rPr>
              <w:t>4.12</w:t>
            </w:r>
          </w:p>
        </w:tc>
      </w:tr>
      <w:tr>
        <w:trPr>
          <w:trHeight w:val="211" w:hRule="exact"/>
        </w:trPr>
        <w:tc>
          <w:tcPr>
            <w:tcW w:w="6069" w:type="dxa"/>
            <w:tcBorders>
              <w:top w:val="nil" w:sz="6" w:space="0" w:color="auto"/>
              <w:left w:val="nil" w:sz="6" w:space="0" w:color="auto"/>
              <w:bottom w:val="single" w:sz="4" w:space="0" w:color="000000"/>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Roads</w:t>
            </w:r>
            <w:r>
              <w:rPr>
                <w:rFonts w:ascii="Calibri"/>
                <w:spacing w:val="-6"/>
                <w:sz w:val="18"/>
              </w:rPr>
              <w:t> </w:t>
            </w:r>
            <w:r>
              <w:rPr>
                <w:rFonts w:ascii="Calibri"/>
                <w:sz w:val="18"/>
              </w:rPr>
              <w:t>Quality</w:t>
            </w:r>
          </w:p>
        </w:tc>
        <w:tc>
          <w:tcPr>
            <w:tcW w:w="3106" w:type="dxa"/>
            <w:tcBorders>
              <w:top w:val="nil" w:sz="6" w:space="0" w:color="auto"/>
              <w:left w:val="nil" w:sz="6" w:space="0" w:color="auto"/>
              <w:bottom w:val="single" w:sz="4" w:space="0" w:color="000000"/>
              <w:right w:val="nil" w:sz="6" w:space="0" w:color="auto"/>
            </w:tcBorders>
          </w:tcPr>
          <w:p>
            <w:pPr>
              <w:pStyle w:val="TableParagraph"/>
              <w:spacing w:line="204" w:lineRule="exact"/>
              <w:ind w:right="792"/>
              <w:jc w:val="right"/>
              <w:rPr>
                <w:rFonts w:ascii="Calibri" w:hAnsi="Calibri" w:cs="Calibri" w:eastAsia="Calibri" w:hint="default"/>
                <w:sz w:val="18"/>
                <w:szCs w:val="18"/>
              </w:rPr>
            </w:pPr>
            <w:r>
              <w:rPr>
                <w:rFonts w:ascii="Calibri"/>
                <w:sz w:val="18"/>
              </w:rPr>
              <w:t>3.90</w:t>
            </w:r>
          </w:p>
        </w:tc>
      </w:tr>
    </w:tbl>
    <w:p>
      <w:pPr>
        <w:spacing w:line="240" w:lineRule="auto" w:before="12"/>
        <w:ind w:right="0"/>
        <w:rPr>
          <w:rFonts w:ascii="Calibri" w:hAnsi="Calibri" w:cs="Calibri" w:eastAsia="Calibri" w:hint="default"/>
          <w:b/>
          <w:bCs/>
          <w:sz w:val="14"/>
          <w:szCs w:val="14"/>
        </w:rPr>
      </w:pPr>
    </w:p>
    <w:p>
      <w:pPr>
        <w:pStyle w:val="BodyText"/>
        <w:spacing w:line="240" w:lineRule="auto" w:before="59"/>
        <w:ind w:right="1438"/>
        <w:jc w:val="both"/>
      </w:pPr>
      <w:r>
        <w:rPr/>
        <w:t>Table 4 shows that Curaçao ranks above average on those destination attributes that influence the overall perception of the island destination. For example, those attributes that are meaningful in shaping the overall </w:t>
      </w:r>
      <w:r>
        <w:rPr>
          <w:rFonts w:ascii="Calibri" w:hAnsi="Calibri" w:cs="Calibri" w:eastAsia="Calibri" w:hint="default"/>
        </w:rPr>
        <w:t>tourists’ perception of Curaçao are ranked as performing high (e.g. accommodation staff friendliness, </w:t>
      </w:r>
      <w:r>
        <w:rPr/>
        <w:t>accommodation safety and security, restaurant staff friendliness, etc.). Those destination attributes that pertain to infrastructural development rank as performing low, but are not necessarily detractors in the overall island perception. However, island cleanliness and roads quality merit special attention due to their low scores compared to other destination</w:t>
      </w:r>
      <w:r>
        <w:rPr>
          <w:spacing w:val="-12"/>
        </w:rPr>
        <w:t> </w:t>
      </w:r>
      <w:r>
        <w:rPr/>
        <w:t>attributes.</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2"/>
        <w:ind w:right="0"/>
        <w:rPr>
          <w:rFonts w:ascii="Calibri" w:hAnsi="Calibri" w:cs="Calibri" w:eastAsia="Calibri" w:hint="default"/>
          <w:sz w:val="23"/>
          <w:szCs w:val="23"/>
        </w:rPr>
      </w:pPr>
    </w:p>
    <w:p>
      <w:pPr>
        <w:pStyle w:val="BodyText"/>
        <w:spacing w:line="240" w:lineRule="auto" w:before="59"/>
        <w:ind w:right="1444"/>
        <w:jc w:val="both"/>
      </w:pPr>
      <w:r>
        <w:rPr/>
        <w:t>Therefore, there is an opportunity for Curaçao to reduce interest in large capital investments for infrastructural </w:t>
      </w:r>
      <w:r>
        <w:rPr>
          <w:rFonts w:ascii="Calibri" w:hAnsi="Calibri" w:cs="Calibri" w:eastAsia="Calibri" w:hint="default"/>
        </w:rPr>
        <w:t>improvements and to instead concentrate on relatively low risk improvements for Curaçao’s soft tourism products </w:t>
      </w:r>
      <w:r>
        <w:rPr/>
        <w:t>(e.g. human capital development). This means that there is not an immediate need for Curaçao to concentrate on capital resource allocation to overhaul the existing tourism infrastructural supply. Instead, Curaçao should focus principally on aligning current supply with the existing primary</w:t>
      </w:r>
      <w:r>
        <w:rPr>
          <w:spacing w:val="-28"/>
        </w:rPr>
        <w:t> </w:t>
      </w:r>
      <w:r>
        <w:rPr/>
        <w:t>markets.</w:t>
      </w:r>
    </w:p>
    <w:p>
      <w:pPr>
        <w:spacing w:line="240" w:lineRule="auto" w:before="11"/>
        <w:ind w:right="0"/>
        <w:rPr>
          <w:rFonts w:ascii="Calibri" w:hAnsi="Calibri" w:cs="Calibri" w:eastAsia="Calibri" w:hint="default"/>
          <w:sz w:val="19"/>
          <w:szCs w:val="19"/>
        </w:rPr>
      </w:pPr>
    </w:p>
    <w:p>
      <w:pPr>
        <w:pStyle w:val="BodyText"/>
        <w:spacing w:line="240" w:lineRule="auto"/>
        <w:ind w:right="1439"/>
        <w:jc w:val="both"/>
      </w:pPr>
      <w:r>
        <w:rPr/>
        <w:t>In terms of tourists</w:t>
      </w:r>
      <w:r>
        <w:rPr>
          <w:rFonts w:ascii="Calibri" w:hAnsi="Calibri" w:cs="Calibri" w:eastAsia="Calibri" w:hint="default"/>
        </w:rPr>
        <w:t>’ </w:t>
      </w:r>
      <w:r>
        <w:rPr/>
        <w:t>overall satisfaction and value perspectives pertaining to their consumption of tourism- related products, Curaçao performs relatively high (1 = low performance and 6 = high performance). Tourists ranked satisfaction and value high for the accommodations, restaurants, and entertainment available on the island. While shopping opportunities and transportation (taxis) ranked lower, the mean scores still rank above average. Therefore, it seems that tourists agree that the consumption of Curaç</w:t>
      </w:r>
      <w:r>
        <w:rPr>
          <w:rFonts w:ascii="Calibri" w:hAnsi="Calibri" w:cs="Calibri" w:eastAsia="Calibri" w:hint="default"/>
        </w:rPr>
        <w:t>ao’s tourism</w:t>
      </w:r>
      <w:r>
        <w:rPr/>
        <w:t>-related products fulfills their </w:t>
      </w:r>
      <w:r>
        <w:rPr>
          <w:rFonts w:ascii="Calibri" w:hAnsi="Calibri" w:cs="Calibri" w:eastAsia="Calibri" w:hint="default"/>
        </w:rPr>
        <w:t>needs while creating value (see Table 5). These are important predictors for tourists’ future intentions (e.g. </w:t>
      </w:r>
      <w:r>
        <w:rPr/>
        <w:t>repeat visits and positive word-of-mouth recommendations for</w:t>
      </w:r>
      <w:r>
        <w:rPr>
          <w:spacing w:val="-28"/>
        </w:rPr>
        <w:t> </w:t>
      </w:r>
      <w:r>
        <w:rPr/>
        <w:t>Curaçao).</w:t>
      </w:r>
    </w:p>
    <w:p>
      <w:pPr>
        <w:spacing w:line="240" w:lineRule="auto" w:before="2"/>
        <w:ind w:right="0"/>
        <w:rPr>
          <w:rFonts w:ascii="Calibri" w:hAnsi="Calibri" w:cs="Calibri" w:eastAsia="Calibri" w:hint="default"/>
          <w:sz w:val="20"/>
          <w:szCs w:val="20"/>
        </w:rPr>
      </w:pPr>
    </w:p>
    <w:p>
      <w:pPr>
        <w:pStyle w:val="Heading9"/>
        <w:tabs>
          <w:tab w:pos="3254" w:val="left" w:leader="none"/>
          <w:tab w:pos="10835" w:val="left" w:leader="none"/>
        </w:tabs>
        <w:spacing w:line="240" w:lineRule="auto" w:after="46"/>
        <w:ind w:left="1440" w:right="0"/>
        <w:jc w:val="both"/>
        <w:rPr>
          <w:b w:val="0"/>
          <w:bCs w:val="0"/>
        </w:rPr>
      </w:pPr>
      <w:bookmarkStart w:name="_bookmark31" w:id="32"/>
      <w:bookmarkEnd w:id="32"/>
      <w:r>
        <w:rPr>
          <w:b w:val="0"/>
          <w:bCs w:val="0"/>
        </w:rPr>
      </w:r>
      <w:r>
        <w:rPr>
          <w:w w:val="99"/>
        </w:rPr>
      </w:r>
      <w:r>
        <w:rPr>
          <w:w w:val="99"/>
          <w:u w:val="single" w:color="000000"/>
        </w:rPr>
        <w:t> </w:t>
      </w:r>
      <w:r>
        <w:rPr>
          <w:u w:val="single" w:color="000000"/>
        </w:rPr>
        <w:tab/>
        <w:t>Table 5:  </w:t>
      </w:r>
      <w:r>
        <w:rPr>
          <w:rFonts w:ascii="Calibri" w:hAnsi="Calibri" w:cs="Calibri" w:eastAsia="Calibri" w:hint="default"/>
          <w:u w:val="single" w:color="000000"/>
        </w:rPr>
        <w:t>Tourists’ sat</w:t>
      </w:r>
      <w:r>
        <w:rPr>
          <w:u w:val="single" w:color="000000"/>
        </w:rPr>
        <w:t>isfaction and value for tourism-related</w:t>
      </w:r>
      <w:r>
        <w:rPr>
          <w:spacing w:val="-28"/>
          <w:u w:val="single" w:color="000000"/>
        </w:rPr>
        <w:t> </w:t>
      </w:r>
      <w:r>
        <w:rPr>
          <w:u w:val="single" w:color="000000"/>
        </w:rPr>
        <w:t>products</w:t>
        <w:tab/>
      </w:r>
      <w:r>
        <w:rPr/>
      </w:r>
      <w:r>
        <w:rPr>
          <w:b w:val="0"/>
          <w:bCs w:val="0"/>
        </w:rPr>
      </w:r>
    </w:p>
    <w:tbl>
      <w:tblPr>
        <w:tblW w:w="0" w:type="auto"/>
        <w:jc w:val="left"/>
        <w:tblInd w:w="1440" w:type="dxa"/>
        <w:tblLayout w:type="fixed"/>
        <w:tblCellMar>
          <w:top w:w="0" w:type="dxa"/>
          <w:left w:w="0" w:type="dxa"/>
          <w:bottom w:w="0" w:type="dxa"/>
          <w:right w:w="0" w:type="dxa"/>
        </w:tblCellMar>
        <w:tblLook w:val="01E0"/>
      </w:tblPr>
      <w:tblGrid>
        <w:gridCol w:w="2907"/>
        <w:gridCol w:w="3604"/>
        <w:gridCol w:w="2884"/>
      </w:tblGrid>
      <w:tr>
        <w:trPr>
          <w:trHeight w:val="188" w:hRule="exact"/>
        </w:trPr>
        <w:tc>
          <w:tcPr>
            <w:tcW w:w="2907" w:type="dxa"/>
            <w:tcBorders>
              <w:top w:val="nil" w:sz="6" w:space="0" w:color="auto"/>
              <w:left w:val="nil" w:sz="6" w:space="0" w:color="auto"/>
              <w:bottom w:val="single" w:sz="4" w:space="0" w:color="000000"/>
              <w:right w:val="nil" w:sz="6" w:space="0" w:color="auto"/>
            </w:tcBorders>
          </w:tcPr>
          <w:p>
            <w:pPr>
              <w:pStyle w:val="TableParagraph"/>
              <w:spacing w:line="183" w:lineRule="exact"/>
              <w:ind w:left="69" w:right="0"/>
              <w:jc w:val="left"/>
              <w:rPr>
                <w:rFonts w:ascii="Calibri" w:hAnsi="Calibri" w:cs="Calibri" w:eastAsia="Calibri" w:hint="default"/>
                <w:sz w:val="18"/>
                <w:szCs w:val="18"/>
              </w:rPr>
            </w:pPr>
            <w:r>
              <w:rPr>
                <w:rFonts w:ascii="Calibri"/>
                <w:b/>
                <w:sz w:val="18"/>
              </w:rPr>
              <w:t>Area</w:t>
            </w:r>
            <w:r>
              <w:rPr>
                <w:rFonts w:ascii="Calibri"/>
                <w:sz w:val="18"/>
              </w:rPr>
            </w:r>
          </w:p>
        </w:tc>
        <w:tc>
          <w:tcPr>
            <w:tcW w:w="3604" w:type="dxa"/>
            <w:tcBorders>
              <w:top w:val="nil" w:sz="6" w:space="0" w:color="auto"/>
              <w:left w:val="nil" w:sz="6" w:space="0" w:color="auto"/>
              <w:bottom w:val="single" w:sz="4" w:space="0" w:color="000000"/>
              <w:right w:val="nil" w:sz="6" w:space="0" w:color="auto"/>
            </w:tcBorders>
          </w:tcPr>
          <w:p>
            <w:pPr>
              <w:pStyle w:val="TableParagraph"/>
              <w:spacing w:line="183" w:lineRule="exact"/>
              <w:ind w:left="387" w:right="0"/>
              <w:jc w:val="center"/>
              <w:rPr>
                <w:rFonts w:ascii="Calibri" w:hAnsi="Calibri" w:cs="Calibri" w:eastAsia="Calibri" w:hint="default"/>
                <w:sz w:val="18"/>
                <w:szCs w:val="18"/>
              </w:rPr>
            </w:pPr>
            <w:r>
              <w:rPr>
                <w:rFonts w:ascii="Calibri"/>
                <w:b/>
                <w:sz w:val="18"/>
              </w:rPr>
              <w:t>Satisfaction</w:t>
            </w:r>
            <w:r>
              <w:rPr>
                <w:rFonts w:ascii="Calibri"/>
                <w:sz w:val="18"/>
              </w:rPr>
            </w:r>
          </w:p>
        </w:tc>
        <w:tc>
          <w:tcPr>
            <w:tcW w:w="2884" w:type="dxa"/>
            <w:tcBorders>
              <w:top w:val="nil" w:sz="6" w:space="0" w:color="auto"/>
              <w:left w:val="nil" w:sz="6" w:space="0" w:color="auto"/>
              <w:bottom w:val="single" w:sz="4" w:space="0" w:color="000000"/>
              <w:right w:val="nil" w:sz="6" w:space="0" w:color="auto"/>
            </w:tcBorders>
          </w:tcPr>
          <w:p>
            <w:pPr>
              <w:pStyle w:val="TableParagraph"/>
              <w:spacing w:line="183" w:lineRule="exact"/>
              <w:ind w:left="1172" w:right="0"/>
              <w:jc w:val="left"/>
              <w:rPr>
                <w:rFonts w:ascii="Calibri" w:hAnsi="Calibri" w:cs="Calibri" w:eastAsia="Calibri" w:hint="default"/>
                <w:sz w:val="18"/>
                <w:szCs w:val="18"/>
              </w:rPr>
            </w:pPr>
            <w:r>
              <w:rPr>
                <w:rFonts w:ascii="Calibri"/>
                <w:b/>
                <w:sz w:val="18"/>
              </w:rPr>
              <w:t>Value</w:t>
            </w:r>
            <w:r>
              <w:rPr>
                <w:rFonts w:ascii="Calibri"/>
                <w:sz w:val="18"/>
              </w:rPr>
            </w:r>
          </w:p>
        </w:tc>
      </w:tr>
      <w:tr>
        <w:trPr>
          <w:trHeight w:val="241" w:hRule="exact"/>
        </w:trPr>
        <w:tc>
          <w:tcPr>
            <w:tcW w:w="2907" w:type="dxa"/>
            <w:tcBorders>
              <w:top w:val="single" w:sz="4" w:space="0" w:color="000000"/>
              <w:left w:val="nil" w:sz="6" w:space="0" w:color="auto"/>
              <w:bottom w:val="nil" w:sz="6" w:space="0" w:color="auto"/>
              <w:right w:val="nil" w:sz="6" w:space="0" w:color="auto"/>
            </w:tcBorders>
          </w:tcPr>
          <w:p>
            <w:pPr>
              <w:pStyle w:val="TableParagraph"/>
              <w:spacing w:line="219" w:lineRule="exact"/>
              <w:ind w:left="69" w:right="0"/>
              <w:jc w:val="left"/>
              <w:rPr>
                <w:rFonts w:ascii="Calibri" w:hAnsi="Calibri" w:cs="Calibri" w:eastAsia="Calibri" w:hint="default"/>
                <w:sz w:val="18"/>
                <w:szCs w:val="18"/>
              </w:rPr>
            </w:pPr>
            <w:r>
              <w:rPr>
                <w:rFonts w:ascii="Calibri"/>
                <w:sz w:val="18"/>
              </w:rPr>
              <w:t>Accommodations</w:t>
            </w:r>
          </w:p>
        </w:tc>
        <w:tc>
          <w:tcPr>
            <w:tcW w:w="3604" w:type="dxa"/>
            <w:tcBorders>
              <w:top w:val="single" w:sz="4" w:space="0" w:color="000000"/>
              <w:left w:val="nil" w:sz="6" w:space="0" w:color="auto"/>
              <w:bottom w:val="nil" w:sz="6" w:space="0" w:color="auto"/>
              <w:right w:val="nil" w:sz="6" w:space="0" w:color="auto"/>
            </w:tcBorders>
          </w:tcPr>
          <w:p>
            <w:pPr>
              <w:pStyle w:val="TableParagraph"/>
              <w:spacing w:line="219" w:lineRule="exact"/>
              <w:ind w:left="392" w:right="0"/>
              <w:jc w:val="center"/>
              <w:rPr>
                <w:rFonts w:ascii="Calibri" w:hAnsi="Calibri" w:cs="Calibri" w:eastAsia="Calibri" w:hint="default"/>
                <w:sz w:val="18"/>
                <w:szCs w:val="18"/>
              </w:rPr>
            </w:pPr>
            <w:r>
              <w:rPr>
                <w:rFonts w:ascii="Calibri"/>
                <w:sz w:val="18"/>
              </w:rPr>
              <w:t>4.95</w:t>
            </w:r>
          </w:p>
        </w:tc>
        <w:tc>
          <w:tcPr>
            <w:tcW w:w="2884" w:type="dxa"/>
            <w:tcBorders>
              <w:top w:val="single" w:sz="4" w:space="0" w:color="000000"/>
              <w:left w:val="nil" w:sz="6" w:space="0" w:color="auto"/>
              <w:bottom w:val="nil" w:sz="6" w:space="0" w:color="auto"/>
              <w:right w:val="nil" w:sz="6" w:space="0" w:color="auto"/>
            </w:tcBorders>
          </w:tcPr>
          <w:p>
            <w:pPr>
              <w:pStyle w:val="TableParagraph"/>
              <w:spacing w:line="219" w:lineRule="exact"/>
              <w:ind w:left="1227" w:right="0"/>
              <w:jc w:val="left"/>
              <w:rPr>
                <w:rFonts w:ascii="Calibri" w:hAnsi="Calibri" w:cs="Calibri" w:eastAsia="Calibri" w:hint="default"/>
                <w:sz w:val="18"/>
                <w:szCs w:val="18"/>
              </w:rPr>
            </w:pPr>
            <w:r>
              <w:rPr>
                <w:rFonts w:ascii="Calibri"/>
                <w:sz w:val="18"/>
              </w:rPr>
              <w:t>4.51</w:t>
            </w:r>
          </w:p>
        </w:tc>
      </w:tr>
      <w:tr>
        <w:trPr>
          <w:trHeight w:val="221" w:hRule="exact"/>
        </w:trPr>
        <w:tc>
          <w:tcPr>
            <w:tcW w:w="2907"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Restaurants</w:t>
            </w:r>
          </w:p>
        </w:tc>
        <w:tc>
          <w:tcPr>
            <w:tcW w:w="3604" w:type="dxa"/>
            <w:tcBorders>
              <w:top w:val="nil" w:sz="6" w:space="0" w:color="auto"/>
              <w:left w:val="nil" w:sz="6" w:space="0" w:color="auto"/>
              <w:bottom w:val="nil" w:sz="6" w:space="0" w:color="auto"/>
              <w:right w:val="nil" w:sz="6" w:space="0" w:color="auto"/>
            </w:tcBorders>
          </w:tcPr>
          <w:p>
            <w:pPr>
              <w:pStyle w:val="TableParagraph"/>
              <w:spacing w:line="204" w:lineRule="exact"/>
              <w:ind w:left="392" w:right="0"/>
              <w:jc w:val="center"/>
              <w:rPr>
                <w:rFonts w:ascii="Calibri" w:hAnsi="Calibri" w:cs="Calibri" w:eastAsia="Calibri" w:hint="default"/>
                <w:sz w:val="18"/>
                <w:szCs w:val="18"/>
              </w:rPr>
            </w:pPr>
            <w:r>
              <w:rPr>
                <w:rFonts w:ascii="Calibri"/>
                <w:sz w:val="18"/>
              </w:rPr>
              <w:t>4.74</w:t>
            </w:r>
          </w:p>
        </w:tc>
        <w:tc>
          <w:tcPr>
            <w:tcW w:w="2884" w:type="dxa"/>
            <w:tcBorders>
              <w:top w:val="nil" w:sz="6" w:space="0" w:color="auto"/>
              <w:left w:val="nil" w:sz="6" w:space="0" w:color="auto"/>
              <w:bottom w:val="nil" w:sz="6" w:space="0" w:color="auto"/>
              <w:right w:val="nil" w:sz="6" w:space="0" w:color="auto"/>
            </w:tcBorders>
          </w:tcPr>
          <w:p>
            <w:pPr>
              <w:pStyle w:val="TableParagraph"/>
              <w:spacing w:line="204" w:lineRule="exact"/>
              <w:ind w:left="1227" w:right="0"/>
              <w:jc w:val="left"/>
              <w:rPr>
                <w:rFonts w:ascii="Calibri" w:hAnsi="Calibri" w:cs="Calibri" w:eastAsia="Calibri" w:hint="default"/>
                <w:sz w:val="18"/>
                <w:szCs w:val="18"/>
              </w:rPr>
            </w:pPr>
            <w:r>
              <w:rPr>
                <w:rFonts w:ascii="Calibri"/>
                <w:sz w:val="18"/>
              </w:rPr>
              <w:t>4.39</w:t>
            </w:r>
          </w:p>
        </w:tc>
      </w:tr>
      <w:tr>
        <w:trPr>
          <w:trHeight w:val="220" w:hRule="exact"/>
        </w:trPr>
        <w:tc>
          <w:tcPr>
            <w:tcW w:w="2907"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Entertainment</w:t>
            </w:r>
          </w:p>
        </w:tc>
        <w:tc>
          <w:tcPr>
            <w:tcW w:w="3604" w:type="dxa"/>
            <w:tcBorders>
              <w:top w:val="nil" w:sz="6" w:space="0" w:color="auto"/>
              <w:left w:val="nil" w:sz="6" w:space="0" w:color="auto"/>
              <w:bottom w:val="nil" w:sz="6" w:space="0" w:color="auto"/>
              <w:right w:val="nil" w:sz="6" w:space="0" w:color="auto"/>
            </w:tcBorders>
          </w:tcPr>
          <w:p>
            <w:pPr>
              <w:pStyle w:val="TableParagraph"/>
              <w:spacing w:line="204" w:lineRule="exact"/>
              <w:ind w:left="392" w:right="0"/>
              <w:jc w:val="center"/>
              <w:rPr>
                <w:rFonts w:ascii="Calibri" w:hAnsi="Calibri" w:cs="Calibri" w:eastAsia="Calibri" w:hint="default"/>
                <w:sz w:val="18"/>
                <w:szCs w:val="18"/>
              </w:rPr>
            </w:pPr>
            <w:r>
              <w:rPr>
                <w:rFonts w:ascii="Calibri"/>
                <w:sz w:val="18"/>
              </w:rPr>
              <w:t>4.52</w:t>
            </w:r>
          </w:p>
        </w:tc>
        <w:tc>
          <w:tcPr>
            <w:tcW w:w="2884" w:type="dxa"/>
            <w:tcBorders>
              <w:top w:val="nil" w:sz="6" w:space="0" w:color="auto"/>
              <w:left w:val="nil" w:sz="6" w:space="0" w:color="auto"/>
              <w:bottom w:val="nil" w:sz="6" w:space="0" w:color="auto"/>
              <w:right w:val="nil" w:sz="6" w:space="0" w:color="auto"/>
            </w:tcBorders>
          </w:tcPr>
          <w:p>
            <w:pPr>
              <w:pStyle w:val="TableParagraph"/>
              <w:spacing w:line="204" w:lineRule="exact"/>
              <w:ind w:left="1227" w:right="0"/>
              <w:jc w:val="left"/>
              <w:rPr>
                <w:rFonts w:ascii="Calibri" w:hAnsi="Calibri" w:cs="Calibri" w:eastAsia="Calibri" w:hint="default"/>
                <w:sz w:val="18"/>
                <w:szCs w:val="18"/>
              </w:rPr>
            </w:pPr>
            <w:r>
              <w:rPr>
                <w:rFonts w:ascii="Calibri"/>
                <w:sz w:val="18"/>
              </w:rPr>
              <w:t>4.30</w:t>
            </w:r>
          </w:p>
        </w:tc>
      </w:tr>
      <w:tr>
        <w:trPr>
          <w:trHeight w:val="220" w:hRule="exact"/>
        </w:trPr>
        <w:tc>
          <w:tcPr>
            <w:tcW w:w="2907" w:type="dxa"/>
            <w:tcBorders>
              <w:top w:val="nil" w:sz="6" w:space="0" w:color="auto"/>
              <w:left w:val="nil" w:sz="6" w:space="0" w:color="auto"/>
              <w:bottom w:val="nil" w:sz="6" w:space="0" w:color="auto"/>
              <w:right w:val="nil" w:sz="6" w:space="0" w:color="auto"/>
            </w:tcBorders>
          </w:tcPr>
          <w:p>
            <w:pPr>
              <w:pStyle w:val="TableParagraph"/>
              <w:spacing w:line="203" w:lineRule="exact"/>
              <w:ind w:left="69" w:right="0"/>
              <w:jc w:val="left"/>
              <w:rPr>
                <w:rFonts w:ascii="Calibri" w:hAnsi="Calibri" w:cs="Calibri" w:eastAsia="Calibri" w:hint="default"/>
                <w:sz w:val="18"/>
                <w:szCs w:val="18"/>
              </w:rPr>
            </w:pPr>
            <w:r>
              <w:rPr>
                <w:rFonts w:ascii="Calibri"/>
                <w:sz w:val="18"/>
              </w:rPr>
              <w:t>Rental</w:t>
            </w:r>
            <w:r>
              <w:rPr>
                <w:rFonts w:ascii="Calibri"/>
                <w:spacing w:val="-3"/>
                <w:sz w:val="18"/>
              </w:rPr>
              <w:t> </w:t>
            </w:r>
            <w:r>
              <w:rPr>
                <w:rFonts w:ascii="Calibri"/>
                <w:sz w:val="18"/>
              </w:rPr>
              <w:t>cars</w:t>
            </w:r>
          </w:p>
        </w:tc>
        <w:tc>
          <w:tcPr>
            <w:tcW w:w="3604" w:type="dxa"/>
            <w:tcBorders>
              <w:top w:val="nil" w:sz="6" w:space="0" w:color="auto"/>
              <w:left w:val="nil" w:sz="6" w:space="0" w:color="auto"/>
              <w:bottom w:val="nil" w:sz="6" w:space="0" w:color="auto"/>
              <w:right w:val="nil" w:sz="6" w:space="0" w:color="auto"/>
            </w:tcBorders>
          </w:tcPr>
          <w:p>
            <w:pPr>
              <w:pStyle w:val="TableParagraph"/>
              <w:spacing w:line="203" w:lineRule="exact"/>
              <w:ind w:left="392" w:right="0"/>
              <w:jc w:val="center"/>
              <w:rPr>
                <w:rFonts w:ascii="Calibri" w:hAnsi="Calibri" w:cs="Calibri" w:eastAsia="Calibri" w:hint="default"/>
                <w:sz w:val="18"/>
                <w:szCs w:val="18"/>
              </w:rPr>
            </w:pPr>
            <w:r>
              <w:rPr>
                <w:rFonts w:ascii="Calibri"/>
                <w:sz w:val="18"/>
              </w:rPr>
              <w:t>4.40</w:t>
            </w:r>
          </w:p>
        </w:tc>
        <w:tc>
          <w:tcPr>
            <w:tcW w:w="2884" w:type="dxa"/>
            <w:tcBorders>
              <w:top w:val="nil" w:sz="6" w:space="0" w:color="auto"/>
              <w:left w:val="nil" w:sz="6" w:space="0" w:color="auto"/>
              <w:bottom w:val="nil" w:sz="6" w:space="0" w:color="auto"/>
              <w:right w:val="nil" w:sz="6" w:space="0" w:color="auto"/>
            </w:tcBorders>
          </w:tcPr>
          <w:p>
            <w:pPr>
              <w:pStyle w:val="TableParagraph"/>
              <w:spacing w:line="203" w:lineRule="exact"/>
              <w:ind w:left="1227" w:right="0"/>
              <w:jc w:val="left"/>
              <w:rPr>
                <w:rFonts w:ascii="Calibri" w:hAnsi="Calibri" w:cs="Calibri" w:eastAsia="Calibri" w:hint="default"/>
                <w:sz w:val="18"/>
                <w:szCs w:val="18"/>
              </w:rPr>
            </w:pPr>
            <w:r>
              <w:rPr>
                <w:rFonts w:ascii="Calibri"/>
                <w:sz w:val="18"/>
              </w:rPr>
              <w:t>4.25</w:t>
            </w:r>
          </w:p>
        </w:tc>
      </w:tr>
      <w:tr>
        <w:trPr>
          <w:trHeight w:val="220" w:hRule="exact"/>
        </w:trPr>
        <w:tc>
          <w:tcPr>
            <w:tcW w:w="2907" w:type="dxa"/>
            <w:tcBorders>
              <w:top w:val="nil" w:sz="6" w:space="0" w:color="auto"/>
              <w:left w:val="nil" w:sz="6" w:space="0" w:color="auto"/>
              <w:bottom w:val="nil" w:sz="6" w:space="0" w:color="auto"/>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Airfare</w:t>
            </w:r>
          </w:p>
        </w:tc>
        <w:tc>
          <w:tcPr>
            <w:tcW w:w="3604" w:type="dxa"/>
            <w:tcBorders>
              <w:top w:val="nil" w:sz="6" w:space="0" w:color="auto"/>
              <w:left w:val="nil" w:sz="6" w:space="0" w:color="auto"/>
              <w:bottom w:val="nil" w:sz="6" w:space="0" w:color="auto"/>
              <w:right w:val="nil" w:sz="6" w:space="0" w:color="auto"/>
            </w:tcBorders>
          </w:tcPr>
          <w:p>
            <w:pPr>
              <w:pStyle w:val="TableParagraph"/>
              <w:spacing w:line="204" w:lineRule="exact"/>
              <w:ind w:left="392" w:right="0"/>
              <w:jc w:val="center"/>
              <w:rPr>
                <w:rFonts w:ascii="Calibri" w:hAnsi="Calibri" w:cs="Calibri" w:eastAsia="Calibri" w:hint="default"/>
                <w:sz w:val="18"/>
                <w:szCs w:val="18"/>
              </w:rPr>
            </w:pPr>
            <w:r>
              <w:rPr>
                <w:rFonts w:ascii="Calibri"/>
                <w:sz w:val="18"/>
              </w:rPr>
              <w:t>4.35</w:t>
            </w:r>
          </w:p>
        </w:tc>
        <w:tc>
          <w:tcPr>
            <w:tcW w:w="2884" w:type="dxa"/>
            <w:tcBorders>
              <w:top w:val="nil" w:sz="6" w:space="0" w:color="auto"/>
              <w:left w:val="nil" w:sz="6" w:space="0" w:color="auto"/>
              <w:bottom w:val="nil" w:sz="6" w:space="0" w:color="auto"/>
              <w:right w:val="nil" w:sz="6" w:space="0" w:color="auto"/>
            </w:tcBorders>
          </w:tcPr>
          <w:p>
            <w:pPr>
              <w:pStyle w:val="TableParagraph"/>
              <w:spacing w:line="204" w:lineRule="exact"/>
              <w:ind w:left="1227" w:right="0"/>
              <w:jc w:val="left"/>
              <w:rPr>
                <w:rFonts w:ascii="Calibri" w:hAnsi="Calibri" w:cs="Calibri" w:eastAsia="Calibri" w:hint="default"/>
                <w:sz w:val="18"/>
                <w:szCs w:val="18"/>
              </w:rPr>
            </w:pPr>
            <w:r>
              <w:rPr>
                <w:rFonts w:ascii="Calibri"/>
                <w:sz w:val="18"/>
              </w:rPr>
              <w:t>4.21</w:t>
            </w:r>
          </w:p>
        </w:tc>
      </w:tr>
      <w:tr>
        <w:trPr>
          <w:trHeight w:val="220" w:hRule="exact"/>
        </w:trPr>
        <w:tc>
          <w:tcPr>
            <w:tcW w:w="2907" w:type="dxa"/>
            <w:tcBorders>
              <w:top w:val="nil" w:sz="6" w:space="0" w:color="auto"/>
              <w:left w:val="nil" w:sz="6" w:space="0" w:color="auto"/>
              <w:bottom w:val="nil" w:sz="6" w:space="0" w:color="auto"/>
              <w:right w:val="nil" w:sz="6" w:space="0" w:color="auto"/>
            </w:tcBorders>
          </w:tcPr>
          <w:p>
            <w:pPr>
              <w:pStyle w:val="TableParagraph"/>
              <w:spacing w:line="203" w:lineRule="exact"/>
              <w:ind w:left="69" w:right="0"/>
              <w:jc w:val="left"/>
              <w:rPr>
                <w:rFonts w:ascii="Calibri" w:hAnsi="Calibri" w:cs="Calibri" w:eastAsia="Calibri" w:hint="default"/>
                <w:sz w:val="18"/>
                <w:szCs w:val="18"/>
              </w:rPr>
            </w:pPr>
            <w:r>
              <w:rPr>
                <w:rFonts w:ascii="Calibri"/>
                <w:sz w:val="18"/>
              </w:rPr>
              <w:t>Shopping</w:t>
            </w:r>
          </w:p>
        </w:tc>
        <w:tc>
          <w:tcPr>
            <w:tcW w:w="3604" w:type="dxa"/>
            <w:tcBorders>
              <w:top w:val="nil" w:sz="6" w:space="0" w:color="auto"/>
              <w:left w:val="nil" w:sz="6" w:space="0" w:color="auto"/>
              <w:bottom w:val="nil" w:sz="6" w:space="0" w:color="auto"/>
              <w:right w:val="nil" w:sz="6" w:space="0" w:color="auto"/>
            </w:tcBorders>
          </w:tcPr>
          <w:p>
            <w:pPr>
              <w:pStyle w:val="TableParagraph"/>
              <w:spacing w:line="203" w:lineRule="exact"/>
              <w:ind w:left="392" w:right="0"/>
              <w:jc w:val="center"/>
              <w:rPr>
                <w:rFonts w:ascii="Calibri" w:hAnsi="Calibri" w:cs="Calibri" w:eastAsia="Calibri" w:hint="default"/>
                <w:sz w:val="18"/>
                <w:szCs w:val="18"/>
              </w:rPr>
            </w:pPr>
            <w:r>
              <w:rPr>
                <w:rFonts w:ascii="Calibri"/>
                <w:sz w:val="18"/>
              </w:rPr>
              <w:t>4.31</w:t>
            </w:r>
          </w:p>
        </w:tc>
        <w:tc>
          <w:tcPr>
            <w:tcW w:w="2884" w:type="dxa"/>
            <w:tcBorders>
              <w:top w:val="nil" w:sz="6" w:space="0" w:color="auto"/>
              <w:left w:val="nil" w:sz="6" w:space="0" w:color="auto"/>
              <w:bottom w:val="nil" w:sz="6" w:space="0" w:color="auto"/>
              <w:right w:val="nil" w:sz="6" w:space="0" w:color="auto"/>
            </w:tcBorders>
          </w:tcPr>
          <w:p>
            <w:pPr>
              <w:pStyle w:val="TableParagraph"/>
              <w:spacing w:line="203" w:lineRule="exact"/>
              <w:ind w:left="1227" w:right="0"/>
              <w:jc w:val="left"/>
              <w:rPr>
                <w:rFonts w:ascii="Calibri" w:hAnsi="Calibri" w:cs="Calibri" w:eastAsia="Calibri" w:hint="default"/>
                <w:sz w:val="18"/>
                <w:szCs w:val="18"/>
              </w:rPr>
            </w:pPr>
            <w:r>
              <w:rPr>
                <w:rFonts w:ascii="Calibri"/>
                <w:sz w:val="18"/>
              </w:rPr>
              <w:t>4.17</w:t>
            </w:r>
          </w:p>
        </w:tc>
      </w:tr>
      <w:tr>
        <w:trPr>
          <w:trHeight w:val="211" w:hRule="exact"/>
        </w:trPr>
        <w:tc>
          <w:tcPr>
            <w:tcW w:w="2907" w:type="dxa"/>
            <w:tcBorders>
              <w:top w:val="nil" w:sz="6" w:space="0" w:color="auto"/>
              <w:left w:val="nil" w:sz="6" w:space="0" w:color="auto"/>
              <w:bottom w:val="single" w:sz="4" w:space="0" w:color="000000"/>
              <w:right w:val="nil" w:sz="6" w:space="0" w:color="auto"/>
            </w:tcBorders>
          </w:tcPr>
          <w:p>
            <w:pPr>
              <w:pStyle w:val="TableParagraph"/>
              <w:spacing w:line="204" w:lineRule="exact"/>
              <w:ind w:left="69" w:right="0"/>
              <w:jc w:val="left"/>
              <w:rPr>
                <w:rFonts w:ascii="Calibri" w:hAnsi="Calibri" w:cs="Calibri" w:eastAsia="Calibri" w:hint="default"/>
                <w:sz w:val="18"/>
                <w:szCs w:val="18"/>
              </w:rPr>
            </w:pPr>
            <w:r>
              <w:rPr>
                <w:rFonts w:ascii="Calibri"/>
                <w:sz w:val="18"/>
              </w:rPr>
              <w:t>Taxis</w:t>
            </w:r>
          </w:p>
        </w:tc>
        <w:tc>
          <w:tcPr>
            <w:tcW w:w="3604" w:type="dxa"/>
            <w:tcBorders>
              <w:top w:val="nil" w:sz="6" w:space="0" w:color="auto"/>
              <w:left w:val="nil" w:sz="6" w:space="0" w:color="auto"/>
              <w:bottom w:val="single" w:sz="4" w:space="0" w:color="000000"/>
              <w:right w:val="nil" w:sz="6" w:space="0" w:color="auto"/>
            </w:tcBorders>
          </w:tcPr>
          <w:p>
            <w:pPr>
              <w:pStyle w:val="TableParagraph"/>
              <w:spacing w:line="204" w:lineRule="exact"/>
              <w:ind w:left="392" w:right="0"/>
              <w:jc w:val="center"/>
              <w:rPr>
                <w:rFonts w:ascii="Calibri" w:hAnsi="Calibri" w:cs="Calibri" w:eastAsia="Calibri" w:hint="default"/>
                <w:sz w:val="18"/>
                <w:szCs w:val="18"/>
              </w:rPr>
            </w:pPr>
            <w:r>
              <w:rPr>
                <w:rFonts w:ascii="Calibri"/>
                <w:sz w:val="18"/>
              </w:rPr>
              <w:t>4.25</w:t>
            </w:r>
          </w:p>
        </w:tc>
        <w:tc>
          <w:tcPr>
            <w:tcW w:w="2884" w:type="dxa"/>
            <w:tcBorders>
              <w:top w:val="nil" w:sz="6" w:space="0" w:color="auto"/>
              <w:left w:val="nil" w:sz="6" w:space="0" w:color="auto"/>
              <w:bottom w:val="single" w:sz="4" w:space="0" w:color="000000"/>
              <w:right w:val="nil" w:sz="6" w:space="0" w:color="auto"/>
            </w:tcBorders>
          </w:tcPr>
          <w:p>
            <w:pPr>
              <w:pStyle w:val="TableParagraph"/>
              <w:spacing w:line="204" w:lineRule="exact"/>
              <w:ind w:left="1227" w:right="0"/>
              <w:jc w:val="left"/>
              <w:rPr>
                <w:rFonts w:ascii="Calibri" w:hAnsi="Calibri" w:cs="Calibri" w:eastAsia="Calibri" w:hint="default"/>
                <w:sz w:val="18"/>
                <w:szCs w:val="18"/>
              </w:rPr>
            </w:pPr>
            <w:r>
              <w:rPr>
                <w:rFonts w:ascii="Calibri"/>
                <w:sz w:val="18"/>
              </w:rPr>
              <w:t>4.08</w:t>
            </w:r>
          </w:p>
        </w:tc>
      </w:tr>
    </w:tbl>
    <w:p>
      <w:pPr>
        <w:spacing w:line="240" w:lineRule="auto" w:before="12"/>
        <w:ind w:right="0"/>
        <w:rPr>
          <w:rFonts w:ascii="Calibri" w:hAnsi="Calibri" w:cs="Calibri" w:eastAsia="Calibri" w:hint="default"/>
          <w:b/>
          <w:bCs/>
          <w:sz w:val="19"/>
          <w:szCs w:val="19"/>
        </w:rPr>
      </w:pPr>
    </w:p>
    <w:p>
      <w:pPr>
        <w:pStyle w:val="Heading2"/>
        <w:spacing w:line="240" w:lineRule="auto"/>
        <w:ind w:right="0"/>
        <w:jc w:val="both"/>
        <w:rPr>
          <w:b w:val="0"/>
          <w:bCs w:val="0"/>
        </w:rPr>
      </w:pPr>
      <w:bookmarkStart w:name="_bookmark32" w:id="33"/>
      <w:bookmarkEnd w:id="33"/>
      <w:r>
        <w:rPr>
          <w:b w:val="0"/>
        </w:rPr>
      </w:r>
      <w:r>
        <w:rPr/>
        <w:t>Online reviews for</w:t>
      </w:r>
      <w:r>
        <w:rPr>
          <w:spacing w:val="-15"/>
        </w:rPr>
        <w:t> </w:t>
      </w:r>
      <w:r>
        <w:rPr/>
        <w:t>Curaçao</w:t>
      </w:r>
      <w:r>
        <w:rPr>
          <w:b w:val="0"/>
        </w:rPr>
      </w:r>
    </w:p>
    <w:p>
      <w:pPr>
        <w:pStyle w:val="BodyText"/>
        <w:spacing w:line="240" w:lineRule="auto" w:before="191" w:after="46"/>
        <w:ind w:right="1436"/>
        <w:jc w:val="both"/>
      </w:pPr>
      <w:r>
        <w:rPr/>
        <w:t>The DPITS also conducted an assessment of Curaçao</w:t>
      </w:r>
      <w:r>
        <w:rPr>
          <w:rFonts w:ascii="Calibri" w:hAnsi="Calibri" w:cs="Calibri" w:eastAsia="Calibri" w:hint="default"/>
        </w:rPr>
        <w:t>’s </w:t>
      </w:r>
      <w:r>
        <w:rPr/>
        <w:t>online comments via TripAdvisor® (see Figure 7). Approximately 50,000 online comments were assessed regarding the different components of tourism in Curaçao. The information appeared in different subcategories that tourists frequently use to collect information regarding their upcoming trip to Curaçao. These subcategories included the following: hotels, vacation rentals, flights, attractions, restaurants, and</w:t>
      </w:r>
      <w:r>
        <w:rPr>
          <w:spacing w:val="-14"/>
        </w:rPr>
        <w:t> </w:t>
      </w:r>
      <w:r>
        <w:rPr/>
        <w:t>forum.</w:t>
      </w:r>
    </w:p>
    <w:p>
      <w:pPr>
        <w:spacing w:line="240" w:lineRule="auto"/>
        <w:ind w:left="3811"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2894076" cy="2144268"/>
            <wp:effectExtent l="0" t="0" r="0" b="0"/>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22" cstate="print"/>
                    <a:stretch>
                      <a:fillRect/>
                    </a:stretch>
                  </pic:blipFill>
                  <pic:spPr>
                    <a:xfrm>
                      <a:off x="0" y="0"/>
                      <a:ext cx="2894076" cy="2144268"/>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27"/>
        <w:ind w:right="26"/>
        <w:jc w:val="center"/>
        <w:rPr>
          <w:b w:val="0"/>
          <w:bCs w:val="0"/>
        </w:rPr>
      </w:pPr>
      <w:bookmarkStart w:name="_bookmark33" w:id="34"/>
      <w:bookmarkEnd w:id="34"/>
      <w:r>
        <w:rPr>
          <w:b w:val="0"/>
        </w:rPr>
      </w:r>
      <w:r>
        <w:rPr/>
        <w:t>Figure 7:  Curaçao tourism on</w:t>
      </w:r>
      <w:r>
        <w:rPr>
          <w:spacing w:val="-19"/>
        </w:rPr>
        <w:t> </w:t>
      </w:r>
      <w:r>
        <w:rPr/>
        <w:t>TripAdvisor®</w:t>
      </w:r>
      <w:r>
        <w:rPr>
          <w:b w:val="0"/>
        </w:rPr>
      </w:r>
    </w:p>
    <w:p>
      <w:pPr>
        <w:spacing w:after="0" w:line="240" w:lineRule="auto"/>
        <w:jc w:val="center"/>
        <w:sectPr>
          <w:pgSz w:w="12240" w:h="15840"/>
          <w:pgMar w:header="0" w:footer="533" w:top="840" w:bottom="720" w:left="0" w:right="0"/>
        </w:sectPr>
      </w:pPr>
    </w:p>
    <w:p>
      <w:pPr>
        <w:spacing w:line="240" w:lineRule="auto" w:before="0"/>
        <w:ind w:right="0"/>
        <w:rPr>
          <w:rFonts w:ascii="Calibri" w:hAnsi="Calibri" w:cs="Calibri" w:eastAsia="Calibri" w:hint="default"/>
          <w:b/>
          <w:bCs/>
          <w:sz w:val="20"/>
          <w:szCs w:val="20"/>
        </w:rPr>
      </w:pPr>
    </w:p>
    <w:p>
      <w:pPr>
        <w:spacing w:line="240" w:lineRule="auto" w:before="1"/>
        <w:ind w:right="0"/>
        <w:rPr>
          <w:rFonts w:ascii="Calibri" w:hAnsi="Calibri" w:cs="Calibri" w:eastAsia="Calibri" w:hint="default"/>
          <w:b/>
          <w:bCs/>
          <w:sz w:val="23"/>
          <w:szCs w:val="23"/>
        </w:rPr>
      </w:pPr>
    </w:p>
    <w:p>
      <w:pPr>
        <w:pStyle w:val="BodyText"/>
        <w:spacing w:line="240" w:lineRule="auto" w:before="59"/>
        <w:ind w:right="1435"/>
        <w:jc w:val="both"/>
      </w:pPr>
      <w:r>
        <w:rPr>
          <w:rFonts w:ascii="Calibri" w:hAnsi="Calibri" w:cs="Calibri" w:eastAsia="Calibri" w:hint="default"/>
        </w:rPr>
        <w:t>The</w:t>
      </w:r>
      <w:r>
        <w:rPr>
          <w:rFonts w:ascii="Calibri" w:hAnsi="Calibri" w:cs="Calibri" w:eastAsia="Calibri" w:hint="default"/>
          <w:spacing w:val="-12"/>
        </w:rPr>
        <w:t> </w:t>
      </w:r>
      <w:r>
        <w:rPr>
          <w:rFonts w:ascii="Calibri" w:hAnsi="Calibri" w:cs="Calibri" w:eastAsia="Calibri" w:hint="default"/>
        </w:rPr>
        <w:t>“</w:t>
      </w:r>
      <w:r>
        <w:rPr/>
        <w:t>a</w:t>
      </w:r>
      <w:r>
        <w:rPr>
          <w:rFonts w:ascii="Calibri" w:hAnsi="Calibri" w:cs="Calibri" w:eastAsia="Calibri" w:hint="default"/>
        </w:rPr>
        <w:t>ttraction”</w:t>
      </w:r>
      <w:r>
        <w:rPr>
          <w:rFonts w:ascii="Calibri" w:hAnsi="Calibri" w:cs="Calibri" w:eastAsia="Calibri" w:hint="default"/>
          <w:spacing w:val="-12"/>
        </w:rPr>
        <w:t> </w:t>
      </w:r>
      <w:r>
        <w:rPr>
          <w:rFonts w:ascii="Calibri" w:hAnsi="Calibri" w:cs="Calibri" w:eastAsia="Calibri" w:hint="default"/>
        </w:rPr>
        <w:t>sub</w:t>
      </w:r>
      <w:r>
        <w:rPr/>
        <w:t>category</w:t>
      </w:r>
      <w:r>
        <w:rPr>
          <w:spacing w:val="-11"/>
        </w:rPr>
        <w:t> </w:t>
      </w:r>
      <w:r>
        <w:rPr/>
        <w:t>posted</w:t>
      </w:r>
      <w:r>
        <w:rPr>
          <w:spacing w:val="-12"/>
        </w:rPr>
        <w:t> </w:t>
      </w:r>
      <w:r>
        <w:rPr/>
        <w:t>the</w:t>
      </w:r>
      <w:r>
        <w:rPr>
          <w:spacing w:val="-12"/>
        </w:rPr>
        <w:t> </w:t>
      </w:r>
      <w:r>
        <w:rPr/>
        <w:t>most</w:t>
      </w:r>
      <w:r>
        <w:rPr>
          <w:spacing w:val="-10"/>
        </w:rPr>
        <w:t> </w:t>
      </w:r>
      <w:r>
        <w:rPr/>
        <w:t>online</w:t>
      </w:r>
      <w:r>
        <w:rPr>
          <w:spacing w:val="-12"/>
        </w:rPr>
        <w:t> </w:t>
      </w:r>
      <w:r>
        <w:rPr/>
        <w:t>reviews</w:t>
      </w:r>
      <w:r>
        <w:rPr>
          <w:spacing w:val="-13"/>
        </w:rPr>
        <w:t> </w:t>
      </w:r>
      <w:r>
        <w:rPr/>
        <w:t>(16,777</w:t>
      </w:r>
      <w:r>
        <w:rPr>
          <w:spacing w:val="-12"/>
        </w:rPr>
        <w:t> </w:t>
      </w:r>
      <w:r>
        <w:rPr/>
        <w:t>comments),</w:t>
      </w:r>
      <w:r>
        <w:rPr>
          <w:spacing w:val="-10"/>
        </w:rPr>
        <w:t> </w:t>
      </w:r>
      <w:r>
        <w:rPr/>
        <w:t>which</w:t>
      </w:r>
      <w:r>
        <w:rPr>
          <w:spacing w:val="-12"/>
        </w:rPr>
        <w:t> </w:t>
      </w:r>
      <w:r>
        <w:rPr/>
        <w:t>includes</w:t>
      </w:r>
      <w:r>
        <w:rPr>
          <w:spacing w:val="-13"/>
        </w:rPr>
        <w:t> </w:t>
      </w:r>
      <w:r>
        <w:rPr/>
        <w:t>205</w:t>
      </w:r>
      <w:r>
        <w:rPr>
          <w:spacing w:val="-12"/>
        </w:rPr>
        <w:t> </w:t>
      </w:r>
      <w:r>
        <w:rPr/>
        <w:t>different</w:t>
      </w:r>
      <w:r>
        <w:rPr>
          <w:spacing w:val="-12"/>
        </w:rPr>
        <w:t> </w:t>
      </w:r>
      <w:r>
        <w:rPr/>
        <w:t>items </w:t>
      </w:r>
      <w:r>
        <w:rPr/>
        <w:t>in</w:t>
      </w:r>
      <w:r>
        <w:rPr>
          <w:spacing w:val="-5"/>
        </w:rPr>
        <w:t> </w:t>
      </w:r>
      <w:r>
        <w:rPr/>
        <w:t>four</w:t>
      </w:r>
      <w:r>
        <w:rPr>
          <w:spacing w:val="-5"/>
        </w:rPr>
        <w:t> </w:t>
      </w:r>
      <w:r>
        <w:rPr/>
        <w:t>broad</w:t>
      </w:r>
      <w:r>
        <w:rPr>
          <w:spacing w:val="-4"/>
        </w:rPr>
        <w:t> </w:t>
      </w:r>
      <w:r>
        <w:rPr/>
        <w:t>categories</w:t>
      </w:r>
      <w:r>
        <w:rPr>
          <w:spacing w:val="-7"/>
        </w:rPr>
        <w:t> </w:t>
      </w:r>
      <w:r>
        <w:rPr/>
        <w:t>of</w:t>
      </w:r>
      <w:r>
        <w:rPr>
          <w:spacing w:val="-5"/>
        </w:rPr>
        <w:t> </w:t>
      </w:r>
      <w:r>
        <w:rPr/>
        <w:t>attractions:</w:t>
      </w:r>
      <w:r>
        <w:rPr>
          <w:spacing w:val="-5"/>
        </w:rPr>
        <w:t> </w:t>
      </w:r>
      <w:r>
        <w:rPr/>
        <w:t>beaches,</w:t>
      </w:r>
      <w:r>
        <w:rPr>
          <w:spacing w:val="-4"/>
        </w:rPr>
        <w:t> </w:t>
      </w:r>
      <w:r>
        <w:rPr/>
        <w:t>activities,</w:t>
      </w:r>
      <w:r>
        <w:rPr>
          <w:spacing w:val="-5"/>
        </w:rPr>
        <w:t> </w:t>
      </w:r>
      <w:r>
        <w:rPr/>
        <w:t>nightlife,</w:t>
      </w:r>
      <w:r>
        <w:rPr>
          <w:spacing w:val="-5"/>
        </w:rPr>
        <w:t> </w:t>
      </w:r>
      <w:r>
        <w:rPr/>
        <w:t>and</w:t>
      </w:r>
      <w:r>
        <w:rPr>
          <w:spacing w:val="-5"/>
        </w:rPr>
        <w:t> </w:t>
      </w:r>
      <w:r>
        <w:rPr/>
        <w:t>shopping/fashion.</w:t>
      </w:r>
      <w:r>
        <w:rPr>
          <w:spacing w:val="-5"/>
        </w:rPr>
        <w:t> </w:t>
      </w:r>
      <w:r>
        <w:rPr/>
        <w:t>These</w:t>
      </w:r>
      <w:r>
        <w:rPr>
          <w:spacing w:val="-6"/>
        </w:rPr>
        <w:t> </w:t>
      </w:r>
      <w:r>
        <w:rPr/>
        <w:t>categories</w:t>
      </w:r>
      <w:r>
        <w:rPr>
          <w:spacing w:val="-6"/>
        </w:rPr>
        <w:t> </w:t>
      </w:r>
      <w:r>
        <w:rPr/>
        <w:t>are</w:t>
      </w:r>
      <w:r>
        <w:rPr>
          <w:spacing w:val="-6"/>
        </w:rPr>
        <w:t> </w:t>
      </w:r>
      <w:r>
        <w:rPr/>
        <w:t>not </w:t>
      </w:r>
      <w:r>
        <w:rPr/>
        <w:t>mutually exclusive, and one attraction may appear in more than one category based on the type of activities the attraction offers. The water aspect of the destination is the most common review. Terms, such as </w:t>
      </w:r>
      <w:r>
        <w:rPr>
          <w:rFonts w:ascii="Calibri" w:hAnsi="Calibri" w:cs="Calibri" w:eastAsia="Calibri" w:hint="default"/>
          <w:i/>
        </w:rPr>
        <w:t>diving, water, beach, cruise, ship, boat, swim, island, snorkeling, sea, </w:t>
      </w:r>
      <w:r>
        <w:rPr/>
        <w:t>and </w:t>
      </w:r>
      <w:r>
        <w:rPr>
          <w:rFonts w:ascii="Calibri" w:hAnsi="Calibri" w:cs="Calibri" w:eastAsia="Calibri" w:hint="default"/>
          <w:i/>
        </w:rPr>
        <w:t>dolphin, </w:t>
      </w:r>
      <w:r>
        <w:rPr/>
        <w:t>compose 21.2% of the terms used in the attraction online reviews, which have an aggregated frequency of 14,928. The aggregated frequency represents 27.6% of all word frequencies used to describe the tourist experience in Curaçao. Figure 8 is a word cloud where the largest words represent the most common terms used to describe</w:t>
      </w:r>
      <w:r>
        <w:rPr>
          <w:spacing w:val="-27"/>
        </w:rPr>
        <w:t> </w:t>
      </w:r>
      <w:r>
        <w:rPr/>
        <w:t>Curaçao.</w:t>
      </w:r>
    </w:p>
    <w:p>
      <w:pPr>
        <w:spacing w:line="240" w:lineRule="auto" w:before="2" w:after="0"/>
        <w:ind w:right="0"/>
        <w:rPr>
          <w:rFonts w:ascii="Calibri" w:hAnsi="Calibri" w:cs="Calibri" w:eastAsia="Calibri" w:hint="default"/>
          <w:sz w:val="20"/>
          <w:szCs w:val="20"/>
        </w:rPr>
      </w:pPr>
    </w:p>
    <w:p>
      <w:pPr>
        <w:spacing w:line="240" w:lineRule="auto"/>
        <w:ind w:left="3384"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506865" cy="3533013"/>
            <wp:effectExtent l="0" t="0" r="0" b="0"/>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23" cstate="print"/>
                    <a:stretch>
                      <a:fillRect/>
                    </a:stretch>
                  </pic:blipFill>
                  <pic:spPr>
                    <a:xfrm>
                      <a:off x="0" y="0"/>
                      <a:ext cx="3506865" cy="3533013"/>
                    </a:xfrm>
                    <a:prstGeom prst="rect">
                      <a:avLst/>
                    </a:prstGeom>
                  </pic:spPr>
                </pic:pic>
              </a:graphicData>
            </a:graphic>
          </wp:inline>
        </w:drawing>
      </w:r>
      <w:r>
        <w:rPr>
          <w:rFonts w:ascii="Calibri" w:hAnsi="Calibri" w:cs="Calibri" w:eastAsia="Calibri" w:hint="default"/>
          <w:sz w:val="20"/>
          <w:szCs w:val="20"/>
        </w:rPr>
      </w:r>
    </w:p>
    <w:p>
      <w:pPr>
        <w:pStyle w:val="Heading9"/>
        <w:spacing w:line="199" w:lineRule="exact"/>
        <w:ind w:left="28" w:right="26"/>
        <w:jc w:val="center"/>
        <w:rPr>
          <w:b w:val="0"/>
          <w:bCs w:val="0"/>
        </w:rPr>
      </w:pPr>
      <w:bookmarkStart w:name="_bookmark34" w:id="35"/>
      <w:bookmarkEnd w:id="35"/>
      <w:r>
        <w:rPr>
          <w:b w:val="0"/>
          <w:bCs w:val="0"/>
        </w:rPr>
      </w:r>
      <w:r>
        <w:rPr/>
        <w:t>Figure 8:  </w:t>
      </w:r>
      <w:r>
        <w:rPr>
          <w:rFonts w:ascii="Calibri" w:hAnsi="Calibri" w:cs="Calibri" w:eastAsia="Calibri" w:hint="default"/>
        </w:rPr>
        <w:t>Curaçao’s </w:t>
      </w:r>
      <w:r>
        <w:rPr/>
        <w:t>word</w:t>
      </w:r>
      <w:r>
        <w:rPr>
          <w:spacing w:val="-10"/>
        </w:rPr>
        <w:t> </w:t>
      </w:r>
      <w:r>
        <w:rPr/>
        <w:t>cloud</w:t>
      </w:r>
      <w:r>
        <w:rPr>
          <w:b w:val="0"/>
          <w:bCs w:val="0"/>
        </w:rPr>
      </w:r>
    </w:p>
    <w:p>
      <w:pPr>
        <w:pStyle w:val="BodyText"/>
        <w:spacing w:line="240" w:lineRule="auto"/>
        <w:ind w:right="1437"/>
        <w:jc w:val="both"/>
        <w:rPr>
          <w:rFonts w:ascii="Calibri" w:hAnsi="Calibri" w:cs="Calibri" w:eastAsia="Calibri" w:hint="default"/>
        </w:rPr>
      </w:pPr>
      <w:r>
        <w:rPr/>
        <w:t>The</w:t>
      </w:r>
      <w:r>
        <w:rPr>
          <w:spacing w:val="-8"/>
        </w:rPr>
        <w:t> </w:t>
      </w:r>
      <w:r>
        <w:rPr/>
        <w:t>word,</w:t>
      </w:r>
      <w:r>
        <w:rPr>
          <w:spacing w:val="-8"/>
        </w:rPr>
        <w:t> </w:t>
      </w:r>
      <w:r>
        <w:rPr>
          <w:rFonts w:ascii="Calibri" w:hAnsi="Calibri" w:cs="Calibri" w:eastAsia="Calibri" w:hint="default"/>
          <w:i/>
        </w:rPr>
        <w:t>Curaçao,</w:t>
      </w:r>
      <w:r>
        <w:rPr>
          <w:rFonts w:ascii="Calibri" w:hAnsi="Calibri" w:cs="Calibri" w:eastAsia="Calibri" w:hint="default"/>
          <w:i/>
          <w:spacing w:val="-8"/>
        </w:rPr>
        <w:t> </w:t>
      </w:r>
      <w:r>
        <w:rPr/>
        <w:t>has</w:t>
      </w:r>
      <w:r>
        <w:rPr>
          <w:spacing w:val="-10"/>
        </w:rPr>
        <w:t> </w:t>
      </w:r>
      <w:r>
        <w:rPr/>
        <w:t>17</w:t>
      </w:r>
      <w:r>
        <w:rPr>
          <w:spacing w:val="-7"/>
        </w:rPr>
        <w:t> </w:t>
      </w:r>
      <w:r>
        <w:rPr/>
        <w:t>words</w:t>
      </w:r>
      <w:r>
        <w:rPr>
          <w:spacing w:val="-10"/>
        </w:rPr>
        <w:t> </w:t>
      </w:r>
      <w:r>
        <w:rPr/>
        <w:t>correlated</w:t>
      </w:r>
      <w:r>
        <w:rPr>
          <w:spacing w:val="-9"/>
        </w:rPr>
        <w:t> </w:t>
      </w:r>
      <w:r>
        <w:rPr/>
        <w:t>with</w:t>
      </w:r>
      <w:r>
        <w:rPr>
          <w:spacing w:val="-8"/>
        </w:rPr>
        <w:t> </w:t>
      </w:r>
      <w:r>
        <w:rPr/>
        <w:t>it</w:t>
      </w:r>
      <w:r>
        <w:rPr>
          <w:spacing w:val="-9"/>
        </w:rPr>
        <w:t> </w:t>
      </w:r>
      <w:r>
        <w:rPr/>
        <w:t>that</w:t>
      </w:r>
      <w:r>
        <w:rPr>
          <w:spacing w:val="-8"/>
        </w:rPr>
        <w:t> </w:t>
      </w:r>
      <w:r>
        <w:rPr/>
        <w:t>are</w:t>
      </w:r>
      <w:r>
        <w:rPr>
          <w:spacing w:val="-5"/>
        </w:rPr>
        <w:t> </w:t>
      </w:r>
      <w:r>
        <w:rPr/>
        <w:t>higher</w:t>
      </w:r>
      <w:r>
        <w:rPr>
          <w:spacing w:val="-10"/>
        </w:rPr>
        <w:t> </w:t>
      </w:r>
      <w:r>
        <w:rPr/>
        <w:t>than</w:t>
      </w:r>
      <w:r>
        <w:rPr>
          <w:spacing w:val="-8"/>
        </w:rPr>
        <w:t> </w:t>
      </w:r>
      <w:r>
        <w:rPr/>
        <w:t>0.75.</w:t>
      </w:r>
      <w:r>
        <w:rPr>
          <w:spacing w:val="29"/>
        </w:rPr>
        <w:t> </w:t>
      </w:r>
      <w:r>
        <w:rPr/>
        <w:t>The</w:t>
      </w:r>
      <w:r>
        <w:rPr>
          <w:spacing w:val="-10"/>
        </w:rPr>
        <w:t> </w:t>
      </w:r>
      <w:r>
        <w:rPr/>
        <w:t>highest</w:t>
      </w:r>
      <w:r>
        <w:rPr>
          <w:spacing w:val="-6"/>
        </w:rPr>
        <w:t> </w:t>
      </w:r>
      <w:r>
        <w:rPr/>
        <w:t>correlation</w:t>
      </w:r>
      <w:r>
        <w:rPr>
          <w:spacing w:val="-9"/>
        </w:rPr>
        <w:t> </w:t>
      </w:r>
      <w:r>
        <w:rPr/>
        <w:t>with</w:t>
      </w:r>
      <w:r>
        <w:rPr>
          <w:spacing w:val="-8"/>
        </w:rPr>
        <w:t> </w:t>
      </w:r>
      <w:r>
        <w:rPr/>
        <w:t>the</w:t>
      </w:r>
      <w:r>
        <w:rPr>
          <w:spacing w:val="-8"/>
        </w:rPr>
        <w:t> </w:t>
      </w:r>
      <w:r>
        <w:rPr/>
        <w:t>word, </w:t>
      </w:r>
      <w:r>
        <w:rPr/>
      </w:r>
      <w:r>
        <w:rPr>
          <w:rFonts w:ascii="Calibri" w:hAnsi="Calibri" w:cs="Calibri" w:eastAsia="Calibri" w:hint="default"/>
          <w:i/>
        </w:rPr>
        <w:t>Curaçao, </w:t>
      </w:r>
      <w:r>
        <w:rPr/>
        <w:t>is the term</w:t>
      </w:r>
      <w:r>
        <w:rPr>
          <w:rFonts w:ascii="Calibri" w:hAnsi="Calibri" w:cs="Calibri" w:eastAsia="Calibri" w:hint="default"/>
          <w:i/>
        </w:rPr>
        <w:t>, great</w:t>
      </w:r>
      <w:r>
        <w:rPr/>
        <w:t>, with 86% appearing in combination with other descriptors. The other correlated terms are as follows: </w:t>
      </w:r>
      <w:r>
        <w:rPr>
          <w:rFonts w:ascii="Calibri" w:hAnsi="Calibri" w:cs="Calibri" w:eastAsia="Calibri" w:hint="default"/>
          <w:i/>
        </w:rPr>
        <w:t>recommended </w:t>
      </w:r>
      <w:r>
        <w:rPr/>
        <w:t>(0.84), </w:t>
      </w:r>
      <w:r>
        <w:rPr>
          <w:rFonts w:ascii="Calibri" w:hAnsi="Calibri" w:cs="Calibri" w:eastAsia="Calibri" w:hint="default"/>
          <w:i/>
        </w:rPr>
        <w:t>best </w:t>
      </w:r>
      <w:r>
        <w:rPr/>
        <w:t>(0.83), </w:t>
      </w:r>
      <w:r>
        <w:rPr>
          <w:rFonts w:ascii="Calibri" w:hAnsi="Calibri" w:cs="Calibri" w:eastAsia="Calibri" w:hint="default"/>
          <w:i/>
        </w:rPr>
        <w:t>excellent </w:t>
      </w:r>
      <w:r>
        <w:rPr/>
        <w:t>(0.82), </w:t>
      </w:r>
      <w:r>
        <w:rPr>
          <w:rFonts w:ascii="Calibri" w:hAnsi="Calibri" w:cs="Calibri" w:eastAsia="Calibri" w:hint="default"/>
          <w:i/>
        </w:rPr>
        <w:t>wonderful </w:t>
      </w:r>
      <w:r>
        <w:rPr/>
        <w:t>(0.82), </w:t>
      </w:r>
      <w:r>
        <w:rPr>
          <w:rFonts w:ascii="Calibri" w:hAnsi="Calibri" w:cs="Calibri" w:eastAsia="Calibri" w:hint="default"/>
          <w:i/>
        </w:rPr>
        <w:t>fantastic </w:t>
      </w:r>
      <w:r>
        <w:rPr/>
        <w:t>(0.80), and so on. The word, </w:t>
      </w:r>
      <w:r>
        <w:rPr>
          <w:rFonts w:ascii="Calibri" w:hAnsi="Calibri" w:cs="Calibri" w:eastAsia="Calibri" w:hint="default"/>
          <w:i/>
        </w:rPr>
        <w:t>beach, </w:t>
      </w:r>
      <w:r>
        <w:rPr/>
        <w:t>has an 88% correlation with the term, </w:t>
      </w:r>
      <w:r>
        <w:rPr>
          <w:rFonts w:ascii="Calibri" w:hAnsi="Calibri" w:cs="Calibri" w:eastAsia="Calibri" w:hint="default"/>
          <w:i/>
        </w:rPr>
        <w:t>white, </w:t>
      </w:r>
      <w:r>
        <w:rPr/>
        <w:t>which can signify the white sandy beaches as a positive </w:t>
      </w:r>
      <w:r>
        <w:rPr>
          <w:rFonts w:ascii="Calibri" w:hAnsi="Calibri" w:cs="Calibri" w:eastAsia="Calibri" w:hint="default"/>
        </w:rPr>
        <w:t>connotation in tourists’ beach</w:t>
      </w:r>
      <w:r>
        <w:rPr>
          <w:rFonts w:ascii="Calibri" w:hAnsi="Calibri" w:cs="Calibri" w:eastAsia="Calibri" w:hint="default"/>
          <w:spacing w:val="-14"/>
        </w:rPr>
        <w:t> </w:t>
      </w:r>
      <w:r>
        <w:rPr>
          <w:rFonts w:ascii="Calibri" w:hAnsi="Calibri" w:cs="Calibri" w:eastAsia="Calibri" w:hint="default"/>
        </w:rPr>
        <w:t>reviews.</w:t>
      </w:r>
    </w:p>
    <w:p>
      <w:pPr>
        <w:spacing w:line="240" w:lineRule="auto" w:before="1"/>
        <w:ind w:right="0"/>
        <w:rPr>
          <w:rFonts w:ascii="Calibri" w:hAnsi="Calibri" w:cs="Calibri" w:eastAsia="Calibri" w:hint="default"/>
          <w:sz w:val="20"/>
          <w:szCs w:val="20"/>
        </w:rPr>
      </w:pPr>
    </w:p>
    <w:p>
      <w:pPr>
        <w:pStyle w:val="BodyText"/>
        <w:spacing w:line="240" w:lineRule="auto"/>
        <w:ind w:right="1437"/>
        <w:jc w:val="both"/>
      </w:pPr>
      <w:r>
        <w:rPr/>
        <w:t>At the same time, the word, </w:t>
      </w:r>
      <w:r>
        <w:rPr>
          <w:rFonts w:ascii="Calibri" w:hAnsi="Calibri" w:cs="Calibri" w:eastAsia="Calibri" w:hint="default"/>
          <w:i/>
        </w:rPr>
        <w:t>beach, </w:t>
      </w:r>
      <w:r>
        <w:rPr/>
        <w:t>shows a very high correlation of 94% with the word, </w:t>
      </w:r>
      <w:r>
        <w:rPr>
          <w:rFonts w:ascii="Calibri" w:hAnsi="Calibri" w:cs="Calibri" w:eastAsia="Calibri" w:hint="default"/>
          <w:i/>
        </w:rPr>
        <w:t>crowded, </w:t>
      </w:r>
      <w:r>
        <w:rPr/>
        <w:t>which can signify a negative connotation. </w:t>
      </w:r>
      <w:r>
        <w:rPr>
          <w:rFonts w:ascii="Calibri" w:hAnsi="Calibri" w:cs="Calibri" w:eastAsia="Calibri" w:hint="default"/>
        </w:rPr>
        <w:t>However, it should be considered that reviewers might comment that beaches are “not” </w:t>
      </w:r>
      <w:r>
        <w:rPr/>
        <w:t>crowded, and due to data transformations conducted in this analysis, the terms </w:t>
      </w:r>
      <w:r>
        <w:rPr>
          <w:rFonts w:ascii="Calibri" w:hAnsi="Calibri" w:cs="Calibri" w:eastAsia="Calibri" w:hint="default"/>
        </w:rPr>
        <w:t>“are” and “not” are dropped from </w:t>
      </w:r>
      <w:r>
        <w:rPr/>
        <w:t>the</w:t>
      </w:r>
      <w:r>
        <w:rPr>
          <w:spacing w:val="-10"/>
        </w:rPr>
        <w:t> </w:t>
      </w:r>
      <w:r>
        <w:rPr/>
        <w:t>analysis</w:t>
      </w:r>
      <w:r>
        <w:rPr>
          <w:spacing w:val="-11"/>
        </w:rPr>
        <w:t> </w:t>
      </w:r>
      <w:r>
        <w:rPr/>
        <w:t>(which</w:t>
      </w:r>
      <w:r>
        <w:rPr>
          <w:spacing w:val="-9"/>
        </w:rPr>
        <w:t> </w:t>
      </w:r>
      <w:r>
        <w:rPr/>
        <w:t>is</w:t>
      </w:r>
      <w:r>
        <w:rPr>
          <w:spacing w:val="-11"/>
        </w:rPr>
        <w:t> </w:t>
      </w:r>
      <w:r>
        <w:rPr/>
        <w:t>unlikely</w:t>
      </w:r>
      <w:r>
        <w:rPr>
          <w:spacing w:val="-9"/>
        </w:rPr>
        <w:t> </w:t>
      </w:r>
      <w:r>
        <w:rPr/>
        <w:t>in</w:t>
      </w:r>
      <w:r>
        <w:rPr>
          <w:spacing w:val="-9"/>
        </w:rPr>
        <w:t> </w:t>
      </w:r>
      <w:r>
        <w:rPr/>
        <w:t>this</w:t>
      </w:r>
      <w:r>
        <w:rPr>
          <w:spacing w:val="-11"/>
        </w:rPr>
        <w:t> </w:t>
      </w:r>
      <w:r>
        <w:rPr/>
        <w:t>case</w:t>
      </w:r>
      <w:r>
        <w:rPr>
          <w:spacing w:val="-10"/>
        </w:rPr>
        <w:t> </w:t>
      </w:r>
      <w:r>
        <w:rPr/>
        <w:t>due</w:t>
      </w:r>
      <w:r>
        <w:rPr>
          <w:spacing w:val="-10"/>
        </w:rPr>
        <w:t> </w:t>
      </w:r>
      <w:r>
        <w:rPr/>
        <w:t>to</w:t>
      </w:r>
      <w:r>
        <w:rPr>
          <w:spacing w:val="-9"/>
        </w:rPr>
        <w:t> </w:t>
      </w:r>
      <w:r>
        <w:rPr/>
        <w:t>the</w:t>
      </w:r>
      <w:r>
        <w:rPr>
          <w:spacing w:val="-10"/>
        </w:rPr>
        <w:t> </w:t>
      </w:r>
      <w:r>
        <w:rPr/>
        <w:t>high</w:t>
      </w:r>
      <w:r>
        <w:rPr>
          <w:spacing w:val="-9"/>
        </w:rPr>
        <w:t> </w:t>
      </w:r>
      <w:r>
        <w:rPr/>
        <w:t>correlation).</w:t>
      </w:r>
      <w:r>
        <w:rPr>
          <w:spacing w:val="31"/>
        </w:rPr>
        <w:t> </w:t>
      </w:r>
      <w:r>
        <w:rPr/>
        <w:t>Nevertheless,</w:t>
      </w:r>
      <w:r>
        <w:rPr>
          <w:spacing w:val="-9"/>
        </w:rPr>
        <w:t> </w:t>
      </w:r>
      <w:r>
        <w:rPr/>
        <w:t>both</w:t>
      </w:r>
      <w:r>
        <w:rPr>
          <w:spacing w:val="-11"/>
        </w:rPr>
        <w:t> </w:t>
      </w:r>
      <w:r>
        <w:rPr/>
        <w:t>scenarios</w:t>
      </w:r>
      <w:r>
        <w:rPr>
          <w:spacing w:val="-10"/>
        </w:rPr>
        <w:t> </w:t>
      </w:r>
      <w:r>
        <w:rPr/>
        <w:t>may</w:t>
      </w:r>
      <w:r>
        <w:rPr>
          <w:spacing w:val="-8"/>
        </w:rPr>
        <w:t> </w:t>
      </w:r>
      <w:r>
        <w:rPr/>
        <w:t>be</w:t>
      </w:r>
      <w:r>
        <w:rPr>
          <w:spacing w:val="-10"/>
        </w:rPr>
        <w:t> </w:t>
      </w:r>
      <w:r>
        <w:rPr/>
        <w:t>possible, </w:t>
      </w:r>
      <w:r>
        <w:rPr/>
        <w:t>and the need for a carrying capacity evaluation and management of Curaçao beaches should be</w:t>
      </w:r>
      <w:r>
        <w:rPr>
          <w:spacing w:val="-30"/>
        </w:rPr>
        <w:t> </w:t>
      </w:r>
      <w:r>
        <w:rPr/>
        <w:t>investigated.</w:t>
      </w:r>
    </w:p>
    <w:p>
      <w:pPr>
        <w:spacing w:before="0"/>
        <w:ind w:left="1440" w:right="1440" w:firstLine="0"/>
        <w:jc w:val="both"/>
        <w:rPr>
          <w:rFonts w:ascii="Calibri" w:hAnsi="Calibri" w:cs="Calibri" w:eastAsia="Calibri" w:hint="default"/>
          <w:sz w:val="20"/>
          <w:szCs w:val="20"/>
        </w:rPr>
      </w:pPr>
      <w:r>
        <w:rPr>
          <w:rFonts w:ascii="Calibri" w:hAnsi="Calibri" w:cs="Calibri" w:eastAsia="Calibri" w:hint="default"/>
          <w:sz w:val="20"/>
          <w:szCs w:val="20"/>
        </w:rPr>
        <w:t>The word, </w:t>
      </w:r>
      <w:r>
        <w:rPr>
          <w:rFonts w:ascii="Calibri" w:hAnsi="Calibri" w:cs="Calibri" w:eastAsia="Calibri" w:hint="default"/>
          <w:i/>
          <w:sz w:val="20"/>
          <w:szCs w:val="20"/>
        </w:rPr>
        <w:t>times, </w:t>
      </w:r>
      <w:r>
        <w:rPr>
          <w:rFonts w:ascii="Calibri" w:hAnsi="Calibri" w:cs="Calibri" w:eastAsia="Calibri" w:hint="default"/>
          <w:sz w:val="20"/>
          <w:szCs w:val="20"/>
        </w:rPr>
        <w:t>is associated with the terms: </w:t>
      </w:r>
      <w:r>
        <w:rPr>
          <w:rFonts w:ascii="Calibri" w:hAnsi="Calibri" w:cs="Calibri" w:eastAsia="Calibri" w:hint="default"/>
          <w:i/>
          <w:sz w:val="20"/>
          <w:szCs w:val="20"/>
        </w:rPr>
        <w:t>great, fun, wonderful, amazing, lovely, awesome, enjoy, excellent, </w:t>
      </w:r>
      <w:r>
        <w:rPr>
          <w:rFonts w:ascii="Calibri" w:hAnsi="Calibri" w:cs="Calibri" w:eastAsia="Calibri" w:hint="default"/>
          <w:sz w:val="20"/>
          <w:szCs w:val="20"/>
        </w:rPr>
        <w:t>and </w:t>
      </w:r>
      <w:r>
        <w:rPr>
          <w:rFonts w:ascii="Calibri" w:hAnsi="Calibri" w:cs="Calibri" w:eastAsia="Calibri" w:hint="default"/>
          <w:i/>
          <w:sz w:val="20"/>
          <w:szCs w:val="20"/>
        </w:rPr>
        <w:t>right, </w:t>
      </w:r>
      <w:r>
        <w:rPr>
          <w:rFonts w:ascii="Calibri" w:hAnsi="Calibri" w:cs="Calibri" w:eastAsia="Calibri" w:hint="default"/>
          <w:sz w:val="20"/>
          <w:szCs w:val="20"/>
        </w:rPr>
        <w:t>among other words in 0.75 correlation level. Another interesting finding is the descriptors used for the quality of water. The most common words to describ</w:t>
      </w:r>
      <w:r>
        <w:rPr>
          <w:rFonts w:ascii="Calibri" w:hAnsi="Calibri" w:cs="Calibri" w:eastAsia="Calibri" w:hint="default"/>
          <w:sz w:val="20"/>
          <w:szCs w:val="20"/>
        </w:rPr>
        <w:t>e Curaçao’s water were: </w:t>
      </w:r>
      <w:r>
        <w:rPr>
          <w:rFonts w:ascii="Calibri" w:hAnsi="Calibri" w:cs="Calibri" w:eastAsia="Calibri" w:hint="default"/>
          <w:i/>
          <w:sz w:val="20"/>
          <w:szCs w:val="20"/>
        </w:rPr>
        <w:t>clear, calm, crystal, gorgeous, beautiful, </w:t>
      </w:r>
      <w:r>
        <w:rPr>
          <w:rFonts w:ascii="Calibri" w:hAnsi="Calibri" w:cs="Calibri" w:eastAsia="Calibri" w:hint="default"/>
          <w:sz w:val="20"/>
          <w:szCs w:val="20"/>
        </w:rPr>
        <w:t>and </w:t>
      </w:r>
      <w:r>
        <w:rPr>
          <w:rFonts w:ascii="Calibri" w:hAnsi="Calibri" w:cs="Calibri" w:eastAsia="Calibri" w:hint="default"/>
          <w:i/>
          <w:sz w:val="20"/>
          <w:szCs w:val="20"/>
        </w:rPr>
        <w:t>perfect </w:t>
      </w:r>
      <w:r>
        <w:rPr>
          <w:rFonts w:ascii="Calibri" w:hAnsi="Calibri" w:cs="Calibri" w:eastAsia="Calibri" w:hint="default"/>
          <w:sz w:val="20"/>
          <w:szCs w:val="20"/>
        </w:rPr>
        <w:t>(see Table</w:t>
      </w:r>
      <w:r>
        <w:rPr>
          <w:rFonts w:ascii="Calibri" w:hAnsi="Calibri" w:cs="Calibri" w:eastAsia="Calibri" w:hint="default"/>
          <w:spacing w:val="-15"/>
          <w:sz w:val="20"/>
          <w:szCs w:val="20"/>
        </w:rPr>
        <w:t> </w:t>
      </w:r>
      <w:r>
        <w:rPr>
          <w:rFonts w:ascii="Calibri" w:hAnsi="Calibri" w:cs="Calibri" w:eastAsia="Calibri" w:hint="default"/>
          <w:sz w:val="20"/>
          <w:szCs w:val="20"/>
        </w:rPr>
        <w:t>6).</w:t>
      </w:r>
    </w:p>
    <w:p>
      <w:pPr>
        <w:spacing w:line="240" w:lineRule="auto" w:before="1"/>
        <w:ind w:right="0"/>
        <w:rPr>
          <w:rFonts w:ascii="Calibri" w:hAnsi="Calibri" w:cs="Calibri" w:eastAsia="Calibri" w:hint="default"/>
          <w:sz w:val="20"/>
          <w:szCs w:val="20"/>
        </w:rPr>
      </w:pPr>
    </w:p>
    <w:p>
      <w:pPr>
        <w:pStyle w:val="BodyText"/>
        <w:spacing w:line="240" w:lineRule="auto"/>
        <w:ind w:right="1439"/>
        <w:jc w:val="both"/>
      </w:pPr>
      <w:r>
        <w:rPr/>
        <w:t>The</w:t>
      </w:r>
      <w:r>
        <w:rPr>
          <w:spacing w:val="-9"/>
        </w:rPr>
        <w:t> </w:t>
      </w:r>
      <w:r>
        <w:rPr/>
        <w:t>current</w:t>
      </w:r>
      <w:r>
        <w:rPr>
          <w:spacing w:val="-5"/>
        </w:rPr>
        <w:t> </w:t>
      </w:r>
      <w:r>
        <w:rPr/>
        <w:t>market</w:t>
      </w:r>
      <w:r>
        <w:rPr>
          <w:spacing w:val="-8"/>
        </w:rPr>
        <w:t> </w:t>
      </w:r>
      <w:r>
        <w:rPr/>
        <w:t>segments</w:t>
      </w:r>
      <w:r>
        <w:rPr>
          <w:spacing w:val="-6"/>
        </w:rPr>
        <w:t> </w:t>
      </w:r>
      <w:r>
        <w:rPr/>
        <w:t>that</w:t>
      </w:r>
      <w:r>
        <w:rPr>
          <w:spacing w:val="-7"/>
        </w:rPr>
        <w:t> </w:t>
      </w:r>
      <w:r>
        <w:rPr/>
        <w:t>visit</w:t>
      </w:r>
      <w:r>
        <w:rPr>
          <w:spacing w:val="-8"/>
        </w:rPr>
        <w:t> </w:t>
      </w:r>
      <w:r>
        <w:rPr/>
        <w:t>Curaçao</w:t>
      </w:r>
      <w:r>
        <w:rPr>
          <w:spacing w:val="-5"/>
        </w:rPr>
        <w:t> </w:t>
      </w:r>
      <w:r>
        <w:rPr/>
        <w:t>view</w:t>
      </w:r>
      <w:r>
        <w:rPr>
          <w:spacing w:val="-9"/>
        </w:rPr>
        <w:t> </w:t>
      </w:r>
      <w:r>
        <w:rPr/>
        <w:t>the</w:t>
      </w:r>
      <w:r>
        <w:rPr>
          <w:spacing w:val="-9"/>
        </w:rPr>
        <w:t> </w:t>
      </w:r>
      <w:r>
        <w:rPr/>
        <w:t>island</w:t>
      </w:r>
      <w:r>
        <w:rPr>
          <w:spacing w:val="-7"/>
        </w:rPr>
        <w:t> </w:t>
      </w:r>
      <w:r>
        <w:rPr/>
        <w:t>as</w:t>
      </w:r>
      <w:r>
        <w:rPr>
          <w:spacing w:val="-8"/>
        </w:rPr>
        <w:t> </w:t>
      </w:r>
      <w:r>
        <w:rPr/>
        <w:t>a</w:t>
      </w:r>
      <w:r>
        <w:rPr>
          <w:spacing w:val="-7"/>
        </w:rPr>
        <w:t> </w:t>
      </w:r>
      <w:r>
        <w:rPr/>
        <w:t>traditional</w:t>
      </w:r>
      <w:r>
        <w:rPr>
          <w:spacing w:val="-7"/>
        </w:rPr>
        <w:t> </w:t>
      </w:r>
      <w:r>
        <w:rPr/>
        <w:t>SSS</w:t>
      </w:r>
      <w:r>
        <w:rPr>
          <w:spacing w:val="-4"/>
        </w:rPr>
        <w:t> </w:t>
      </w:r>
      <w:r>
        <w:rPr/>
        <w:t>destination.</w:t>
      </w:r>
      <w:r>
        <w:rPr>
          <w:spacing w:val="31"/>
        </w:rPr>
        <w:t> </w:t>
      </w:r>
      <w:r>
        <w:rPr/>
        <w:t>The</w:t>
      </w:r>
      <w:r>
        <w:rPr>
          <w:spacing w:val="-9"/>
        </w:rPr>
        <w:t> </w:t>
      </w:r>
      <w:r>
        <w:rPr/>
        <w:t>word</w:t>
      </w:r>
      <w:r>
        <w:rPr>
          <w:spacing w:val="-7"/>
        </w:rPr>
        <w:t> </w:t>
      </w:r>
      <w:r>
        <w:rPr/>
        <w:t>frequency </w:t>
      </w:r>
      <w:r>
        <w:rPr/>
        <w:t>analysis </w:t>
      </w:r>
      <w:r>
        <w:rPr>
          <w:rFonts w:ascii="Calibri" w:hAnsi="Calibri" w:cs="Calibri" w:eastAsia="Calibri" w:hint="default"/>
        </w:rPr>
        <w:t>reveals that the majority of these tourists seem satisfied with Curaçao’s current tourism product and </w:t>
      </w:r>
      <w:r>
        <w:rPr/>
        <w:t>offerings.</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Heading9"/>
        <w:tabs>
          <w:tab w:pos="3837" w:val="left" w:leader="none"/>
          <w:tab w:pos="10811" w:val="left" w:leader="none"/>
        </w:tabs>
        <w:spacing w:line="240" w:lineRule="auto" w:before="59" w:after="51"/>
        <w:ind w:left="1428" w:right="0"/>
        <w:jc w:val="left"/>
        <w:rPr>
          <w:rFonts w:ascii="Calibri" w:hAnsi="Calibri" w:cs="Calibri" w:eastAsia="Calibri" w:hint="default"/>
          <w:b w:val="0"/>
          <w:bCs w:val="0"/>
        </w:rPr>
      </w:pPr>
      <w:bookmarkStart w:name="_bookmark35" w:id="36"/>
      <w:bookmarkEnd w:id="36"/>
      <w:r>
        <w:rPr>
          <w:b w:val="0"/>
          <w:bCs w:val="0"/>
        </w:rPr>
      </w:r>
      <w:r>
        <w:rPr>
          <w:w w:val="99"/>
        </w:rPr>
      </w:r>
      <w:r>
        <w:rPr>
          <w:w w:val="99"/>
          <w:u w:val="single" w:color="000000"/>
        </w:rPr>
        <w:t> </w:t>
      </w:r>
      <w:r>
        <w:rPr>
          <w:u w:val="single" w:color="000000"/>
        </w:rPr>
        <w:tab/>
        <w:t>Table 6:  </w:t>
      </w:r>
      <w:r>
        <w:rPr>
          <w:rFonts w:ascii="Calibri" w:hAnsi="Calibri" w:cs="Calibri" w:eastAsia="Calibri" w:hint="default"/>
          <w:u w:val="single" w:color="000000"/>
        </w:rPr>
        <w:t>“Curaçao” word correlations with other</w:t>
      </w:r>
      <w:r>
        <w:rPr>
          <w:rFonts w:ascii="Calibri" w:hAnsi="Calibri" w:cs="Calibri" w:eastAsia="Calibri" w:hint="default"/>
          <w:spacing w:val="-17"/>
          <w:u w:val="single" w:color="000000"/>
        </w:rPr>
        <w:t> </w:t>
      </w:r>
      <w:r>
        <w:rPr>
          <w:rFonts w:ascii="Calibri" w:hAnsi="Calibri" w:cs="Calibri" w:eastAsia="Calibri" w:hint="default"/>
          <w:u w:val="single" w:color="000000"/>
        </w:rPr>
        <w:t>terms</w:t>
        <w:tab/>
      </w:r>
      <w:r>
        <w:rPr>
          <w:rFonts w:ascii="Calibri" w:hAnsi="Calibri" w:cs="Calibri" w:eastAsia="Calibri" w:hint="default"/>
        </w:rPr>
      </w:r>
      <w:r>
        <w:rPr>
          <w:rFonts w:ascii="Calibri" w:hAnsi="Calibri" w:cs="Calibri" w:eastAsia="Calibri" w:hint="default"/>
          <w:b w:val="0"/>
          <w:bCs w:val="0"/>
        </w:rPr>
      </w:r>
    </w:p>
    <w:tbl>
      <w:tblPr>
        <w:tblW w:w="0" w:type="auto"/>
        <w:jc w:val="left"/>
        <w:tblInd w:w="1428" w:type="dxa"/>
        <w:tblLayout w:type="fixed"/>
        <w:tblCellMar>
          <w:top w:w="0" w:type="dxa"/>
          <w:left w:w="0" w:type="dxa"/>
          <w:bottom w:w="0" w:type="dxa"/>
          <w:right w:w="0" w:type="dxa"/>
        </w:tblCellMar>
        <w:tblLook w:val="01E0"/>
      </w:tblPr>
      <w:tblGrid>
        <w:gridCol w:w="4268"/>
        <w:gridCol w:w="5115"/>
      </w:tblGrid>
      <w:tr>
        <w:trPr>
          <w:trHeight w:val="209" w:hRule="exact"/>
        </w:trPr>
        <w:tc>
          <w:tcPr>
            <w:tcW w:w="4268" w:type="dxa"/>
            <w:tcBorders>
              <w:top w:val="nil" w:sz="6" w:space="0" w:color="auto"/>
              <w:left w:val="nil" w:sz="6" w:space="0" w:color="auto"/>
              <w:bottom w:val="single" w:sz="4" w:space="0" w:color="000000"/>
              <w:right w:val="nil" w:sz="6" w:space="0" w:color="auto"/>
            </w:tcBorders>
          </w:tcPr>
          <w:p>
            <w:pPr>
              <w:pStyle w:val="TableParagraph"/>
              <w:spacing w:line="203" w:lineRule="exact"/>
              <w:ind w:left="153" w:right="0"/>
              <w:jc w:val="left"/>
              <w:rPr>
                <w:rFonts w:ascii="Calibri" w:hAnsi="Calibri" w:cs="Calibri" w:eastAsia="Calibri" w:hint="default"/>
                <w:sz w:val="20"/>
                <w:szCs w:val="20"/>
              </w:rPr>
            </w:pPr>
            <w:r>
              <w:rPr>
                <w:rFonts w:ascii="Calibri"/>
                <w:b/>
                <w:sz w:val="20"/>
              </w:rPr>
              <w:t>Terms</w:t>
            </w:r>
            <w:r>
              <w:rPr>
                <w:rFonts w:ascii="Calibri"/>
                <w:sz w:val="20"/>
              </w:rPr>
            </w:r>
          </w:p>
        </w:tc>
        <w:tc>
          <w:tcPr>
            <w:tcW w:w="5115" w:type="dxa"/>
            <w:tcBorders>
              <w:top w:val="nil" w:sz="6" w:space="0" w:color="auto"/>
              <w:left w:val="nil" w:sz="6" w:space="0" w:color="auto"/>
              <w:bottom w:val="single" w:sz="4" w:space="0" w:color="000000"/>
              <w:right w:val="nil" w:sz="6" w:space="0" w:color="auto"/>
            </w:tcBorders>
          </w:tcPr>
          <w:p>
            <w:pPr>
              <w:pStyle w:val="TableParagraph"/>
              <w:spacing w:line="203" w:lineRule="exact"/>
              <w:ind w:left="1500" w:right="0"/>
              <w:jc w:val="center"/>
              <w:rPr>
                <w:rFonts w:ascii="Calibri" w:hAnsi="Calibri" w:cs="Calibri" w:eastAsia="Calibri" w:hint="default"/>
                <w:sz w:val="20"/>
                <w:szCs w:val="20"/>
              </w:rPr>
            </w:pPr>
            <w:r>
              <w:rPr>
                <w:rFonts w:ascii="Calibri" w:hAnsi="Calibri"/>
                <w:b/>
                <w:sz w:val="20"/>
              </w:rPr>
              <w:t>Curaçao</w:t>
            </w:r>
            <w:r>
              <w:rPr>
                <w:rFonts w:ascii="Calibri" w:hAnsi="Calibri"/>
                <w:sz w:val="20"/>
              </w:rPr>
            </w:r>
          </w:p>
        </w:tc>
      </w:tr>
      <w:tr>
        <w:trPr>
          <w:trHeight w:val="267" w:hRule="exact"/>
        </w:trPr>
        <w:tc>
          <w:tcPr>
            <w:tcW w:w="4268" w:type="dxa"/>
            <w:tcBorders>
              <w:top w:val="single" w:sz="4" w:space="0" w:color="000000"/>
              <w:left w:val="nil" w:sz="6" w:space="0" w:color="auto"/>
              <w:bottom w:val="nil" w:sz="6" w:space="0" w:color="auto"/>
              <w:right w:val="nil" w:sz="6" w:space="0" w:color="auto"/>
            </w:tcBorders>
          </w:tcPr>
          <w:p>
            <w:pPr>
              <w:pStyle w:val="TableParagraph"/>
              <w:spacing w:line="243" w:lineRule="exact"/>
              <w:ind w:left="107" w:right="0"/>
              <w:jc w:val="left"/>
              <w:rPr>
                <w:rFonts w:ascii="Calibri" w:hAnsi="Calibri" w:cs="Calibri" w:eastAsia="Calibri" w:hint="default"/>
                <w:sz w:val="20"/>
                <w:szCs w:val="20"/>
              </w:rPr>
            </w:pPr>
            <w:r>
              <w:rPr>
                <w:rFonts w:ascii="Calibri"/>
                <w:sz w:val="20"/>
              </w:rPr>
              <w:t>great</w:t>
            </w:r>
          </w:p>
        </w:tc>
        <w:tc>
          <w:tcPr>
            <w:tcW w:w="5115" w:type="dxa"/>
            <w:tcBorders>
              <w:top w:val="single" w:sz="4" w:space="0" w:color="000000"/>
              <w:left w:val="nil" w:sz="6" w:space="0" w:color="auto"/>
              <w:bottom w:val="nil" w:sz="6" w:space="0" w:color="auto"/>
              <w:right w:val="nil" w:sz="6" w:space="0" w:color="auto"/>
            </w:tcBorders>
          </w:tcPr>
          <w:p>
            <w:pPr>
              <w:pStyle w:val="TableParagraph"/>
              <w:spacing w:line="243" w:lineRule="exact"/>
              <w:ind w:left="1497" w:right="0"/>
              <w:jc w:val="center"/>
              <w:rPr>
                <w:rFonts w:ascii="Calibri" w:hAnsi="Calibri" w:cs="Calibri" w:eastAsia="Calibri" w:hint="default"/>
                <w:sz w:val="20"/>
                <w:szCs w:val="20"/>
              </w:rPr>
            </w:pPr>
            <w:r>
              <w:rPr>
                <w:rFonts w:ascii="Calibri"/>
                <w:sz w:val="20"/>
              </w:rPr>
              <w:t>0.86</w:t>
            </w:r>
          </w:p>
        </w:tc>
      </w:tr>
      <w:tr>
        <w:trPr>
          <w:trHeight w:val="244" w:hRule="exact"/>
        </w:trPr>
        <w:tc>
          <w:tcPr>
            <w:tcW w:w="4268"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recommended</w:t>
            </w:r>
          </w:p>
        </w:tc>
        <w:tc>
          <w:tcPr>
            <w:tcW w:w="5115" w:type="dxa"/>
            <w:tcBorders>
              <w:top w:val="nil" w:sz="6" w:space="0" w:color="auto"/>
              <w:left w:val="nil" w:sz="6" w:space="0" w:color="auto"/>
              <w:bottom w:val="nil" w:sz="6" w:space="0" w:color="auto"/>
              <w:right w:val="nil" w:sz="6" w:space="0" w:color="auto"/>
            </w:tcBorders>
          </w:tcPr>
          <w:p>
            <w:pPr>
              <w:pStyle w:val="TableParagraph"/>
              <w:spacing w:line="226" w:lineRule="exact"/>
              <w:ind w:left="1497" w:right="0"/>
              <w:jc w:val="center"/>
              <w:rPr>
                <w:rFonts w:ascii="Calibri" w:hAnsi="Calibri" w:cs="Calibri" w:eastAsia="Calibri" w:hint="default"/>
                <w:sz w:val="20"/>
                <w:szCs w:val="20"/>
              </w:rPr>
            </w:pPr>
            <w:r>
              <w:rPr>
                <w:rFonts w:ascii="Calibri"/>
                <w:sz w:val="20"/>
              </w:rPr>
              <w:t>0.84</w:t>
            </w:r>
          </w:p>
        </w:tc>
      </w:tr>
      <w:tr>
        <w:trPr>
          <w:trHeight w:val="244" w:hRule="exact"/>
        </w:trPr>
        <w:tc>
          <w:tcPr>
            <w:tcW w:w="4268" w:type="dxa"/>
            <w:tcBorders>
              <w:top w:val="nil" w:sz="6" w:space="0" w:color="auto"/>
              <w:left w:val="nil" w:sz="6" w:space="0" w:color="auto"/>
              <w:bottom w:val="nil" w:sz="6" w:space="0" w:color="auto"/>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sz w:val="20"/>
              </w:rPr>
              <w:t>best</w:t>
            </w:r>
          </w:p>
        </w:tc>
        <w:tc>
          <w:tcPr>
            <w:tcW w:w="5115" w:type="dxa"/>
            <w:tcBorders>
              <w:top w:val="nil" w:sz="6" w:space="0" w:color="auto"/>
              <w:left w:val="nil" w:sz="6" w:space="0" w:color="auto"/>
              <w:bottom w:val="nil" w:sz="6" w:space="0" w:color="auto"/>
              <w:right w:val="nil" w:sz="6" w:space="0" w:color="auto"/>
            </w:tcBorders>
          </w:tcPr>
          <w:p>
            <w:pPr>
              <w:pStyle w:val="TableParagraph"/>
              <w:spacing w:line="225" w:lineRule="exact"/>
              <w:ind w:left="1497" w:right="0"/>
              <w:jc w:val="center"/>
              <w:rPr>
                <w:rFonts w:ascii="Calibri" w:hAnsi="Calibri" w:cs="Calibri" w:eastAsia="Calibri" w:hint="default"/>
                <w:sz w:val="20"/>
                <w:szCs w:val="20"/>
              </w:rPr>
            </w:pPr>
            <w:r>
              <w:rPr>
                <w:rFonts w:ascii="Calibri"/>
                <w:sz w:val="20"/>
              </w:rPr>
              <w:t>0.83</w:t>
            </w:r>
          </w:p>
        </w:tc>
      </w:tr>
      <w:tr>
        <w:trPr>
          <w:trHeight w:val="245" w:hRule="exact"/>
        </w:trPr>
        <w:tc>
          <w:tcPr>
            <w:tcW w:w="4268"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excellent</w:t>
            </w:r>
          </w:p>
        </w:tc>
        <w:tc>
          <w:tcPr>
            <w:tcW w:w="5115" w:type="dxa"/>
            <w:tcBorders>
              <w:top w:val="nil" w:sz="6" w:space="0" w:color="auto"/>
              <w:left w:val="nil" w:sz="6" w:space="0" w:color="auto"/>
              <w:bottom w:val="nil" w:sz="6" w:space="0" w:color="auto"/>
              <w:right w:val="nil" w:sz="6" w:space="0" w:color="auto"/>
            </w:tcBorders>
          </w:tcPr>
          <w:p>
            <w:pPr>
              <w:pStyle w:val="TableParagraph"/>
              <w:spacing w:line="226" w:lineRule="exact"/>
              <w:ind w:left="1497" w:right="0"/>
              <w:jc w:val="center"/>
              <w:rPr>
                <w:rFonts w:ascii="Calibri" w:hAnsi="Calibri" w:cs="Calibri" w:eastAsia="Calibri" w:hint="default"/>
                <w:sz w:val="20"/>
                <w:szCs w:val="20"/>
              </w:rPr>
            </w:pPr>
            <w:r>
              <w:rPr>
                <w:rFonts w:ascii="Calibri"/>
                <w:sz w:val="20"/>
              </w:rPr>
              <w:t>0.82</w:t>
            </w:r>
          </w:p>
        </w:tc>
      </w:tr>
      <w:tr>
        <w:trPr>
          <w:trHeight w:val="244" w:hRule="exact"/>
        </w:trPr>
        <w:tc>
          <w:tcPr>
            <w:tcW w:w="4268"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wonderful</w:t>
            </w:r>
          </w:p>
        </w:tc>
        <w:tc>
          <w:tcPr>
            <w:tcW w:w="5115" w:type="dxa"/>
            <w:tcBorders>
              <w:top w:val="nil" w:sz="6" w:space="0" w:color="auto"/>
              <w:left w:val="nil" w:sz="6" w:space="0" w:color="auto"/>
              <w:bottom w:val="nil" w:sz="6" w:space="0" w:color="auto"/>
              <w:right w:val="nil" w:sz="6" w:space="0" w:color="auto"/>
            </w:tcBorders>
          </w:tcPr>
          <w:p>
            <w:pPr>
              <w:pStyle w:val="TableParagraph"/>
              <w:spacing w:line="226" w:lineRule="exact"/>
              <w:ind w:left="1497" w:right="0"/>
              <w:jc w:val="center"/>
              <w:rPr>
                <w:rFonts w:ascii="Calibri" w:hAnsi="Calibri" w:cs="Calibri" w:eastAsia="Calibri" w:hint="default"/>
                <w:sz w:val="20"/>
                <w:szCs w:val="20"/>
              </w:rPr>
            </w:pPr>
            <w:r>
              <w:rPr>
                <w:rFonts w:ascii="Calibri"/>
                <w:sz w:val="20"/>
              </w:rPr>
              <w:t>0.82</w:t>
            </w:r>
          </w:p>
        </w:tc>
      </w:tr>
      <w:tr>
        <w:trPr>
          <w:trHeight w:val="244" w:hRule="exact"/>
        </w:trPr>
        <w:tc>
          <w:tcPr>
            <w:tcW w:w="4268" w:type="dxa"/>
            <w:tcBorders>
              <w:top w:val="nil" w:sz="6" w:space="0" w:color="auto"/>
              <w:left w:val="nil" w:sz="6" w:space="0" w:color="auto"/>
              <w:bottom w:val="nil" w:sz="6" w:space="0" w:color="auto"/>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sz w:val="20"/>
              </w:rPr>
              <w:t>fantastic</w:t>
            </w:r>
          </w:p>
        </w:tc>
        <w:tc>
          <w:tcPr>
            <w:tcW w:w="5115" w:type="dxa"/>
            <w:tcBorders>
              <w:top w:val="nil" w:sz="6" w:space="0" w:color="auto"/>
              <w:left w:val="nil" w:sz="6" w:space="0" w:color="auto"/>
              <w:bottom w:val="nil" w:sz="6" w:space="0" w:color="auto"/>
              <w:right w:val="nil" w:sz="6" w:space="0" w:color="auto"/>
            </w:tcBorders>
          </w:tcPr>
          <w:p>
            <w:pPr>
              <w:pStyle w:val="TableParagraph"/>
              <w:spacing w:line="225" w:lineRule="exact"/>
              <w:ind w:left="1497" w:right="0"/>
              <w:jc w:val="center"/>
              <w:rPr>
                <w:rFonts w:ascii="Calibri" w:hAnsi="Calibri" w:cs="Calibri" w:eastAsia="Calibri" w:hint="default"/>
                <w:sz w:val="20"/>
                <w:szCs w:val="20"/>
              </w:rPr>
            </w:pPr>
            <w:r>
              <w:rPr>
                <w:rFonts w:ascii="Calibri"/>
                <w:sz w:val="20"/>
              </w:rPr>
              <w:t>0.80</w:t>
            </w:r>
          </w:p>
        </w:tc>
      </w:tr>
      <w:tr>
        <w:trPr>
          <w:trHeight w:val="245" w:hRule="exact"/>
        </w:trPr>
        <w:tc>
          <w:tcPr>
            <w:tcW w:w="4268"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friendly</w:t>
            </w:r>
          </w:p>
        </w:tc>
        <w:tc>
          <w:tcPr>
            <w:tcW w:w="5115" w:type="dxa"/>
            <w:tcBorders>
              <w:top w:val="nil" w:sz="6" w:space="0" w:color="auto"/>
              <w:left w:val="nil" w:sz="6" w:space="0" w:color="auto"/>
              <w:bottom w:val="nil" w:sz="6" w:space="0" w:color="auto"/>
              <w:right w:val="nil" w:sz="6" w:space="0" w:color="auto"/>
            </w:tcBorders>
          </w:tcPr>
          <w:p>
            <w:pPr>
              <w:pStyle w:val="TableParagraph"/>
              <w:spacing w:line="226" w:lineRule="exact"/>
              <w:ind w:left="1497" w:right="0"/>
              <w:jc w:val="center"/>
              <w:rPr>
                <w:rFonts w:ascii="Calibri" w:hAnsi="Calibri" w:cs="Calibri" w:eastAsia="Calibri" w:hint="default"/>
                <w:sz w:val="20"/>
                <w:szCs w:val="20"/>
              </w:rPr>
            </w:pPr>
            <w:r>
              <w:rPr>
                <w:rFonts w:ascii="Calibri"/>
                <w:sz w:val="20"/>
              </w:rPr>
              <w:t>0.80</w:t>
            </w:r>
          </w:p>
        </w:tc>
      </w:tr>
      <w:tr>
        <w:trPr>
          <w:trHeight w:val="245" w:hRule="exact"/>
        </w:trPr>
        <w:tc>
          <w:tcPr>
            <w:tcW w:w="4268"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review</w:t>
            </w:r>
          </w:p>
        </w:tc>
        <w:tc>
          <w:tcPr>
            <w:tcW w:w="5115" w:type="dxa"/>
            <w:tcBorders>
              <w:top w:val="nil" w:sz="6" w:space="0" w:color="auto"/>
              <w:left w:val="nil" w:sz="6" w:space="0" w:color="auto"/>
              <w:bottom w:val="nil" w:sz="6" w:space="0" w:color="auto"/>
              <w:right w:val="nil" w:sz="6" w:space="0" w:color="auto"/>
            </w:tcBorders>
          </w:tcPr>
          <w:p>
            <w:pPr>
              <w:pStyle w:val="TableParagraph"/>
              <w:spacing w:line="226" w:lineRule="exact"/>
              <w:ind w:left="1497" w:right="0"/>
              <w:jc w:val="center"/>
              <w:rPr>
                <w:rFonts w:ascii="Calibri" w:hAnsi="Calibri" w:cs="Calibri" w:eastAsia="Calibri" w:hint="default"/>
                <w:sz w:val="20"/>
                <w:szCs w:val="20"/>
              </w:rPr>
            </w:pPr>
            <w:r>
              <w:rPr>
                <w:rFonts w:ascii="Calibri"/>
                <w:sz w:val="20"/>
              </w:rPr>
              <w:t>0.80</w:t>
            </w:r>
          </w:p>
        </w:tc>
      </w:tr>
      <w:tr>
        <w:trPr>
          <w:trHeight w:val="244" w:hRule="exact"/>
        </w:trPr>
        <w:tc>
          <w:tcPr>
            <w:tcW w:w="4268"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times</w:t>
            </w:r>
          </w:p>
        </w:tc>
        <w:tc>
          <w:tcPr>
            <w:tcW w:w="5115" w:type="dxa"/>
            <w:tcBorders>
              <w:top w:val="nil" w:sz="6" w:space="0" w:color="auto"/>
              <w:left w:val="nil" w:sz="6" w:space="0" w:color="auto"/>
              <w:bottom w:val="nil" w:sz="6" w:space="0" w:color="auto"/>
              <w:right w:val="nil" w:sz="6" w:space="0" w:color="auto"/>
            </w:tcBorders>
          </w:tcPr>
          <w:p>
            <w:pPr>
              <w:pStyle w:val="TableParagraph"/>
              <w:spacing w:line="226" w:lineRule="exact"/>
              <w:ind w:left="1497" w:right="0"/>
              <w:jc w:val="center"/>
              <w:rPr>
                <w:rFonts w:ascii="Calibri" w:hAnsi="Calibri" w:cs="Calibri" w:eastAsia="Calibri" w:hint="default"/>
                <w:sz w:val="20"/>
                <w:szCs w:val="20"/>
              </w:rPr>
            </w:pPr>
            <w:r>
              <w:rPr>
                <w:rFonts w:ascii="Calibri"/>
                <w:sz w:val="20"/>
              </w:rPr>
              <w:t>0.80</w:t>
            </w:r>
          </w:p>
        </w:tc>
      </w:tr>
      <w:tr>
        <w:trPr>
          <w:trHeight w:val="244" w:hRule="exact"/>
        </w:trPr>
        <w:tc>
          <w:tcPr>
            <w:tcW w:w="4268" w:type="dxa"/>
            <w:tcBorders>
              <w:top w:val="nil" w:sz="6" w:space="0" w:color="auto"/>
              <w:left w:val="nil" w:sz="6" w:space="0" w:color="auto"/>
              <w:bottom w:val="nil" w:sz="6" w:space="0" w:color="auto"/>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sz w:val="20"/>
              </w:rPr>
              <w:t>trip</w:t>
            </w:r>
          </w:p>
        </w:tc>
        <w:tc>
          <w:tcPr>
            <w:tcW w:w="5115" w:type="dxa"/>
            <w:tcBorders>
              <w:top w:val="nil" w:sz="6" w:space="0" w:color="auto"/>
              <w:left w:val="nil" w:sz="6" w:space="0" w:color="auto"/>
              <w:bottom w:val="nil" w:sz="6" w:space="0" w:color="auto"/>
              <w:right w:val="nil" w:sz="6" w:space="0" w:color="auto"/>
            </w:tcBorders>
          </w:tcPr>
          <w:p>
            <w:pPr>
              <w:pStyle w:val="TableParagraph"/>
              <w:spacing w:line="225" w:lineRule="exact"/>
              <w:ind w:left="1497" w:right="0"/>
              <w:jc w:val="center"/>
              <w:rPr>
                <w:rFonts w:ascii="Calibri" w:hAnsi="Calibri" w:cs="Calibri" w:eastAsia="Calibri" w:hint="default"/>
                <w:sz w:val="20"/>
                <w:szCs w:val="20"/>
              </w:rPr>
            </w:pPr>
            <w:r>
              <w:rPr>
                <w:rFonts w:ascii="Calibri"/>
                <w:sz w:val="20"/>
              </w:rPr>
              <w:t>0.80</w:t>
            </w:r>
          </w:p>
        </w:tc>
      </w:tr>
      <w:tr>
        <w:trPr>
          <w:trHeight w:val="245" w:hRule="exact"/>
        </w:trPr>
        <w:tc>
          <w:tcPr>
            <w:tcW w:w="4268"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arrive</w:t>
            </w:r>
          </w:p>
        </w:tc>
        <w:tc>
          <w:tcPr>
            <w:tcW w:w="5115" w:type="dxa"/>
            <w:tcBorders>
              <w:top w:val="nil" w:sz="6" w:space="0" w:color="auto"/>
              <w:left w:val="nil" w:sz="6" w:space="0" w:color="auto"/>
              <w:bottom w:val="nil" w:sz="6" w:space="0" w:color="auto"/>
              <w:right w:val="nil" w:sz="6" w:space="0" w:color="auto"/>
            </w:tcBorders>
          </w:tcPr>
          <w:p>
            <w:pPr>
              <w:pStyle w:val="TableParagraph"/>
              <w:spacing w:line="226" w:lineRule="exact"/>
              <w:ind w:left="1497" w:right="0"/>
              <w:jc w:val="center"/>
              <w:rPr>
                <w:rFonts w:ascii="Calibri" w:hAnsi="Calibri" w:cs="Calibri" w:eastAsia="Calibri" w:hint="default"/>
                <w:sz w:val="20"/>
                <w:szCs w:val="20"/>
              </w:rPr>
            </w:pPr>
            <w:r>
              <w:rPr>
                <w:rFonts w:ascii="Calibri"/>
                <w:sz w:val="20"/>
              </w:rPr>
              <w:t>0.79</w:t>
            </w:r>
          </w:p>
        </w:tc>
      </w:tr>
      <w:tr>
        <w:trPr>
          <w:trHeight w:val="244" w:hRule="exact"/>
        </w:trPr>
        <w:tc>
          <w:tcPr>
            <w:tcW w:w="4268"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care</w:t>
            </w:r>
          </w:p>
        </w:tc>
        <w:tc>
          <w:tcPr>
            <w:tcW w:w="5115" w:type="dxa"/>
            <w:tcBorders>
              <w:top w:val="nil" w:sz="6" w:space="0" w:color="auto"/>
              <w:left w:val="nil" w:sz="6" w:space="0" w:color="auto"/>
              <w:bottom w:val="nil" w:sz="6" w:space="0" w:color="auto"/>
              <w:right w:val="nil" w:sz="6" w:space="0" w:color="auto"/>
            </w:tcBorders>
          </w:tcPr>
          <w:p>
            <w:pPr>
              <w:pStyle w:val="TableParagraph"/>
              <w:spacing w:line="226" w:lineRule="exact"/>
              <w:ind w:left="1497" w:right="0"/>
              <w:jc w:val="center"/>
              <w:rPr>
                <w:rFonts w:ascii="Calibri" w:hAnsi="Calibri" w:cs="Calibri" w:eastAsia="Calibri" w:hint="default"/>
                <w:sz w:val="20"/>
                <w:szCs w:val="20"/>
              </w:rPr>
            </w:pPr>
            <w:r>
              <w:rPr>
                <w:rFonts w:ascii="Calibri"/>
                <w:sz w:val="20"/>
              </w:rPr>
              <w:t>0.79</w:t>
            </w:r>
          </w:p>
        </w:tc>
      </w:tr>
      <w:tr>
        <w:trPr>
          <w:trHeight w:val="244" w:hRule="exact"/>
        </w:trPr>
        <w:tc>
          <w:tcPr>
            <w:tcW w:w="4268" w:type="dxa"/>
            <w:tcBorders>
              <w:top w:val="nil" w:sz="6" w:space="0" w:color="auto"/>
              <w:left w:val="nil" w:sz="6" w:space="0" w:color="auto"/>
              <w:bottom w:val="nil" w:sz="6" w:space="0" w:color="auto"/>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sz w:val="20"/>
              </w:rPr>
              <w:t>vacation</w:t>
            </w:r>
          </w:p>
        </w:tc>
        <w:tc>
          <w:tcPr>
            <w:tcW w:w="5115" w:type="dxa"/>
            <w:tcBorders>
              <w:top w:val="nil" w:sz="6" w:space="0" w:color="auto"/>
              <w:left w:val="nil" w:sz="6" w:space="0" w:color="auto"/>
              <w:bottom w:val="nil" w:sz="6" w:space="0" w:color="auto"/>
              <w:right w:val="nil" w:sz="6" w:space="0" w:color="auto"/>
            </w:tcBorders>
          </w:tcPr>
          <w:p>
            <w:pPr>
              <w:pStyle w:val="TableParagraph"/>
              <w:spacing w:line="225" w:lineRule="exact"/>
              <w:ind w:left="1497" w:right="0"/>
              <w:jc w:val="center"/>
              <w:rPr>
                <w:rFonts w:ascii="Calibri" w:hAnsi="Calibri" w:cs="Calibri" w:eastAsia="Calibri" w:hint="default"/>
                <w:sz w:val="20"/>
                <w:szCs w:val="20"/>
              </w:rPr>
            </w:pPr>
            <w:r>
              <w:rPr>
                <w:rFonts w:ascii="Calibri"/>
                <w:sz w:val="20"/>
              </w:rPr>
              <w:t>0.78</w:t>
            </w:r>
          </w:p>
        </w:tc>
      </w:tr>
      <w:tr>
        <w:trPr>
          <w:trHeight w:val="245" w:hRule="exact"/>
        </w:trPr>
        <w:tc>
          <w:tcPr>
            <w:tcW w:w="4268"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want</w:t>
            </w:r>
          </w:p>
        </w:tc>
        <w:tc>
          <w:tcPr>
            <w:tcW w:w="5115" w:type="dxa"/>
            <w:tcBorders>
              <w:top w:val="nil" w:sz="6" w:space="0" w:color="auto"/>
              <w:left w:val="nil" w:sz="6" w:space="0" w:color="auto"/>
              <w:bottom w:val="nil" w:sz="6" w:space="0" w:color="auto"/>
              <w:right w:val="nil" w:sz="6" w:space="0" w:color="auto"/>
            </w:tcBorders>
          </w:tcPr>
          <w:p>
            <w:pPr>
              <w:pStyle w:val="TableParagraph"/>
              <w:spacing w:line="226" w:lineRule="exact"/>
              <w:ind w:left="1497" w:right="0"/>
              <w:jc w:val="center"/>
              <w:rPr>
                <w:rFonts w:ascii="Calibri" w:hAnsi="Calibri" w:cs="Calibri" w:eastAsia="Calibri" w:hint="default"/>
                <w:sz w:val="20"/>
                <w:szCs w:val="20"/>
              </w:rPr>
            </w:pPr>
            <w:r>
              <w:rPr>
                <w:rFonts w:ascii="Calibri"/>
                <w:sz w:val="20"/>
              </w:rPr>
              <w:t>0.77</w:t>
            </w:r>
          </w:p>
        </w:tc>
      </w:tr>
      <w:tr>
        <w:trPr>
          <w:trHeight w:val="245" w:hRule="exact"/>
        </w:trPr>
        <w:tc>
          <w:tcPr>
            <w:tcW w:w="4268"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wife</w:t>
            </w:r>
          </w:p>
        </w:tc>
        <w:tc>
          <w:tcPr>
            <w:tcW w:w="5115" w:type="dxa"/>
            <w:tcBorders>
              <w:top w:val="nil" w:sz="6" w:space="0" w:color="auto"/>
              <w:left w:val="nil" w:sz="6" w:space="0" w:color="auto"/>
              <w:bottom w:val="nil" w:sz="6" w:space="0" w:color="auto"/>
              <w:right w:val="nil" w:sz="6" w:space="0" w:color="auto"/>
            </w:tcBorders>
          </w:tcPr>
          <w:p>
            <w:pPr>
              <w:pStyle w:val="TableParagraph"/>
              <w:spacing w:line="226" w:lineRule="exact"/>
              <w:ind w:left="1497" w:right="0"/>
              <w:jc w:val="center"/>
              <w:rPr>
                <w:rFonts w:ascii="Calibri" w:hAnsi="Calibri" w:cs="Calibri" w:eastAsia="Calibri" w:hint="default"/>
                <w:sz w:val="20"/>
                <w:szCs w:val="20"/>
              </w:rPr>
            </w:pPr>
            <w:r>
              <w:rPr>
                <w:rFonts w:ascii="Calibri"/>
                <w:sz w:val="20"/>
              </w:rPr>
              <w:t>0.77</w:t>
            </w:r>
          </w:p>
        </w:tc>
      </w:tr>
      <w:tr>
        <w:trPr>
          <w:trHeight w:val="244" w:hRule="exact"/>
        </w:trPr>
        <w:tc>
          <w:tcPr>
            <w:tcW w:w="4268"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spending</w:t>
            </w:r>
          </w:p>
        </w:tc>
        <w:tc>
          <w:tcPr>
            <w:tcW w:w="5115" w:type="dxa"/>
            <w:tcBorders>
              <w:top w:val="nil" w:sz="6" w:space="0" w:color="auto"/>
              <w:left w:val="nil" w:sz="6" w:space="0" w:color="auto"/>
              <w:bottom w:val="nil" w:sz="6" w:space="0" w:color="auto"/>
              <w:right w:val="nil" w:sz="6" w:space="0" w:color="auto"/>
            </w:tcBorders>
          </w:tcPr>
          <w:p>
            <w:pPr>
              <w:pStyle w:val="TableParagraph"/>
              <w:spacing w:line="226" w:lineRule="exact"/>
              <w:ind w:left="1497" w:right="0"/>
              <w:jc w:val="center"/>
              <w:rPr>
                <w:rFonts w:ascii="Calibri" w:hAnsi="Calibri" w:cs="Calibri" w:eastAsia="Calibri" w:hint="default"/>
                <w:sz w:val="20"/>
                <w:szCs w:val="20"/>
              </w:rPr>
            </w:pPr>
            <w:r>
              <w:rPr>
                <w:rFonts w:ascii="Calibri"/>
                <w:sz w:val="20"/>
              </w:rPr>
              <w:t>0.76</w:t>
            </w:r>
          </w:p>
        </w:tc>
      </w:tr>
      <w:tr>
        <w:trPr>
          <w:trHeight w:val="231" w:hRule="exact"/>
        </w:trPr>
        <w:tc>
          <w:tcPr>
            <w:tcW w:w="4268" w:type="dxa"/>
            <w:tcBorders>
              <w:top w:val="nil" w:sz="6" w:space="0" w:color="auto"/>
              <w:left w:val="nil" w:sz="6" w:space="0" w:color="auto"/>
              <w:bottom w:val="single" w:sz="4" w:space="0" w:color="000000"/>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sz w:val="20"/>
              </w:rPr>
              <w:t>week</w:t>
            </w:r>
          </w:p>
        </w:tc>
        <w:tc>
          <w:tcPr>
            <w:tcW w:w="5115" w:type="dxa"/>
            <w:tcBorders>
              <w:top w:val="nil" w:sz="6" w:space="0" w:color="auto"/>
              <w:left w:val="nil" w:sz="6" w:space="0" w:color="auto"/>
              <w:bottom w:val="single" w:sz="4" w:space="0" w:color="000000"/>
              <w:right w:val="nil" w:sz="6" w:space="0" w:color="auto"/>
            </w:tcBorders>
          </w:tcPr>
          <w:p>
            <w:pPr>
              <w:pStyle w:val="TableParagraph"/>
              <w:spacing w:line="225" w:lineRule="exact"/>
              <w:ind w:left="1497" w:right="0"/>
              <w:jc w:val="center"/>
              <w:rPr>
                <w:rFonts w:ascii="Calibri" w:hAnsi="Calibri" w:cs="Calibri" w:eastAsia="Calibri" w:hint="default"/>
                <w:sz w:val="20"/>
                <w:szCs w:val="20"/>
              </w:rPr>
            </w:pPr>
            <w:r>
              <w:rPr>
                <w:rFonts w:ascii="Calibri"/>
                <w:sz w:val="20"/>
              </w:rPr>
              <w:t>0.76</w:t>
            </w:r>
          </w:p>
        </w:tc>
      </w:tr>
    </w:tbl>
    <w:p>
      <w:pPr>
        <w:spacing w:line="240" w:lineRule="auto" w:before="2"/>
        <w:ind w:right="0"/>
        <w:rPr>
          <w:rFonts w:ascii="Calibri" w:hAnsi="Calibri" w:cs="Calibri" w:eastAsia="Calibri" w:hint="default"/>
          <w:b/>
          <w:bCs/>
          <w:sz w:val="20"/>
          <w:szCs w:val="20"/>
        </w:rPr>
      </w:pPr>
    </w:p>
    <w:p>
      <w:pPr>
        <w:pStyle w:val="Heading2"/>
        <w:spacing w:line="256" w:lineRule="auto"/>
        <w:ind w:right="1443"/>
        <w:jc w:val="both"/>
        <w:rPr>
          <w:b w:val="0"/>
          <w:bCs w:val="0"/>
        </w:rPr>
      </w:pPr>
      <w:bookmarkStart w:name="_bookmark36" w:id="37"/>
      <w:bookmarkEnd w:id="37"/>
      <w:r>
        <w:rPr>
          <w:b w:val="0"/>
          <w:bCs w:val="0"/>
        </w:rPr>
      </w:r>
      <w:r>
        <w:rPr>
          <w:rFonts w:ascii="Calibri" w:hAnsi="Calibri" w:cs="Calibri" w:eastAsia="Calibri" w:hint="default"/>
        </w:rPr>
        <w:t>Performance</w:t>
      </w:r>
      <w:r>
        <w:rPr>
          <w:rFonts w:ascii="Calibri" w:hAnsi="Calibri" w:cs="Calibri" w:eastAsia="Calibri" w:hint="default"/>
          <w:spacing w:val="-15"/>
        </w:rPr>
        <w:t> </w:t>
      </w:r>
      <w:r>
        <w:rPr>
          <w:rFonts w:ascii="Calibri" w:hAnsi="Calibri" w:cs="Calibri" w:eastAsia="Calibri" w:hint="default"/>
        </w:rPr>
        <w:t>gap</w:t>
      </w:r>
      <w:r>
        <w:rPr>
          <w:rFonts w:ascii="Calibri" w:hAnsi="Calibri" w:cs="Calibri" w:eastAsia="Calibri" w:hint="default"/>
          <w:spacing w:val="-15"/>
        </w:rPr>
        <w:t> </w:t>
      </w:r>
      <w:r>
        <w:rPr>
          <w:rFonts w:ascii="Calibri" w:hAnsi="Calibri" w:cs="Calibri" w:eastAsia="Calibri" w:hint="default"/>
        </w:rPr>
        <w:t>between</w:t>
      </w:r>
      <w:r>
        <w:rPr>
          <w:rFonts w:ascii="Calibri" w:hAnsi="Calibri" w:cs="Calibri" w:eastAsia="Calibri" w:hint="default"/>
          <w:spacing w:val="-15"/>
        </w:rPr>
        <w:t> </w:t>
      </w:r>
      <w:r>
        <w:rPr>
          <w:rFonts w:ascii="Calibri" w:hAnsi="Calibri" w:cs="Calibri" w:eastAsia="Calibri" w:hint="default"/>
        </w:rPr>
        <w:t>tourists’</w:t>
      </w:r>
      <w:r>
        <w:rPr>
          <w:rFonts w:ascii="Calibri" w:hAnsi="Calibri" w:cs="Calibri" w:eastAsia="Calibri" w:hint="default"/>
          <w:spacing w:val="-13"/>
        </w:rPr>
        <w:t> </w:t>
      </w:r>
      <w:r>
        <w:rPr>
          <w:rFonts w:ascii="Calibri" w:hAnsi="Calibri" w:cs="Calibri" w:eastAsia="Calibri" w:hint="default"/>
        </w:rPr>
        <w:t>perceptions</w:t>
      </w:r>
      <w:r>
        <w:rPr>
          <w:rFonts w:ascii="Calibri" w:hAnsi="Calibri" w:cs="Calibri" w:eastAsia="Calibri" w:hint="default"/>
          <w:spacing w:val="-14"/>
        </w:rPr>
        <w:t> </w:t>
      </w:r>
      <w:r>
        <w:rPr>
          <w:rFonts w:ascii="Calibri" w:hAnsi="Calibri" w:cs="Calibri" w:eastAsia="Calibri" w:hint="default"/>
        </w:rPr>
        <w:t>and</w:t>
      </w:r>
      <w:r>
        <w:rPr>
          <w:rFonts w:ascii="Calibri" w:hAnsi="Calibri" w:cs="Calibri" w:eastAsia="Calibri" w:hint="default"/>
          <w:spacing w:val="-13"/>
        </w:rPr>
        <w:t> </w:t>
      </w:r>
      <w:r>
        <w:rPr>
          <w:rFonts w:ascii="Calibri" w:hAnsi="Calibri" w:cs="Calibri" w:eastAsia="Calibri" w:hint="default"/>
        </w:rPr>
        <w:t>Curaçao’s</w:t>
      </w:r>
      <w:r>
        <w:rPr>
          <w:rFonts w:ascii="Calibri" w:hAnsi="Calibri" w:cs="Calibri" w:eastAsia="Calibri" w:hint="default"/>
          <w:spacing w:val="-17"/>
        </w:rPr>
        <w:t> </w:t>
      </w:r>
      <w:r>
        <w:rPr>
          <w:rFonts w:ascii="Calibri" w:hAnsi="Calibri" w:cs="Calibri" w:eastAsia="Calibri" w:hint="default"/>
        </w:rPr>
        <w:t>industry </w:t>
      </w:r>
      <w:r>
        <w:rPr>
          <w:rFonts w:ascii="Calibri" w:hAnsi="Calibri" w:cs="Calibri" w:eastAsia="Calibri" w:hint="default"/>
        </w:rPr>
      </w:r>
      <w:r>
        <w:rPr/>
        <w:t>stakeholders</w:t>
      </w:r>
      <w:r>
        <w:rPr>
          <w:b w:val="0"/>
          <w:bCs w:val="0"/>
        </w:rPr>
      </w:r>
    </w:p>
    <w:p>
      <w:pPr>
        <w:pStyle w:val="BodyText"/>
        <w:spacing w:line="240" w:lineRule="auto" w:before="164"/>
        <w:ind w:right="1436"/>
        <w:jc w:val="both"/>
      </w:pPr>
      <w:r>
        <w:rPr/>
        <w:t>In</w:t>
      </w:r>
      <w:r>
        <w:rPr>
          <w:spacing w:val="-12"/>
        </w:rPr>
        <w:t> </w:t>
      </w:r>
      <w:r>
        <w:rPr/>
        <w:t>2014,</w:t>
      </w:r>
      <w:r>
        <w:rPr>
          <w:spacing w:val="-12"/>
        </w:rPr>
        <w:t> </w:t>
      </w:r>
      <w:r>
        <w:rPr/>
        <w:t>the</w:t>
      </w:r>
      <w:r>
        <w:rPr>
          <w:spacing w:val="-13"/>
        </w:rPr>
        <w:t> </w:t>
      </w:r>
      <w:r>
        <w:rPr/>
        <w:t>DPITS</w:t>
      </w:r>
      <w:r>
        <w:rPr>
          <w:spacing w:val="-13"/>
        </w:rPr>
        <w:t> </w:t>
      </w:r>
      <w:r>
        <w:rPr/>
        <w:t>found</w:t>
      </w:r>
      <w:r>
        <w:rPr>
          <w:spacing w:val="-12"/>
        </w:rPr>
        <w:t> </w:t>
      </w:r>
      <w:r>
        <w:rPr/>
        <w:t>some</w:t>
      </w:r>
      <w:r>
        <w:rPr>
          <w:spacing w:val="-11"/>
        </w:rPr>
        <w:t> </w:t>
      </w:r>
      <w:r>
        <w:rPr/>
        <w:t>inconsistencies</w:t>
      </w:r>
      <w:r>
        <w:rPr>
          <w:spacing w:val="-14"/>
        </w:rPr>
        <w:t> </w:t>
      </w:r>
      <w:r>
        <w:rPr/>
        <w:t>with</w:t>
      </w:r>
      <w:r>
        <w:rPr>
          <w:spacing w:val="-12"/>
        </w:rPr>
        <w:t> </w:t>
      </w:r>
      <w:r>
        <w:rPr/>
        <w:t>regard</w:t>
      </w:r>
      <w:r>
        <w:rPr>
          <w:spacing w:val="-9"/>
        </w:rPr>
        <w:t> </w:t>
      </w:r>
      <w:r>
        <w:rPr>
          <w:rFonts w:ascii="Calibri" w:hAnsi="Calibri" w:cs="Calibri" w:eastAsia="Calibri" w:hint="default"/>
        </w:rPr>
        <w:t>to</w:t>
      </w:r>
      <w:r>
        <w:rPr>
          <w:rFonts w:ascii="Calibri" w:hAnsi="Calibri" w:cs="Calibri" w:eastAsia="Calibri" w:hint="default"/>
          <w:spacing w:val="-9"/>
        </w:rPr>
        <w:t> </w:t>
      </w:r>
      <w:r>
        <w:rPr>
          <w:rFonts w:ascii="Calibri" w:hAnsi="Calibri" w:cs="Calibri" w:eastAsia="Calibri" w:hint="default"/>
        </w:rPr>
        <w:t>tourists’</w:t>
      </w:r>
      <w:r>
        <w:rPr>
          <w:rFonts w:ascii="Calibri" w:hAnsi="Calibri" w:cs="Calibri" w:eastAsia="Calibri" w:hint="default"/>
          <w:spacing w:val="-12"/>
        </w:rPr>
        <w:t> </w:t>
      </w:r>
      <w:r>
        <w:rPr>
          <w:rFonts w:ascii="Calibri" w:hAnsi="Calibri" w:cs="Calibri" w:eastAsia="Calibri" w:hint="default"/>
        </w:rPr>
        <w:t>perceptions</w:t>
      </w:r>
      <w:r>
        <w:rPr>
          <w:rFonts w:ascii="Calibri" w:hAnsi="Calibri" w:cs="Calibri" w:eastAsia="Calibri" w:hint="default"/>
          <w:spacing w:val="-14"/>
        </w:rPr>
        <w:t> </w:t>
      </w:r>
      <w:r>
        <w:rPr>
          <w:rFonts w:ascii="Calibri" w:hAnsi="Calibri" w:cs="Calibri" w:eastAsia="Calibri" w:hint="default"/>
        </w:rPr>
        <w:t>of</w:t>
      </w:r>
      <w:r>
        <w:rPr>
          <w:rFonts w:ascii="Calibri" w:hAnsi="Calibri" w:cs="Calibri" w:eastAsia="Calibri" w:hint="default"/>
          <w:spacing w:val="-13"/>
        </w:rPr>
        <w:t> </w:t>
      </w:r>
      <w:r>
        <w:rPr>
          <w:rFonts w:ascii="Calibri" w:hAnsi="Calibri" w:cs="Calibri" w:eastAsia="Calibri" w:hint="default"/>
        </w:rPr>
        <w:t>Curaçao</w:t>
      </w:r>
      <w:r>
        <w:rPr>
          <w:rFonts w:ascii="Calibri" w:hAnsi="Calibri" w:cs="Calibri" w:eastAsia="Calibri" w:hint="default"/>
          <w:spacing w:val="-12"/>
        </w:rPr>
        <w:t> </w:t>
      </w:r>
      <w:r>
        <w:rPr>
          <w:rFonts w:ascii="Calibri" w:hAnsi="Calibri" w:cs="Calibri" w:eastAsia="Calibri" w:hint="default"/>
        </w:rPr>
        <w:t>and</w:t>
      </w:r>
      <w:r>
        <w:rPr>
          <w:rFonts w:ascii="Calibri" w:hAnsi="Calibri" w:cs="Calibri" w:eastAsia="Calibri" w:hint="default"/>
          <w:spacing w:val="-12"/>
        </w:rPr>
        <w:t> </w:t>
      </w:r>
      <w:r>
        <w:rPr>
          <w:rFonts w:ascii="Calibri" w:hAnsi="Calibri" w:cs="Calibri" w:eastAsia="Calibri" w:hint="default"/>
        </w:rPr>
        <w:t>Curaçao’s</w:t>
      </w:r>
      <w:r>
        <w:rPr>
          <w:rFonts w:ascii="Calibri" w:hAnsi="Calibri" w:cs="Calibri" w:eastAsia="Calibri" w:hint="default"/>
          <w:spacing w:val="-14"/>
        </w:rPr>
        <w:t> </w:t>
      </w:r>
      <w:r>
        <w:rPr>
          <w:rFonts w:ascii="Calibri" w:hAnsi="Calibri" w:cs="Calibri" w:eastAsia="Calibri" w:hint="default"/>
        </w:rPr>
        <w:t>industry </w:t>
      </w:r>
      <w:r>
        <w:rPr>
          <w:rFonts w:ascii="Calibri" w:hAnsi="Calibri" w:cs="Calibri" w:eastAsia="Calibri" w:hint="default"/>
        </w:rPr>
        <w:t>stakeholders’ perceptions of </w:t>
      </w:r>
      <w:r>
        <w:rPr/>
        <w:t>Curaçao. The inconsistency is that industry stakeholders feel Curaçao performs worse than what tourists think and feel about Curaçao.</w:t>
      </w:r>
      <w:r>
        <w:rPr>
          <w:position w:val="5"/>
          <w:sz w:val="12"/>
          <w:szCs w:val="12"/>
        </w:rPr>
        <w:t>10 </w:t>
      </w:r>
      <w:r>
        <w:rPr/>
        <w:t>This finding was again confirmed during the qualitative data </w:t>
      </w:r>
      <w:r>
        <w:rPr/>
        <w:t>collection phase for the 2015-2020 Strategic Tourism Master Plan. It seems that tourism managers/employees and locals believe that they are underperforming in most of the soft components of a tourism product (e.g. service delivery). However, when tourists were asked how Curaçao was performing in service delivery aspects, the tourists felt as though service delivery employees were performing above average. Tourists felt that service delivery employees were </w:t>
      </w:r>
      <w:r>
        <w:rPr>
          <w:rFonts w:ascii="Calibri" w:hAnsi="Calibri" w:cs="Calibri" w:eastAsia="Calibri" w:hint="default"/>
          <w:i/>
        </w:rPr>
        <w:t>welcoming, friendly, polite, trustworthy, and consistent</w:t>
      </w:r>
      <w:r>
        <w:rPr/>
        <w:t>. However, managers/employees, locals, and</w:t>
      </w:r>
      <w:r>
        <w:rPr>
          <w:spacing w:val="-3"/>
        </w:rPr>
        <w:t> </w:t>
      </w:r>
      <w:r>
        <w:rPr/>
        <w:t>industry</w:t>
      </w:r>
      <w:r>
        <w:rPr>
          <w:spacing w:val="-2"/>
        </w:rPr>
        <w:t> </w:t>
      </w:r>
      <w:r>
        <w:rPr/>
        <w:t>stakeholders</w:t>
      </w:r>
      <w:r>
        <w:rPr>
          <w:spacing w:val="-5"/>
        </w:rPr>
        <w:t> </w:t>
      </w:r>
      <w:r>
        <w:rPr/>
        <w:t>felt</w:t>
      </w:r>
      <w:r>
        <w:rPr>
          <w:spacing w:val="-1"/>
        </w:rPr>
        <w:t> </w:t>
      </w:r>
      <w:r>
        <w:rPr/>
        <w:t>as</w:t>
      </w:r>
      <w:r>
        <w:rPr>
          <w:spacing w:val="-5"/>
        </w:rPr>
        <w:t> </w:t>
      </w:r>
      <w:r>
        <w:rPr/>
        <w:t>though</w:t>
      </w:r>
      <w:r>
        <w:rPr>
          <w:spacing w:val="-3"/>
        </w:rPr>
        <w:t> </w:t>
      </w:r>
      <w:r>
        <w:rPr/>
        <w:t>they</w:t>
      </w:r>
      <w:r>
        <w:rPr>
          <w:spacing w:val="-3"/>
        </w:rPr>
        <w:t> </w:t>
      </w:r>
      <w:r>
        <w:rPr/>
        <w:t>were</w:t>
      </w:r>
      <w:r>
        <w:rPr>
          <w:spacing w:val="-4"/>
        </w:rPr>
        <w:t> </w:t>
      </w:r>
      <w:r>
        <w:rPr/>
        <w:t>underperforming</w:t>
      </w:r>
      <w:r>
        <w:rPr>
          <w:spacing w:val="-4"/>
        </w:rPr>
        <w:t> </w:t>
      </w:r>
      <w:r>
        <w:rPr/>
        <w:t>in</w:t>
      </w:r>
      <w:r>
        <w:rPr>
          <w:spacing w:val="-3"/>
        </w:rPr>
        <w:t> </w:t>
      </w:r>
      <w:r>
        <w:rPr/>
        <w:t>all</w:t>
      </w:r>
      <w:r>
        <w:rPr>
          <w:spacing w:val="-4"/>
        </w:rPr>
        <w:t> </w:t>
      </w:r>
      <w:r>
        <w:rPr/>
        <w:t>of</w:t>
      </w:r>
      <w:r>
        <w:rPr>
          <w:spacing w:val="-5"/>
        </w:rPr>
        <w:t> </w:t>
      </w:r>
      <w:r>
        <w:rPr/>
        <w:t>these</w:t>
      </w:r>
      <w:r>
        <w:rPr>
          <w:spacing w:val="-2"/>
        </w:rPr>
        <w:t> </w:t>
      </w:r>
      <w:r>
        <w:rPr/>
        <w:t>skills</w:t>
      </w:r>
      <w:r>
        <w:rPr>
          <w:spacing w:val="-5"/>
        </w:rPr>
        <w:t> </w:t>
      </w:r>
      <w:r>
        <w:rPr/>
        <w:t>(see</w:t>
      </w:r>
      <w:r>
        <w:rPr>
          <w:spacing w:val="-4"/>
        </w:rPr>
        <w:t> </w:t>
      </w:r>
      <w:r>
        <w:rPr/>
        <w:t>Table</w:t>
      </w:r>
      <w:r>
        <w:rPr>
          <w:spacing w:val="4"/>
        </w:rPr>
        <w:t> </w:t>
      </w:r>
      <w:r>
        <w:rPr/>
        <w:t>7).</w:t>
      </w:r>
    </w:p>
    <w:p>
      <w:pPr>
        <w:spacing w:line="240" w:lineRule="auto" w:before="11"/>
        <w:ind w:right="0"/>
        <w:rPr>
          <w:rFonts w:ascii="Calibri" w:hAnsi="Calibri" w:cs="Calibri" w:eastAsia="Calibri" w:hint="default"/>
          <w:sz w:val="19"/>
          <w:szCs w:val="19"/>
        </w:rPr>
      </w:pPr>
    </w:p>
    <w:p>
      <w:pPr>
        <w:pStyle w:val="Heading9"/>
        <w:tabs>
          <w:tab w:pos="3281" w:val="left" w:leader="none"/>
          <w:tab w:pos="10758" w:val="left" w:leader="none"/>
        </w:tabs>
        <w:spacing w:line="240" w:lineRule="auto" w:after="51"/>
        <w:ind w:left="1483" w:right="0"/>
        <w:jc w:val="both"/>
        <w:rPr>
          <w:rFonts w:ascii="Calibri" w:hAnsi="Calibri" w:cs="Calibri" w:eastAsia="Calibri" w:hint="default"/>
          <w:b w:val="0"/>
          <w:bCs w:val="0"/>
        </w:rPr>
      </w:pPr>
      <w:bookmarkStart w:name="_bookmark37" w:id="38"/>
      <w:bookmarkEnd w:id="38"/>
      <w:r>
        <w:rPr>
          <w:b w:val="0"/>
          <w:bCs w:val="0"/>
        </w:rPr>
      </w:r>
      <w:r>
        <w:rPr>
          <w:w w:val="99"/>
        </w:rPr>
      </w:r>
      <w:r>
        <w:rPr>
          <w:w w:val="99"/>
          <w:u w:val="single" w:color="000000"/>
        </w:rPr>
        <w:t> </w:t>
      </w:r>
      <w:r>
        <w:rPr>
          <w:u w:val="single" w:color="000000"/>
        </w:rPr>
        <w:tab/>
        <w:t>Table 7:  </w:t>
      </w:r>
      <w:r>
        <w:rPr>
          <w:rFonts w:ascii="Calibri" w:hAnsi="Calibri" w:cs="Calibri" w:eastAsia="Calibri" w:hint="default"/>
          <w:u w:val="single" w:color="000000"/>
        </w:rPr>
        <w:t>Tourists’ perceptions vs. Curaçao stakeholders’</w:t>
      </w:r>
      <w:r>
        <w:rPr>
          <w:rFonts w:ascii="Calibri" w:hAnsi="Calibri" w:cs="Calibri" w:eastAsia="Calibri" w:hint="default"/>
          <w:spacing w:val="-22"/>
          <w:u w:val="single" w:color="000000"/>
        </w:rPr>
        <w:t> </w:t>
      </w:r>
      <w:r>
        <w:rPr>
          <w:rFonts w:ascii="Calibri" w:hAnsi="Calibri" w:cs="Calibri" w:eastAsia="Calibri" w:hint="default"/>
          <w:u w:val="single" w:color="000000"/>
        </w:rPr>
        <w:t>perceptions</w:t>
        <w:tab/>
      </w:r>
      <w:r>
        <w:rPr>
          <w:rFonts w:ascii="Calibri" w:hAnsi="Calibri" w:cs="Calibri" w:eastAsia="Calibri" w:hint="default"/>
        </w:rPr>
      </w:r>
      <w:r>
        <w:rPr>
          <w:rFonts w:ascii="Calibri" w:hAnsi="Calibri" w:cs="Calibri" w:eastAsia="Calibri" w:hint="default"/>
          <w:b w:val="0"/>
          <w:bCs w:val="0"/>
        </w:rPr>
      </w:r>
    </w:p>
    <w:tbl>
      <w:tblPr>
        <w:tblW w:w="0" w:type="auto"/>
        <w:jc w:val="left"/>
        <w:tblInd w:w="1483" w:type="dxa"/>
        <w:tblLayout w:type="fixed"/>
        <w:tblCellMar>
          <w:top w:w="0" w:type="dxa"/>
          <w:left w:w="0" w:type="dxa"/>
          <w:bottom w:w="0" w:type="dxa"/>
          <w:right w:w="0" w:type="dxa"/>
        </w:tblCellMar>
        <w:tblLook w:val="01E0"/>
      </w:tblPr>
      <w:tblGrid>
        <w:gridCol w:w="1228"/>
        <w:gridCol w:w="2590"/>
        <w:gridCol w:w="2120"/>
        <w:gridCol w:w="1661"/>
        <w:gridCol w:w="1676"/>
      </w:tblGrid>
      <w:tr>
        <w:trPr>
          <w:trHeight w:val="454" w:hRule="exact"/>
        </w:trPr>
        <w:tc>
          <w:tcPr>
            <w:tcW w:w="1228" w:type="dxa"/>
            <w:tcBorders>
              <w:top w:val="nil" w:sz="6" w:space="0" w:color="auto"/>
              <w:left w:val="nil" w:sz="6" w:space="0" w:color="auto"/>
              <w:bottom w:val="single" w:sz="4" w:space="0" w:color="000000"/>
              <w:right w:val="nil" w:sz="6" w:space="0" w:color="auto"/>
            </w:tcBorders>
          </w:tcPr>
          <w:p>
            <w:pPr>
              <w:pStyle w:val="TableParagraph"/>
              <w:spacing w:line="203" w:lineRule="exact"/>
              <w:ind w:left="338" w:right="0" w:firstLine="40"/>
              <w:jc w:val="left"/>
              <w:rPr>
                <w:rFonts w:ascii="Calibri" w:hAnsi="Calibri" w:cs="Calibri" w:eastAsia="Calibri" w:hint="default"/>
                <w:sz w:val="20"/>
                <w:szCs w:val="20"/>
              </w:rPr>
            </w:pPr>
            <w:r>
              <w:rPr>
                <w:rFonts w:ascii="Calibri"/>
                <w:b/>
                <w:sz w:val="20"/>
              </w:rPr>
              <w:t>Tourist</w:t>
            </w:r>
            <w:r>
              <w:rPr>
                <w:rFonts w:ascii="Calibri"/>
                <w:sz w:val="20"/>
              </w:rPr>
            </w:r>
          </w:p>
          <w:p>
            <w:pPr>
              <w:pStyle w:val="TableParagraph"/>
              <w:spacing w:line="240" w:lineRule="auto"/>
              <w:ind w:left="338" w:right="0"/>
              <w:jc w:val="left"/>
              <w:rPr>
                <w:rFonts w:ascii="Calibri" w:hAnsi="Calibri" w:cs="Calibri" w:eastAsia="Calibri" w:hint="default"/>
                <w:sz w:val="20"/>
                <w:szCs w:val="20"/>
              </w:rPr>
            </w:pPr>
            <w:r>
              <w:rPr>
                <w:rFonts w:ascii="Calibri"/>
                <w:b/>
                <w:sz w:val="20"/>
              </w:rPr>
              <w:t>Ranking</w:t>
            </w:r>
            <w:r>
              <w:rPr>
                <w:rFonts w:ascii="Calibri"/>
                <w:sz w:val="20"/>
              </w:rPr>
            </w:r>
          </w:p>
        </w:tc>
        <w:tc>
          <w:tcPr>
            <w:tcW w:w="2590" w:type="dxa"/>
            <w:tcBorders>
              <w:top w:val="nil" w:sz="6" w:space="0" w:color="auto"/>
              <w:left w:val="nil" w:sz="6" w:space="0" w:color="auto"/>
              <w:bottom w:val="single" w:sz="4" w:space="0" w:color="000000"/>
              <w:right w:val="nil" w:sz="6" w:space="0" w:color="auto"/>
            </w:tcBorders>
          </w:tcPr>
          <w:p>
            <w:pPr>
              <w:pStyle w:val="TableParagraph"/>
              <w:spacing w:line="240" w:lineRule="auto" w:before="81"/>
              <w:ind w:left="1326" w:right="0"/>
              <w:jc w:val="left"/>
              <w:rPr>
                <w:rFonts w:ascii="Calibri" w:hAnsi="Calibri" w:cs="Calibri" w:eastAsia="Calibri" w:hint="default"/>
                <w:sz w:val="20"/>
                <w:szCs w:val="20"/>
              </w:rPr>
            </w:pPr>
            <w:r>
              <w:rPr>
                <w:rFonts w:ascii="Calibri"/>
                <w:b/>
                <w:sz w:val="20"/>
              </w:rPr>
              <w:t>Items</w:t>
            </w:r>
            <w:r>
              <w:rPr>
                <w:rFonts w:ascii="Calibri"/>
                <w:sz w:val="20"/>
              </w:rPr>
            </w:r>
          </w:p>
        </w:tc>
        <w:tc>
          <w:tcPr>
            <w:tcW w:w="2120" w:type="dxa"/>
            <w:tcBorders>
              <w:top w:val="nil" w:sz="6" w:space="0" w:color="auto"/>
              <w:left w:val="nil" w:sz="6" w:space="0" w:color="auto"/>
              <w:bottom w:val="single" w:sz="4" w:space="0" w:color="000000"/>
              <w:right w:val="nil" w:sz="6" w:space="0" w:color="auto"/>
            </w:tcBorders>
          </w:tcPr>
          <w:p>
            <w:pPr>
              <w:pStyle w:val="TableParagraph"/>
              <w:spacing w:line="203" w:lineRule="exact"/>
              <w:ind w:left="802" w:right="0" w:hanging="5"/>
              <w:jc w:val="left"/>
              <w:rPr>
                <w:rFonts w:ascii="Calibri" w:hAnsi="Calibri" w:cs="Calibri" w:eastAsia="Calibri" w:hint="default"/>
                <w:sz w:val="20"/>
                <w:szCs w:val="20"/>
              </w:rPr>
            </w:pPr>
            <w:r>
              <w:rPr>
                <w:rFonts w:ascii="Calibri"/>
                <w:b/>
                <w:sz w:val="20"/>
              </w:rPr>
              <w:t>Managers/</w:t>
            </w:r>
            <w:r>
              <w:rPr>
                <w:rFonts w:ascii="Calibri"/>
                <w:sz w:val="20"/>
              </w:rPr>
            </w:r>
          </w:p>
          <w:p>
            <w:pPr>
              <w:pStyle w:val="TableParagraph"/>
              <w:spacing w:line="240" w:lineRule="auto"/>
              <w:ind w:left="802" w:right="0"/>
              <w:jc w:val="left"/>
              <w:rPr>
                <w:rFonts w:ascii="Calibri" w:hAnsi="Calibri" w:cs="Calibri" w:eastAsia="Calibri" w:hint="default"/>
                <w:sz w:val="20"/>
                <w:szCs w:val="20"/>
              </w:rPr>
            </w:pPr>
            <w:r>
              <w:rPr>
                <w:rFonts w:ascii="Calibri"/>
                <w:b/>
                <w:sz w:val="20"/>
              </w:rPr>
              <w:t>Employees</w:t>
            </w:r>
            <w:r>
              <w:rPr>
                <w:rFonts w:ascii="Calibri"/>
                <w:sz w:val="20"/>
              </w:rPr>
            </w:r>
          </w:p>
        </w:tc>
        <w:tc>
          <w:tcPr>
            <w:tcW w:w="1661" w:type="dxa"/>
            <w:tcBorders>
              <w:top w:val="nil" w:sz="6" w:space="0" w:color="auto"/>
              <w:left w:val="nil" w:sz="6" w:space="0" w:color="auto"/>
              <w:bottom w:val="single" w:sz="4" w:space="0" w:color="000000"/>
              <w:right w:val="nil" w:sz="6" w:space="0" w:color="auto"/>
            </w:tcBorders>
          </w:tcPr>
          <w:p>
            <w:pPr>
              <w:pStyle w:val="TableParagraph"/>
              <w:spacing w:line="240" w:lineRule="auto" w:before="81"/>
              <w:ind w:right="31"/>
              <w:jc w:val="center"/>
              <w:rPr>
                <w:rFonts w:ascii="Calibri" w:hAnsi="Calibri" w:cs="Calibri" w:eastAsia="Calibri" w:hint="default"/>
                <w:sz w:val="20"/>
                <w:szCs w:val="20"/>
              </w:rPr>
            </w:pPr>
            <w:r>
              <w:rPr>
                <w:rFonts w:ascii="Calibri"/>
                <w:b/>
                <w:sz w:val="20"/>
              </w:rPr>
              <w:t>Residents</w:t>
            </w:r>
            <w:r>
              <w:rPr>
                <w:rFonts w:ascii="Calibri"/>
                <w:sz w:val="20"/>
              </w:rPr>
            </w:r>
          </w:p>
        </w:tc>
        <w:tc>
          <w:tcPr>
            <w:tcW w:w="1676" w:type="dxa"/>
            <w:tcBorders>
              <w:top w:val="nil" w:sz="6" w:space="0" w:color="auto"/>
              <w:left w:val="nil" w:sz="6" w:space="0" w:color="auto"/>
              <w:bottom w:val="single" w:sz="4" w:space="0" w:color="000000"/>
              <w:right w:val="nil" w:sz="6" w:space="0" w:color="auto"/>
            </w:tcBorders>
          </w:tcPr>
          <w:p>
            <w:pPr>
              <w:pStyle w:val="TableParagraph"/>
              <w:spacing w:line="240" w:lineRule="auto" w:before="81"/>
              <w:ind w:right="8"/>
              <w:jc w:val="center"/>
              <w:rPr>
                <w:rFonts w:ascii="Calibri" w:hAnsi="Calibri" w:cs="Calibri" w:eastAsia="Calibri" w:hint="default"/>
                <w:sz w:val="20"/>
                <w:szCs w:val="20"/>
              </w:rPr>
            </w:pPr>
            <w:r>
              <w:rPr>
                <w:rFonts w:ascii="Calibri"/>
                <w:b/>
                <w:sz w:val="20"/>
              </w:rPr>
              <w:t>Audience</w:t>
            </w:r>
            <w:r>
              <w:rPr>
                <w:rFonts w:ascii="Calibri"/>
                <w:sz w:val="20"/>
              </w:rPr>
            </w:r>
          </w:p>
        </w:tc>
      </w:tr>
      <w:tr>
        <w:trPr>
          <w:trHeight w:val="266" w:hRule="exact"/>
        </w:trPr>
        <w:tc>
          <w:tcPr>
            <w:tcW w:w="1228" w:type="dxa"/>
            <w:tcBorders>
              <w:top w:val="single" w:sz="4" w:space="0" w:color="000000"/>
              <w:left w:val="nil" w:sz="6" w:space="0" w:color="auto"/>
              <w:bottom w:val="nil" w:sz="6" w:space="0" w:color="auto"/>
              <w:right w:val="nil" w:sz="6" w:space="0" w:color="auto"/>
            </w:tcBorders>
          </w:tcPr>
          <w:p>
            <w:pPr>
              <w:pStyle w:val="TableParagraph"/>
              <w:spacing w:line="243" w:lineRule="exact"/>
              <w:ind w:left="547" w:right="0"/>
              <w:jc w:val="left"/>
              <w:rPr>
                <w:rFonts w:ascii="Calibri" w:hAnsi="Calibri" w:cs="Calibri" w:eastAsia="Calibri" w:hint="default"/>
                <w:sz w:val="20"/>
                <w:szCs w:val="20"/>
              </w:rPr>
            </w:pPr>
            <w:r>
              <w:rPr>
                <w:rFonts w:ascii="Calibri"/>
                <w:sz w:val="20"/>
              </w:rPr>
              <w:t>1st</w:t>
            </w:r>
          </w:p>
        </w:tc>
        <w:tc>
          <w:tcPr>
            <w:tcW w:w="2590" w:type="dxa"/>
            <w:tcBorders>
              <w:top w:val="single" w:sz="4" w:space="0" w:color="000000"/>
              <w:left w:val="nil" w:sz="6" w:space="0" w:color="auto"/>
              <w:bottom w:val="nil" w:sz="6" w:space="0" w:color="auto"/>
              <w:right w:val="nil" w:sz="6" w:space="0" w:color="auto"/>
            </w:tcBorders>
          </w:tcPr>
          <w:p>
            <w:pPr>
              <w:pStyle w:val="TableParagraph"/>
              <w:spacing w:line="243" w:lineRule="exact"/>
              <w:ind w:left="224" w:right="0"/>
              <w:jc w:val="left"/>
              <w:rPr>
                <w:rFonts w:ascii="Calibri" w:hAnsi="Calibri" w:cs="Calibri" w:eastAsia="Calibri" w:hint="default"/>
                <w:sz w:val="20"/>
                <w:szCs w:val="20"/>
              </w:rPr>
            </w:pPr>
            <w:r>
              <w:rPr>
                <w:rFonts w:ascii="Calibri"/>
                <w:sz w:val="20"/>
              </w:rPr>
              <w:t>Welcoming</w:t>
            </w:r>
          </w:p>
        </w:tc>
        <w:tc>
          <w:tcPr>
            <w:tcW w:w="2120" w:type="dxa"/>
            <w:tcBorders>
              <w:top w:val="single" w:sz="4" w:space="0" w:color="000000"/>
              <w:left w:val="nil" w:sz="6" w:space="0" w:color="auto"/>
              <w:bottom w:val="nil" w:sz="6" w:space="0" w:color="auto"/>
              <w:right w:val="nil" w:sz="6" w:space="0" w:color="auto"/>
            </w:tcBorders>
          </w:tcPr>
          <w:p>
            <w:pPr>
              <w:pStyle w:val="TableParagraph"/>
              <w:spacing w:line="243" w:lineRule="exact"/>
              <w:ind w:right="774"/>
              <w:jc w:val="right"/>
              <w:rPr>
                <w:rFonts w:ascii="Calibri" w:hAnsi="Calibri" w:cs="Calibri" w:eastAsia="Calibri" w:hint="default"/>
                <w:sz w:val="20"/>
                <w:szCs w:val="20"/>
              </w:rPr>
            </w:pPr>
            <w:r>
              <w:rPr>
                <w:rFonts w:ascii="Calibri" w:hAnsi="Calibri" w:cs="Calibri" w:eastAsia="Calibri" w:hint="default"/>
                <w:b/>
                <w:bCs/>
                <w:w w:val="95"/>
                <w:sz w:val="20"/>
                <w:szCs w:val="20"/>
              </w:rPr>
              <w:t>↓</w:t>
            </w:r>
            <w:r>
              <w:rPr>
                <w:rFonts w:ascii="Calibri" w:hAnsi="Calibri" w:cs="Calibri" w:eastAsia="Calibri" w:hint="default"/>
                <w:sz w:val="20"/>
                <w:szCs w:val="20"/>
              </w:rPr>
            </w:r>
          </w:p>
        </w:tc>
        <w:tc>
          <w:tcPr>
            <w:tcW w:w="1661" w:type="dxa"/>
            <w:tcBorders>
              <w:top w:val="single" w:sz="4" w:space="0" w:color="000000"/>
              <w:left w:val="nil" w:sz="6" w:space="0" w:color="auto"/>
              <w:bottom w:val="nil" w:sz="6" w:space="0" w:color="auto"/>
              <w:right w:val="nil" w:sz="6" w:space="0" w:color="auto"/>
            </w:tcBorders>
          </w:tcPr>
          <w:p>
            <w:pPr>
              <w:pStyle w:val="TableParagraph"/>
              <w:spacing w:line="243" w:lineRule="exact"/>
              <w:ind w:right="32"/>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c>
          <w:tcPr>
            <w:tcW w:w="1676" w:type="dxa"/>
            <w:tcBorders>
              <w:top w:val="single" w:sz="4" w:space="0" w:color="000000"/>
              <w:left w:val="nil" w:sz="6" w:space="0" w:color="auto"/>
              <w:bottom w:val="nil" w:sz="6" w:space="0" w:color="auto"/>
              <w:right w:val="nil" w:sz="6" w:space="0" w:color="auto"/>
            </w:tcBorders>
          </w:tcPr>
          <w:p>
            <w:pPr>
              <w:pStyle w:val="TableParagraph"/>
              <w:spacing w:line="243" w:lineRule="exact"/>
              <w:ind w:right="8"/>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r>
      <w:tr>
        <w:trPr>
          <w:trHeight w:val="244" w:hRule="exact"/>
        </w:trPr>
        <w:tc>
          <w:tcPr>
            <w:tcW w:w="1228" w:type="dxa"/>
            <w:tcBorders>
              <w:top w:val="nil" w:sz="6" w:space="0" w:color="auto"/>
              <w:left w:val="nil" w:sz="6" w:space="0" w:color="auto"/>
              <w:bottom w:val="nil" w:sz="6" w:space="0" w:color="auto"/>
              <w:right w:val="nil" w:sz="6" w:space="0" w:color="auto"/>
            </w:tcBorders>
          </w:tcPr>
          <w:p>
            <w:pPr>
              <w:pStyle w:val="TableParagraph"/>
              <w:spacing w:line="225" w:lineRule="exact"/>
              <w:ind w:left="515" w:right="0"/>
              <w:jc w:val="left"/>
              <w:rPr>
                <w:rFonts w:ascii="Calibri" w:hAnsi="Calibri" w:cs="Calibri" w:eastAsia="Calibri" w:hint="default"/>
                <w:sz w:val="20"/>
                <w:szCs w:val="20"/>
              </w:rPr>
            </w:pPr>
            <w:r>
              <w:rPr>
                <w:rFonts w:ascii="Calibri"/>
                <w:sz w:val="20"/>
              </w:rPr>
              <w:t>2nd</w:t>
            </w:r>
          </w:p>
        </w:tc>
        <w:tc>
          <w:tcPr>
            <w:tcW w:w="2590" w:type="dxa"/>
            <w:tcBorders>
              <w:top w:val="nil" w:sz="6" w:space="0" w:color="auto"/>
              <w:left w:val="nil" w:sz="6" w:space="0" w:color="auto"/>
              <w:bottom w:val="nil" w:sz="6" w:space="0" w:color="auto"/>
              <w:right w:val="nil" w:sz="6" w:space="0" w:color="auto"/>
            </w:tcBorders>
          </w:tcPr>
          <w:p>
            <w:pPr>
              <w:pStyle w:val="TableParagraph"/>
              <w:spacing w:line="225" w:lineRule="exact"/>
              <w:ind w:left="224" w:right="0"/>
              <w:jc w:val="left"/>
              <w:rPr>
                <w:rFonts w:ascii="Calibri" w:hAnsi="Calibri" w:cs="Calibri" w:eastAsia="Calibri" w:hint="default"/>
                <w:sz w:val="20"/>
                <w:szCs w:val="20"/>
              </w:rPr>
            </w:pPr>
            <w:r>
              <w:rPr>
                <w:rFonts w:ascii="Calibri"/>
                <w:sz w:val="20"/>
              </w:rPr>
              <w:t>Friendly</w:t>
            </w:r>
          </w:p>
        </w:tc>
        <w:tc>
          <w:tcPr>
            <w:tcW w:w="2120" w:type="dxa"/>
            <w:tcBorders>
              <w:top w:val="nil" w:sz="6" w:space="0" w:color="auto"/>
              <w:left w:val="nil" w:sz="6" w:space="0" w:color="auto"/>
              <w:bottom w:val="nil" w:sz="6" w:space="0" w:color="auto"/>
              <w:right w:val="nil" w:sz="6" w:space="0" w:color="auto"/>
            </w:tcBorders>
          </w:tcPr>
          <w:p>
            <w:pPr>
              <w:pStyle w:val="TableParagraph"/>
              <w:spacing w:line="225" w:lineRule="exact"/>
              <w:ind w:right="774"/>
              <w:jc w:val="right"/>
              <w:rPr>
                <w:rFonts w:ascii="Calibri" w:hAnsi="Calibri" w:cs="Calibri" w:eastAsia="Calibri" w:hint="default"/>
                <w:sz w:val="20"/>
                <w:szCs w:val="20"/>
              </w:rPr>
            </w:pPr>
            <w:r>
              <w:rPr>
                <w:rFonts w:ascii="Calibri" w:hAnsi="Calibri" w:cs="Calibri" w:eastAsia="Calibri" w:hint="default"/>
                <w:b/>
                <w:bCs/>
                <w:w w:val="95"/>
                <w:sz w:val="20"/>
                <w:szCs w:val="20"/>
              </w:rPr>
              <w:t>↓</w:t>
            </w:r>
            <w:r>
              <w:rPr>
                <w:rFonts w:ascii="Calibri" w:hAnsi="Calibri" w:cs="Calibri" w:eastAsia="Calibri" w:hint="default"/>
                <w:sz w:val="20"/>
                <w:szCs w:val="20"/>
              </w:rPr>
            </w:r>
          </w:p>
        </w:tc>
        <w:tc>
          <w:tcPr>
            <w:tcW w:w="1661" w:type="dxa"/>
            <w:tcBorders>
              <w:top w:val="nil" w:sz="6" w:space="0" w:color="auto"/>
              <w:left w:val="nil" w:sz="6" w:space="0" w:color="auto"/>
              <w:bottom w:val="nil" w:sz="6" w:space="0" w:color="auto"/>
              <w:right w:val="nil" w:sz="6" w:space="0" w:color="auto"/>
            </w:tcBorders>
          </w:tcPr>
          <w:p>
            <w:pPr>
              <w:pStyle w:val="TableParagraph"/>
              <w:spacing w:line="225" w:lineRule="exact"/>
              <w:ind w:right="32"/>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c>
          <w:tcPr>
            <w:tcW w:w="1676" w:type="dxa"/>
            <w:tcBorders>
              <w:top w:val="nil" w:sz="6" w:space="0" w:color="auto"/>
              <w:left w:val="nil" w:sz="6" w:space="0" w:color="auto"/>
              <w:bottom w:val="nil" w:sz="6" w:space="0" w:color="auto"/>
              <w:right w:val="nil" w:sz="6" w:space="0" w:color="auto"/>
            </w:tcBorders>
          </w:tcPr>
          <w:p>
            <w:pPr>
              <w:pStyle w:val="TableParagraph"/>
              <w:spacing w:line="225" w:lineRule="exact"/>
              <w:ind w:right="8"/>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r>
      <w:tr>
        <w:trPr>
          <w:trHeight w:val="245" w:hRule="exact"/>
        </w:trPr>
        <w:tc>
          <w:tcPr>
            <w:tcW w:w="1228" w:type="dxa"/>
            <w:tcBorders>
              <w:top w:val="nil" w:sz="6" w:space="0" w:color="auto"/>
              <w:left w:val="nil" w:sz="6" w:space="0" w:color="auto"/>
              <w:bottom w:val="nil" w:sz="6" w:space="0" w:color="auto"/>
              <w:right w:val="nil" w:sz="6" w:space="0" w:color="auto"/>
            </w:tcBorders>
          </w:tcPr>
          <w:p>
            <w:pPr>
              <w:pStyle w:val="TableParagraph"/>
              <w:spacing w:line="226" w:lineRule="exact"/>
              <w:ind w:left="532" w:right="0"/>
              <w:jc w:val="left"/>
              <w:rPr>
                <w:rFonts w:ascii="Calibri" w:hAnsi="Calibri" w:cs="Calibri" w:eastAsia="Calibri" w:hint="default"/>
                <w:sz w:val="20"/>
                <w:szCs w:val="20"/>
              </w:rPr>
            </w:pPr>
            <w:r>
              <w:rPr>
                <w:rFonts w:ascii="Calibri"/>
                <w:sz w:val="20"/>
              </w:rPr>
              <w:t>3rd</w:t>
            </w:r>
          </w:p>
        </w:tc>
        <w:tc>
          <w:tcPr>
            <w:tcW w:w="2590" w:type="dxa"/>
            <w:tcBorders>
              <w:top w:val="nil" w:sz="6" w:space="0" w:color="auto"/>
              <w:left w:val="nil" w:sz="6" w:space="0" w:color="auto"/>
              <w:bottom w:val="nil" w:sz="6" w:space="0" w:color="auto"/>
              <w:right w:val="nil" w:sz="6" w:space="0" w:color="auto"/>
            </w:tcBorders>
          </w:tcPr>
          <w:p>
            <w:pPr>
              <w:pStyle w:val="TableParagraph"/>
              <w:spacing w:line="226" w:lineRule="exact"/>
              <w:ind w:left="224" w:right="0"/>
              <w:jc w:val="left"/>
              <w:rPr>
                <w:rFonts w:ascii="Calibri" w:hAnsi="Calibri" w:cs="Calibri" w:eastAsia="Calibri" w:hint="default"/>
                <w:sz w:val="20"/>
                <w:szCs w:val="20"/>
              </w:rPr>
            </w:pPr>
            <w:r>
              <w:rPr>
                <w:rFonts w:ascii="Calibri"/>
                <w:sz w:val="20"/>
              </w:rPr>
              <w:t>Polite</w:t>
            </w:r>
          </w:p>
        </w:tc>
        <w:tc>
          <w:tcPr>
            <w:tcW w:w="2120" w:type="dxa"/>
            <w:tcBorders>
              <w:top w:val="nil" w:sz="6" w:space="0" w:color="auto"/>
              <w:left w:val="nil" w:sz="6" w:space="0" w:color="auto"/>
              <w:bottom w:val="nil" w:sz="6" w:space="0" w:color="auto"/>
              <w:right w:val="nil" w:sz="6" w:space="0" w:color="auto"/>
            </w:tcBorders>
          </w:tcPr>
          <w:p>
            <w:pPr>
              <w:pStyle w:val="TableParagraph"/>
              <w:spacing w:line="226" w:lineRule="exact"/>
              <w:ind w:right="774"/>
              <w:jc w:val="right"/>
              <w:rPr>
                <w:rFonts w:ascii="Calibri" w:hAnsi="Calibri" w:cs="Calibri" w:eastAsia="Calibri" w:hint="default"/>
                <w:sz w:val="20"/>
                <w:szCs w:val="20"/>
              </w:rPr>
            </w:pPr>
            <w:r>
              <w:rPr>
                <w:rFonts w:ascii="Calibri" w:hAnsi="Calibri" w:cs="Calibri" w:eastAsia="Calibri" w:hint="default"/>
                <w:b/>
                <w:bCs/>
                <w:w w:val="95"/>
                <w:sz w:val="20"/>
                <w:szCs w:val="20"/>
              </w:rPr>
              <w:t>↓</w:t>
            </w:r>
            <w:r>
              <w:rPr>
                <w:rFonts w:ascii="Calibri" w:hAnsi="Calibri" w:cs="Calibri" w:eastAsia="Calibri" w:hint="default"/>
                <w:sz w:val="20"/>
                <w:szCs w:val="20"/>
              </w:rPr>
            </w:r>
          </w:p>
        </w:tc>
        <w:tc>
          <w:tcPr>
            <w:tcW w:w="1661" w:type="dxa"/>
            <w:tcBorders>
              <w:top w:val="nil" w:sz="6" w:space="0" w:color="auto"/>
              <w:left w:val="nil" w:sz="6" w:space="0" w:color="auto"/>
              <w:bottom w:val="nil" w:sz="6" w:space="0" w:color="auto"/>
              <w:right w:val="nil" w:sz="6" w:space="0" w:color="auto"/>
            </w:tcBorders>
          </w:tcPr>
          <w:p>
            <w:pPr>
              <w:pStyle w:val="TableParagraph"/>
              <w:spacing w:line="226" w:lineRule="exact"/>
              <w:ind w:right="32"/>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c>
          <w:tcPr>
            <w:tcW w:w="1676" w:type="dxa"/>
            <w:tcBorders>
              <w:top w:val="nil" w:sz="6" w:space="0" w:color="auto"/>
              <w:left w:val="nil" w:sz="6" w:space="0" w:color="auto"/>
              <w:bottom w:val="nil" w:sz="6" w:space="0" w:color="auto"/>
              <w:right w:val="nil" w:sz="6" w:space="0" w:color="auto"/>
            </w:tcBorders>
          </w:tcPr>
          <w:p>
            <w:pPr>
              <w:pStyle w:val="TableParagraph"/>
              <w:spacing w:line="226" w:lineRule="exact"/>
              <w:ind w:right="8"/>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r>
      <w:tr>
        <w:trPr>
          <w:trHeight w:val="245" w:hRule="exact"/>
        </w:trPr>
        <w:tc>
          <w:tcPr>
            <w:tcW w:w="1228" w:type="dxa"/>
            <w:tcBorders>
              <w:top w:val="nil" w:sz="6" w:space="0" w:color="auto"/>
              <w:left w:val="nil" w:sz="6" w:space="0" w:color="auto"/>
              <w:bottom w:val="nil" w:sz="6" w:space="0" w:color="auto"/>
              <w:right w:val="nil" w:sz="6" w:space="0" w:color="auto"/>
            </w:tcBorders>
          </w:tcPr>
          <w:p>
            <w:pPr>
              <w:pStyle w:val="TableParagraph"/>
              <w:spacing w:line="226" w:lineRule="exact"/>
              <w:ind w:left="535" w:right="0"/>
              <w:jc w:val="left"/>
              <w:rPr>
                <w:rFonts w:ascii="Calibri" w:hAnsi="Calibri" w:cs="Calibri" w:eastAsia="Calibri" w:hint="default"/>
                <w:sz w:val="20"/>
                <w:szCs w:val="20"/>
              </w:rPr>
            </w:pPr>
            <w:r>
              <w:rPr>
                <w:rFonts w:ascii="Calibri"/>
                <w:sz w:val="20"/>
              </w:rPr>
              <w:t>4th</w:t>
            </w:r>
          </w:p>
        </w:tc>
        <w:tc>
          <w:tcPr>
            <w:tcW w:w="2590" w:type="dxa"/>
            <w:tcBorders>
              <w:top w:val="nil" w:sz="6" w:space="0" w:color="auto"/>
              <w:left w:val="nil" w:sz="6" w:space="0" w:color="auto"/>
              <w:bottom w:val="nil" w:sz="6" w:space="0" w:color="auto"/>
              <w:right w:val="nil" w:sz="6" w:space="0" w:color="auto"/>
            </w:tcBorders>
          </w:tcPr>
          <w:p>
            <w:pPr>
              <w:pStyle w:val="TableParagraph"/>
              <w:spacing w:line="226" w:lineRule="exact"/>
              <w:ind w:left="224" w:right="0"/>
              <w:jc w:val="left"/>
              <w:rPr>
                <w:rFonts w:ascii="Calibri" w:hAnsi="Calibri" w:cs="Calibri" w:eastAsia="Calibri" w:hint="default"/>
                <w:sz w:val="20"/>
                <w:szCs w:val="20"/>
              </w:rPr>
            </w:pPr>
            <w:r>
              <w:rPr>
                <w:rFonts w:ascii="Calibri"/>
                <w:sz w:val="20"/>
              </w:rPr>
              <w:t>Smiling</w:t>
            </w:r>
          </w:p>
        </w:tc>
        <w:tc>
          <w:tcPr>
            <w:tcW w:w="2120" w:type="dxa"/>
            <w:tcBorders>
              <w:top w:val="nil" w:sz="6" w:space="0" w:color="auto"/>
              <w:left w:val="nil" w:sz="6" w:space="0" w:color="auto"/>
              <w:bottom w:val="nil" w:sz="6" w:space="0" w:color="auto"/>
              <w:right w:val="nil" w:sz="6" w:space="0" w:color="auto"/>
            </w:tcBorders>
          </w:tcPr>
          <w:p>
            <w:pPr>
              <w:pStyle w:val="TableParagraph"/>
              <w:spacing w:line="226" w:lineRule="exact"/>
              <w:ind w:right="774"/>
              <w:jc w:val="right"/>
              <w:rPr>
                <w:rFonts w:ascii="Calibri" w:hAnsi="Calibri" w:cs="Calibri" w:eastAsia="Calibri" w:hint="default"/>
                <w:sz w:val="20"/>
                <w:szCs w:val="20"/>
              </w:rPr>
            </w:pPr>
            <w:r>
              <w:rPr>
                <w:rFonts w:ascii="Calibri" w:hAnsi="Calibri" w:cs="Calibri" w:eastAsia="Calibri" w:hint="default"/>
                <w:b/>
                <w:bCs/>
                <w:w w:val="95"/>
                <w:sz w:val="20"/>
                <w:szCs w:val="20"/>
              </w:rPr>
              <w:t>↓</w:t>
            </w:r>
            <w:r>
              <w:rPr>
                <w:rFonts w:ascii="Calibri" w:hAnsi="Calibri" w:cs="Calibri" w:eastAsia="Calibri" w:hint="default"/>
                <w:sz w:val="20"/>
                <w:szCs w:val="20"/>
              </w:rPr>
            </w:r>
          </w:p>
        </w:tc>
        <w:tc>
          <w:tcPr>
            <w:tcW w:w="1661" w:type="dxa"/>
            <w:tcBorders>
              <w:top w:val="nil" w:sz="6" w:space="0" w:color="auto"/>
              <w:left w:val="nil" w:sz="6" w:space="0" w:color="auto"/>
              <w:bottom w:val="nil" w:sz="6" w:space="0" w:color="auto"/>
              <w:right w:val="nil" w:sz="6" w:space="0" w:color="auto"/>
            </w:tcBorders>
          </w:tcPr>
          <w:p>
            <w:pPr>
              <w:pStyle w:val="TableParagraph"/>
              <w:spacing w:line="226" w:lineRule="exact"/>
              <w:ind w:right="32"/>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c>
          <w:tcPr>
            <w:tcW w:w="1676" w:type="dxa"/>
            <w:tcBorders>
              <w:top w:val="nil" w:sz="6" w:space="0" w:color="auto"/>
              <w:left w:val="nil" w:sz="6" w:space="0" w:color="auto"/>
              <w:bottom w:val="nil" w:sz="6" w:space="0" w:color="auto"/>
              <w:right w:val="nil" w:sz="6" w:space="0" w:color="auto"/>
            </w:tcBorders>
          </w:tcPr>
          <w:p>
            <w:pPr>
              <w:pStyle w:val="TableParagraph"/>
              <w:spacing w:line="226" w:lineRule="exact"/>
              <w:ind w:right="8"/>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r>
      <w:tr>
        <w:trPr>
          <w:trHeight w:val="244" w:hRule="exact"/>
        </w:trPr>
        <w:tc>
          <w:tcPr>
            <w:tcW w:w="1228" w:type="dxa"/>
            <w:tcBorders>
              <w:top w:val="nil" w:sz="6" w:space="0" w:color="auto"/>
              <w:left w:val="nil" w:sz="6" w:space="0" w:color="auto"/>
              <w:bottom w:val="nil" w:sz="6" w:space="0" w:color="auto"/>
              <w:right w:val="nil" w:sz="6" w:space="0" w:color="auto"/>
            </w:tcBorders>
          </w:tcPr>
          <w:p>
            <w:pPr>
              <w:pStyle w:val="TableParagraph"/>
              <w:spacing w:line="226" w:lineRule="exact"/>
              <w:ind w:left="535" w:right="0"/>
              <w:jc w:val="left"/>
              <w:rPr>
                <w:rFonts w:ascii="Calibri" w:hAnsi="Calibri" w:cs="Calibri" w:eastAsia="Calibri" w:hint="default"/>
                <w:sz w:val="20"/>
                <w:szCs w:val="20"/>
              </w:rPr>
            </w:pPr>
            <w:r>
              <w:rPr>
                <w:rFonts w:ascii="Calibri"/>
                <w:sz w:val="20"/>
              </w:rPr>
              <w:t>5th</w:t>
            </w:r>
          </w:p>
        </w:tc>
        <w:tc>
          <w:tcPr>
            <w:tcW w:w="2590" w:type="dxa"/>
            <w:tcBorders>
              <w:top w:val="nil" w:sz="6" w:space="0" w:color="auto"/>
              <w:left w:val="nil" w:sz="6" w:space="0" w:color="auto"/>
              <w:bottom w:val="nil" w:sz="6" w:space="0" w:color="auto"/>
              <w:right w:val="nil" w:sz="6" w:space="0" w:color="auto"/>
            </w:tcBorders>
          </w:tcPr>
          <w:p>
            <w:pPr>
              <w:pStyle w:val="TableParagraph"/>
              <w:spacing w:line="226" w:lineRule="exact"/>
              <w:ind w:left="224" w:right="0"/>
              <w:jc w:val="left"/>
              <w:rPr>
                <w:rFonts w:ascii="Calibri" w:hAnsi="Calibri" w:cs="Calibri" w:eastAsia="Calibri" w:hint="default"/>
                <w:sz w:val="20"/>
                <w:szCs w:val="20"/>
              </w:rPr>
            </w:pPr>
            <w:r>
              <w:rPr>
                <w:rFonts w:ascii="Calibri"/>
                <w:sz w:val="20"/>
              </w:rPr>
              <w:t>Trustworthy</w:t>
            </w:r>
          </w:p>
        </w:tc>
        <w:tc>
          <w:tcPr>
            <w:tcW w:w="2120" w:type="dxa"/>
            <w:tcBorders>
              <w:top w:val="nil" w:sz="6" w:space="0" w:color="auto"/>
              <w:left w:val="nil" w:sz="6" w:space="0" w:color="auto"/>
              <w:bottom w:val="nil" w:sz="6" w:space="0" w:color="auto"/>
              <w:right w:val="nil" w:sz="6" w:space="0" w:color="auto"/>
            </w:tcBorders>
          </w:tcPr>
          <w:p>
            <w:pPr>
              <w:pStyle w:val="TableParagraph"/>
              <w:spacing w:line="226" w:lineRule="exact"/>
              <w:ind w:right="774"/>
              <w:jc w:val="right"/>
              <w:rPr>
                <w:rFonts w:ascii="Calibri" w:hAnsi="Calibri" w:cs="Calibri" w:eastAsia="Calibri" w:hint="default"/>
                <w:sz w:val="20"/>
                <w:szCs w:val="20"/>
              </w:rPr>
            </w:pPr>
            <w:r>
              <w:rPr>
                <w:rFonts w:ascii="Calibri" w:hAnsi="Calibri" w:cs="Calibri" w:eastAsia="Calibri" w:hint="default"/>
                <w:b/>
                <w:bCs/>
                <w:w w:val="95"/>
                <w:sz w:val="20"/>
                <w:szCs w:val="20"/>
              </w:rPr>
              <w:t>↓</w:t>
            </w:r>
            <w:r>
              <w:rPr>
                <w:rFonts w:ascii="Calibri" w:hAnsi="Calibri" w:cs="Calibri" w:eastAsia="Calibri" w:hint="default"/>
                <w:sz w:val="20"/>
                <w:szCs w:val="20"/>
              </w:rPr>
            </w:r>
          </w:p>
        </w:tc>
        <w:tc>
          <w:tcPr>
            <w:tcW w:w="1661" w:type="dxa"/>
            <w:tcBorders>
              <w:top w:val="nil" w:sz="6" w:space="0" w:color="auto"/>
              <w:left w:val="nil" w:sz="6" w:space="0" w:color="auto"/>
              <w:bottom w:val="nil" w:sz="6" w:space="0" w:color="auto"/>
              <w:right w:val="nil" w:sz="6" w:space="0" w:color="auto"/>
            </w:tcBorders>
          </w:tcPr>
          <w:p>
            <w:pPr>
              <w:pStyle w:val="TableParagraph"/>
              <w:spacing w:line="226" w:lineRule="exact"/>
              <w:ind w:right="32"/>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c>
          <w:tcPr>
            <w:tcW w:w="1676" w:type="dxa"/>
            <w:tcBorders>
              <w:top w:val="nil" w:sz="6" w:space="0" w:color="auto"/>
              <w:left w:val="nil" w:sz="6" w:space="0" w:color="auto"/>
              <w:bottom w:val="nil" w:sz="6" w:space="0" w:color="auto"/>
              <w:right w:val="nil" w:sz="6" w:space="0" w:color="auto"/>
            </w:tcBorders>
          </w:tcPr>
          <w:p>
            <w:pPr>
              <w:pStyle w:val="TableParagraph"/>
              <w:spacing w:line="226" w:lineRule="exact"/>
              <w:ind w:right="8"/>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r>
      <w:tr>
        <w:trPr>
          <w:trHeight w:val="244" w:hRule="exact"/>
        </w:trPr>
        <w:tc>
          <w:tcPr>
            <w:tcW w:w="1228" w:type="dxa"/>
            <w:tcBorders>
              <w:top w:val="nil" w:sz="6" w:space="0" w:color="auto"/>
              <w:left w:val="nil" w:sz="6" w:space="0" w:color="auto"/>
              <w:bottom w:val="nil" w:sz="6" w:space="0" w:color="auto"/>
              <w:right w:val="nil" w:sz="6" w:space="0" w:color="auto"/>
            </w:tcBorders>
          </w:tcPr>
          <w:p>
            <w:pPr>
              <w:pStyle w:val="TableParagraph"/>
              <w:spacing w:line="225" w:lineRule="exact"/>
              <w:ind w:left="535" w:right="0"/>
              <w:jc w:val="left"/>
              <w:rPr>
                <w:rFonts w:ascii="Calibri" w:hAnsi="Calibri" w:cs="Calibri" w:eastAsia="Calibri" w:hint="default"/>
                <w:sz w:val="20"/>
                <w:szCs w:val="20"/>
              </w:rPr>
            </w:pPr>
            <w:r>
              <w:rPr>
                <w:rFonts w:ascii="Calibri"/>
                <w:sz w:val="20"/>
              </w:rPr>
              <w:t>6th</w:t>
            </w:r>
          </w:p>
        </w:tc>
        <w:tc>
          <w:tcPr>
            <w:tcW w:w="2590" w:type="dxa"/>
            <w:tcBorders>
              <w:top w:val="nil" w:sz="6" w:space="0" w:color="auto"/>
              <w:left w:val="nil" w:sz="6" w:space="0" w:color="auto"/>
              <w:bottom w:val="nil" w:sz="6" w:space="0" w:color="auto"/>
              <w:right w:val="nil" w:sz="6" w:space="0" w:color="auto"/>
            </w:tcBorders>
          </w:tcPr>
          <w:p>
            <w:pPr>
              <w:pStyle w:val="TableParagraph"/>
              <w:spacing w:line="225" w:lineRule="exact"/>
              <w:ind w:left="224" w:right="0"/>
              <w:jc w:val="left"/>
              <w:rPr>
                <w:rFonts w:ascii="Calibri" w:hAnsi="Calibri" w:cs="Calibri" w:eastAsia="Calibri" w:hint="default"/>
                <w:sz w:val="20"/>
                <w:szCs w:val="20"/>
              </w:rPr>
            </w:pPr>
            <w:r>
              <w:rPr>
                <w:rFonts w:ascii="Calibri"/>
                <w:sz w:val="20"/>
              </w:rPr>
              <w:t>Consistent</w:t>
            </w:r>
          </w:p>
        </w:tc>
        <w:tc>
          <w:tcPr>
            <w:tcW w:w="2120" w:type="dxa"/>
            <w:tcBorders>
              <w:top w:val="nil" w:sz="6" w:space="0" w:color="auto"/>
              <w:left w:val="nil" w:sz="6" w:space="0" w:color="auto"/>
              <w:bottom w:val="nil" w:sz="6" w:space="0" w:color="auto"/>
              <w:right w:val="nil" w:sz="6" w:space="0" w:color="auto"/>
            </w:tcBorders>
          </w:tcPr>
          <w:p>
            <w:pPr>
              <w:pStyle w:val="TableParagraph"/>
              <w:spacing w:line="225" w:lineRule="exact"/>
              <w:ind w:right="774"/>
              <w:jc w:val="right"/>
              <w:rPr>
                <w:rFonts w:ascii="Calibri" w:hAnsi="Calibri" w:cs="Calibri" w:eastAsia="Calibri" w:hint="default"/>
                <w:sz w:val="20"/>
                <w:szCs w:val="20"/>
              </w:rPr>
            </w:pPr>
            <w:r>
              <w:rPr>
                <w:rFonts w:ascii="Calibri" w:hAnsi="Calibri" w:cs="Calibri" w:eastAsia="Calibri" w:hint="default"/>
                <w:b/>
                <w:bCs/>
                <w:w w:val="95"/>
                <w:sz w:val="20"/>
                <w:szCs w:val="20"/>
              </w:rPr>
              <w:t>↓</w:t>
            </w:r>
            <w:r>
              <w:rPr>
                <w:rFonts w:ascii="Calibri" w:hAnsi="Calibri" w:cs="Calibri" w:eastAsia="Calibri" w:hint="default"/>
                <w:sz w:val="20"/>
                <w:szCs w:val="20"/>
              </w:rPr>
            </w:r>
          </w:p>
        </w:tc>
        <w:tc>
          <w:tcPr>
            <w:tcW w:w="1661" w:type="dxa"/>
            <w:tcBorders>
              <w:top w:val="nil" w:sz="6" w:space="0" w:color="auto"/>
              <w:left w:val="nil" w:sz="6" w:space="0" w:color="auto"/>
              <w:bottom w:val="nil" w:sz="6" w:space="0" w:color="auto"/>
              <w:right w:val="nil" w:sz="6" w:space="0" w:color="auto"/>
            </w:tcBorders>
          </w:tcPr>
          <w:p>
            <w:pPr>
              <w:pStyle w:val="TableParagraph"/>
              <w:spacing w:line="225" w:lineRule="exact"/>
              <w:ind w:right="32"/>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c>
          <w:tcPr>
            <w:tcW w:w="1676" w:type="dxa"/>
            <w:tcBorders>
              <w:top w:val="nil" w:sz="6" w:space="0" w:color="auto"/>
              <w:left w:val="nil" w:sz="6" w:space="0" w:color="auto"/>
              <w:bottom w:val="nil" w:sz="6" w:space="0" w:color="auto"/>
              <w:right w:val="nil" w:sz="6" w:space="0" w:color="auto"/>
            </w:tcBorders>
          </w:tcPr>
          <w:p>
            <w:pPr>
              <w:pStyle w:val="TableParagraph"/>
              <w:spacing w:line="225" w:lineRule="exact"/>
              <w:ind w:right="8"/>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r>
      <w:tr>
        <w:trPr>
          <w:trHeight w:val="245" w:hRule="exact"/>
        </w:trPr>
        <w:tc>
          <w:tcPr>
            <w:tcW w:w="1228" w:type="dxa"/>
            <w:tcBorders>
              <w:top w:val="nil" w:sz="6" w:space="0" w:color="auto"/>
              <w:left w:val="nil" w:sz="6" w:space="0" w:color="auto"/>
              <w:bottom w:val="nil" w:sz="6" w:space="0" w:color="auto"/>
              <w:right w:val="nil" w:sz="6" w:space="0" w:color="auto"/>
            </w:tcBorders>
          </w:tcPr>
          <w:p>
            <w:pPr>
              <w:pStyle w:val="TableParagraph"/>
              <w:spacing w:line="226" w:lineRule="exact"/>
              <w:ind w:left="535" w:right="0"/>
              <w:jc w:val="left"/>
              <w:rPr>
                <w:rFonts w:ascii="Calibri" w:hAnsi="Calibri" w:cs="Calibri" w:eastAsia="Calibri" w:hint="default"/>
                <w:sz w:val="20"/>
                <w:szCs w:val="20"/>
              </w:rPr>
            </w:pPr>
            <w:r>
              <w:rPr>
                <w:rFonts w:ascii="Calibri"/>
                <w:sz w:val="20"/>
              </w:rPr>
              <w:t>7th</w:t>
            </w:r>
          </w:p>
        </w:tc>
        <w:tc>
          <w:tcPr>
            <w:tcW w:w="2590" w:type="dxa"/>
            <w:tcBorders>
              <w:top w:val="nil" w:sz="6" w:space="0" w:color="auto"/>
              <w:left w:val="nil" w:sz="6" w:space="0" w:color="auto"/>
              <w:bottom w:val="nil" w:sz="6" w:space="0" w:color="auto"/>
              <w:right w:val="nil" w:sz="6" w:space="0" w:color="auto"/>
            </w:tcBorders>
          </w:tcPr>
          <w:p>
            <w:pPr>
              <w:pStyle w:val="TableParagraph"/>
              <w:spacing w:line="226" w:lineRule="exact"/>
              <w:ind w:left="224" w:right="0"/>
              <w:jc w:val="left"/>
              <w:rPr>
                <w:rFonts w:ascii="Calibri" w:hAnsi="Calibri" w:cs="Calibri" w:eastAsia="Calibri" w:hint="default"/>
                <w:sz w:val="20"/>
                <w:szCs w:val="20"/>
              </w:rPr>
            </w:pPr>
            <w:r>
              <w:rPr>
                <w:rFonts w:ascii="Calibri"/>
                <w:sz w:val="20"/>
              </w:rPr>
              <w:t>Dedicated</w:t>
            </w:r>
          </w:p>
        </w:tc>
        <w:tc>
          <w:tcPr>
            <w:tcW w:w="2120" w:type="dxa"/>
            <w:tcBorders>
              <w:top w:val="nil" w:sz="6" w:space="0" w:color="auto"/>
              <w:left w:val="nil" w:sz="6" w:space="0" w:color="auto"/>
              <w:bottom w:val="nil" w:sz="6" w:space="0" w:color="auto"/>
              <w:right w:val="nil" w:sz="6" w:space="0" w:color="auto"/>
            </w:tcBorders>
          </w:tcPr>
          <w:p>
            <w:pPr>
              <w:pStyle w:val="TableParagraph"/>
              <w:spacing w:line="226" w:lineRule="exact"/>
              <w:ind w:right="774"/>
              <w:jc w:val="right"/>
              <w:rPr>
                <w:rFonts w:ascii="Calibri" w:hAnsi="Calibri" w:cs="Calibri" w:eastAsia="Calibri" w:hint="default"/>
                <w:sz w:val="20"/>
                <w:szCs w:val="20"/>
              </w:rPr>
            </w:pPr>
            <w:r>
              <w:rPr>
                <w:rFonts w:ascii="Calibri" w:hAnsi="Calibri" w:cs="Calibri" w:eastAsia="Calibri" w:hint="default"/>
                <w:b/>
                <w:bCs/>
                <w:w w:val="95"/>
                <w:sz w:val="20"/>
                <w:szCs w:val="20"/>
              </w:rPr>
              <w:t>↓</w:t>
            </w:r>
            <w:r>
              <w:rPr>
                <w:rFonts w:ascii="Calibri" w:hAnsi="Calibri" w:cs="Calibri" w:eastAsia="Calibri" w:hint="default"/>
                <w:sz w:val="20"/>
                <w:szCs w:val="20"/>
              </w:rPr>
            </w:r>
          </w:p>
        </w:tc>
        <w:tc>
          <w:tcPr>
            <w:tcW w:w="1661" w:type="dxa"/>
            <w:tcBorders>
              <w:top w:val="nil" w:sz="6" w:space="0" w:color="auto"/>
              <w:left w:val="nil" w:sz="6" w:space="0" w:color="auto"/>
              <w:bottom w:val="nil" w:sz="6" w:space="0" w:color="auto"/>
              <w:right w:val="nil" w:sz="6" w:space="0" w:color="auto"/>
            </w:tcBorders>
          </w:tcPr>
          <w:p>
            <w:pPr>
              <w:pStyle w:val="TableParagraph"/>
              <w:spacing w:line="226" w:lineRule="exact"/>
              <w:ind w:right="32"/>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c>
          <w:tcPr>
            <w:tcW w:w="1676" w:type="dxa"/>
            <w:tcBorders>
              <w:top w:val="nil" w:sz="6" w:space="0" w:color="auto"/>
              <w:left w:val="nil" w:sz="6" w:space="0" w:color="auto"/>
              <w:bottom w:val="nil" w:sz="6" w:space="0" w:color="auto"/>
              <w:right w:val="nil" w:sz="6" w:space="0" w:color="auto"/>
            </w:tcBorders>
          </w:tcPr>
          <w:p>
            <w:pPr>
              <w:pStyle w:val="TableParagraph"/>
              <w:spacing w:line="226" w:lineRule="exact"/>
              <w:ind w:right="8"/>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r>
      <w:tr>
        <w:trPr>
          <w:trHeight w:val="244" w:hRule="exact"/>
        </w:trPr>
        <w:tc>
          <w:tcPr>
            <w:tcW w:w="1228" w:type="dxa"/>
            <w:tcBorders>
              <w:top w:val="nil" w:sz="6" w:space="0" w:color="auto"/>
              <w:left w:val="nil" w:sz="6" w:space="0" w:color="auto"/>
              <w:bottom w:val="nil" w:sz="6" w:space="0" w:color="auto"/>
              <w:right w:val="nil" w:sz="6" w:space="0" w:color="auto"/>
            </w:tcBorders>
          </w:tcPr>
          <w:p>
            <w:pPr>
              <w:pStyle w:val="TableParagraph"/>
              <w:spacing w:line="226" w:lineRule="exact"/>
              <w:ind w:left="535" w:right="0"/>
              <w:jc w:val="left"/>
              <w:rPr>
                <w:rFonts w:ascii="Calibri" w:hAnsi="Calibri" w:cs="Calibri" w:eastAsia="Calibri" w:hint="default"/>
                <w:sz w:val="20"/>
                <w:szCs w:val="20"/>
              </w:rPr>
            </w:pPr>
            <w:r>
              <w:rPr>
                <w:rFonts w:ascii="Calibri"/>
                <w:sz w:val="20"/>
              </w:rPr>
              <w:t>8th</w:t>
            </w:r>
          </w:p>
        </w:tc>
        <w:tc>
          <w:tcPr>
            <w:tcW w:w="2590" w:type="dxa"/>
            <w:tcBorders>
              <w:top w:val="nil" w:sz="6" w:space="0" w:color="auto"/>
              <w:left w:val="nil" w:sz="6" w:space="0" w:color="auto"/>
              <w:bottom w:val="nil" w:sz="6" w:space="0" w:color="auto"/>
              <w:right w:val="nil" w:sz="6" w:space="0" w:color="auto"/>
            </w:tcBorders>
          </w:tcPr>
          <w:p>
            <w:pPr>
              <w:pStyle w:val="TableParagraph"/>
              <w:spacing w:line="226" w:lineRule="exact"/>
              <w:ind w:left="224" w:right="0"/>
              <w:jc w:val="left"/>
              <w:rPr>
                <w:rFonts w:ascii="Calibri" w:hAnsi="Calibri" w:cs="Calibri" w:eastAsia="Calibri" w:hint="default"/>
                <w:sz w:val="20"/>
                <w:szCs w:val="20"/>
              </w:rPr>
            </w:pPr>
            <w:r>
              <w:rPr>
                <w:rFonts w:ascii="Calibri"/>
                <w:sz w:val="20"/>
              </w:rPr>
              <w:t>Professional</w:t>
            </w:r>
          </w:p>
        </w:tc>
        <w:tc>
          <w:tcPr>
            <w:tcW w:w="2120" w:type="dxa"/>
            <w:tcBorders>
              <w:top w:val="nil" w:sz="6" w:space="0" w:color="auto"/>
              <w:left w:val="nil" w:sz="6" w:space="0" w:color="auto"/>
              <w:bottom w:val="nil" w:sz="6" w:space="0" w:color="auto"/>
              <w:right w:val="nil" w:sz="6" w:space="0" w:color="auto"/>
            </w:tcBorders>
          </w:tcPr>
          <w:p>
            <w:pPr>
              <w:pStyle w:val="TableParagraph"/>
              <w:spacing w:line="226" w:lineRule="exact"/>
              <w:ind w:right="774"/>
              <w:jc w:val="right"/>
              <w:rPr>
                <w:rFonts w:ascii="Calibri" w:hAnsi="Calibri" w:cs="Calibri" w:eastAsia="Calibri" w:hint="default"/>
                <w:sz w:val="20"/>
                <w:szCs w:val="20"/>
              </w:rPr>
            </w:pPr>
            <w:r>
              <w:rPr>
                <w:rFonts w:ascii="Calibri" w:hAnsi="Calibri" w:cs="Calibri" w:eastAsia="Calibri" w:hint="default"/>
                <w:b/>
                <w:bCs/>
                <w:w w:val="95"/>
                <w:sz w:val="20"/>
                <w:szCs w:val="20"/>
              </w:rPr>
              <w:t>↓</w:t>
            </w:r>
            <w:r>
              <w:rPr>
                <w:rFonts w:ascii="Calibri" w:hAnsi="Calibri" w:cs="Calibri" w:eastAsia="Calibri" w:hint="default"/>
                <w:sz w:val="20"/>
                <w:szCs w:val="20"/>
              </w:rPr>
            </w:r>
          </w:p>
        </w:tc>
        <w:tc>
          <w:tcPr>
            <w:tcW w:w="1661" w:type="dxa"/>
            <w:tcBorders>
              <w:top w:val="nil" w:sz="6" w:space="0" w:color="auto"/>
              <w:left w:val="nil" w:sz="6" w:space="0" w:color="auto"/>
              <w:bottom w:val="nil" w:sz="6" w:space="0" w:color="auto"/>
              <w:right w:val="nil" w:sz="6" w:space="0" w:color="auto"/>
            </w:tcBorders>
          </w:tcPr>
          <w:p>
            <w:pPr>
              <w:pStyle w:val="TableParagraph"/>
              <w:spacing w:line="226" w:lineRule="exact"/>
              <w:ind w:right="32"/>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c>
          <w:tcPr>
            <w:tcW w:w="1676" w:type="dxa"/>
            <w:tcBorders>
              <w:top w:val="nil" w:sz="6" w:space="0" w:color="auto"/>
              <w:left w:val="nil" w:sz="6" w:space="0" w:color="auto"/>
              <w:bottom w:val="nil" w:sz="6" w:space="0" w:color="auto"/>
              <w:right w:val="nil" w:sz="6" w:space="0" w:color="auto"/>
            </w:tcBorders>
          </w:tcPr>
          <w:p>
            <w:pPr>
              <w:pStyle w:val="TableParagraph"/>
              <w:spacing w:line="226" w:lineRule="exact"/>
              <w:ind w:right="8"/>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r>
      <w:tr>
        <w:trPr>
          <w:trHeight w:val="244" w:hRule="exact"/>
        </w:trPr>
        <w:tc>
          <w:tcPr>
            <w:tcW w:w="1228" w:type="dxa"/>
            <w:tcBorders>
              <w:top w:val="nil" w:sz="6" w:space="0" w:color="auto"/>
              <w:left w:val="nil" w:sz="6" w:space="0" w:color="auto"/>
              <w:bottom w:val="nil" w:sz="6" w:space="0" w:color="auto"/>
              <w:right w:val="nil" w:sz="6" w:space="0" w:color="auto"/>
            </w:tcBorders>
          </w:tcPr>
          <w:p>
            <w:pPr>
              <w:pStyle w:val="TableParagraph"/>
              <w:spacing w:line="225" w:lineRule="exact"/>
              <w:ind w:left="535" w:right="0"/>
              <w:jc w:val="left"/>
              <w:rPr>
                <w:rFonts w:ascii="Calibri" w:hAnsi="Calibri" w:cs="Calibri" w:eastAsia="Calibri" w:hint="default"/>
                <w:sz w:val="20"/>
                <w:szCs w:val="20"/>
              </w:rPr>
            </w:pPr>
            <w:r>
              <w:rPr>
                <w:rFonts w:ascii="Calibri"/>
                <w:sz w:val="20"/>
              </w:rPr>
              <w:t>9th</w:t>
            </w:r>
          </w:p>
        </w:tc>
        <w:tc>
          <w:tcPr>
            <w:tcW w:w="2590" w:type="dxa"/>
            <w:tcBorders>
              <w:top w:val="nil" w:sz="6" w:space="0" w:color="auto"/>
              <w:left w:val="nil" w:sz="6" w:space="0" w:color="auto"/>
              <w:bottom w:val="nil" w:sz="6" w:space="0" w:color="auto"/>
              <w:right w:val="nil" w:sz="6" w:space="0" w:color="auto"/>
            </w:tcBorders>
          </w:tcPr>
          <w:p>
            <w:pPr>
              <w:pStyle w:val="TableParagraph"/>
              <w:spacing w:line="225" w:lineRule="exact"/>
              <w:ind w:left="224" w:right="0"/>
              <w:jc w:val="left"/>
              <w:rPr>
                <w:rFonts w:ascii="Calibri" w:hAnsi="Calibri" w:cs="Calibri" w:eastAsia="Calibri" w:hint="default"/>
                <w:sz w:val="20"/>
                <w:szCs w:val="20"/>
              </w:rPr>
            </w:pPr>
            <w:r>
              <w:rPr>
                <w:rFonts w:ascii="Calibri"/>
                <w:sz w:val="20"/>
              </w:rPr>
              <w:t>Knowledgeable</w:t>
            </w:r>
          </w:p>
        </w:tc>
        <w:tc>
          <w:tcPr>
            <w:tcW w:w="2120" w:type="dxa"/>
            <w:tcBorders>
              <w:top w:val="nil" w:sz="6" w:space="0" w:color="auto"/>
              <w:left w:val="nil" w:sz="6" w:space="0" w:color="auto"/>
              <w:bottom w:val="nil" w:sz="6" w:space="0" w:color="auto"/>
              <w:right w:val="nil" w:sz="6" w:space="0" w:color="auto"/>
            </w:tcBorders>
          </w:tcPr>
          <w:p>
            <w:pPr>
              <w:pStyle w:val="TableParagraph"/>
              <w:spacing w:line="225" w:lineRule="exact"/>
              <w:ind w:right="774"/>
              <w:jc w:val="right"/>
              <w:rPr>
                <w:rFonts w:ascii="Calibri" w:hAnsi="Calibri" w:cs="Calibri" w:eastAsia="Calibri" w:hint="default"/>
                <w:sz w:val="20"/>
                <w:szCs w:val="20"/>
              </w:rPr>
            </w:pPr>
            <w:r>
              <w:rPr>
                <w:rFonts w:ascii="Calibri" w:hAnsi="Calibri" w:cs="Calibri" w:eastAsia="Calibri" w:hint="default"/>
                <w:b/>
                <w:bCs/>
                <w:w w:val="95"/>
                <w:sz w:val="20"/>
                <w:szCs w:val="20"/>
              </w:rPr>
              <w:t>↓</w:t>
            </w:r>
            <w:r>
              <w:rPr>
                <w:rFonts w:ascii="Calibri" w:hAnsi="Calibri" w:cs="Calibri" w:eastAsia="Calibri" w:hint="default"/>
                <w:sz w:val="20"/>
                <w:szCs w:val="20"/>
              </w:rPr>
            </w:r>
          </w:p>
        </w:tc>
        <w:tc>
          <w:tcPr>
            <w:tcW w:w="1661" w:type="dxa"/>
            <w:tcBorders>
              <w:top w:val="nil" w:sz="6" w:space="0" w:color="auto"/>
              <w:left w:val="nil" w:sz="6" w:space="0" w:color="auto"/>
              <w:bottom w:val="nil" w:sz="6" w:space="0" w:color="auto"/>
              <w:right w:val="nil" w:sz="6" w:space="0" w:color="auto"/>
            </w:tcBorders>
          </w:tcPr>
          <w:p>
            <w:pPr>
              <w:pStyle w:val="TableParagraph"/>
              <w:spacing w:line="225" w:lineRule="exact"/>
              <w:ind w:right="32"/>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c>
          <w:tcPr>
            <w:tcW w:w="1676" w:type="dxa"/>
            <w:tcBorders>
              <w:top w:val="nil" w:sz="6" w:space="0" w:color="auto"/>
              <w:left w:val="nil" w:sz="6" w:space="0" w:color="auto"/>
              <w:bottom w:val="nil" w:sz="6" w:space="0" w:color="auto"/>
              <w:right w:val="nil" w:sz="6" w:space="0" w:color="auto"/>
            </w:tcBorders>
          </w:tcPr>
          <w:p>
            <w:pPr>
              <w:pStyle w:val="TableParagraph"/>
              <w:spacing w:line="225" w:lineRule="exact"/>
              <w:ind w:right="8"/>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r>
      <w:tr>
        <w:trPr>
          <w:trHeight w:val="232" w:hRule="exact"/>
        </w:trPr>
        <w:tc>
          <w:tcPr>
            <w:tcW w:w="1228" w:type="dxa"/>
            <w:tcBorders>
              <w:top w:val="nil" w:sz="6" w:space="0" w:color="auto"/>
              <w:left w:val="nil" w:sz="6" w:space="0" w:color="auto"/>
              <w:bottom w:val="single" w:sz="4" w:space="0" w:color="000000"/>
              <w:right w:val="nil" w:sz="6" w:space="0" w:color="auto"/>
            </w:tcBorders>
          </w:tcPr>
          <w:p>
            <w:pPr>
              <w:pStyle w:val="TableParagraph"/>
              <w:spacing w:line="226" w:lineRule="exact"/>
              <w:ind w:left="484" w:right="0"/>
              <w:jc w:val="left"/>
              <w:rPr>
                <w:rFonts w:ascii="Calibri" w:hAnsi="Calibri" w:cs="Calibri" w:eastAsia="Calibri" w:hint="default"/>
                <w:sz w:val="20"/>
                <w:szCs w:val="20"/>
              </w:rPr>
            </w:pPr>
            <w:r>
              <w:rPr>
                <w:rFonts w:ascii="Calibri"/>
                <w:sz w:val="20"/>
              </w:rPr>
              <w:t>10th</w:t>
            </w:r>
          </w:p>
        </w:tc>
        <w:tc>
          <w:tcPr>
            <w:tcW w:w="2590" w:type="dxa"/>
            <w:tcBorders>
              <w:top w:val="nil" w:sz="6" w:space="0" w:color="auto"/>
              <w:left w:val="nil" w:sz="6" w:space="0" w:color="auto"/>
              <w:bottom w:val="single" w:sz="4" w:space="0" w:color="000000"/>
              <w:right w:val="nil" w:sz="6" w:space="0" w:color="auto"/>
            </w:tcBorders>
          </w:tcPr>
          <w:p>
            <w:pPr>
              <w:pStyle w:val="TableParagraph"/>
              <w:spacing w:line="226" w:lineRule="exact"/>
              <w:ind w:left="224" w:right="0"/>
              <w:jc w:val="left"/>
              <w:rPr>
                <w:rFonts w:ascii="Calibri" w:hAnsi="Calibri" w:cs="Calibri" w:eastAsia="Calibri" w:hint="default"/>
                <w:sz w:val="20"/>
                <w:szCs w:val="20"/>
              </w:rPr>
            </w:pPr>
            <w:r>
              <w:rPr>
                <w:rFonts w:ascii="Calibri"/>
                <w:sz w:val="20"/>
              </w:rPr>
              <w:t>Organized</w:t>
            </w:r>
          </w:p>
        </w:tc>
        <w:tc>
          <w:tcPr>
            <w:tcW w:w="2120" w:type="dxa"/>
            <w:tcBorders>
              <w:top w:val="nil" w:sz="6" w:space="0" w:color="auto"/>
              <w:left w:val="nil" w:sz="6" w:space="0" w:color="auto"/>
              <w:bottom w:val="single" w:sz="4" w:space="0" w:color="000000"/>
              <w:right w:val="nil" w:sz="6" w:space="0" w:color="auto"/>
            </w:tcBorders>
          </w:tcPr>
          <w:p>
            <w:pPr>
              <w:pStyle w:val="TableParagraph"/>
              <w:spacing w:line="226" w:lineRule="exact"/>
              <w:ind w:right="774"/>
              <w:jc w:val="right"/>
              <w:rPr>
                <w:rFonts w:ascii="Calibri" w:hAnsi="Calibri" w:cs="Calibri" w:eastAsia="Calibri" w:hint="default"/>
                <w:sz w:val="20"/>
                <w:szCs w:val="20"/>
              </w:rPr>
            </w:pPr>
            <w:r>
              <w:rPr>
                <w:rFonts w:ascii="Calibri" w:hAnsi="Calibri" w:cs="Calibri" w:eastAsia="Calibri" w:hint="default"/>
                <w:b/>
                <w:bCs/>
                <w:w w:val="95"/>
                <w:sz w:val="20"/>
                <w:szCs w:val="20"/>
              </w:rPr>
              <w:t>↓</w:t>
            </w:r>
            <w:r>
              <w:rPr>
                <w:rFonts w:ascii="Calibri" w:hAnsi="Calibri" w:cs="Calibri" w:eastAsia="Calibri" w:hint="default"/>
                <w:sz w:val="20"/>
                <w:szCs w:val="20"/>
              </w:rPr>
            </w:r>
          </w:p>
        </w:tc>
        <w:tc>
          <w:tcPr>
            <w:tcW w:w="1661" w:type="dxa"/>
            <w:tcBorders>
              <w:top w:val="nil" w:sz="6" w:space="0" w:color="auto"/>
              <w:left w:val="nil" w:sz="6" w:space="0" w:color="auto"/>
              <w:bottom w:val="single" w:sz="4" w:space="0" w:color="000000"/>
              <w:right w:val="nil" w:sz="6" w:space="0" w:color="auto"/>
            </w:tcBorders>
          </w:tcPr>
          <w:p>
            <w:pPr>
              <w:pStyle w:val="TableParagraph"/>
              <w:spacing w:line="226" w:lineRule="exact"/>
              <w:ind w:right="32"/>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c>
          <w:tcPr>
            <w:tcW w:w="1676" w:type="dxa"/>
            <w:tcBorders>
              <w:top w:val="nil" w:sz="6" w:space="0" w:color="auto"/>
              <w:left w:val="nil" w:sz="6" w:space="0" w:color="auto"/>
              <w:bottom w:val="single" w:sz="4" w:space="0" w:color="000000"/>
              <w:right w:val="nil" w:sz="6" w:space="0" w:color="auto"/>
            </w:tcBorders>
          </w:tcPr>
          <w:p>
            <w:pPr>
              <w:pStyle w:val="TableParagraph"/>
              <w:spacing w:line="226" w:lineRule="exact"/>
              <w:ind w:right="8"/>
              <w:jc w:val="center"/>
              <w:rPr>
                <w:rFonts w:ascii="Calibri" w:hAnsi="Calibri" w:cs="Calibri" w:eastAsia="Calibri" w:hint="default"/>
                <w:sz w:val="20"/>
                <w:szCs w:val="20"/>
              </w:rPr>
            </w:pPr>
            <w:r>
              <w:rPr>
                <w:rFonts w:ascii="Calibri" w:hAnsi="Calibri" w:cs="Calibri" w:eastAsia="Calibri" w:hint="default"/>
                <w:b/>
                <w:bCs/>
                <w:sz w:val="20"/>
                <w:szCs w:val="20"/>
              </w:rPr>
              <w:t>↓</w:t>
            </w:r>
            <w:r>
              <w:rPr>
                <w:rFonts w:ascii="Calibri" w:hAnsi="Calibri" w:cs="Calibri" w:eastAsia="Calibri" w:hint="default"/>
                <w:sz w:val="20"/>
                <w:szCs w:val="20"/>
              </w:rPr>
            </w:r>
          </w:p>
        </w:tc>
      </w:tr>
    </w:tbl>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2" w:after="0"/>
        <w:ind w:right="0"/>
        <w:rPr>
          <w:rFonts w:ascii="Calibri" w:hAnsi="Calibri" w:cs="Calibri" w:eastAsia="Calibri" w:hint="default"/>
          <w:b/>
          <w:bCs/>
          <w:sz w:val="29"/>
          <w:szCs w:val="29"/>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7" w:lineRule="auto" w:before="91"/>
        <w:ind w:left="1440" w:right="1636" w:firstLine="0"/>
        <w:jc w:val="left"/>
        <w:rPr>
          <w:rFonts w:ascii="Calibri" w:hAnsi="Calibri" w:cs="Calibri" w:eastAsia="Calibri" w:hint="default"/>
          <w:sz w:val="16"/>
          <w:szCs w:val="16"/>
        </w:rPr>
      </w:pPr>
      <w:r>
        <w:rPr>
          <w:rFonts w:ascii="Calibri" w:hAnsi="Calibri"/>
          <w:position w:val="5"/>
          <w:sz w:val="12"/>
        </w:rPr>
        <w:t>10 </w:t>
      </w:r>
      <w:r>
        <w:rPr>
          <w:rFonts w:ascii="Calibri" w:hAnsi="Calibri"/>
          <w:sz w:val="16"/>
        </w:rPr>
        <w:t>See Croes, R., Rivera, R., Semrad, K, Dickson, D., Pizam, A., Shapoval, V., and Orlowski, M. (2014). </w:t>
      </w:r>
      <w:r>
        <w:rPr>
          <w:rFonts w:ascii="Calibri" w:hAnsi="Calibri"/>
          <w:i/>
          <w:sz w:val="16"/>
        </w:rPr>
        <w:t>From attribute orientation to experiential consumption:</w:t>
      </w:r>
      <w:r>
        <w:rPr>
          <w:rFonts w:ascii="Calibri" w:hAnsi="Calibri"/>
          <w:i/>
          <w:spacing w:val="-3"/>
          <w:sz w:val="16"/>
        </w:rPr>
        <w:t> </w:t>
      </w:r>
      <w:r>
        <w:rPr>
          <w:rFonts w:ascii="Calibri" w:hAnsi="Calibri"/>
          <w:i/>
          <w:sz w:val="16"/>
        </w:rPr>
        <w:t>the</w:t>
      </w:r>
      <w:r>
        <w:rPr>
          <w:rFonts w:ascii="Calibri" w:hAnsi="Calibri"/>
          <w:i/>
          <w:spacing w:val="-3"/>
          <w:sz w:val="16"/>
        </w:rPr>
        <w:t> </w:t>
      </w:r>
      <w:r>
        <w:rPr>
          <w:rFonts w:ascii="Calibri" w:hAnsi="Calibri"/>
          <w:i/>
          <w:sz w:val="16"/>
        </w:rPr>
        <w:t>future</w:t>
      </w:r>
      <w:r>
        <w:rPr>
          <w:rFonts w:ascii="Calibri" w:hAnsi="Calibri"/>
          <w:i/>
          <w:spacing w:val="-3"/>
          <w:sz w:val="16"/>
        </w:rPr>
        <w:t> </w:t>
      </w:r>
      <w:r>
        <w:rPr>
          <w:rFonts w:ascii="Calibri" w:hAnsi="Calibri"/>
          <w:i/>
          <w:sz w:val="16"/>
        </w:rPr>
        <w:t>of</w:t>
      </w:r>
      <w:r>
        <w:rPr>
          <w:rFonts w:ascii="Calibri" w:hAnsi="Calibri"/>
          <w:i/>
          <w:spacing w:val="-4"/>
          <w:sz w:val="16"/>
        </w:rPr>
        <w:t> </w:t>
      </w:r>
      <w:r>
        <w:rPr>
          <w:rFonts w:ascii="Calibri" w:hAnsi="Calibri"/>
          <w:i/>
          <w:sz w:val="16"/>
        </w:rPr>
        <w:t>tourism</w:t>
      </w:r>
      <w:r>
        <w:rPr>
          <w:rFonts w:ascii="Calibri" w:hAnsi="Calibri"/>
          <w:i/>
          <w:spacing w:val="-4"/>
          <w:sz w:val="16"/>
        </w:rPr>
        <w:t> </w:t>
      </w:r>
      <w:r>
        <w:rPr>
          <w:rFonts w:ascii="Calibri" w:hAnsi="Calibri"/>
          <w:i/>
          <w:sz w:val="16"/>
        </w:rPr>
        <w:t>in</w:t>
      </w:r>
      <w:r>
        <w:rPr>
          <w:rFonts w:ascii="Calibri" w:hAnsi="Calibri"/>
          <w:i/>
          <w:spacing w:val="-2"/>
          <w:sz w:val="16"/>
        </w:rPr>
        <w:t> </w:t>
      </w:r>
      <w:r>
        <w:rPr>
          <w:rFonts w:ascii="Calibri" w:hAnsi="Calibri"/>
          <w:sz w:val="16"/>
        </w:rPr>
        <w:t>Curaçao</w:t>
      </w:r>
      <w:r>
        <w:rPr>
          <w:rFonts w:ascii="Calibri" w:hAnsi="Calibri"/>
          <w:i/>
          <w:sz w:val="16"/>
        </w:rPr>
        <w:t>.</w:t>
      </w:r>
      <w:r>
        <w:rPr>
          <w:rFonts w:ascii="Calibri" w:hAnsi="Calibri"/>
          <w:i/>
          <w:spacing w:val="-3"/>
          <w:sz w:val="16"/>
        </w:rPr>
        <w:t> </w:t>
      </w:r>
      <w:r>
        <w:rPr>
          <w:rFonts w:ascii="Calibri" w:hAnsi="Calibri"/>
          <w:sz w:val="16"/>
        </w:rPr>
        <w:t>Curaçao</w:t>
      </w:r>
      <w:r>
        <w:rPr>
          <w:rFonts w:ascii="Calibri" w:hAnsi="Calibri"/>
          <w:spacing w:val="-5"/>
          <w:sz w:val="16"/>
        </w:rPr>
        <w:t> </w:t>
      </w:r>
      <w:r>
        <w:rPr>
          <w:rFonts w:ascii="Calibri" w:hAnsi="Calibri"/>
          <w:sz w:val="16"/>
        </w:rPr>
        <w:t>Tourism</w:t>
      </w:r>
      <w:r>
        <w:rPr>
          <w:rFonts w:ascii="Calibri" w:hAnsi="Calibri"/>
          <w:spacing w:val="-3"/>
          <w:sz w:val="16"/>
        </w:rPr>
        <w:t> </w:t>
      </w:r>
      <w:r>
        <w:rPr>
          <w:rFonts w:ascii="Calibri" w:hAnsi="Calibri"/>
          <w:sz w:val="16"/>
        </w:rPr>
        <w:t>Board.</w:t>
      </w:r>
    </w:p>
    <w:p>
      <w:pPr>
        <w:spacing w:after="0" w:line="247"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8"/>
        <w:jc w:val="both"/>
      </w:pPr>
      <w:r>
        <w:rPr/>
        <w:t>Table 7 shows the soft component skills of service delivery that are most important to tourists. It ranks them in order of how well tourists feel C</w:t>
      </w:r>
      <w:r>
        <w:rPr>
          <w:rFonts w:ascii="Calibri" w:hAnsi="Calibri" w:cs="Calibri" w:eastAsia="Calibri" w:hint="default"/>
        </w:rPr>
        <w:t>uraçao’s tourism employees are performing. The managers/employees and locals </w:t>
      </w:r>
      <w:r>
        <w:rPr/>
        <w:t>ranked every performance skill in service delivery below the tourists impressions of the service employees in Curaçao.</w:t>
      </w:r>
    </w:p>
    <w:p>
      <w:pPr>
        <w:spacing w:line="240" w:lineRule="auto" w:before="1"/>
        <w:ind w:right="0"/>
        <w:rPr>
          <w:rFonts w:ascii="Calibri" w:hAnsi="Calibri" w:cs="Calibri" w:eastAsia="Calibri" w:hint="default"/>
          <w:sz w:val="20"/>
          <w:szCs w:val="20"/>
        </w:rPr>
      </w:pPr>
    </w:p>
    <w:p>
      <w:pPr>
        <w:pStyle w:val="BodyText"/>
        <w:spacing w:line="240" w:lineRule="auto"/>
        <w:ind w:right="1439"/>
        <w:jc w:val="both"/>
      </w:pPr>
      <w:r>
        <w:rPr/>
        <w:t>It is important for Curaçao tourism stakeholders to believe that the industry is valued and does satisfy the tourists that are frequenting the island. Stakeholders must learn not to be so hard on themselves, </w:t>
      </w:r>
      <w:r>
        <w:rPr>
          <w:rFonts w:ascii="Calibri" w:hAnsi="Calibri" w:cs="Calibri" w:eastAsia="Calibri" w:hint="default"/>
        </w:rPr>
        <w:t>and compare Curaçao’s </w:t>
      </w:r>
      <w:r>
        <w:rPr/>
        <w:t>performance</w:t>
      </w:r>
      <w:r>
        <w:rPr>
          <w:spacing w:val="-12"/>
        </w:rPr>
        <w:t> </w:t>
      </w:r>
      <w:r>
        <w:rPr/>
        <w:t>to</w:t>
      </w:r>
      <w:r>
        <w:rPr>
          <w:spacing w:val="-11"/>
        </w:rPr>
        <w:t> </w:t>
      </w:r>
      <w:r>
        <w:rPr/>
        <w:t>that</w:t>
      </w:r>
      <w:r>
        <w:rPr>
          <w:spacing w:val="-11"/>
        </w:rPr>
        <w:t> </w:t>
      </w:r>
      <w:r>
        <w:rPr/>
        <w:t>of</w:t>
      </w:r>
      <w:r>
        <w:rPr>
          <w:spacing w:val="-12"/>
        </w:rPr>
        <w:t> </w:t>
      </w:r>
      <w:r>
        <w:rPr/>
        <w:t>other</w:t>
      </w:r>
      <w:r>
        <w:rPr>
          <w:spacing w:val="-12"/>
        </w:rPr>
        <w:t> </w:t>
      </w:r>
      <w:r>
        <w:rPr/>
        <w:t>island</w:t>
      </w:r>
      <w:r>
        <w:rPr>
          <w:spacing w:val="-11"/>
        </w:rPr>
        <w:t> </w:t>
      </w:r>
      <w:r>
        <w:rPr/>
        <w:t>destinations.</w:t>
      </w:r>
      <w:r>
        <w:rPr>
          <w:spacing w:val="25"/>
        </w:rPr>
        <w:t> </w:t>
      </w:r>
      <w:r>
        <w:rPr/>
        <w:t>Through</w:t>
      </w:r>
      <w:r>
        <w:rPr>
          <w:spacing w:val="-11"/>
        </w:rPr>
        <w:t> </w:t>
      </w:r>
      <w:r>
        <w:rPr/>
        <w:t>the</w:t>
      </w:r>
      <w:r>
        <w:rPr>
          <w:spacing w:val="-12"/>
        </w:rPr>
        <w:t> </w:t>
      </w:r>
      <w:r>
        <w:rPr/>
        <w:t>eyes</w:t>
      </w:r>
      <w:r>
        <w:rPr>
          <w:spacing w:val="-13"/>
        </w:rPr>
        <w:t> </w:t>
      </w:r>
      <w:r>
        <w:rPr/>
        <w:t>of</w:t>
      </w:r>
      <w:r>
        <w:rPr>
          <w:spacing w:val="-12"/>
        </w:rPr>
        <w:t> </w:t>
      </w:r>
      <w:r>
        <w:rPr/>
        <w:t>the</w:t>
      </w:r>
      <w:r>
        <w:rPr>
          <w:spacing w:val="-12"/>
        </w:rPr>
        <w:t> </w:t>
      </w:r>
      <w:r>
        <w:rPr/>
        <w:t>tourists,</w:t>
      </w:r>
      <w:r>
        <w:rPr>
          <w:spacing w:val="-11"/>
        </w:rPr>
        <w:t> </w:t>
      </w:r>
      <w:r>
        <w:rPr/>
        <w:t>Curaçao</w:t>
      </w:r>
      <w:r>
        <w:rPr>
          <w:spacing w:val="-11"/>
        </w:rPr>
        <w:t> </w:t>
      </w:r>
      <w:r>
        <w:rPr/>
        <w:t>is</w:t>
      </w:r>
      <w:r>
        <w:rPr>
          <w:spacing w:val="-13"/>
        </w:rPr>
        <w:t> </w:t>
      </w:r>
      <w:r>
        <w:rPr/>
        <w:t>providing</w:t>
      </w:r>
      <w:r>
        <w:rPr>
          <w:spacing w:val="-12"/>
        </w:rPr>
        <w:t> </w:t>
      </w:r>
      <w:r>
        <w:rPr/>
        <w:t>a</w:t>
      </w:r>
      <w:r>
        <w:rPr>
          <w:spacing w:val="-11"/>
        </w:rPr>
        <w:t> </w:t>
      </w:r>
      <w:r>
        <w:rPr/>
        <w:t>satisfactory </w:t>
      </w:r>
      <w:r>
        <w:rPr/>
        <w:t>and valued</w:t>
      </w:r>
      <w:r>
        <w:rPr>
          <w:spacing w:val="-6"/>
        </w:rPr>
        <w:t> </w:t>
      </w:r>
      <w:r>
        <w:rPr/>
        <w:t>product.</w:t>
      </w:r>
    </w:p>
    <w:p>
      <w:pPr>
        <w:spacing w:line="240" w:lineRule="auto" w:before="11"/>
        <w:ind w:right="0"/>
        <w:rPr>
          <w:rFonts w:ascii="Calibri" w:hAnsi="Calibri" w:cs="Calibri" w:eastAsia="Calibri" w:hint="default"/>
          <w:sz w:val="19"/>
          <w:szCs w:val="19"/>
        </w:rPr>
      </w:pPr>
    </w:p>
    <w:p>
      <w:pPr>
        <w:pStyle w:val="BodyText"/>
        <w:spacing w:line="240" w:lineRule="auto"/>
        <w:ind w:right="1440"/>
        <w:jc w:val="both"/>
      </w:pPr>
      <w:r>
        <w:rPr/>
        <w:t>It</w:t>
      </w:r>
      <w:r>
        <w:rPr>
          <w:spacing w:val="-9"/>
        </w:rPr>
        <w:t> </w:t>
      </w:r>
      <w:r>
        <w:rPr/>
        <w:t>is</w:t>
      </w:r>
      <w:r>
        <w:rPr>
          <w:spacing w:val="-8"/>
        </w:rPr>
        <w:t> </w:t>
      </w:r>
      <w:r>
        <w:rPr/>
        <w:t>essential</w:t>
      </w:r>
      <w:r>
        <w:rPr>
          <w:spacing w:val="-7"/>
        </w:rPr>
        <w:t> </w:t>
      </w:r>
      <w:r>
        <w:rPr/>
        <w:t>for</w:t>
      </w:r>
      <w:r>
        <w:rPr>
          <w:spacing w:val="-9"/>
        </w:rPr>
        <w:t> </w:t>
      </w:r>
      <w:r>
        <w:rPr/>
        <w:t>Curaçao</w:t>
      </w:r>
      <w:r>
        <w:rPr>
          <w:spacing w:val="-9"/>
        </w:rPr>
        <w:t> </w:t>
      </w:r>
      <w:r>
        <w:rPr/>
        <w:t>tourism</w:t>
      </w:r>
      <w:r>
        <w:rPr>
          <w:spacing w:val="-8"/>
        </w:rPr>
        <w:t> </w:t>
      </w:r>
      <w:r>
        <w:rPr/>
        <w:t>stakeholders</w:t>
      </w:r>
      <w:r>
        <w:rPr>
          <w:spacing w:val="-10"/>
        </w:rPr>
        <w:t> </w:t>
      </w:r>
      <w:r>
        <w:rPr/>
        <w:t>to</w:t>
      </w:r>
      <w:r>
        <w:rPr>
          <w:spacing w:val="-9"/>
        </w:rPr>
        <w:t> </w:t>
      </w:r>
      <w:r>
        <w:rPr/>
        <w:t>realize</w:t>
      </w:r>
      <w:r>
        <w:rPr>
          <w:spacing w:val="-8"/>
        </w:rPr>
        <w:t> </w:t>
      </w:r>
      <w:r>
        <w:rPr/>
        <w:t>the</w:t>
      </w:r>
      <w:r>
        <w:rPr>
          <w:spacing w:val="-8"/>
        </w:rPr>
        <w:t> </w:t>
      </w:r>
      <w:r>
        <w:rPr/>
        <w:t>following:</w:t>
      </w:r>
      <w:r>
        <w:rPr>
          <w:spacing w:val="32"/>
        </w:rPr>
        <w:t> </w:t>
      </w:r>
      <w:r>
        <w:rPr>
          <w:rFonts w:ascii="Calibri" w:hAnsi="Calibri" w:cs="Calibri" w:eastAsia="Calibri" w:hint="default"/>
        </w:rPr>
        <w:t>the</w:t>
      </w:r>
      <w:r>
        <w:rPr>
          <w:rFonts w:ascii="Calibri" w:hAnsi="Calibri" w:cs="Calibri" w:eastAsia="Calibri" w:hint="default"/>
          <w:spacing w:val="-8"/>
        </w:rPr>
        <w:t> </w:t>
      </w:r>
      <w:r>
        <w:rPr>
          <w:rFonts w:ascii="Calibri" w:hAnsi="Calibri" w:cs="Calibri" w:eastAsia="Calibri" w:hint="default"/>
        </w:rPr>
        <w:t>Caribbean’s</w:t>
      </w:r>
      <w:r>
        <w:rPr>
          <w:rFonts w:ascii="Calibri" w:hAnsi="Calibri" w:cs="Calibri" w:eastAsia="Calibri" w:hint="default"/>
          <w:spacing w:val="-7"/>
        </w:rPr>
        <w:t> </w:t>
      </w:r>
      <w:r>
        <w:rPr/>
        <w:t>SSS</w:t>
      </w:r>
      <w:r>
        <w:rPr>
          <w:spacing w:val="-9"/>
        </w:rPr>
        <w:t> </w:t>
      </w:r>
      <w:r>
        <w:rPr/>
        <w:t>product</w:t>
      </w:r>
      <w:r>
        <w:rPr>
          <w:spacing w:val="-9"/>
        </w:rPr>
        <w:t> </w:t>
      </w:r>
      <w:r>
        <w:rPr/>
        <w:t>is</w:t>
      </w:r>
      <w:r>
        <w:rPr>
          <w:spacing w:val="-11"/>
        </w:rPr>
        <w:t> </w:t>
      </w:r>
      <w:r>
        <w:rPr/>
        <w:t>not</w:t>
      </w:r>
      <w:r>
        <w:rPr>
          <w:spacing w:val="-9"/>
        </w:rPr>
        <w:t> </w:t>
      </w:r>
      <w:r>
        <w:rPr/>
        <w:t>perceived </w:t>
      </w:r>
      <w:r>
        <w:rPr/>
        <w:t>differently by Curaçao</w:t>
      </w:r>
      <w:r>
        <w:rPr>
          <w:rFonts w:ascii="Calibri" w:hAnsi="Calibri" w:cs="Calibri" w:eastAsia="Calibri" w:hint="default"/>
        </w:rPr>
        <w:t>’s tourists from that of other island destinations; Curaçao’s service delivery is performing at </w:t>
      </w:r>
      <w:r>
        <w:rPr/>
        <w:t>an</w:t>
      </w:r>
      <w:r>
        <w:rPr>
          <w:spacing w:val="-9"/>
        </w:rPr>
        <w:t> </w:t>
      </w:r>
      <w:r>
        <w:rPr/>
        <w:t>average</w:t>
      </w:r>
      <w:r>
        <w:rPr>
          <w:spacing w:val="-11"/>
        </w:rPr>
        <w:t> </w:t>
      </w:r>
      <w:r>
        <w:rPr/>
        <w:t>mean;</w:t>
      </w:r>
      <w:r>
        <w:rPr>
          <w:spacing w:val="-11"/>
        </w:rPr>
        <w:t> </w:t>
      </w:r>
      <w:r>
        <w:rPr/>
        <w:t>tourists</w:t>
      </w:r>
      <w:r>
        <w:rPr>
          <w:spacing w:val="-11"/>
        </w:rPr>
        <w:t> </w:t>
      </w:r>
      <w:r>
        <w:rPr/>
        <w:t>are</w:t>
      </w:r>
      <w:r>
        <w:rPr>
          <w:spacing w:val="-9"/>
        </w:rPr>
        <w:t> </w:t>
      </w:r>
      <w:r>
        <w:rPr/>
        <w:t>satisfied</w:t>
      </w:r>
      <w:r>
        <w:rPr>
          <w:spacing w:val="-10"/>
        </w:rPr>
        <w:t> </w:t>
      </w:r>
      <w:r>
        <w:rPr/>
        <w:t>and</w:t>
      </w:r>
      <w:r>
        <w:rPr>
          <w:spacing w:val="-10"/>
        </w:rPr>
        <w:t> </w:t>
      </w:r>
      <w:r>
        <w:rPr/>
        <w:t>value</w:t>
      </w:r>
      <w:r>
        <w:rPr>
          <w:spacing w:val="-11"/>
        </w:rPr>
        <w:t> </w:t>
      </w:r>
      <w:r>
        <w:rPr/>
        <w:t>the</w:t>
      </w:r>
      <w:r>
        <w:rPr>
          <w:spacing w:val="-11"/>
        </w:rPr>
        <w:t> </w:t>
      </w:r>
      <w:r>
        <w:rPr/>
        <w:t>core</w:t>
      </w:r>
      <w:r>
        <w:rPr>
          <w:spacing w:val="-11"/>
        </w:rPr>
        <w:t> </w:t>
      </w:r>
      <w:r>
        <w:rPr/>
        <w:t>Curaçao</w:t>
      </w:r>
      <w:r>
        <w:rPr>
          <w:spacing w:val="-10"/>
        </w:rPr>
        <w:t> </w:t>
      </w:r>
      <w:r>
        <w:rPr/>
        <w:t>tourism</w:t>
      </w:r>
      <w:r>
        <w:rPr>
          <w:spacing w:val="-11"/>
        </w:rPr>
        <w:t> </w:t>
      </w:r>
      <w:r>
        <w:rPr/>
        <w:t>product;</w:t>
      </w:r>
      <w:r>
        <w:rPr>
          <w:spacing w:val="-11"/>
        </w:rPr>
        <w:t> </w:t>
      </w:r>
      <w:r>
        <w:rPr/>
        <w:t>and,</w:t>
      </w:r>
      <w:r>
        <w:rPr>
          <w:spacing w:val="-10"/>
        </w:rPr>
        <w:t> </w:t>
      </w:r>
      <w:r>
        <w:rPr/>
        <w:t>infrastructural</w:t>
      </w:r>
      <w:r>
        <w:rPr>
          <w:spacing w:val="-10"/>
        </w:rPr>
        <w:t> </w:t>
      </w:r>
      <w:r>
        <w:rPr/>
        <w:t>investments </w:t>
      </w:r>
      <w:r>
        <w:rPr/>
        <w:t>to</w:t>
      </w:r>
      <w:r>
        <w:rPr>
          <w:spacing w:val="-12"/>
        </w:rPr>
        <w:t> </w:t>
      </w:r>
      <w:r>
        <w:rPr/>
        <w:t>increase</w:t>
      </w:r>
      <w:r>
        <w:rPr>
          <w:spacing w:val="-13"/>
        </w:rPr>
        <w:t> </w:t>
      </w:r>
      <w:r>
        <w:rPr/>
        <w:t>the</w:t>
      </w:r>
      <w:r>
        <w:rPr>
          <w:spacing w:val="-12"/>
        </w:rPr>
        <w:t> </w:t>
      </w:r>
      <w:r>
        <w:rPr/>
        <w:t>tourism</w:t>
      </w:r>
      <w:r>
        <w:rPr>
          <w:spacing w:val="-12"/>
        </w:rPr>
        <w:t> </w:t>
      </w:r>
      <w:r>
        <w:rPr/>
        <w:t>supply</w:t>
      </w:r>
      <w:r>
        <w:rPr>
          <w:spacing w:val="-12"/>
        </w:rPr>
        <w:t> </w:t>
      </w:r>
      <w:r>
        <w:rPr/>
        <w:t>do</w:t>
      </w:r>
      <w:r>
        <w:rPr>
          <w:spacing w:val="-14"/>
        </w:rPr>
        <w:t> </w:t>
      </w:r>
      <w:r>
        <w:rPr/>
        <w:t>not</w:t>
      </w:r>
      <w:r>
        <w:rPr>
          <w:spacing w:val="-12"/>
        </w:rPr>
        <w:t> </w:t>
      </w:r>
      <w:r>
        <w:rPr/>
        <w:t>seem</w:t>
      </w:r>
      <w:r>
        <w:rPr>
          <w:spacing w:val="-12"/>
        </w:rPr>
        <w:t> </w:t>
      </w:r>
      <w:r>
        <w:rPr/>
        <w:t>necessary</w:t>
      </w:r>
      <w:r>
        <w:rPr>
          <w:spacing w:val="-12"/>
        </w:rPr>
        <w:t> </w:t>
      </w:r>
      <w:r>
        <w:rPr/>
        <w:t>at</w:t>
      </w:r>
      <w:r>
        <w:rPr>
          <w:spacing w:val="-12"/>
        </w:rPr>
        <w:t> </w:t>
      </w:r>
      <w:r>
        <w:rPr/>
        <w:t>this</w:t>
      </w:r>
      <w:r>
        <w:rPr>
          <w:spacing w:val="-15"/>
        </w:rPr>
        <w:t> </w:t>
      </w:r>
      <w:r>
        <w:rPr/>
        <w:t>time</w:t>
      </w:r>
      <w:r>
        <w:rPr>
          <w:spacing w:val="-13"/>
        </w:rPr>
        <w:t> </w:t>
      </w:r>
      <w:r>
        <w:rPr/>
        <w:t>as</w:t>
      </w:r>
      <w:r>
        <w:rPr>
          <w:spacing w:val="-12"/>
        </w:rPr>
        <w:t> </w:t>
      </w:r>
      <w:r>
        <w:rPr/>
        <w:t>these</w:t>
      </w:r>
      <w:r>
        <w:rPr>
          <w:spacing w:val="-12"/>
        </w:rPr>
        <w:t> </w:t>
      </w:r>
      <w:r>
        <w:rPr/>
        <w:t>attributes</w:t>
      </w:r>
      <w:r>
        <w:rPr>
          <w:spacing w:val="-13"/>
        </w:rPr>
        <w:t> </w:t>
      </w:r>
      <w:r>
        <w:rPr/>
        <w:t>are</w:t>
      </w:r>
      <w:r>
        <w:rPr>
          <w:spacing w:val="-12"/>
        </w:rPr>
        <w:t> </w:t>
      </w:r>
      <w:r>
        <w:rPr/>
        <w:t>not</w:t>
      </w:r>
      <w:r>
        <w:rPr>
          <w:spacing w:val="-12"/>
        </w:rPr>
        <w:t> </w:t>
      </w:r>
      <w:r>
        <w:rPr/>
        <w:t>d</w:t>
      </w:r>
      <w:r>
        <w:rPr>
          <w:rFonts w:ascii="Calibri" w:hAnsi="Calibri" w:cs="Calibri" w:eastAsia="Calibri" w:hint="default"/>
        </w:rPr>
        <w:t>etracting</w:t>
      </w:r>
      <w:r>
        <w:rPr>
          <w:rFonts w:ascii="Calibri" w:hAnsi="Calibri" w:cs="Calibri" w:eastAsia="Calibri" w:hint="default"/>
          <w:spacing w:val="-12"/>
        </w:rPr>
        <w:t> </w:t>
      </w:r>
      <w:r>
        <w:rPr>
          <w:rFonts w:ascii="Calibri" w:hAnsi="Calibri" w:cs="Calibri" w:eastAsia="Calibri" w:hint="default"/>
        </w:rPr>
        <w:t>from</w:t>
      </w:r>
      <w:r>
        <w:rPr>
          <w:rFonts w:ascii="Calibri" w:hAnsi="Calibri" w:cs="Calibri" w:eastAsia="Calibri" w:hint="default"/>
          <w:spacing w:val="-12"/>
        </w:rPr>
        <w:t> </w:t>
      </w:r>
      <w:r>
        <w:rPr>
          <w:rFonts w:ascii="Calibri" w:hAnsi="Calibri" w:cs="Calibri" w:eastAsia="Calibri" w:hint="default"/>
        </w:rPr>
        <w:t>tourists’ </w:t>
      </w:r>
      <w:r>
        <w:rPr>
          <w:rFonts w:ascii="Calibri" w:hAnsi="Calibri" w:cs="Calibri" w:eastAsia="Calibri" w:hint="default"/>
        </w:rPr>
      </w:r>
      <w:r>
        <w:rPr/>
        <w:t>value or satisfaction ratings of the overall Curaçao tourism</w:t>
      </w:r>
      <w:r>
        <w:rPr>
          <w:spacing w:val="-22"/>
        </w:rPr>
        <w:t> </w:t>
      </w:r>
      <w:r>
        <w:rPr/>
        <w:t>product.</w:t>
      </w:r>
    </w:p>
    <w:p>
      <w:pPr>
        <w:spacing w:line="240" w:lineRule="auto" w:before="2"/>
        <w:ind w:right="0"/>
        <w:rPr>
          <w:rFonts w:ascii="Calibri" w:hAnsi="Calibri" w:cs="Calibri" w:eastAsia="Calibri" w:hint="default"/>
          <w:sz w:val="20"/>
          <w:szCs w:val="20"/>
        </w:rPr>
      </w:pPr>
    </w:p>
    <w:p>
      <w:pPr>
        <w:pStyle w:val="BodyText"/>
        <w:spacing w:line="240" w:lineRule="auto"/>
        <w:ind w:right="1443"/>
        <w:jc w:val="both"/>
      </w:pPr>
      <w:r>
        <w:rPr>
          <w:rFonts w:ascii="Calibri" w:hAnsi="Calibri" w:cs="Calibri" w:eastAsia="Calibri" w:hint="default"/>
        </w:rPr>
        <w:t>This</w:t>
      </w:r>
      <w:r>
        <w:rPr>
          <w:rFonts w:ascii="Calibri" w:hAnsi="Calibri" w:cs="Calibri" w:eastAsia="Calibri" w:hint="default"/>
          <w:spacing w:val="-12"/>
        </w:rPr>
        <w:t> </w:t>
      </w:r>
      <w:r>
        <w:rPr>
          <w:rFonts w:ascii="Calibri" w:hAnsi="Calibri" w:cs="Calibri" w:eastAsia="Calibri" w:hint="default"/>
        </w:rPr>
        <w:t>means</w:t>
      </w:r>
      <w:r>
        <w:rPr>
          <w:rFonts w:ascii="Calibri" w:hAnsi="Calibri" w:cs="Calibri" w:eastAsia="Calibri" w:hint="default"/>
          <w:spacing w:val="-11"/>
        </w:rPr>
        <w:t> </w:t>
      </w:r>
      <w:r>
        <w:rPr>
          <w:rFonts w:ascii="Calibri" w:hAnsi="Calibri" w:cs="Calibri" w:eastAsia="Calibri" w:hint="default"/>
        </w:rPr>
        <w:t>that</w:t>
      </w:r>
      <w:r>
        <w:rPr>
          <w:rFonts w:ascii="Calibri" w:hAnsi="Calibri" w:cs="Calibri" w:eastAsia="Calibri" w:hint="default"/>
          <w:spacing w:val="-9"/>
        </w:rPr>
        <w:t> </w:t>
      </w:r>
      <w:r>
        <w:rPr>
          <w:rFonts w:ascii="Calibri" w:hAnsi="Calibri" w:cs="Calibri" w:eastAsia="Calibri" w:hint="default"/>
        </w:rPr>
        <w:t>Curaçao</w:t>
      </w:r>
      <w:r>
        <w:rPr>
          <w:rFonts w:ascii="Calibri" w:hAnsi="Calibri" w:cs="Calibri" w:eastAsia="Calibri" w:hint="default"/>
          <w:spacing w:val="-9"/>
        </w:rPr>
        <w:t> </w:t>
      </w:r>
      <w:r>
        <w:rPr>
          <w:rFonts w:ascii="Calibri" w:hAnsi="Calibri" w:cs="Calibri" w:eastAsia="Calibri" w:hint="default"/>
        </w:rPr>
        <w:t>has</w:t>
      </w:r>
      <w:r>
        <w:rPr>
          <w:rFonts w:ascii="Calibri" w:hAnsi="Calibri" w:cs="Calibri" w:eastAsia="Calibri" w:hint="default"/>
          <w:spacing w:val="-11"/>
        </w:rPr>
        <w:t> </w:t>
      </w:r>
      <w:r>
        <w:rPr>
          <w:rFonts w:ascii="Calibri" w:hAnsi="Calibri" w:cs="Calibri" w:eastAsia="Calibri" w:hint="default"/>
        </w:rPr>
        <w:t>a</w:t>
      </w:r>
      <w:r>
        <w:rPr>
          <w:rFonts w:ascii="Calibri" w:hAnsi="Calibri" w:cs="Calibri" w:eastAsia="Calibri" w:hint="default"/>
          <w:spacing w:val="-12"/>
        </w:rPr>
        <w:t> </w:t>
      </w:r>
      <w:r>
        <w:rPr>
          <w:rFonts w:ascii="Calibri" w:hAnsi="Calibri" w:cs="Calibri" w:eastAsia="Calibri" w:hint="default"/>
        </w:rPr>
        <w:t>low</w:t>
      </w:r>
      <w:r>
        <w:rPr>
          <w:rFonts w:ascii="Calibri" w:hAnsi="Calibri" w:cs="Calibri" w:eastAsia="Calibri" w:hint="default"/>
          <w:spacing w:val="-11"/>
        </w:rPr>
        <w:t> </w:t>
      </w:r>
      <w:r>
        <w:rPr>
          <w:rFonts w:ascii="Calibri" w:hAnsi="Calibri" w:cs="Calibri" w:eastAsia="Calibri" w:hint="default"/>
        </w:rPr>
        <w:t>risk</w:t>
      </w:r>
      <w:r>
        <w:rPr>
          <w:rFonts w:ascii="Calibri" w:hAnsi="Calibri" w:cs="Calibri" w:eastAsia="Calibri" w:hint="default"/>
          <w:spacing w:val="-10"/>
        </w:rPr>
        <w:t> </w:t>
      </w:r>
      <w:r>
        <w:rPr>
          <w:rFonts w:ascii="Calibri" w:hAnsi="Calibri" w:cs="Calibri" w:eastAsia="Calibri" w:hint="default"/>
        </w:rPr>
        <w:t>opportunity</w:t>
      </w:r>
      <w:r>
        <w:rPr>
          <w:rFonts w:ascii="Calibri" w:hAnsi="Calibri" w:cs="Calibri" w:eastAsia="Calibri" w:hint="default"/>
          <w:spacing w:val="-9"/>
        </w:rPr>
        <w:t> </w:t>
      </w:r>
      <w:r>
        <w:rPr>
          <w:rFonts w:ascii="Calibri" w:hAnsi="Calibri" w:cs="Calibri" w:eastAsia="Calibri" w:hint="default"/>
        </w:rPr>
        <w:t>to</w:t>
      </w:r>
      <w:r>
        <w:rPr>
          <w:rFonts w:ascii="Calibri" w:hAnsi="Calibri" w:cs="Calibri" w:eastAsia="Calibri" w:hint="default"/>
          <w:spacing w:val="-12"/>
        </w:rPr>
        <w:t> </w:t>
      </w:r>
      <w:r>
        <w:rPr>
          <w:rFonts w:ascii="Calibri" w:hAnsi="Calibri" w:cs="Calibri" w:eastAsia="Calibri" w:hint="default"/>
        </w:rPr>
        <w:t>concentrate</w:t>
      </w:r>
      <w:r>
        <w:rPr>
          <w:rFonts w:ascii="Calibri" w:hAnsi="Calibri" w:cs="Calibri" w:eastAsia="Calibri" w:hint="default"/>
          <w:spacing w:val="-11"/>
        </w:rPr>
        <w:t> </w:t>
      </w:r>
      <w:r>
        <w:rPr>
          <w:rFonts w:ascii="Calibri" w:hAnsi="Calibri" w:cs="Calibri" w:eastAsia="Calibri" w:hint="default"/>
        </w:rPr>
        <w:t>on</w:t>
      </w:r>
      <w:r>
        <w:rPr>
          <w:rFonts w:ascii="Calibri" w:hAnsi="Calibri" w:cs="Calibri" w:eastAsia="Calibri" w:hint="default"/>
          <w:spacing w:val="-9"/>
        </w:rPr>
        <w:t> </w:t>
      </w:r>
      <w:r>
        <w:rPr>
          <w:rFonts w:ascii="Calibri" w:hAnsi="Calibri" w:cs="Calibri" w:eastAsia="Calibri" w:hint="default"/>
        </w:rPr>
        <w:t>improving</w:t>
      </w:r>
      <w:r>
        <w:rPr>
          <w:rFonts w:ascii="Calibri" w:hAnsi="Calibri" w:cs="Calibri" w:eastAsia="Calibri" w:hint="default"/>
          <w:spacing w:val="-10"/>
        </w:rPr>
        <w:t> </w:t>
      </w:r>
      <w:r>
        <w:rPr>
          <w:rFonts w:ascii="Calibri" w:hAnsi="Calibri" w:cs="Calibri" w:eastAsia="Calibri" w:hint="default"/>
        </w:rPr>
        <w:t>tourism’s</w:t>
      </w:r>
      <w:r>
        <w:rPr>
          <w:rFonts w:ascii="Calibri" w:hAnsi="Calibri" w:cs="Calibri" w:eastAsia="Calibri" w:hint="default"/>
          <w:spacing w:val="-11"/>
        </w:rPr>
        <w:t> </w:t>
      </w:r>
      <w:r>
        <w:rPr>
          <w:rFonts w:ascii="Calibri" w:hAnsi="Calibri" w:cs="Calibri" w:eastAsia="Calibri" w:hint="default"/>
        </w:rPr>
        <w:t>soft</w:t>
      </w:r>
      <w:r>
        <w:rPr>
          <w:rFonts w:ascii="Calibri" w:hAnsi="Calibri" w:cs="Calibri" w:eastAsia="Calibri" w:hint="default"/>
          <w:spacing w:val="-10"/>
        </w:rPr>
        <w:t> </w:t>
      </w:r>
      <w:r>
        <w:rPr>
          <w:rFonts w:ascii="Calibri" w:hAnsi="Calibri" w:cs="Calibri" w:eastAsia="Calibri" w:hint="default"/>
        </w:rPr>
        <w:t>components</w:t>
      </w:r>
      <w:r>
        <w:rPr>
          <w:rFonts w:ascii="Calibri" w:hAnsi="Calibri" w:cs="Calibri" w:eastAsia="Calibri" w:hint="default"/>
          <w:spacing w:val="-11"/>
        </w:rPr>
        <w:t> </w:t>
      </w:r>
      <w:r>
        <w:rPr>
          <w:rFonts w:ascii="Calibri" w:hAnsi="Calibri" w:cs="Calibri" w:eastAsia="Calibri" w:hint="default"/>
        </w:rPr>
        <w:t>to</w:t>
      </w:r>
      <w:r>
        <w:rPr>
          <w:rFonts w:ascii="Calibri" w:hAnsi="Calibri" w:cs="Calibri" w:eastAsia="Calibri" w:hint="default"/>
          <w:spacing w:val="-9"/>
        </w:rPr>
        <w:t> </w:t>
      </w:r>
      <w:r>
        <w:rPr>
          <w:rFonts w:ascii="Calibri" w:hAnsi="Calibri" w:cs="Calibri" w:eastAsia="Calibri" w:hint="default"/>
        </w:rPr>
        <w:t>above </w:t>
      </w:r>
      <w:r>
        <w:rPr>
          <w:rFonts w:ascii="Calibri" w:hAnsi="Calibri" w:cs="Calibri" w:eastAsia="Calibri" w:hint="default"/>
        </w:rPr>
      </w:r>
      <w:r>
        <w:rPr/>
        <w:t>an average mean at a relatively low cost investment to enhance its competitive position in the Caribbean (e.g. improved training of service delivery</w:t>
      </w:r>
      <w:r>
        <w:rPr>
          <w:spacing w:val="-25"/>
        </w:rPr>
        <w:t> </w:t>
      </w:r>
      <w:r>
        <w:rPr/>
        <w:t>employees).</w:t>
      </w:r>
    </w:p>
    <w:p>
      <w:pPr>
        <w:pStyle w:val="Heading2"/>
        <w:spacing w:line="240" w:lineRule="auto" w:before="37"/>
        <w:ind w:right="0"/>
        <w:jc w:val="both"/>
        <w:rPr>
          <w:b w:val="0"/>
          <w:bCs w:val="0"/>
        </w:rPr>
      </w:pPr>
      <w:bookmarkStart w:name="_bookmark38" w:id="39"/>
      <w:bookmarkEnd w:id="39"/>
      <w:r>
        <w:rPr>
          <w:b w:val="0"/>
          <w:bCs w:val="0"/>
        </w:rPr>
      </w:r>
      <w:r>
        <w:rPr>
          <w:rFonts w:ascii="Calibri" w:hAnsi="Calibri" w:cs="Calibri" w:eastAsia="Calibri" w:hint="default"/>
        </w:rPr>
        <w:t>Local residents’ perception</w:t>
      </w:r>
      <w:r>
        <w:rPr/>
        <w:t>s of the Curaçao tourism</w:t>
      </w:r>
      <w:r>
        <w:rPr>
          <w:spacing w:val="-19"/>
        </w:rPr>
        <w:t> </w:t>
      </w:r>
      <w:r>
        <w:rPr/>
        <w:t>industry</w:t>
      </w:r>
      <w:r>
        <w:rPr>
          <w:b w:val="0"/>
          <w:bCs w:val="0"/>
        </w:rPr>
      </w:r>
    </w:p>
    <w:p>
      <w:pPr>
        <w:pStyle w:val="BodyText"/>
        <w:spacing w:line="240" w:lineRule="auto" w:before="189"/>
        <w:ind w:right="1435"/>
        <w:jc w:val="both"/>
        <w:rPr>
          <w:sz w:val="12"/>
          <w:szCs w:val="12"/>
        </w:rPr>
      </w:pPr>
      <w:r>
        <w:rPr/>
        <w:t>Additionally, when the local population residing in Curaçao was queried regarding their level of agreement that </w:t>
      </w:r>
      <w:r>
        <w:rPr>
          <w:rFonts w:ascii="Calibri" w:hAnsi="Calibri" w:cs="Calibri" w:eastAsia="Calibri" w:hint="default"/>
        </w:rPr>
        <w:t>Curaçao’s</w:t>
      </w:r>
      <w:r>
        <w:rPr>
          <w:rFonts w:ascii="Calibri" w:hAnsi="Calibri" w:cs="Calibri" w:eastAsia="Calibri" w:hint="default"/>
          <w:spacing w:val="-14"/>
        </w:rPr>
        <w:t> </w:t>
      </w:r>
      <w:r>
        <w:rPr>
          <w:rFonts w:ascii="Calibri" w:hAnsi="Calibri" w:cs="Calibri" w:eastAsia="Calibri" w:hint="default"/>
        </w:rPr>
        <w:t>tourism</w:t>
      </w:r>
      <w:r>
        <w:rPr>
          <w:rFonts w:ascii="Calibri" w:hAnsi="Calibri" w:cs="Calibri" w:eastAsia="Calibri" w:hint="default"/>
          <w:spacing w:val="-13"/>
        </w:rPr>
        <w:t> </w:t>
      </w:r>
      <w:r>
        <w:rPr>
          <w:rFonts w:ascii="Calibri" w:hAnsi="Calibri" w:cs="Calibri" w:eastAsia="Calibri" w:hint="default"/>
        </w:rPr>
        <w:t>industry</w:t>
      </w:r>
      <w:r>
        <w:rPr>
          <w:rFonts w:ascii="Calibri" w:hAnsi="Calibri" w:cs="Calibri" w:eastAsia="Calibri" w:hint="default"/>
          <w:spacing w:val="-11"/>
        </w:rPr>
        <w:t> </w:t>
      </w:r>
      <w:r>
        <w:rPr>
          <w:rFonts w:ascii="Calibri" w:hAnsi="Calibri" w:cs="Calibri" w:eastAsia="Calibri" w:hint="default"/>
        </w:rPr>
        <w:t>holds</w:t>
      </w:r>
      <w:r>
        <w:rPr>
          <w:rFonts w:ascii="Calibri" w:hAnsi="Calibri" w:cs="Calibri" w:eastAsia="Calibri" w:hint="default"/>
          <w:spacing w:val="-14"/>
        </w:rPr>
        <w:t> </w:t>
      </w:r>
      <w:r>
        <w:rPr>
          <w:rFonts w:ascii="Calibri" w:hAnsi="Calibri" w:cs="Calibri" w:eastAsia="Calibri" w:hint="default"/>
        </w:rPr>
        <w:t>potential,</w:t>
      </w:r>
      <w:r>
        <w:rPr>
          <w:rFonts w:ascii="Calibri" w:hAnsi="Calibri" w:cs="Calibri" w:eastAsia="Calibri" w:hint="default"/>
          <w:spacing w:val="-12"/>
        </w:rPr>
        <w:t> </w:t>
      </w:r>
      <w:r>
        <w:rPr>
          <w:rFonts w:ascii="Calibri" w:hAnsi="Calibri" w:cs="Calibri" w:eastAsia="Calibri" w:hint="default"/>
        </w:rPr>
        <w:t>the</w:t>
      </w:r>
      <w:r>
        <w:rPr>
          <w:rFonts w:ascii="Calibri" w:hAnsi="Calibri" w:cs="Calibri" w:eastAsia="Calibri" w:hint="default"/>
          <w:spacing w:val="-13"/>
        </w:rPr>
        <w:t> </w:t>
      </w:r>
      <w:r>
        <w:rPr>
          <w:rFonts w:ascii="Calibri" w:hAnsi="Calibri" w:cs="Calibri" w:eastAsia="Calibri" w:hint="default"/>
        </w:rPr>
        <w:t>overwhelming</w:t>
      </w:r>
      <w:r>
        <w:rPr>
          <w:rFonts w:ascii="Calibri" w:hAnsi="Calibri" w:cs="Calibri" w:eastAsia="Calibri" w:hint="default"/>
          <w:spacing w:val="-13"/>
        </w:rPr>
        <w:t> </w:t>
      </w:r>
      <w:r>
        <w:rPr>
          <w:rFonts w:ascii="Calibri" w:hAnsi="Calibri" w:cs="Calibri" w:eastAsia="Calibri" w:hint="default"/>
        </w:rPr>
        <w:t>majority</w:t>
      </w:r>
      <w:r>
        <w:rPr>
          <w:rFonts w:ascii="Calibri" w:hAnsi="Calibri" w:cs="Calibri" w:eastAsia="Calibri" w:hint="default"/>
          <w:spacing w:val="-12"/>
        </w:rPr>
        <w:t> </w:t>
      </w:r>
      <w:r>
        <w:rPr>
          <w:rFonts w:ascii="Calibri" w:hAnsi="Calibri" w:cs="Calibri" w:eastAsia="Calibri" w:hint="default"/>
        </w:rPr>
        <w:t>of</w:t>
      </w:r>
      <w:r>
        <w:rPr>
          <w:rFonts w:ascii="Calibri" w:hAnsi="Calibri" w:cs="Calibri" w:eastAsia="Calibri" w:hint="default"/>
          <w:spacing w:val="-13"/>
        </w:rPr>
        <w:t> </w:t>
      </w:r>
      <w:r>
        <w:rPr>
          <w:rFonts w:ascii="Calibri" w:hAnsi="Calibri" w:cs="Calibri" w:eastAsia="Calibri" w:hint="default"/>
        </w:rPr>
        <w:t>locals</w:t>
      </w:r>
      <w:r>
        <w:rPr>
          <w:rFonts w:ascii="Calibri" w:hAnsi="Calibri" w:cs="Calibri" w:eastAsia="Calibri" w:hint="default"/>
          <w:spacing w:val="-12"/>
        </w:rPr>
        <w:t> </w:t>
      </w:r>
      <w:r>
        <w:rPr>
          <w:rFonts w:ascii="Calibri" w:hAnsi="Calibri" w:cs="Calibri" w:eastAsia="Calibri" w:hint="default"/>
        </w:rPr>
        <w:t>felt</w:t>
      </w:r>
      <w:r>
        <w:rPr>
          <w:rFonts w:ascii="Calibri" w:hAnsi="Calibri" w:cs="Calibri" w:eastAsia="Calibri" w:hint="default"/>
          <w:spacing w:val="-12"/>
        </w:rPr>
        <w:t> </w:t>
      </w:r>
      <w:r>
        <w:rPr>
          <w:rFonts w:ascii="Calibri" w:hAnsi="Calibri" w:cs="Calibri" w:eastAsia="Calibri" w:hint="default"/>
        </w:rPr>
        <w:t>that</w:t>
      </w:r>
      <w:r>
        <w:rPr>
          <w:rFonts w:ascii="Calibri" w:hAnsi="Calibri" w:cs="Calibri" w:eastAsia="Calibri" w:hint="default"/>
          <w:spacing w:val="-12"/>
        </w:rPr>
        <w:t> </w:t>
      </w:r>
      <w:r>
        <w:rPr>
          <w:rFonts w:ascii="Calibri" w:hAnsi="Calibri" w:cs="Calibri" w:eastAsia="Calibri" w:hint="default"/>
        </w:rPr>
        <w:t>tourism</w:t>
      </w:r>
      <w:r>
        <w:rPr>
          <w:rFonts w:ascii="Calibri" w:hAnsi="Calibri" w:cs="Calibri" w:eastAsia="Calibri" w:hint="default"/>
          <w:spacing w:val="-13"/>
        </w:rPr>
        <w:t> </w:t>
      </w:r>
      <w:r>
        <w:rPr>
          <w:rFonts w:ascii="Calibri" w:hAnsi="Calibri" w:cs="Calibri" w:eastAsia="Calibri" w:hint="default"/>
        </w:rPr>
        <w:t>holds</w:t>
      </w:r>
      <w:r>
        <w:rPr>
          <w:rFonts w:ascii="Calibri" w:hAnsi="Calibri" w:cs="Calibri" w:eastAsia="Calibri" w:hint="default"/>
          <w:spacing w:val="-14"/>
        </w:rPr>
        <w:t> </w:t>
      </w:r>
      <w:r>
        <w:rPr>
          <w:rFonts w:ascii="Calibri" w:hAnsi="Calibri" w:cs="Calibri" w:eastAsia="Calibri" w:hint="default"/>
        </w:rPr>
        <w:t>great</w:t>
      </w:r>
      <w:r>
        <w:rPr>
          <w:rFonts w:ascii="Calibri" w:hAnsi="Calibri" w:cs="Calibri" w:eastAsia="Calibri" w:hint="default"/>
          <w:spacing w:val="-12"/>
        </w:rPr>
        <w:t> </w:t>
      </w:r>
      <w:r>
        <w:rPr>
          <w:rFonts w:ascii="Calibri" w:hAnsi="Calibri" w:cs="Calibri" w:eastAsia="Calibri" w:hint="default"/>
        </w:rPr>
        <w:t>promise </w:t>
      </w:r>
      <w:r>
        <w:rPr>
          <w:rFonts w:ascii="Calibri" w:hAnsi="Calibri" w:cs="Calibri" w:eastAsia="Calibri" w:hint="default"/>
        </w:rPr>
        <w:t>for Curaçao’s economy. This perception is shared across multiple generations (</w:t>
      </w:r>
      <w:r>
        <w:rPr/>
        <w:t>i.e. Baby Boomers, Generation X, Generation Y, and Generation Z). Combined, these perceptions represent more </w:t>
      </w:r>
      <w:r>
        <w:rPr>
          <w:rFonts w:ascii="Calibri" w:hAnsi="Calibri" w:cs="Calibri" w:eastAsia="Calibri" w:hint="default"/>
        </w:rPr>
        <w:t>than half (54%) of the population’s </w:t>
      </w:r>
      <w:r>
        <w:rPr/>
        <w:t>approval. Generation Z is age 18 years and less; Generation Y is between ages 19 and 38; Generation X is between ages 39 and 54, while Boomers are 55 years and</w:t>
      </w:r>
      <w:r>
        <w:rPr>
          <w:spacing w:val="-18"/>
        </w:rPr>
        <w:t> </w:t>
      </w:r>
      <w:r>
        <w:rPr/>
        <w:t>older.</w:t>
      </w:r>
      <w:r>
        <w:rPr>
          <w:position w:val="5"/>
          <w:sz w:val="12"/>
          <w:szCs w:val="12"/>
        </w:rPr>
        <w:t>11</w:t>
      </w:r>
      <w:r>
        <w:rPr>
          <w:sz w:val="12"/>
          <w:szCs w:val="12"/>
        </w:rPr>
      </w:r>
    </w:p>
    <w:p>
      <w:pPr>
        <w:spacing w:line="240" w:lineRule="auto" w:before="12"/>
        <w:ind w:right="0"/>
        <w:rPr>
          <w:rFonts w:ascii="Calibri" w:hAnsi="Calibri" w:cs="Calibri" w:eastAsia="Calibri" w:hint="default"/>
          <w:sz w:val="19"/>
          <w:szCs w:val="19"/>
        </w:rPr>
      </w:pPr>
    </w:p>
    <w:p>
      <w:pPr>
        <w:pStyle w:val="BodyText"/>
        <w:spacing w:line="240" w:lineRule="auto"/>
        <w:ind w:right="1437"/>
        <w:jc w:val="both"/>
      </w:pPr>
      <w:r>
        <w:rPr/>
        <w:t>Generation</w:t>
      </w:r>
      <w:r>
        <w:rPr>
          <w:spacing w:val="-5"/>
        </w:rPr>
        <w:t> </w:t>
      </w:r>
      <w:r>
        <w:rPr/>
        <w:t>Z</w:t>
      </w:r>
      <w:r>
        <w:rPr>
          <w:spacing w:val="-5"/>
        </w:rPr>
        <w:t> </w:t>
      </w:r>
      <w:r>
        <w:rPr/>
        <w:t>(66%)</w:t>
      </w:r>
      <w:r>
        <w:rPr>
          <w:spacing w:val="-6"/>
        </w:rPr>
        <w:t> </w:t>
      </w:r>
      <w:r>
        <w:rPr/>
        <w:t>followed</w:t>
      </w:r>
      <w:r>
        <w:rPr>
          <w:spacing w:val="-3"/>
        </w:rPr>
        <w:t> </w:t>
      </w:r>
      <w:r>
        <w:rPr/>
        <w:t>by</w:t>
      </w:r>
      <w:r>
        <w:rPr>
          <w:spacing w:val="-5"/>
        </w:rPr>
        <w:t> </w:t>
      </w:r>
      <w:r>
        <w:rPr/>
        <w:t>the</w:t>
      </w:r>
      <w:r>
        <w:rPr>
          <w:spacing w:val="-6"/>
        </w:rPr>
        <w:t> </w:t>
      </w:r>
      <w:r>
        <w:rPr/>
        <w:t>Baby</w:t>
      </w:r>
      <w:r>
        <w:rPr>
          <w:spacing w:val="-5"/>
        </w:rPr>
        <w:t> </w:t>
      </w:r>
      <w:r>
        <w:rPr/>
        <w:t>Boomers</w:t>
      </w:r>
      <w:r>
        <w:rPr>
          <w:spacing w:val="-5"/>
        </w:rPr>
        <w:t> </w:t>
      </w:r>
      <w:r>
        <w:rPr/>
        <w:t>(60%),</w:t>
      </w:r>
      <w:r>
        <w:rPr>
          <w:spacing w:val="-5"/>
        </w:rPr>
        <w:t> </w:t>
      </w:r>
      <w:r>
        <w:rPr/>
        <w:t>and</w:t>
      </w:r>
      <w:r>
        <w:rPr>
          <w:spacing w:val="-5"/>
        </w:rPr>
        <w:t> </w:t>
      </w:r>
      <w:r>
        <w:rPr/>
        <w:t>Generation</w:t>
      </w:r>
      <w:r>
        <w:rPr>
          <w:spacing w:val="-5"/>
        </w:rPr>
        <w:t> </w:t>
      </w:r>
      <w:r>
        <w:rPr/>
        <w:t>X</w:t>
      </w:r>
      <w:r>
        <w:rPr>
          <w:spacing w:val="-6"/>
        </w:rPr>
        <w:t> </w:t>
      </w:r>
      <w:r>
        <w:rPr/>
        <w:t>(52.2%)</w:t>
      </w:r>
      <w:r>
        <w:rPr>
          <w:spacing w:val="-6"/>
        </w:rPr>
        <w:t> </w:t>
      </w:r>
      <w:r>
        <w:rPr/>
        <w:t>had</w:t>
      </w:r>
      <w:r>
        <w:rPr>
          <w:spacing w:val="-4"/>
        </w:rPr>
        <w:t> </w:t>
      </w:r>
      <w:r>
        <w:rPr/>
        <w:t>the</w:t>
      </w:r>
      <w:r>
        <w:rPr>
          <w:spacing w:val="-6"/>
        </w:rPr>
        <w:t> </w:t>
      </w:r>
      <w:r>
        <w:rPr/>
        <w:t>most</w:t>
      </w:r>
      <w:r>
        <w:rPr>
          <w:spacing w:val="-3"/>
        </w:rPr>
        <w:t> </w:t>
      </w:r>
      <w:r>
        <w:rPr/>
        <w:t>favorable</w:t>
      </w:r>
      <w:r>
        <w:rPr>
          <w:spacing w:val="-6"/>
        </w:rPr>
        <w:t> </w:t>
      </w:r>
      <w:r>
        <w:rPr/>
        <w:t>opinion </w:t>
      </w:r>
      <w:r>
        <w:rPr/>
      </w:r>
      <w:r>
        <w:rPr>
          <w:rFonts w:ascii="Calibri" w:hAnsi="Calibri" w:cs="Calibri" w:eastAsia="Calibri" w:hint="default"/>
        </w:rPr>
        <w:t>regarding</w:t>
      </w:r>
      <w:r>
        <w:rPr>
          <w:rFonts w:ascii="Calibri" w:hAnsi="Calibri" w:cs="Calibri" w:eastAsia="Calibri" w:hint="default"/>
          <w:spacing w:val="-10"/>
        </w:rPr>
        <w:t> </w:t>
      </w:r>
      <w:r>
        <w:rPr>
          <w:rFonts w:ascii="Calibri" w:hAnsi="Calibri" w:cs="Calibri" w:eastAsia="Calibri" w:hint="default"/>
        </w:rPr>
        <w:t>this</w:t>
      </w:r>
      <w:r>
        <w:rPr>
          <w:rFonts w:ascii="Calibri" w:hAnsi="Calibri" w:cs="Calibri" w:eastAsia="Calibri" w:hint="default"/>
          <w:spacing w:val="-12"/>
        </w:rPr>
        <w:t> </w:t>
      </w:r>
      <w:r>
        <w:rPr>
          <w:rFonts w:ascii="Calibri" w:hAnsi="Calibri" w:cs="Calibri" w:eastAsia="Calibri" w:hint="default"/>
        </w:rPr>
        <w:t>statement,</w:t>
      </w:r>
      <w:r>
        <w:rPr>
          <w:rFonts w:ascii="Calibri" w:hAnsi="Calibri" w:cs="Calibri" w:eastAsia="Calibri" w:hint="default"/>
          <w:spacing w:val="-9"/>
        </w:rPr>
        <w:t> </w:t>
      </w:r>
      <w:r>
        <w:rPr>
          <w:rFonts w:ascii="Calibri" w:hAnsi="Calibri" w:cs="Calibri" w:eastAsia="Calibri" w:hint="default"/>
        </w:rPr>
        <w:t>“</w:t>
      </w:r>
      <w:r>
        <w:rPr>
          <w:rFonts w:ascii="Calibri" w:hAnsi="Calibri" w:cs="Calibri" w:eastAsia="Calibri" w:hint="default"/>
          <w:i/>
        </w:rPr>
        <w:t>Tourism</w:t>
      </w:r>
      <w:r>
        <w:rPr>
          <w:rFonts w:ascii="Calibri" w:hAnsi="Calibri" w:cs="Calibri" w:eastAsia="Calibri" w:hint="default"/>
          <w:i/>
          <w:spacing w:val="-10"/>
        </w:rPr>
        <w:t> </w:t>
      </w:r>
      <w:r>
        <w:rPr>
          <w:rFonts w:ascii="Calibri" w:hAnsi="Calibri" w:cs="Calibri" w:eastAsia="Calibri" w:hint="default"/>
          <w:i/>
        </w:rPr>
        <w:t>holds</w:t>
      </w:r>
      <w:r>
        <w:rPr>
          <w:rFonts w:ascii="Calibri" w:hAnsi="Calibri" w:cs="Calibri" w:eastAsia="Calibri" w:hint="default"/>
          <w:i/>
          <w:spacing w:val="-11"/>
        </w:rPr>
        <w:t> </w:t>
      </w:r>
      <w:r>
        <w:rPr>
          <w:rFonts w:ascii="Calibri" w:hAnsi="Calibri" w:cs="Calibri" w:eastAsia="Calibri" w:hint="default"/>
          <w:i/>
        </w:rPr>
        <w:t>great</w:t>
      </w:r>
      <w:r>
        <w:rPr>
          <w:rFonts w:ascii="Calibri" w:hAnsi="Calibri" w:cs="Calibri" w:eastAsia="Calibri" w:hint="default"/>
          <w:i/>
          <w:spacing w:val="-10"/>
        </w:rPr>
        <w:t> </w:t>
      </w:r>
      <w:r>
        <w:rPr>
          <w:rFonts w:ascii="Calibri" w:hAnsi="Calibri" w:cs="Calibri" w:eastAsia="Calibri" w:hint="default"/>
          <w:i/>
        </w:rPr>
        <w:t>promise</w:t>
      </w:r>
      <w:r>
        <w:rPr>
          <w:rFonts w:ascii="Calibri" w:hAnsi="Calibri" w:cs="Calibri" w:eastAsia="Calibri" w:hint="default"/>
          <w:i/>
          <w:spacing w:val="-10"/>
        </w:rPr>
        <w:t> </w:t>
      </w:r>
      <w:r>
        <w:rPr>
          <w:rFonts w:ascii="Calibri" w:hAnsi="Calibri" w:cs="Calibri" w:eastAsia="Calibri" w:hint="default"/>
          <w:i/>
        </w:rPr>
        <w:t>for</w:t>
      </w:r>
      <w:r>
        <w:rPr>
          <w:rFonts w:ascii="Calibri" w:hAnsi="Calibri" w:cs="Calibri" w:eastAsia="Calibri" w:hint="default"/>
          <w:i/>
          <w:spacing w:val="-6"/>
        </w:rPr>
        <w:t> </w:t>
      </w:r>
      <w:r>
        <w:rPr>
          <w:rFonts w:ascii="Calibri" w:hAnsi="Calibri" w:cs="Calibri" w:eastAsia="Calibri" w:hint="default"/>
          <w:i/>
        </w:rPr>
        <w:t>Curaçao</w:t>
      </w:r>
      <w:r>
        <w:rPr>
          <w:rFonts w:ascii="Calibri" w:hAnsi="Calibri" w:cs="Calibri" w:eastAsia="Calibri" w:hint="default"/>
          <w:i/>
        </w:rPr>
        <w:t>’s</w:t>
      </w:r>
      <w:r>
        <w:rPr>
          <w:rFonts w:ascii="Calibri" w:hAnsi="Calibri" w:cs="Calibri" w:eastAsia="Calibri" w:hint="default"/>
          <w:i/>
          <w:spacing w:val="-11"/>
        </w:rPr>
        <w:t> </w:t>
      </w:r>
      <w:r>
        <w:rPr>
          <w:rFonts w:ascii="Calibri" w:hAnsi="Calibri" w:cs="Calibri" w:eastAsia="Calibri" w:hint="default"/>
          <w:i/>
        </w:rPr>
        <w:t>economic</w:t>
      </w:r>
      <w:r>
        <w:rPr>
          <w:rFonts w:ascii="Calibri" w:hAnsi="Calibri" w:cs="Calibri" w:eastAsia="Calibri" w:hint="default"/>
          <w:i/>
          <w:spacing w:val="-9"/>
        </w:rPr>
        <w:t> </w:t>
      </w:r>
      <w:r>
        <w:rPr>
          <w:rFonts w:ascii="Calibri" w:hAnsi="Calibri" w:cs="Calibri" w:eastAsia="Calibri" w:hint="default"/>
          <w:i/>
        </w:rPr>
        <w:t>future</w:t>
      </w:r>
      <w:r>
        <w:rPr>
          <w:rFonts w:ascii="Calibri" w:hAnsi="Calibri" w:cs="Calibri" w:eastAsia="Calibri" w:hint="default"/>
        </w:rPr>
        <w:t>.”</w:t>
      </w:r>
      <w:r>
        <w:rPr>
          <w:rFonts w:ascii="Calibri" w:hAnsi="Calibri" w:cs="Calibri" w:eastAsia="Calibri" w:hint="default"/>
          <w:spacing w:val="-9"/>
        </w:rPr>
        <w:t> </w:t>
      </w:r>
      <w:r>
        <w:rPr>
          <w:rFonts w:ascii="Calibri" w:hAnsi="Calibri" w:cs="Calibri" w:eastAsia="Calibri" w:hint="default"/>
        </w:rPr>
        <w:t>Generation</w:t>
      </w:r>
      <w:r>
        <w:rPr>
          <w:rFonts w:ascii="Calibri" w:hAnsi="Calibri" w:cs="Calibri" w:eastAsia="Calibri" w:hint="default"/>
          <w:spacing w:val="-9"/>
        </w:rPr>
        <w:t> </w:t>
      </w:r>
      <w:r>
        <w:rPr>
          <w:rFonts w:ascii="Calibri" w:hAnsi="Calibri" w:cs="Calibri" w:eastAsia="Calibri" w:hint="default"/>
        </w:rPr>
        <w:t>Y</w:t>
      </w:r>
      <w:r>
        <w:rPr>
          <w:rFonts w:ascii="Calibri" w:hAnsi="Calibri" w:cs="Calibri" w:eastAsia="Calibri" w:hint="default"/>
          <w:spacing w:val="-11"/>
        </w:rPr>
        <w:t> </w:t>
      </w:r>
      <w:r>
        <w:rPr>
          <w:rFonts w:ascii="Calibri" w:hAnsi="Calibri" w:cs="Calibri" w:eastAsia="Calibri" w:hint="default"/>
        </w:rPr>
        <w:t>had</w:t>
      </w:r>
      <w:r>
        <w:rPr>
          <w:rFonts w:ascii="Calibri" w:hAnsi="Calibri" w:cs="Calibri" w:eastAsia="Calibri" w:hint="default"/>
          <w:spacing w:val="-9"/>
        </w:rPr>
        <w:t> </w:t>
      </w:r>
      <w:r>
        <w:rPr>
          <w:rFonts w:ascii="Calibri" w:hAnsi="Calibri" w:cs="Calibri" w:eastAsia="Calibri" w:hint="default"/>
        </w:rPr>
        <w:t>the</w:t>
      </w:r>
      <w:r>
        <w:rPr>
          <w:rFonts w:ascii="Calibri" w:hAnsi="Calibri" w:cs="Calibri" w:eastAsia="Calibri" w:hint="default"/>
          <w:spacing w:val="-9"/>
        </w:rPr>
        <w:t> </w:t>
      </w:r>
      <w:r>
        <w:rPr/>
        <w:t>lowest score with less than half (46.5%) of the respondents indicating that they held the least positive perception about </w:t>
      </w:r>
      <w:r>
        <w:rPr>
          <w:rFonts w:ascii="Calibri" w:hAnsi="Calibri" w:cs="Calibri" w:eastAsia="Calibri" w:hint="default"/>
        </w:rPr>
        <w:t>tourism’s promise in</w:t>
      </w:r>
      <w:r>
        <w:rPr>
          <w:rFonts w:ascii="Calibri" w:hAnsi="Calibri" w:cs="Calibri" w:eastAsia="Calibri" w:hint="default"/>
          <w:spacing w:val="-11"/>
        </w:rPr>
        <w:t> </w:t>
      </w:r>
      <w:r>
        <w:rPr/>
        <w:t>Curaçao.</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rPr>
          <w:sz w:val="12"/>
          <w:szCs w:val="12"/>
        </w:rPr>
      </w:pPr>
      <w:r>
        <w:rPr/>
        <w:t>There is also a significant portion of Curaçao people (exceeding one-third of the population) that does not have an </w:t>
      </w:r>
      <w:r>
        <w:rPr>
          <w:rFonts w:ascii="Calibri" w:hAnsi="Calibri" w:cs="Calibri" w:eastAsia="Calibri" w:hint="default"/>
        </w:rPr>
        <w:t>opinion</w:t>
      </w:r>
      <w:r>
        <w:rPr>
          <w:rFonts w:ascii="Calibri" w:hAnsi="Calibri" w:cs="Calibri" w:eastAsia="Calibri" w:hint="default"/>
          <w:spacing w:val="-4"/>
        </w:rPr>
        <w:t> </w:t>
      </w:r>
      <w:r>
        <w:rPr>
          <w:rFonts w:ascii="Calibri" w:hAnsi="Calibri" w:cs="Calibri" w:eastAsia="Calibri" w:hint="default"/>
        </w:rPr>
        <w:t>regarding</w:t>
      </w:r>
      <w:r>
        <w:rPr>
          <w:rFonts w:ascii="Calibri" w:hAnsi="Calibri" w:cs="Calibri" w:eastAsia="Calibri" w:hint="default"/>
          <w:spacing w:val="-6"/>
        </w:rPr>
        <w:t> </w:t>
      </w:r>
      <w:r>
        <w:rPr>
          <w:rFonts w:ascii="Calibri" w:hAnsi="Calibri" w:cs="Calibri" w:eastAsia="Calibri" w:hint="default"/>
        </w:rPr>
        <w:t>tourism’s</w:t>
      </w:r>
      <w:r>
        <w:rPr>
          <w:rFonts w:ascii="Calibri" w:hAnsi="Calibri" w:cs="Calibri" w:eastAsia="Calibri" w:hint="default"/>
          <w:spacing w:val="-6"/>
        </w:rPr>
        <w:t> </w:t>
      </w:r>
      <w:r>
        <w:rPr>
          <w:rFonts w:ascii="Calibri" w:hAnsi="Calibri" w:cs="Calibri" w:eastAsia="Calibri" w:hint="default"/>
        </w:rPr>
        <w:t>benefits</w:t>
      </w:r>
      <w:r>
        <w:rPr>
          <w:rFonts w:ascii="Calibri" w:hAnsi="Calibri" w:cs="Calibri" w:eastAsia="Calibri" w:hint="default"/>
          <w:spacing w:val="-6"/>
        </w:rPr>
        <w:t> </w:t>
      </w:r>
      <w:r>
        <w:rPr>
          <w:rFonts w:ascii="Calibri" w:hAnsi="Calibri" w:cs="Calibri" w:eastAsia="Calibri" w:hint="default"/>
        </w:rPr>
        <w:t>for</w:t>
      </w:r>
      <w:r>
        <w:rPr>
          <w:rFonts w:ascii="Calibri" w:hAnsi="Calibri" w:cs="Calibri" w:eastAsia="Calibri" w:hint="default"/>
          <w:spacing w:val="-2"/>
        </w:rPr>
        <w:t> </w:t>
      </w:r>
      <w:r>
        <w:rPr/>
        <w:t>Curaçao.</w:t>
      </w:r>
      <w:r>
        <w:rPr>
          <w:spacing w:val="-5"/>
        </w:rPr>
        <w:t> </w:t>
      </w:r>
      <w:r>
        <w:rPr/>
        <w:t>Based</w:t>
      </w:r>
      <w:r>
        <w:rPr>
          <w:spacing w:val="-5"/>
        </w:rPr>
        <w:t> </w:t>
      </w:r>
      <w:r>
        <w:rPr/>
        <w:t>on</w:t>
      </w:r>
      <w:r>
        <w:rPr>
          <w:spacing w:val="-4"/>
        </w:rPr>
        <w:t> </w:t>
      </w:r>
      <w:r>
        <w:rPr/>
        <w:t>descriptive</w:t>
      </w:r>
      <w:r>
        <w:rPr>
          <w:spacing w:val="-6"/>
        </w:rPr>
        <w:t> </w:t>
      </w:r>
      <w:r>
        <w:rPr/>
        <w:t>statistics,</w:t>
      </w:r>
      <w:r>
        <w:rPr>
          <w:spacing w:val="-5"/>
        </w:rPr>
        <w:t> </w:t>
      </w:r>
      <w:r>
        <w:rPr/>
        <w:t>there</w:t>
      </w:r>
      <w:r>
        <w:rPr>
          <w:spacing w:val="-6"/>
        </w:rPr>
        <w:t> </w:t>
      </w:r>
      <w:r>
        <w:rPr/>
        <w:t>is</w:t>
      </w:r>
      <w:r>
        <w:rPr>
          <w:spacing w:val="-3"/>
        </w:rPr>
        <w:t> </w:t>
      </w:r>
      <w:r>
        <w:rPr/>
        <w:t>an</w:t>
      </w:r>
      <w:r>
        <w:rPr>
          <w:spacing w:val="-4"/>
        </w:rPr>
        <w:t> </w:t>
      </w:r>
      <w:r>
        <w:rPr/>
        <w:t>obvious</w:t>
      </w:r>
      <w:r>
        <w:rPr>
          <w:spacing w:val="-6"/>
        </w:rPr>
        <w:t> </w:t>
      </w:r>
      <w:r>
        <w:rPr/>
        <w:t>opportunity</w:t>
      </w:r>
      <w:r>
        <w:rPr>
          <w:spacing w:val="-7"/>
        </w:rPr>
        <w:t> </w:t>
      </w:r>
      <w:r>
        <w:rPr/>
        <w:t>for </w:t>
      </w:r>
      <w:r>
        <w:rPr/>
        <w:t>Curaçao </w:t>
      </w:r>
      <w:r>
        <w:rPr>
          <w:rFonts w:ascii="Calibri" w:hAnsi="Calibri" w:cs="Calibri" w:eastAsia="Calibri" w:hint="default"/>
        </w:rPr>
        <w:t>to promote tourism’s potential to the local</w:t>
      </w:r>
      <w:r>
        <w:rPr>
          <w:rFonts w:ascii="Calibri" w:hAnsi="Calibri" w:cs="Calibri" w:eastAsia="Calibri" w:hint="default"/>
          <w:spacing w:val="-20"/>
        </w:rPr>
        <w:t> </w:t>
      </w:r>
      <w:r>
        <w:rPr>
          <w:rFonts w:ascii="Calibri" w:hAnsi="Calibri" w:cs="Calibri" w:eastAsia="Calibri" w:hint="default"/>
        </w:rPr>
        <w:t>population.</w:t>
      </w:r>
      <w:r>
        <w:rPr>
          <w:position w:val="5"/>
          <w:sz w:val="12"/>
          <w:szCs w:val="12"/>
        </w:rPr>
        <w:t>12</w:t>
      </w:r>
      <w:r>
        <w:rPr>
          <w:sz w:val="12"/>
          <w:szCs w:val="12"/>
        </w:rPr>
      </w:r>
    </w:p>
    <w:p>
      <w:pPr>
        <w:spacing w:line="240" w:lineRule="auto" w:before="11"/>
        <w:ind w:right="0"/>
        <w:rPr>
          <w:rFonts w:ascii="Calibri" w:hAnsi="Calibri" w:cs="Calibri" w:eastAsia="Calibri" w:hint="default"/>
          <w:sz w:val="19"/>
          <w:szCs w:val="19"/>
        </w:rPr>
      </w:pPr>
    </w:p>
    <w:p>
      <w:pPr>
        <w:spacing w:before="0"/>
        <w:ind w:left="1440" w:right="1434" w:firstLine="0"/>
        <w:jc w:val="both"/>
        <w:rPr>
          <w:rFonts w:ascii="Calibri" w:hAnsi="Calibri" w:cs="Calibri" w:eastAsia="Calibri" w:hint="default"/>
          <w:sz w:val="20"/>
          <w:szCs w:val="20"/>
        </w:rPr>
      </w:pPr>
      <w:r>
        <w:rPr>
          <w:rFonts w:ascii="Calibri" w:hAnsi="Calibri" w:cs="Calibri" w:eastAsia="Calibri" w:hint="default"/>
          <w:sz w:val="20"/>
          <w:szCs w:val="20"/>
        </w:rPr>
        <w:t>While the overall local perception regarding tourism’s pr</w:t>
      </w:r>
      <w:r>
        <w:rPr>
          <w:rFonts w:ascii="Calibri" w:hAnsi="Calibri" w:cs="Calibri" w:eastAsia="Calibri" w:hint="default"/>
          <w:sz w:val="20"/>
          <w:szCs w:val="20"/>
        </w:rPr>
        <w:t>omise is positive, there does exist a potential danger looming on the horizon. The overwhelming majority of the population held a negative view regarding the following </w:t>
      </w:r>
      <w:r>
        <w:rPr>
          <w:rFonts w:ascii="Calibri" w:hAnsi="Calibri" w:cs="Calibri" w:eastAsia="Calibri" w:hint="default"/>
          <w:sz w:val="20"/>
          <w:szCs w:val="20"/>
        </w:rPr>
        <w:t>statement, “</w:t>
      </w:r>
      <w:r>
        <w:rPr>
          <w:rFonts w:ascii="Calibri" w:hAnsi="Calibri" w:cs="Calibri" w:eastAsia="Calibri" w:hint="default"/>
          <w:i/>
          <w:sz w:val="20"/>
          <w:szCs w:val="20"/>
        </w:rPr>
        <w:t>Income opportunities from tourism development are evenly distributed to all</w:t>
      </w:r>
      <w:r>
        <w:rPr>
          <w:rFonts w:ascii="Calibri" w:hAnsi="Calibri" w:cs="Calibri" w:eastAsia="Calibri" w:hint="default"/>
          <w:sz w:val="20"/>
          <w:szCs w:val="20"/>
        </w:rPr>
        <w:t>.</w:t>
      </w:r>
      <w:r>
        <w:rPr>
          <w:rFonts w:ascii="Calibri" w:hAnsi="Calibri" w:cs="Calibri" w:eastAsia="Calibri" w:hint="default"/>
          <w:sz w:val="20"/>
          <w:szCs w:val="20"/>
        </w:rPr>
        <w:t>” </w:t>
      </w:r>
      <w:r>
        <w:rPr>
          <w:rFonts w:ascii="Calibri" w:hAnsi="Calibri" w:cs="Calibri" w:eastAsia="Calibri" w:hint="default"/>
          <w:sz w:val="20"/>
          <w:szCs w:val="20"/>
        </w:rPr>
        <w:t>Only 19% of the respondents agreed with this statement. Respondents discerned that only a few on the island benefited from tourism. With regard to the statement, </w:t>
      </w:r>
      <w:r>
        <w:rPr>
          <w:rFonts w:ascii="Calibri" w:hAnsi="Calibri" w:cs="Calibri" w:eastAsia="Calibri" w:hint="default"/>
          <w:sz w:val="20"/>
          <w:szCs w:val="20"/>
        </w:rPr>
        <w:t>“</w:t>
      </w:r>
      <w:r>
        <w:rPr>
          <w:rFonts w:ascii="Calibri" w:hAnsi="Calibri" w:cs="Calibri" w:eastAsia="Calibri" w:hint="default"/>
          <w:i/>
          <w:sz w:val="20"/>
          <w:szCs w:val="20"/>
        </w:rPr>
        <w:t>A few residents be</w:t>
      </w:r>
      <w:r>
        <w:rPr>
          <w:rFonts w:ascii="Calibri" w:hAnsi="Calibri" w:cs="Calibri" w:eastAsia="Calibri" w:hint="default"/>
          <w:i/>
          <w:sz w:val="20"/>
          <w:szCs w:val="20"/>
        </w:rPr>
        <w:t>nefit economically from tourism,” </w:t>
      </w:r>
      <w:r>
        <w:rPr>
          <w:rFonts w:ascii="Calibri" w:hAnsi="Calibri" w:cs="Calibri" w:eastAsia="Calibri" w:hint="default"/>
          <w:sz w:val="20"/>
          <w:szCs w:val="20"/>
        </w:rPr>
        <w:t>only 17% of the respondents disagreed with the</w:t>
      </w:r>
      <w:r>
        <w:rPr>
          <w:rFonts w:ascii="Calibri" w:hAnsi="Calibri" w:cs="Calibri" w:eastAsia="Calibri" w:hint="default"/>
          <w:spacing w:val="-19"/>
          <w:sz w:val="20"/>
          <w:szCs w:val="20"/>
        </w:rPr>
        <w:t> </w:t>
      </w:r>
      <w:r>
        <w:rPr>
          <w:rFonts w:ascii="Calibri" w:hAnsi="Calibri" w:cs="Calibri" w:eastAsia="Calibri" w:hint="default"/>
          <w:sz w:val="20"/>
          <w:szCs w:val="20"/>
        </w:rPr>
        <w:t>statement.</w:t>
      </w:r>
    </w:p>
    <w:p>
      <w:pPr>
        <w:spacing w:line="240" w:lineRule="auto" w:before="11"/>
        <w:ind w:right="0"/>
        <w:rPr>
          <w:rFonts w:ascii="Calibri" w:hAnsi="Calibri" w:cs="Calibri" w:eastAsia="Calibri" w:hint="default"/>
          <w:sz w:val="19"/>
          <w:szCs w:val="19"/>
        </w:rPr>
      </w:pPr>
    </w:p>
    <w:p>
      <w:pPr>
        <w:pStyle w:val="BodyText"/>
        <w:spacing w:line="240" w:lineRule="auto"/>
        <w:ind w:right="1434"/>
        <w:jc w:val="both"/>
      </w:pPr>
      <w:r>
        <w:rPr/>
        <w:t>The</w:t>
      </w:r>
      <w:r>
        <w:rPr>
          <w:spacing w:val="-6"/>
        </w:rPr>
        <w:t> </w:t>
      </w:r>
      <w:r>
        <w:rPr/>
        <w:t>negative</w:t>
      </w:r>
      <w:r>
        <w:rPr>
          <w:spacing w:val="-6"/>
        </w:rPr>
        <w:t> </w:t>
      </w:r>
      <w:r>
        <w:rPr/>
        <w:t>perception</w:t>
      </w:r>
      <w:r>
        <w:rPr>
          <w:spacing w:val="-5"/>
        </w:rPr>
        <w:t> </w:t>
      </w:r>
      <w:r>
        <w:rPr/>
        <w:t>that</w:t>
      </w:r>
      <w:r>
        <w:rPr>
          <w:spacing w:val="-7"/>
        </w:rPr>
        <w:t> </w:t>
      </w:r>
      <w:r>
        <w:rPr/>
        <w:t>tourism</w:t>
      </w:r>
      <w:r>
        <w:rPr>
          <w:spacing w:val="-6"/>
        </w:rPr>
        <w:t> </w:t>
      </w:r>
      <w:r>
        <w:rPr/>
        <w:t>income</w:t>
      </w:r>
      <w:r>
        <w:rPr>
          <w:spacing w:val="-6"/>
        </w:rPr>
        <w:t> </w:t>
      </w:r>
      <w:r>
        <w:rPr/>
        <w:t>opportunities</w:t>
      </w:r>
      <w:r>
        <w:rPr>
          <w:spacing w:val="-4"/>
        </w:rPr>
        <w:t> </w:t>
      </w:r>
      <w:r>
        <w:rPr/>
        <w:t>are</w:t>
      </w:r>
      <w:r>
        <w:rPr>
          <w:spacing w:val="-6"/>
        </w:rPr>
        <w:t> </w:t>
      </w:r>
      <w:r>
        <w:rPr/>
        <w:t>not</w:t>
      </w:r>
      <w:r>
        <w:rPr>
          <w:spacing w:val="-5"/>
        </w:rPr>
        <w:t> </w:t>
      </w:r>
      <w:r>
        <w:rPr/>
        <w:t>evenly</w:t>
      </w:r>
      <w:r>
        <w:rPr>
          <w:spacing w:val="-5"/>
        </w:rPr>
        <w:t> </w:t>
      </w:r>
      <w:r>
        <w:rPr/>
        <w:t>distributed</w:t>
      </w:r>
      <w:r>
        <w:rPr>
          <w:spacing w:val="-5"/>
        </w:rPr>
        <w:t> </w:t>
      </w:r>
      <w:r>
        <w:rPr/>
        <w:t>amongst</w:t>
      </w:r>
      <w:r>
        <w:rPr>
          <w:spacing w:val="-5"/>
        </w:rPr>
        <w:t> </w:t>
      </w:r>
      <w:r>
        <w:rPr/>
        <w:t>the</w:t>
      </w:r>
      <w:r>
        <w:rPr>
          <w:spacing w:val="-6"/>
        </w:rPr>
        <w:t> </w:t>
      </w:r>
      <w:r>
        <w:rPr/>
        <w:t>local</w:t>
      </w:r>
      <w:r>
        <w:rPr>
          <w:spacing w:val="-6"/>
        </w:rPr>
        <w:t> </w:t>
      </w:r>
      <w:r>
        <w:rPr/>
        <w:t>population </w:t>
      </w:r>
      <w:r>
        <w:rPr/>
        <w:t>was found across all four generations. This perception was also expressed in the interviews with stakeholders. In particular,</w:t>
      </w:r>
      <w:r>
        <w:rPr>
          <w:spacing w:val="13"/>
        </w:rPr>
        <w:t> </w:t>
      </w:r>
      <w:r>
        <w:rPr/>
        <w:t>the</w:t>
      </w:r>
      <w:r>
        <w:rPr>
          <w:spacing w:val="12"/>
        </w:rPr>
        <w:t> </w:t>
      </w:r>
      <w:r>
        <w:rPr/>
        <w:t>social,</w:t>
      </w:r>
      <w:r>
        <w:rPr>
          <w:spacing w:val="13"/>
        </w:rPr>
        <w:t> </w:t>
      </w:r>
      <w:r>
        <w:rPr/>
        <w:t>cultural,</w:t>
      </w:r>
      <w:r>
        <w:rPr>
          <w:spacing w:val="13"/>
        </w:rPr>
        <w:t> </w:t>
      </w:r>
      <w:r>
        <w:rPr/>
        <w:t>educational,</w:t>
      </w:r>
      <w:r>
        <w:rPr>
          <w:spacing w:val="13"/>
        </w:rPr>
        <w:t> </w:t>
      </w:r>
      <w:r>
        <w:rPr/>
        <w:t>labor</w:t>
      </w:r>
      <w:r>
        <w:rPr>
          <w:spacing w:val="13"/>
        </w:rPr>
        <w:t> </w:t>
      </w:r>
      <w:r>
        <w:rPr/>
        <w:t>unions,</w:t>
      </w:r>
      <w:r>
        <w:rPr>
          <w:spacing w:val="13"/>
        </w:rPr>
        <w:t> </w:t>
      </w:r>
      <w:r>
        <w:rPr/>
        <w:t>and</w:t>
      </w:r>
      <w:r>
        <w:rPr>
          <w:spacing w:val="13"/>
        </w:rPr>
        <w:t> </w:t>
      </w:r>
      <w:r>
        <w:rPr/>
        <w:t>religious</w:t>
      </w:r>
      <w:r>
        <w:rPr>
          <w:spacing w:val="11"/>
        </w:rPr>
        <w:t> </w:t>
      </w:r>
      <w:r>
        <w:rPr/>
        <w:t>groups</w:t>
      </w:r>
      <w:r>
        <w:rPr>
          <w:spacing w:val="11"/>
        </w:rPr>
        <w:t> </w:t>
      </w:r>
      <w:r>
        <w:rPr/>
        <w:t>reported</w:t>
      </w:r>
      <w:r>
        <w:rPr>
          <w:spacing w:val="13"/>
        </w:rPr>
        <w:t> </w:t>
      </w:r>
      <w:r>
        <w:rPr/>
        <w:t>consistent</w:t>
      </w:r>
      <w:r>
        <w:rPr>
          <w:spacing w:val="13"/>
        </w:rPr>
        <w:t> </w:t>
      </w:r>
      <w:r>
        <w:rPr/>
        <w:t>views</w:t>
      </w:r>
      <w:r>
        <w:rPr>
          <w:spacing w:val="11"/>
        </w:rPr>
        <w:t> </w:t>
      </w:r>
      <w:r>
        <w:rPr/>
        <w:t>with</w:t>
      </w:r>
      <w:r>
        <w:rPr>
          <w:spacing w:val="13"/>
        </w:rPr>
        <w:t> </w:t>
      </w:r>
      <w:r>
        <w:rPr/>
        <w:t>the</w:t>
      </w:r>
    </w:p>
    <w:p>
      <w:pPr>
        <w:spacing w:line="240" w:lineRule="auto" w:before="0"/>
        <w:ind w:right="0"/>
        <w:rPr>
          <w:rFonts w:ascii="Calibri" w:hAnsi="Calibri" w:cs="Calibri" w:eastAsia="Calibri" w:hint="default"/>
          <w:sz w:val="20"/>
          <w:szCs w:val="20"/>
        </w:rPr>
      </w:pPr>
    </w:p>
    <w:p>
      <w:pPr>
        <w:spacing w:line="240" w:lineRule="auto" w:before="4"/>
        <w:ind w:right="0"/>
        <w:rPr>
          <w:rFonts w:ascii="Calibri" w:hAnsi="Calibri" w:cs="Calibri" w:eastAsia="Calibri" w:hint="default"/>
          <w:sz w:val="14"/>
          <w:szCs w:val="14"/>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7" w:lineRule="auto" w:before="91"/>
        <w:ind w:left="1440" w:right="1694" w:firstLine="0"/>
        <w:jc w:val="left"/>
        <w:rPr>
          <w:rFonts w:ascii="Calibri" w:hAnsi="Calibri" w:cs="Calibri" w:eastAsia="Calibri" w:hint="default"/>
          <w:sz w:val="16"/>
          <w:szCs w:val="16"/>
        </w:rPr>
      </w:pPr>
      <w:r>
        <w:rPr>
          <w:rFonts w:ascii="Calibri"/>
          <w:position w:val="5"/>
          <w:sz w:val="12"/>
        </w:rPr>
        <w:t>11 </w:t>
      </w:r>
      <w:r>
        <w:rPr>
          <w:rFonts w:ascii="Calibri"/>
          <w:sz w:val="16"/>
        </w:rPr>
        <w:t>The list of generations alluded to are referenced as follows: Baby Boomers - 1946 -1964: Generation X - 1975 -1985: Generation Y - 1978 - </w:t>
      </w:r>
      <w:r>
        <w:rPr>
          <w:rFonts w:ascii="Calibri"/>
          <w:sz w:val="16"/>
        </w:rPr>
        <w:t>1990: and Generation Z - 1995 -2007 (Glass,</w:t>
      </w:r>
      <w:r>
        <w:rPr>
          <w:rFonts w:ascii="Calibri"/>
          <w:spacing w:val="-11"/>
          <w:sz w:val="16"/>
        </w:rPr>
        <w:t> </w:t>
      </w:r>
      <w:r>
        <w:rPr>
          <w:rFonts w:ascii="Calibri"/>
          <w:sz w:val="16"/>
        </w:rPr>
        <w:t>2007).</w:t>
      </w:r>
    </w:p>
    <w:p>
      <w:pPr>
        <w:spacing w:line="247" w:lineRule="auto" w:before="0"/>
        <w:ind w:left="1440" w:right="1817" w:firstLine="0"/>
        <w:jc w:val="left"/>
        <w:rPr>
          <w:rFonts w:ascii="Calibri" w:hAnsi="Calibri" w:cs="Calibri" w:eastAsia="Calibri" w:hint="default"/>
          <w:sz w:val="16"/>
          <w:szCs w:val="16"/>
        </w:rPr>
      </w:pPr>
      <w:r>
        <w:rPr>
          <w:rFonts w:ascii="Calibri" w:hAnsi="Calibri"/>
          <w:position w:val="5"/>
          <w:sz w:val="12"/>
        </w:rPr>
        <w:t>12 </w:t>
      </w:r>
      <w:r>
        <w:rPr>
          <w:rFonts w:ascii="Calibri" w:hAnsi="Calibri"/>
          <w:sz w:val="16"/>
        </w:rPr>
        <w:t>This finding is in line with a report from the University of Curaçao (UoC). See UoC (2015), Attitude of local residents towards sustainable </w:t>
      </w:r>
      <w:r>
        <w:rPr>
          <w:rFonts w:ascii="Calibri" w:hAnsi="Calibri"/>
          <w:sz w:val="16"/>
        </w:rPr>
        <w:t>tourism. Curaçao,</w:t>
      </w:r>
      <w:r>
        <w:rPr>
          <w:rFonts w:ascii="Calibri" w:hAnsi="Calibri"/>
          <w:spacing w:val="-13"/>
          <w:sz w:val="16"/>
        </w:rPr>
        <w:t> </w:t>
      </w:r>
      <w:r>
        <w:rPr>
          <w:rFonts w:ascii="Calibri" w:hAnsi="Calibri"/>
          <w:sz w:val="16"/>
        </w:rPr>
        <w:t>February.</w:t>
      </w:r>
    </w:p>
    <w:p>
      <w:pPr>
        <w:spacing w:after="0" w:line="247"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40"/>
        <w:jc w:val="both"/>
      </w:pPr>
      <w:r>
        <w:rPr>
          <w:rFonts w:ascii="Calibri" w:hAnsi="Calibri" w:cs="Calibri" w:eastAsia="Calibri" w:hint="default"/>
        </w:rPr>
        <w:t>overall local population’s perception, which was </w:t>
      </w:r>
      <w:r>
        <w:rPr/>
        <w:t>that </w:t>
      </w:r>
      <w:r>
        <w:rPr>
          <w:rFonts w:ascii="Calibri" w:hAnsi="Calibri" w:cs="Calibri" w:eastAsia="Calibri" w:hint="default"/>
        </w:rPr>
        <w:t>tourism’s income opportunities are not equally distributed </w:t>
      </w:r>
      <w:r>
        <w:rPr/>
        <w:t>amongst the local</w:t>
      </w:r>
      <w:r>
        <w:rPr>
          <w:spacing w:val="-11"/>
        </w:rPr>
        <w:t> </w:t>
      </w:r>
      <w:r>
        <w:rPr/>
        <w:t>population.</w:t>
      </w:r>
    </w:p>
    <w:p>
      <w:pPr>
        <w:spacing w:line="240" w:lineRule="auto" w:before="11"/>
        <w:ind w:right="0"/>
        <w:rPr>
          <w:rFonts w:ascii="Calibri" w:hAnsi="Calibri" w:cs="Calibri" w:eastAsia="Calibri" w:hint="default"/>
          <w:sz w:val="19"/>
          <w:szCs w:val="19"/>
        </w:rPr>
      </w:pPr>
    </w:p>
    <w:p>
      <w:pPr>
        <w:pStyle w:val="BodyText"/>
        <w:spacing w:line="240" w:lineRule="auto"/>
        <w:ind w:right="1443"/>
        <w:jc w:val="both"/>
      </w:pPr>
      <w:r>
        <w:rPr/>
        <w:t>In</w:t>
      </w:r>
      <w:r>
        <w:rPr>
          <w:spacing w:val="-8"/>
        </w:rPr>
        <w:t> </w:t>
      </w:r>
      <w:r>
        <w:rPr/>
        <w:t>order</w:t>
      </w:r>
      <w:r>
        <w:rPr>
          <w:spacing w:val="-9"/>
        </w:rPr>
        <w:t> </w:t>
      </w:r>
      <w:r>
        <w:rPr/>
        <w:t>to</w:t>
      </w:r>
      <w:r>
        <w:rPr>
          <w:spacing w:val="-9"/>
        </w:rPr>
        <w:t> </w:t>
      </w:r>
      <w:r>
        <w:rPr/>
        <w:t>circumvent</w:t>
      </w:r>
      <w:r>
        <w:rPr>
          <w:spacing w:val="-8"/>
        </w:rPr>
        <w:t> </w:t>
      </w:r>
      <w:r>
        <w:rPr/>
        <w:t>this</w:t>
      </w:r>
      <w:r>
        <w:rPr>
          <w:spacing w:val="-10"/>
        </w:rPr>
        <w:t> </w:t>
      </w:r>
      <w:r>
        <w:rPr/>
        <w:t>negative</w:t>
      </w:r>
      <w:r>
        <w:rPr>
          <w:spacing w:val="-8"/>
        </w:rPr>
        <w:t> </w:t>
      </w:r>
      <w:r>
        <w:rPr/>
        <w:t>perception,</w:t>
      </w:r>
      <w:r>
        <w:rPr>
          <w:spacing w:val="-9"/>
        </w:rPr>
        <w:t> </w:t>
      </w:r>
      <w:r>
        <w:rPr/>
        <w:t>it</w:t>
      </w:r>
      <w:r>
        <w:rPr>
          <w:spacing w:val="-9"/>
        </w:rPr>
        <w:t> </w:t>
      </w:r>
      <w:r>
        <w:rPr/>
        <w:t>is</w:t>
      </w:r>
      <w:r>
        <w:rPr>
          <w:spacing w:val="-11"/>
        </w:rPr>
        <w:t> </w:t>
      </w:r>
      <w:r>
        <w:rPr/>
        <w:t>necessary</w:t>
      </w:r>
      <w:r>
        <w:rPr>
          <w:spacing w:val="-8"/>
        </w:rPr>
        <w:t> </w:t>
      </w:r>
      <w:r>
        <w:rPr/>
        <w:t>for</w:t>
      </w:r>
      <w:r>
        <w:rPr>
          <w:spacing w:val="-9"/>
        </w:rPr>
        <w:t> </w:t>
      </w:r>
      <w:r>
        <w:rPr/>
        <w:t>the</w:t>
      </w:r>
      <w:r>
        <w:rPr>
          <w:spacing w:val="-10"/>
        </w:rPr>
        <w:t> </w:t>
      </w:r>
      <w:r>
        <w:rPr/>
        <w:t>industry</w:t>
      </w:r>
      <w:r>
        <w:rPr>
          <w:spacing w:val="-8"/>
        </w:rPr>
        <w:t> </w:t>
      </w:r>
      <w:r>
        <w:rPr/>
        <w:t>to</w:t>
      </w:r>
      <w:r>
        <w:rPr>
          <w:spacing w:val="-9"/>
        </w:rPr>
        <w:t> </w:t>
      </w:r>
      <w:r>
        <w:rPr/>
        <w:t>be</w:t>
      </w:r>
      <w:r>
        <w:rPr>
          <w:spacing w:val="-8"/>
        </w:rPr>
        <w:t> </w:t>
      </w:r>
      <w:r>
        <w:rPr/>
        <w:t>restructured</w:t>
      </w:r>
      <w:r>
        <w:rPr>
          <w:spacing w:val="-9"/>
        </w:rPr>
        <w:t> </w:t>
      </w:r>
      <w:r>
        <w:rPr/>
        <w:t>in</w:t>
      </w:r>
      <w:r>
        <w:rPr>
          <w:spacing w:val="-9"/>
        </w:rPr>
        <w:t> </w:t>
      </w:r>
      <w:r>
        <w:rPr/>
        <w:t>an</w:t>
      </w:r>
      <w:r>
        <w:rPr>
          <w:spacing w:val="-8"/>
        </w:rPr>
        <w:t> </w:t>
      </w:r>
      <w:r>
        <w:rPr/>
        <w:t>open</w:t>
      </w:r>
      <w:r>
        <w:rPr>
          <w:spacing w:val="-9"/>
        </w:rPr>
        <w:t> </w:t>
      </w:r>
      <w:r>
        <w:rPr/>
        <w:t>system. </w:t>
      </w:r>
      <w:r>
        <w:rPr/>
        <w:t>This</w:t>
      </w:r>
      <w:r>
        <w:rPr>
          <w:spacing w:val="-5"/>
        </w:rPr>
        <w:t> </w:t>
      </w:r>
      <w:r>
        <w:rPr/>
        <w:t>means</w:t>
      </w:r>
      <w:r>
        <w:rPr>
          <w:spacing w:val="-6"/>
        </w:rPr>
        <w:t> </w:t>
      </w:r>
      <w:r>
        <w:rPr/>
        <w:t>that</w:t>
      </w:r>
      <w:r>
        <w:rPr>
          <w:spacing w:val="-5"/>
        </w:rPr>
        <w:t> </w:t>
      </w:r>
      <w:r>
        <w:rPr/>
        <w:t>the</w:t>
      </w:r>
      <w:r>
        <w:rPr>
          <w:spacing w:val="-6"/>
        </w:rPr>
        <w:t> </w:t>
      </w:r>
      <w:r>
        <w:rPr/>
        <w:t>local</w:t>
      </w:r>
      <w:r>
        <w:rPr>
          <w:spacing w:val="-3"/>
        </w:rPr>
        <w:t> </w:t>
      </w:r>
      <w:r>
        <w:rPr/>
        <w:t>population</w:t>
      </w:r>
      <w:r>
        <w:rPr>
          <w:spacing w:val="-1"/>
        </w:rPr>
        <w:t> </w:t>
      </w:r>
      <w:r>
        <w:rPr/>
        <w:t>and</w:t>
      </w:r>
      <w:r>
        <w:rPr>
          <w:spacing w:val="-4"/>
        </w:rPr>
        <w:t> </w:t>
      </w:r>
      <w:r>
        <w:rPr/>
        <w:t>independently</w:t>
      </w:r>
      <w:r>
        <w:rPr>
          <w:spacing w:val="-4"/>
        </w:rPr>
        <w:t> </w:t>
      </w:r>
      <w:r>
        <w:rPr/>
        <w:t>owned</w:t>
      </w:r>
      <w:r>
        <w:rPr>
          <w:spacing w:val="-5"/>
        </w:rPr>
        <w:t> </w:t>
      </w:r>
      <w:r>
        <w:rPr/>
        <w:t>businesses</w:t>
      </w:r>
      <w:r>
        <w:rPr>
          <w:spacing w:val="-5"/>
        </w:rPr>
        <w:t> </w:t>
      </w:r>
      <w:r>
        <w:rPr/>
        <w:t>will</w:t>
      </w:r>
      <w:r>
        <w:rPr>
          <w:spacing w:val="-6"/>
        </w:rPr>
        <w:t> </w:t>
      </w:r>
      <w:r>
        <w:rPr/>
        <w:t>have</w:t>
      </w:r>
      <w:r>
        <w:rPr>
          <w:spacing w:val="-4"/>
        </w:rPr>
        <w:t> </w:t>
      </w:r>
      <w:r>
        <w:rPr/>
        <w:t>equal</w:t>
      </w:r>
      <w:r>
        <w:rPr>
          <w:spacing w:val="-5"/>
        </w:rPr>
        <w:t> </w:t>
      </w:r>
      <w:r>
        <w:rPr/>
        <w:t>opportunities</w:t>
      </w:r>
      <w:r>
        <w:rPr>
          <w:spacing w:val="-6"/>
        </w:rPr>
        <w:t> </w:t>
      </w:r>
      <w:r>
        <w:rPr/>
        <w:t>and</w:t>
      </w:r>
      <w:r>
        <w:rPr>
          <w:spacing w:val="-5"/>
        </w:rPr>
        <w:t> </w:t>
      </w:r>
      <w:r>
        <w:rPr/>
        <w:t>access </w:t>
      </w:r>
      <w:r>
        <w:rPr/>
        <w:t>to advancement within the system. Additionally, jobs spawned by the industry should be communicated to the population at large on a regular basis in order to educate the local population about the distributive benefits of tourism.</w:t>
      </w:r>
    </w:p>
    <w:p>
      <w:pPr>
        <w:spacing w:line="240" w:lineRule="auto" w:before="1"/>
        <w:ind w:right="0"/>
        <w:rPr>
          <w:rFonts w:ascii="Calibri" w:hAnsi="Calibri" w:cs="Calibri" w:eastAsia="Calibri" w:hint="default"/>
          <w:sz w:val="20"/>
          <w:szCs w:val="20"/>
        </w:rPr>
      </w:pPr>
    </w:p>
    <w:p>
      <w:pPr>
        <w:pStyle w:val="BodyText"/>
        <w:spacing w:line="240" w:lineRule="auto"/>
        <w:ind w:right="1435"/>
        <w:jc w:val="both"/>
      </w:pPr>
      <w:r>
        <w:rPr/>
        <w:t>The findings also reveal that Curaçao</w:t>
      </w:r>
      <w:r>
        <w:rPr>
          <w:rFonts w:ascii="Calibri" w:hAnsi="Calibri" w:cs="Calibri" w:eastAsia="Calibri" w:hint="default"/>
        </w:rPr>
        <w:t>’s re</w:t>
      </w:r>
      <w:r>
        <w:rPr/>
        <w:t>sidents are happy people. Happiness, in this context, means that people are joyful, cheerful, and content.</w:t>
      </w:r>
      <w:r>
        <w:rPr>
          <w:position w:val="5"/>
          <w:sz w:val="12"/>
          <w:szCs w:val="12"/>
        </w:rPr>
        <w:t>13 </w:t>
      </w:r>
      <w:r>
        <w:rPr/>
        <w:t>Overall, seventy-eight percent (78%) of the respondents indicated they were </w:t>
      </w:r>
      <w:r>
        <w:rPr/>
        <w:t>happy.</w:t>
      </w:r>
      <w:r>
        <w:rPr>
          <w:spacing w:val="-11"/>
        </w:rPr>
        <w:t> </w:t>
      </w:r>
      <w:r>
        <w:rPr/>
        <w:t>This</w:t>
      </w:r>
      <w:r>
        <w:rPr>
          <w:spacing w:val="-13"/>
        </w:rPr>
        <w:t> </w:t>
      </w:r>
      <w:r>
        <w:rPr/>
        <w:t>average</w:t>
      </w:r>
      <w:r>
        <w:rPr>
          <w:spacing w:val="-12"/>
        </w:rPr>
        <w:t> </w:t>
      </w:r>
      <w:r>
        <w:rPr/>
        <w:t>happiness</w:t>
      </w:r>
      <w:r>
        <w:rPr>
          <w:spacing w:val="-10"/>
        </w:rPr>
        <w:t> </w:t>
      </w:r>
      <w:r>
        <w:rPr/>
        <w:t>score</w:t>
      </w:r>
      <w:r>
        <w:rPr>
          <w:spacing w:val="-10"/>
        </w:rPr>
        <w:t> </w:t>
      </w:r>
      <w:r>
        <w:rPr/>
        <w:t>is</w:t>
      </w:r>
      <w:r>
        <w:rPr>
          <w:spacing w:val="-11"/>
        </w:rPr>
        <w:t> </w:t>
      </w:r>
      <w:r>
        <w:rPr/>
        <w:t>similar</w:t>
      </w:r>
      <w:r>
        <w:rPr>
          <w:spacing w:val="-12"/>
        </w:rPr>
        <w:t> </w:t>
      </w:r>
      <w:r>
        <w:rPr/>
        <w:t>to</w:t>
      </w:r>
      <w:r>
        <w:rPr>
          <w:spacing w:val="-11"/>
        </w:rPr>
        <w:t> </w:t>
      </w:r>
      <w:r>
        <w:rPr/>
        <w:t>what</w:t>
      </w:r>
      <w:r>
        <w:rPr>
          <w:spacing w:val="-8"/>
        </w:rPr>
        <w:t> </w:t>
      </w:r>
      <w:r>
        <w:rPr/>
        <w:t>was</w:t>
      </w:r>
      <w:r>
        <w:rPr>
          <w:spacing w:val="-10"/>
        </w:rPr>
        <w:t> </w:t>
      </w:r>
      <w:r>
        <w:rPr/>
        <w:t>found</w:t>
      </w:r>
      <w:r>
        <w:rPr>
          <w:spacing w:val="-11"/>
        </w:rPr>
        <w:t> </w:t>
      </w:r>
      <w:r>
        <w:rPr/>
        <w:t>in</w:t>
      </w:r>
      <w:r>
        <w:rPr>
          <w:spacing w:val="-11"/>
        </w:rPr>
        <w:t> </w:t>
      </w:r>
      <w:r>
        <w:rPr/>
        <w:t>Aruba,</w:t>
      </w:r>
      <w:r>
        <w:rPr>
          <w:spacing w:val="-11"/>
        </w:rPr>
        <w:t> </w:t>
      </w:r>
      <w:r>
        <w:rPr/>
        <w:t>the</w:t>
      </w:r>
      <w:r>
        <w:rPr>
          <w:spacing w:val="-12"/>
        </w:rPr>
        <w:t> </w:t>
      </w:r>
      <w:r>
        <w:rPr/>
        <w:t>USA,</w:t>
      </w:r>
      <w:r>
        <w:rPr>
          <w:spacing w:val="-11"/>
        </w:rPr>
        <w:t> </w:t>
      </w:r>
      <w:r>
        <w:rPr/>
        <w:t>and</w:t>
      </w:r>
      <w:r>
        <w:rPr>
          <w:spacing w:val="-11"/>
        </w:rPr>
        <w:t> </w:t>
      </w:r>
      <w:r>
        <w:rPr/>
        <w:t>the</w:t>
      </w:r>
      <w:r>
        <w:rPr>
          <w:spacing w:val="-12"/>
        </w:rPr>
        <w:t> </w:t>
      </w:r>
      <w:r>
        <w:rPr/>
        <w:t>Netherlands.</w:t>
      </w:r>
      <w:r>
        <w:rPr>
          <w:position w:val="5"/>
          <w:sz w:val="12"/>
          <w:szCs w:val="12"/>
        </w:rPr>
        <w:t>14</w:t>
      </w:r>
      <w:r>
        <w:rPr>
          <w:spacing w:val="6"/>
          <w:position w:val="5"/>
          <w:sz w:val="12"/>
          <w:szCs w:val="12"/>
        </w:rPr>
        <w:t> </w:t>
      </w:r>
      <w:r>
        <w:rPr/>
        <w:t>However, </w:t>
      </w:r>
      <w:r>
        <w:rPr/>
        <w:t>happiness</w:t>
      </w:r>
      <w:r>
        <w:rPr>
          <w:spacing w:val="-5"/>
        </w:rPr>
        <w:t> </w:t>
      </w:r>
      <w:r>
        <w:rPr/>
        <w:t>is</w:t>
      </w:r>
      <w:r>
        <w:rPr>
          <w:spacing w:val="-4"/>
        </w:rPr>
        <w:t> </w:t>
      </w:r>
      <w:r>
        <w:rPr/>
        <w:t>not</w:t>
      </w:r>
      <w:r>
        <w:rPr>
          <w:spacing w:val="-3"/>
        </w:rPr>
        <w:t> </w:t>
      </w:r>
      <w:r>
        <w:rPr/>
        <w:t>equally</w:t>
      </w:r>
      <w:r>
        <w:rPr>
          <w:spacing w:val="-3"/>
        </w:rPr>
        <w:t> </w:t>
      </w:r>
      <w:r>
        <w:rPr/>
        <w:t>felt</w:t>
      </w:r>
      <w:r>
        <w:rPr>
          <w:spacing w:val="-3"/>
        </w:rPr>
        <w:t> </w:t>
      </w:r>
      <w:r>
        <w:rPr/>
        <w:t>amongst</w:t>
      </w:r>
      <w:r>
        <w:rPr>
          <w:spacing w:val="-3"/>
        </w:rPr>
        <w:t> </w:t>
      </w:r>
      <w:r>
        <w:rPr/>
        <w:t>residents.</w:t>
      </w:r>
      <w:r>
        <w:rPr>
          <w:spacing w:val="-3"/>
        </w:rPr>
        <w:t> </w:t>
      </w:r>
      <w:r>
        <w:rPr/>
        <w:t>For</w:t>
      </w:r>
      <w:r>
        <w:rPr>
          <w:spacing w:val="-3"/>
        </w:rPr>
        <w:t> </w:t>
      </w:r>
      <w:r>
        <w:rPr/>
        <w:t>example,</w:t>
      </w:r>
      <w:r>
        <w:rPr>
          <w:spacing w:val="-2"/>
        </w:rPr>
        <w:t> </w:t>
      </w:r>
      <w:r>
        <w:rPr/>
        <w:t>Generation</w:t>
      </w:r>
      <w:r>
        <w:rPr>
          <w:spacing w:val="-3"/>
        </w:rPr>
        <w:t> </w:t>
      </w:r>
      <w:r>
        <w:rPr/>
        <w:t>Z</w:t>
      </w:r>
      <w:r>
        <w:rPr>
          <w:spacing w:val="-2"/>
        </w:rPr>
        <w:t> </w:t>
      </w:r>
      <w:r>
        <w:rPr/>
        <w:t>had</w:t>
      </w:r>
      <w:r>
        <w:rPr>
          <w:spacing w:val="-3"/>
        </w:rPr>
        <w:t> </w:t>
      </w:r>
      <w:r>
        <w:rPr/>
        <w:t>the</w:t>
      </w:r>
      <w:r>
        <w:rPr>
          <w:spacing w:val="-4"/>
        </w:rPr>
        <w:t> </w:t>
      </w:r>
      <w:r>
        <w:rPr/>
        <w:t>lowest</w:t>
      </w:r>
      <w:r>
        <w:rPr>
          <w:spacing w:val="-3"/>
        </w:rPr>
        <w:t> </w:t>
      </w:r>
      <w:r>
        <w:rPr/>
        <w:t>happiness</w:t>
      </w:r>
      <w:r>
        <w:rPr>
          <w:spacing w:val="-5"/>
        </w:rPr>
        <w:t> </w:t>
      </w:r>
      <w:r>
        <w:rPr/>
        <w:t>score</w:t>
      </w:r>
      <w:r>
        <w:rPr>
          <w:spacing w:val="-4"/>
        </w:rPr>
        <w:t> </w:t>
      </w:r>
      <w:r>
        <w:rPr/>
        <w:t>(64.8%), </w:t>
      </w:r>
      <w:r>
        <w:rPr/>
        <w:t>followed by much higher happiness scores for Boomers (78.7%), Generation X (79.5%), and Generation Y (79.7%). When asked about their happiness compared to others, the overall mean score was 72.2%. In other words, seven out</w:t>
      </w:r>
      <w:r>
        <w:rPr>
          <w:spacing w:val="-6"/>
        </w:rPr>
        <w:t> </w:t>
      </w:r>
      <w:r>
        <w:rPr/>
        <w:t>of</w:t>
      </w:r>
      <w:r>
        <w:rPr>
          <w:spacing w:val="-8"/>
        </w:rPr>
        <w:t> </w:t>
      </w:r>
      <w:r>
        <w:rPr/>
        <w:t>ten</w:t>
      </w:r>
      <w:r>
        <w:rPr>
          <w:spacing w:val="-6"/>
        </w:rPr>
        <w:t> </w:t>
      </w:r>
      <w:r>
        <w:rPr/>
        <w:t>respondents</w:t>
      </w:r>
      <w:r>
        <w:rPr>
          <w:spacing w:val="-5"/>
        </w:rPr>
        <w:t> </w:t>
      </w:r>
      <w:r>
        <w:rPr/>
        <w:t>felt</w:t>
      </w:r>
      <w:r>
        <w:rPr>
          <w:spacing w:val="-7"/>
        </w:rPr>
        <w:t> </w:t>
      </w:r>
      <w:r>
        <w:rPr/>
        <w:t>they</w:t>
      </w:r>
      <w:r>
        <w:rPr>
          <w:spacing w:val="-6"/>
        </w:rPr>
        <w:t> </w:t>
      </w:r>
      <w:r>
        <w:rPr/>
        <w:t>were</w:t>
      </w:r>
      <w:r>
        <w:rPr>
          <w:spacing w:val="-8"/>
        </w:rPr>
        <w:t> </w:t>
      </w:r>
      <w:r>
        <w:rPr/>
        <w:t>happier</w:t>
      </w:r>
      <w:r>
        <w:rPr>
          <w:spacing w:val="-5"/>
        </w:rPr>
        <w:t> </w:t>
      </w:r>
      <w:r>
        <w:rPr/>
        <w:t>compared</w:t>
      </w:r>
      <w:r>
        <w:rPr>
          <w:spacing w:val="-6"/>
        </w:rPr>
        <w:t> </w:t>
      </w:r>
      <w:r>
        <w:rPr/>
        <w:t>to</w:t>
      </w:r>
      <w:r>
        <w:rPr>
          <w:spacing w:val="-4"/>
        </w:rPr>
        <w:t> </w:t>
      </w:r>
      <w:r>
        <w:rPr/>
        <w:t>their</w:t>
      </w:r>
      <w:r>
        <w:rPr>
          <w:spacing w:val="-7"/>
        </w:rPr>
        <w:t> </w:t>
      </w:r>
      <w:r>
        <w:rPr/>
        <w:t>peers</w:t>
      </w:r>
      <w:r>
        <w:rPr>
          <w:spacing w:val="-8"/>
        </w:rPr>
        <w:t> </w:t>
      </w:r>
      <w:r>
        <w:rPr/>
        <w:t>and</w:t>
      </w:r>
      <w:r>
        <w:rPr>
          <w:spacing w:val="-4"/>
        </w:rPr>
        <w:t> </w:t>
      </w:r>
      <w:r>
        <w:rPr/>
        <w:t>friends.</w:t>
      </w:r>
      <w:r>
        <w:rPr>
          <w:spacing w:val="-5"/>
        </w:rPr>
        <w:t> </w:t>
      </w:r>
      <w:r>
        <w:rPr/>
        <w:t>The</w:t>
      </w:r>
      <w:r>
        <w:rPr>
          <w:spacing w:val="-5"/>
        </w:rPr>
        <w:t> </w:t>
      </w:r>
      <w:r>
        <w:rPr/>
        <w:t>scores</w:t>
      </w:r>
      <w:r>
        <w:rPr>
          <w:spacing w:val="-8"/>
        </w:rPr>
        <w:t> </w:t>
      </w:r>
      <w:r>
        <w:rPr/>
        <w:t>amongst</w:t>
      </w:r>
      <w:r>
        <w:rPr>
          <w:spacing w:val="-4"/>
        </w:rPr>
        <w:t> </w:t>
      </w:r>
      <w:r>
        <w:rPr/>
        <w:t>generations </w:t>
      </w:r>
      <w:r>
        <w:rPr/>
        <w:t>were almost evenly distributed with Generation Z, again, having the lowest score (69.3%), followed by Boomers (70.2%), Generation X (71.5%), and Generation Y (75.4%). Overall, when respondents were comparing themselves to others, they felt less</w:t>
      </w:r>
      <w:r>
        <w:rPr>
          <w:spacing w:val="-13"/>
        </w:rPr>
        <w:t> </w:t>
      </w:r>
      <w:r>
        <w:rPr/>
        <w:t>happy.</w:t>
      </w:r>
    </w:p>
    <w:p>
      <w:pPr>
        <w:spacing w:line="240" w:lineRule="auto" w:before="1"/>
        <w:ind w:right="0"/>
        <w:rPr>
          <w:rFonts w:ascii="Calibri" w:hAnsi="Calibri" w:cs="Calibri" w:eastAsia="Calibri" w:hint="default"/>
          <w:sz w:val="20"/>
          <w:szCs w:val="20"/>
        </w:rPr>
      </w:pPr>
    </w:p>
    <w:p>
      <w:pPr>
        <w:pStyle w:val="BodyText"/>
        <w:spacing w:line="240" w:lineRule="auto"/>
        <w:ind w:right="1439"/>
        <w:jc w:val="both"/>
      </w:pPr>
      <w:r>
        <w:rPr/>
        <w:t>It is noteworthy to mention that nearly 100% of Curaçao</w:t>
      </w:r>
      <w:r>
        <w:rPr>
          <w:rFonts w:ascii="Calibri" w:hAnsi="Calibri" w:cs="Calibri" w:eastAsia="Calibri" w:hint="default"/>
        </w:rPr>
        <w:t>’s stakeholders indicated</w:t>
      </w:r>
      <w:r>
        <w:rPr/>
        <w:t>, in the qualitative data collection phase,</w:t>
      </w:r>
      <w:r>
        <w:rPr>
          <w:spacing w:val="-4"/>
        </w:rPr>
        <w:t> </w:t>
      </w:r>
      <w:r>
        <w:rPr/>
        <w:t>that</w:t>
      </w:r>
      <w:r>
        <w:rPr>
          <w:spacing w:val="-4"/>
        </w:rPr>
        <w:t> </w:t>
      </w:r>
      <w:r>
        <w:rPr/>
        <w:t>there</w:t>
      </w:r>
      <w:r>
        <w:rPr>
          <w:spacing w:val="-5"/>
        </w:rPr>
        <w:t> </w:t>
      </w:r>
      <w:r>
        <w:rPr/>
        <w:t>is</w:t>
      </w:r>
      <w:r>
        <w:rPr>
          <w:spacing w:val="-6"/>
        </w:rPr>
        <w:t> </w:t>
      </w:r>
      <w:r>
        <w:rPr/>
        <w:t>a</w:t>
      </w:r>
      <w:r>
        <w:rPr>
          <w:spacing w:val="-6"/>
        </w:rPr>
        <w:t> </w:t>
      </w:r>
      <w:r>
        <w:rPr/>
        <w:t>need</w:t>
      </w:r>
      <w:r>
        <w:rPr>
          <w:spacing w:val="-4"/>
        </w:rPr>
        <w:t> </w:t>
      </w:r>
      <w:r>
        <w:rPr/>
        <w:t>for</w:t>
      </w:r>
      <w:r>
        <w:rPr>
          <w:spacing w:val="-4"/>
        </w:rPr>
        <w:t> </w:t>
      </w:r>
      <w:r>
        <w:rPr/>
        <w:t>change</w:t>
      </w:r>
      <w:r>
        <w:rPr>
          <w:spacing w:val="-5"/>
        </w:rPr>
        <w:t> </w:t>
      </w:r>
      <w:r>
        <w:rPr/>
        <w:t>in</w:t>
      </w:r>
      <w:r>
        <w:rPr>
          <w:spacing w:val="-4"/>
        </w:rPr>
        <w:t> </w:t>
      </w:r>
      <w:r>
        <w:rPr/>
        <w:t>the</w:t>
      </w:r>
      <w:r>
        <w:rPr>
          <w:spacing w:val="-8"/>
        </w:rPr>
        <w:t> </w:t>
      </w:r>
      <w:r>
        <w:rPr/>
        <w:t>tourism</w:t>
      </w:r>
      <w:r>
        <w:rPr>
          <w:spacing w:val="-5"/>
        </w:rPr>
        <w:t> </w:t>
      </w:r>
      <w:r>
        <w:rPr/>
        <w:t>industry;</w:t>
      </w:r>
      <w:r>
        <w:rPr>
          <w:spacing w:val="-5"/>
        </w:rPr>
        <w:t> </w:t>
      </w:r>
      <w:r>
        <w:rPr/>
        <w:t>and</w:t>
      </w:r>
      <w:r>
        <w:rPr>
          <w:spacing w:val="-4"/>
        </w:rPr>
        <w:t> </w:t>
      </w:r>
      <w:r>
        <w:rPr/>
        <w:t>that,</w:t>
      </w:r>
      <w:r>
        <w:rPr>
          <w:spacing w:val="-6"/>
        </w:rPr>
        <w:t> </w:t>
      </w:r>
      <w:r>
        <w:rPr/>
        <w:t>in</w:t>
      </w:r>
      <w:r>
        <w:rPr>
          <w:spacing w:val="-4"/>
        </w:rPr>
        <w:t> </w:t>
      </w:r>
      <w:r>
        <w:rPr/>
        <w:t>order</w:t>
      </w:r>
      <w:r>
        <w:rPr>
          <w:spacing w:val="-4"/>
        </w:rPr>
        <w:t> </w:t>
      </w:r>
      <w:r>
        <w:rPr/>
        <w:t>for</w:t>
      </w:r>
      <w:r>
        <w:rPr>
          <w:spacing w:val="-7"/>
        </w:rPr>
        <w:t> </w:t>
      </w:r>
      <w:r>
        <w:rPr/>
        <w:t>the</w:t>
      </w:r>
      <w:r>
        <w:rPr>
          <w:spacing w:val="-5"/>
        </w:rPr>
        <w:t> </w:t>
      </w:r>
      <w:r>
        <w:rPr/>
        <w:t>sector</w:t>
      </w:r>
      <w:r>
        <w:rPr>
          <w:spacing w:val="-4"/>
        </w:rPr>
        <w:t> </w:t>
      </w:r>
      <w:r>
        <w:rPr/>
        <w:t>to</w:t>
      </w:r>
      <w:r>
        <w:rPr>
          <w:spacing w:val="-4"/>
        </w:rPr>
        <w:t> </w:t>
      </w:r>
      <w:r>
        <w:rPr/>
        <w:t>reveal</w:t>
      </w:r>
      <w:r>
        <w:rPr>
          <w:spacing w:val="-4"/>
        </w:rPr>
        <w:t> </w:t>
      </w:r>
      <w:r>
        <w:rPr/>
        <w:t>its</w:t>
      </w:r>
      <w:r>
        <w:rPr>
          <w:spacing w:val="-5"/>
        </w:rPr>
        <w:t> </w:t>
      </w:r>
      <w:r>
        <w:rPr/>
        <w:t>strength, </w:t>
      </w:r>
      <w:r>
        <w:rPr/>
        <w:t>change must occur. The majority of these stakeholders also revealed that they had doubt if the local population would further support tourism expansion. However, after reviewing the data and learning that the overwhelming majority of the local population agreed that the tourism industry hold</w:t>
      </w:r>
      <w:r>
        <w:rPr>
          <w:rFonts w:ascii="Calibri" w:hAnsi="Calibri" w:cs="Calibri" w:eastAsia="Calibri" w:hint="default"/>
        </w:rPr>
        <w:t>s great promise for Curaçao’s economy, it seems that the stakeholders’ concern </w:t>
      </w:r>
      <w:r>
        <w:rPr/>
        <w:t>could be laid to</w:t>
      </w:r>
      <w:r>
        <w:rPr>
          <w:spacing w:val="-17"/>
        </w:rPr>
        <w:t> </w:t>
      </w:r>
      <w:r>
        <w:rPr/>
        <w:t>rest.</w:t>
      </w:r>
    </w:p>
    <w:p>
      <w:pPr>
        <w:spacing w:line="240" w:lineRule="auto" w:before="1"/>
        <w:ind w:right="0"/>
        <w:rPr>
          <w:rFonts w:ascii="Calibri" w:hAnsi="Calibri" w:cs="Calibri" w:eastAsia="Calibri" w:hint="default"/>
          <w:sz w:val="20"/>
          <w:szCs w:val="20"/>
        </w:rPr>
      </w:pPr>
    </w:p>
    <w:p>
      <w:pPr>
        <w:pStyle w:val="BodyText"/>
        <w:spacing w:line="240" w:lineRule="auto"/>
        <w:ind w:right="1433"/>
        <w:jc w:val="both"/>
      </w:pPr>
      <w:r>
        <w:rPr>
          <w:rFonts w:ascii="Calibri" w:hAnsi="Calibri" w:cs="Calibri" w:eastAsia="Calibri" w:hint="default"/>
        </w:rPr>
        <w:t>In</w:t>
      </w:r>
      <w:r>
        <w:rPr>
          <w:rFonts w:ascii="Calibri" w:hAnsi="Calibri" w:cs="Calibri" w:eastAsia="Calibri" w:hint="default"/>
          <w:spacing w:val="-3"/>
        </w:rPr>
        <w:t> </w:t>
      </w:r>
      <w:r>
        <w:rPr>
          <w:rFonts w:ascii="Calibri" w:hAnsi="Calibri" w:cs="Calibri" w:eastAsia="Calibri" w:hint="default"/>
        </w:rPr>
        <w:t>reviewing</w:t>
      </w:r>
      <w:r>
        <w:rPr>
          <w:rFonts w:ascii="Calibri" w:hAnsi="Calibri" w:cs="Calibri" w:eastAsia="Calibri" w:hint="default"/>
          <w:spacing w:val="-4"/>
        </w:rPr>
        <w:t> </w:t>
      </w:r>
      <w:r>
        <w:rPr>
          <w:rFonts w:ascii="Calibri" w:hAnsi="Calibri" w:cs="Calibri" w:eastAsia="Calibri" w:hint="default"/>
        </w:rPr>
        <w:t>all</w:t>
      </w:r>
      <w:r>
        <w:rPr>
          <w:rFonts w:ascii="Calibri" w:hAnsi="Calibri" w:cs="Calibri" w:eastAsia="Calibri" w:hint="default"/>
          <w:spacing w:val="-4"/>
        </w:rPr>
        <w:t> </w:t>
      </w:r>
      <w:r>
        <w:rPr>
          <w:rFonts w:ascii="Calibri" w:hAnsi="Calibri" w:cs="Calibri" w:eastAsia="Calibri" w:hint="default"/>
        </w:rPr>
        <w:t>data</w:t>
      </w:r>
      <w:r>
        <w:rPr>
          <w:rFonts w:ascii="Calibri" w:hAnsi="Calibri" w:cs="Calibri" w:eastAsia="Calibri" w:hint="default"/>
          <w:spacing w:val="-5"/>
        </w:rPr>
        <w:t> </w:t>
      </w:r>
      <w:r>
        <w:rPr>
          <w:rFonts w:ascii="Calibri" w:hAnsi="Calibri" w:cs="Calibri" w:eastAsia="Calibri" w:hint="default"/>
        </w:rPr>
        <w:t>pertaining</w:t>
      </w:r>
      <w:r>
        <w:rPr>
          <w:rFonts w:ascii="Calibri" w:hAnsi="Calibri" w:cs="Calibri" w:eastAsia="Calibri" w:hint="default"/>
          <w:spacing w:val="-4"/>
        </w:rPr>
        <w:t> </w:t>
      </w:r>
      <w:r>
        <w:rPr>
          <w:rFonts w:ascii="Calibri" w:hAnsi="Calibri" w:cs="Calibri" w:eastAsia="Calibri" w:hint="default"/>
        </w:rPr>
        <w:t>to</w:t>
      </w:r>
      <w:r>
        <w:rPr>
          <w:rFonts w:ascii="Calibri" w:hAnsi="Calibri" w:cs="Calibri" w:eastAsia="Calibri" w:hint="default"/>
          <w:spacing w:val="-3"/>
        </w:rPr>
        <w:t> </w:t>
      </w:r>
      <w:r>
        <w:rPr>
          <w:rFonts w:ascii="Calibri" w:hAnsi="Calibri" w:cs="Calibri" w:eastAsia="Calibri" w:hint="default"/>
        </w:rPr>
        <w:t>locals’</w:t>
      </w:r>
      <w:r>
        <w:rPr>
          <w:rFonts w:ascii="Calibri" w:hAnsi="Calibri" w:cs="Calibri" w:eastAsia="Calibri" w:hint="default"/>
          <w:spacing w:val="-3"/>
        </w:rPr>
        <w:t> </w:t>
      </w:r>
      <w:r>
        <w:rPr>
          <w:rFonts w:ascii="Calibri" w:hAnsi="Calibri" w:cs="Calibri" w:eastAsia="Calibri" w:hint="default"/>
        </w:rPr>
        <w:t>perception</w:t>
      </w:r>
      <w:r>
        <w:rPr>
          <w:rFonts w:ascii="Calibri" w:hAnsi="Calibri" w:cs="Calibri" w:eastAsia="Calibri" w:hint="default"/>
          <w:spacing w:val="-3"/>
        </w:rPr>
        <w:t> </w:t>
      </w:r>
      <w:r>
        <w:rPr>
          <w:rFonts w:ascii="Calibri" w:hAnsi="Calibri" w:cs="Calibri" w:eastAsia="Calibri" w:hint="default"/>
        </w:rPr>
        <w:t>of</w:t>
      </w:r>
      <w:r>
        <w:rPr>
          <w:rFonts w:ascii="Calibri" w:hAnsi="Calibri" w:cs="Calibri" w:eastAsia="Calibri" w:hint="default"/>
          <w:spacing w:val="-4"/>
        </w:rPr>
        <w:t> </w:t>
      </w:r>
      <w:r>
        <w:rPr>
          <w:rFonts w:ascii="Calibri" w:hAnsi="Calibri" w:cs="Calibri" w:eastAsia="Calibri" w:hint="default"/>
        </w:rPr>
        <w:t>the</w:t>
      </w:r>
      <w:r>
        <w:rPr>
          <w:rFonts w:ascii="Calibri" w:hAnsi="Calibri" w:cs="Calibri" w:eastAsia="Calibri" w:hint="default"/>
          <w:spacing w:val="-4"/>
        </w:rPr>
        <w:t> </w:t>
      </w:r>
      <w:r>
        <w:rPr>
          <w:rFonts w:ascii="Calibri" w:hAnsi="Calibri" w:cs="Calibri" w:eastAsia="Calibri" w:hint="default"/>
        </w:rPr>
        <w:t>current</w:t>
      </w:r>
      <w:r>
        <w:rPr>
          <w:rFonts w:ascii="Calibri" w:hAnsi="Calibri" w:cs="Calibri" w:eastAsia="Calibri" w:hint="default"/>
          <w:spacing w:val="-3"/>
        </w:rPr>
        <w:t> </w:t>
      </w:r>
      <w:r>
        <w:rPr>
          <w:rFonts w:ascii="Calibri" w:hAnsi="Calibri" w:cs="Calibri" w:eastAsia="Calibri" w:hint="default"/>
        </w:rPr>
        <w:t>tourism</w:t>
      </w:r>
      <w:r>
        <w:rPr>
          <w:rFonts w:ascii="Calibri" w:hAnsi="Calibri" w:cs="Calibri" w:eastAsia="Calibri" w:hint="default"/>
          <w:spacing w:val="-4"/>
        </w:rPr>
        <w:t> </w:t>
      </w:r>
      <w:r>
        <w:rPr>
          <w:rFonts w:ascii="Calibri" w:hAnsi="Calibri" w:cs="Calibri" w:eastAsia="Calibri" w:hint="default"/>
        </w:rPr>
        <w:t>industry</w:t>
      </w:r>
      <w:r>
        <w:rPr>
          <w:rFonts w:ascii="Calibri" w:hAnsi="Calibri" w:cs="Calibri" w:eastAsia="Calibri" w:hint="default"/>
          <w:spacing w:val="-2"/>
        </w:rPr>
        <w:t> </w:t>
      </w:r>
      <w:r>
        <w:rPr>
          <w:rFonts w:ascii="Calibri" w:hAnsi="Calibri" w:cs="Calibri" w:eastAsia="Calibri" w:hint="default"/>
        </w:rPr>
        <w:t>and</w:t>
      </w:r>
      <w:r>
        <w:rPr>
          <w:rFonts w:ascii="Calibri" w:hAnsi="Calibri" w:cs="Calibri" w:eastAsia="Calibri" w:hint="default"/>
          <w:spacing w:val="-3"/>
        </w:rPr>
        <w:t> </w:t>
      </w:r>
      <w:r>
        <w:rPr>
          <w:rFonts w:ascii="Calibri" w:hAnsi="Calibri" w:cs="Calibri" w:eastAsia="Calibri" w:hint="default"/>
        </w:rPr>
        <w:t>the</w:t>
      </w:r>
      <w:r>
        <w:rPr>
          <w:rFonts w:ascii="Calibri" w:hAnsi="Calibri" w:cs="Calibri" w:eastAsia="Calibri" w:hint="default"/>
          <w:spacing w:val="-4"/>
        </w:rPr>
        <w:t> </w:t>
      </w:r>
      <w:r>
        <w:rPr>
          <w:rFonts w:ascii="Calibri" w:hAnsi="Calibri" w:cs="Calibri" w:eastAsia="Calibri" w:hint="default"/>
        </w:rPr>
        <w:t>potential</w:t>
      </w:r>
      <w:r>
        <w:rPr>
          <w:rFonts w:ascii="Calibri" w:hAnsi="Calibri" w:cs="Calibri" w:eastAsia="Calibri" w:hint="default"/>
          <w:spacing w:val="-4"/>
        </w:rPr>
        <w:t> </w:t>
      </w:r>
      <w:r>
        <w:rPr>
          <w:rFonts w:ascii="Calibri" w:hAnsi="Calibri" w:cs="Calibri" w:eastAsia="Calibri" w:hint="default"/>
        </w:rPr>
        <w:t>of</w:t>
      </w:r>
      <w:r>
        <w:rPr>
          <w:rFonts w:ascii="Calibri" w:hAnsi="Calibri" w:cs="Calibri" w:eastAsia="Calibri" w:hint="default"/>
          <w:spacing w:val="-4"/>
        </w:rPr>
        <w:t> </w:t>
      </w:r>
      <w:r>
        <w:rPr>
          <w:rFonts w:ascii="Calibri" w:hAnsi="Calibri" w:cs="Calibri" w:eastAsia="Calibri" w:hint="default"/>
        </w:rPr>
        <w:t>this</w:t>
      </w:r>
      <w:r>
        <w:rPr>
          <w:rFonts w:ascii="Calibri" w:hAnsi="Calibri" w:cs="Calibri" w:eastAsia="Calibri" w:hint="default"/>
          <w:spacing w:val="-5"/>
        </w:rPr>
        <w:t> </w:t>
      </w:r>
      <w:r>
        <w:rPr>
          <w:rFonts w:ascii="Calibri" w:hAnsi="Calibri" w:cs="Calibri" w:eastAsia="Calibri" w:hint="default"/>
        </w:rPr>
        <w:t>sector, </w:t>
      </w:r>
      <w:r>
        <w:rPr>
          <w:rFonts w:ascii="Calibri" w:hAnsi="Calibri" w:cs="Calibri" w:eastAsia="Calibri" w:hint="default"/>
        </w:rPr>
      </w:r>
      <w:r>
        <w:rPr/>
        <w:t>an extraordinary circumstance arises for Curaçao. The stakeholders are in consensus that the current state of the tourism industry is not optimally working. The stakeholders are also in consensus regarding a need for change, and that they are willing to support that change. However, the majority of the stakeholders were in doubt about the willingness of other residents to stand behind the </w:t>
      </w:r>
      <w:r>
        <w:rPr>
          <w:rFonts w:ascii="Calibri" w:hAnsi="Calibri" w:cs="Calibri" w:eastAsia="Calibri" w:hint="default"/>
        </w:rPr>
        <w:t>efforts required to boost the industry’s performance to higher </w:t>
      </w:r>
      <w:r>
        <w:rPr/>
        <w:t>levels.</w:t>
      </w:r>
    </w:p>
    <w:p>
      <w:pPr>
        <w:spacing w:line="240" w:lineRule="auto" w:before="1"/>
        <w:ind w:right="0"/>
        <w:rPr>
          <w:rFonts w:ascii="Calibri" w:hAnsi="Calibri" w:cs="Calibri" w:eastAsia="Calibri" w:hint="default"/>
          <w:sz w:val="20"/>
          <w:szCs w:val="20"/>
        </w:rPr>
      </w:pPr>
    </w:p>
    <w:p>
      <w:pPr>
        <w:pStyle w:val="BodyText"/>
        <w:spacing w:line="240" w:lineRule="auto"/>
        <w:ind w:right="1440"/>
        <w:jc w:val="both"/>
      </w:pPr>
      <w:r>
        <w:rPr>
          <w:rFonts w:ascii="Calibri" w:hAnsi="Calibri" w:cs="Calibri" w:eastAsia="Calibri" w:hint="default"/>
        </w:rPr>
        <w:t>The quantitative data revealed that the island’s residents do stand behin</w:t>
      </w:r>
      <w:r>
        <w:rPr/>
        <w:t>d the tourism industry and do believe that the</w:t>
      </w:r>
      <w:r>
        <w:rPr>
          <w:spacing w:val="-10"/>
        </w:rPr>
        <w:t> </w:t>
      </w:r>
      <w:r>
        <w:rPr/>
        <w:t>sector</w:t>
      </w:r>
      <w:r>
        <w:rPr>
          <w:spacing w:val="-9"/>
        </w:rPr>
        <w:t> </w:t>
      </w:r>
      <w:r>
        <w:rPr/>
        <w:t>can</w:t>
      </w:r>
      <w:r>
        <w:rPr>
          <w:spacing w:val="-8"/>
        </w:rPr>
        <w:t> </w:t>
      </w:r>
      <w:r>
        <w:rPr/>
        <w:t>lead</w:t>
      </w:r>
      <w:r>
        <w:rPr>
          <w:spacing w:val="-8"/>
        </w:rPr>
        <w:t> </w:t>
      </w:r>
      <w:r>
        <w:rPr/>
        <w:t>Curaçao</w:t>
      </w:r>
      <w:r>
        <w:rPr>
          <w:spacing w:val="-6"/>
        </w:rPr>
        <w:t> </w:t>
      </w:r>
      <w:r>
        <w:rPr/>
        <w:t>forward.</w:t>
      </w:r>
      <w:r>
        <w:rPr>
          <w:spacing w:val="-9"/>
        </w:rPr>
        <w:t> </w:t>
      </w:r>
      <w:r>
        <w:rPr/>
        <w:t>Therefore,</w:t>
      </w:r>
      <w:r>
        <w:rPr>
          <w:spacing w:val="-9"/>
        </w:rPr>
        <w:t> </w:t>
      </w:r>
      <w:r>
        <w:rPr/>
        <w:t>this</w:t>
      </w:r>
      <w:r>
        <w:rPr>
          <w:spacing w:val="-10"/>
        </w:rPr>
        <w:t> </w:t>
      </w:r>
      <w:r>
        <w:rPr/>
        <w:t>is</w:t>
      </w:r>
      <w:r>
        <w:rPr>
          <w:spacing w:val="-10"/>
        </w:rPr>
        <w:t> </w:t>
      </w:r>
      <w:r>
        <w:rPr/>
        <w:t>a</w:t>
      </w:r>
      <w:r>
        <w:rPr>
          <w:spacing w:val="-6"/>
        </w:rPr>
        <w:t> </w:t>
      </w:r>
      <w:r>
        <w:rPr/>
        <w:t>virtuous</w:t>
      </w:r>
      <w:r>
        <w:rPr>
          <w:spacing w:val="-10"/>
        </w:rPr>
        <w:t> </w:t>
      </w:r>
      <w:r>
        <w:rPr/>
        <w:t>circle</w:t>
      </w:r>
      <w:r>
        <w:rPr>
          <w:spacing w:val="-10"/>
        </w:rPr>
        <w:t> </w:t>
      </w:r>
      <w:r>
        <w:rPr/>
        <w:t>that</w:t>
      </w:r>
      <w:r>
        <w:rPr>
          <w:spacing w:val="-8"/>
        </w:rPr>
        <w:t> </w:t>
      </w:r>
      <w:r>
        <w:rPr/>
        <w:t>will</w:t>
      </w:r>
      <w:r>
        <w:rPr>
          <w:spacing w:val="-10"/>
        </w:rPr>
        <w:t> </w:t>
      </w:r>
      <w:r>
        <w:rPr/>
        <w:t>allow</w:t>
      </w:r>
      <w:r>
        <w:rPr>
          <w:spacing w:val="-4"/>
        </w:rPr>
        <w:t> </w:t>
      </w:r>
      <w:r>
        <w:rPr/>
        <w:t>for</w:t>
      </w:r>
      <w:r>
        <w:rPr>
          <w:spacing w:val="-7"/>
        </w:rPr>
        <w:t> </w:t>
      </w:r>
      <w:r>
        <w:rPr/>
        <w:t>a</w:t>
      </w:r>
      <w:r>
        <w:rPr>
          <w:spacing w:val="-6"/>
        </w:rPr>
        <w:t> </w:t>
      </w:r>
      <w:r>
        <w:rPr/>
        <w:t>smooth</w:t>
      </w:r>
      <w:r>
        <w:rPr>
          <w:spacing w:val="-8"/>
        </w:rPr>
        <w:t> </w:t>
      </w:r>
      <w:r>
        <w:rPr/>
        <w:t>transition</w:t>
      </w:r>
      <w:r>
        <w:rPr>
          <w:spacing w:val="-9"/>
        </w:rPr>
        <w:t> </w:t>
      </w:r>
      <w:r>
        <w:rPr/>
        <w:t>toward </w:t>
      </w:r>
      <w:r>
        <w:rPr/>
        <w:t>converting</w:t>
      </w:r>
      <w:r>
        <w:rPr>
          <w:spacing w:val="-3"/>
        </w:rPr>
        <w:t> </w:t>
      </w:r>
      <w:r>
        <w:rPr/>
        <w:t>tourism</w:t>
      </w:r>
      <w:r>
        <w:rPr>
          <w:spacing w:val="-3"/>
        </w:rPr>
        <w:t> </w:t>
      </w:r>
      <w:r>
        <w:rPr/>
        <w:t>as</w:t>
      </w:r>
      <w:r>
        <w:rPr>
          <w:spacing w:val="-4"/>
        </w:rPr>
        <w:t> </w:t>
      </w:r>
      <w:r>
        <w:rPr/>
        <w:t>a strategic</w:t>
      </w:r>
      <w:r>
        <w:rPr>
          <w:spacing w:val="-3"/>
        </w:rPr>
        <w:t> </w:t>
      </w:r>
      <w:r>
        <w:rPr/>
        <w:t>spearhead</w:t>
      </w:r>
      <w:r>
        <w:rPr>
          <w:spacing w:val="-2"/>
        </w:rPr>
        <w:t> </w:t>
      </w:r>
      <w:r>
        <w:rPr/>
        <w:t>for</w:t>
      </w:r>
      <w:r>
        <w:rPr>
          <w:spacing w:val="-2"/>
        </w:rPr>
        <w:t> </w:t>
      </w:r>
      <w:r>
        <w:rPr/>
        <w:t>the</w:t>
      </w:r>
      <w:r>
        <w:rPr>
          <w:spacing w:val="-3"/>
        </w:rPr>
        <w:t> </w:t>
      </w:r>
      <w:r>
        <w:rPr/>
        <w:t>economic</w:t>
      </w:r>
      <w:r>
        <w:rPr>
          <w:spacing w:val="-3"/>
        </w:rPr>
        <w:t> </w:t>
      </w:r>
      <w:r>
        <w:rPr/>
        <w:t>and</w:t>
      </w:r>
      <w:r>
        <w:rPr>
          <w:spacing w:val="-2"/>
        </w:rPr>
        <w:t> </w:t>
      </w:r>
      <w:r>
        <w:rPr/>
        <w:t>social</w:t>
      </w:r>
      <w:r>
        <w:rPr>
          <w:spacing w:val="-2"/>
        </w:rPr>
        <w:t> </w:t>
      </w:r>
      <w:r>
        <w:rPr/>
        <w:t>well-being</w:t>
      </w:r>
      <w:r>
        <w:rPr>
          <w:spacing w:val="-3"/>
        </w:rPr>
        <w:t> </w:t>
      </w:r>
      <w:r>
        <w:rPr/>
        <w:t>of</w:t>
      </w:r>
      <w:r>
        <w:rPr>
          <w:spacing w:val="-4"/>
        </w:rPr>
        <w:t> </w:t>
      </w:r>
      <w:r>
        <w:rPr/>
        <w:t>the</w:t>
      </w:r>
      <w:r>
        <w:rPr>
          <w:spacing w:val="-2"/>
        </w:rPr>
        <w:t> </w:t>
      </w:r>
      <w:r>
        <w:rPr/>
        <w:t>island.</w:t>
      </w:r>
    </w:p>
    <w:p>
      <w:pPr>
        <w:pStyle w:val="BodyText"/>
        <w:spacing w:line="240" w:lineRule="auto"/>
        <w:ind w:right="1436"/>
        <w:jc w:val="both"/>
      </w:pPr>
      <w:r>
        <w:rPr/>
        <w:t>It is necessary for Curaçao to capitalize on this rare consensus opportunity, especially when considering that there is evidence of distrust on the island, as well as a disbelief that stakeholders are able to join forces to move Curaçao forward.</w:t>
      </w:r>
      <w:r>
        <w:rPr>
          <w:position w:val="5"/>
          <w:sz w:val="12"/>
        </w:rPr>
        <w:t>15 </w:t>
      </w:r>
      <w:r>
        <w:rPr/>
        <w:t>If stakeholders are able to come together and use tourism as a strategic spearhead for economic and </w:t>
      </w:r>
      <w:r>
        <w:rPr/>
        <w:t>social well-being, local pride and cultural cohesion will make great strides</w:t>
      </w:r>
      <w:r>
        <w:rPr>
          <w:spacing w:val="-32"/>
        </w:rPr>
        <w:t> </w:t>
      </w:r>
      <w:r>
        <w:rPr/>
        <w:t>on the island.</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3" w:after="0"/>
        <w:ind w:right="0"/>
        <w:rPr>
          <w:rFonts w:ascii="Calibri" w:hAnsi="Calibri" w:cs="Calibri" w:eastAsia="Calibri" w:hint="default"/>
          <w:sz w:val="19"/>
          <w:szCs w:val="19"/>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before="89"/>
        <w:ind w:left="1440" w:right="0" w:firstLine="0"/>
        <w:jc w:val="both"/>
        <w:rPr>
          <w:rFonts w:ascii="Calibri" w:hAnsi="Calibri" w:cs="Calibri" w:eastAsia="Calibri" w:hint="default"/>
          <w:sz w:val="16"/>
          <w:szCs w:val="16"/>
        </w:rPr>
      </w:pPr>
      <w:r>
        <w:rPr>
          <w:rFonts w:ascii="Calibri"/>
          <w:position w:val="5"/>
          <w:sz w:val="12"/>
        </w:rPr>
        <w:t>13</w:t>
      </w:r>
      <w:r>
        <w:rPr>
          <w:rFonts w:ascii="Calibri"/>
          <w:spacing w:val="6"/>
          <w:position w:val="5"/>
          <w:sz w:val="12"/>
        </w:rPr>
        <w:t> </w:t>
      </w:r>
      <w:r>
        <w:rPr>
          <w:rFonts w:ascii="Calibri"/>
          <w:sz w:val="16"/>
        </w:rPr>
        <w:t>Happiness</w:t>
      </w:r>
      <w:r>
        <w:rPr>
          <w:rFonts w:ascii="Calibri"/>
          <w:spacing w:val="-3"/>
          <w:sz w:val="16"/>
        </w:rPr>
        <w:t> </w:t>
      </w:r>
      <w:r>
        <w:rPr>
          <w:rFonts w:ascii="Calibri"/>
          <w:sz w:val="16"/>
        </w:rPr>
        <w:t>as</w:t>
      </w:r>
      <w:r>
        <w:rPr>
          <w:rFonts w:ascii="Calibri"/>
          <w:spacing w:val="-3"/>
          <w:sz w:val="16"/>
        </w:rPr>
        <w:t> </w:t>
      </w:r>
      <w:r>
        <w:rPr>
          <w:rFonts w:ascii="Calibri"/>
          <w:sz w:val="16"/>
        </w:rPr>
        <w:t>used</w:t>
      </w:r>
      <w:r>
        <w:rPr>
          <w:rFonts w:ascii="Calibri"/>
          <w:spacing w:val="-3"/>
          <w:sz w:val="16"/>
        </w:rPr>
        <w:t> </w:t>
      </w:r>
      <w:r>
        <w:rPr>
          <w:rFonts w:ascii="Calibri"/>
          <w:sz w:val="16"/>
        </w:rPr>
        <w:t>in</w:t>
      </w:r>
      <w:r>
        <w:rPr>
          <w:rFonts w:ascii="Calibri"/>
          <w:spacing w:val="-1"/>
          <w:sz w:val="16"/>
        </w:rPr>
        <w:t> </w:t>
      </w:r>
      <w:r>
        <w:rPr>
          <w:rFonts w:ascii="Calibri"/>
          <w:sz w:val="16"/>
        </w:rPr>
        <w:t>this</w:t>
      </w:r>
      <w:r>
        <w:rPr>
          <w:rFonts w:ascii="Calibri"/>
          <w:spacing w:val="-3"/>
          <w:sz w:val="16"/>
        </w:rPr>
        <w:t> </w:t>
      </w:r>
      <w:r>
        <w:rPr>
          <w:rFonts w:ascii="Calibri"/>
          <w:sz w:val="16"/>
        </w:rPr>
        <w:t>plan</w:t>
      </w:r>
      <w:r>
        <w:rPr>
          <w:rFonts w:ascii="Calibri"/>
          <w:spacing w:val="-1"/>
          <w:sz w:val="16"/>
        </w:rPr>
        <w:t> </w:t>
      </w:r>
      <w:r>
        <w:rPr>
          <w:rFonts w:ascii="Calibri"/>
          <w:sz w:val="16"/>
        </w:rPr>
        <w:t>refers</w:t>
      </w:r>
      <w:r>
        <w:rPr>
          <w:rFonts w:ascii="Calibri"/>
          <w:spacing w:val="-1"/>
          <w:sz w:val="16"/>
        </w:rPr>
        <w:t> </w:t>
      </w:r>
      <w:r>
        <w:rPr>
          <w:rFonts w:ascii="Calibri"/>
          <w:sz w:val="16"/>
        </w:rPr>
        <w:t>to</w:t>
      </w:r>
      <w:r>
        <w:rPr>
          <w:rFonts w:ascii="Calibri"/>
          <w:spacing w:val="-3"/>
          <w:sz w:val="16"/>
        </w:rPr>
        <w:t> </w:t>
      </w:r>
      <w:r>
        <w:rPr>
          <w:rFonts w:ascii="Calibri"/>
          <w:sz w:val="16"/>
        </w:rPr>
        <w:t>the</w:t>
      </w:r>
      <w:r>
        <w:rPr>
          <w:rFonts w:ascii="Calibri"/>
          <w:spacing w:val="-4"/>
          <w:sz w:val="16"/>
        </w:rPr>
        <w:t> </w:t>
      </w:r>
      <w:r>
        <w:rPr>
          <w:rFonts w:ascii="Calibri"/>
          <w:sz w:val="16"/>
        </w:rPr>
        <w:t>meaning</w:t>
      </w:r>
      <w:r>
        <w:rPr>
          <w:rFonts w:ascii="Calibri"/>
          <w:spacing w:val="-2"/>
          <w:sz w:val="16"/>
        </w:rPr>
        <w:t> </w:t>
      </w:r>
      <w:r>
        <w:rPr>
          <w:rFonts w:ascii="Calibri"/>
          <w:sz w:val="16"/>
        </w:rPr>
        <w:t>(emotions)</w:t>
      </w:r>
      <w:r>
        <w:rPr>
          <w:rFonts w:ascii="Calibri"/>
          <w:spacing w:val="-3"/>
          <w:sz w:val="16"/>
        </w:rPr>
        <w:t> </w:t>
      </w:r>
      <w:r>
        <w:rPr>
          <w:rFonts w:ascii="Calibri"/>
          <w:sz w:val="16"/>
        </w:rPr>
        <w:t>ascribed</w:t>
      </w:r>
      <w:r>
        <w:rPr>
          <w:rFonts w:ascii="Calibri"/>
          <w:spacing w:val="-1"/>
          <w:sz w:val="16"/>
        </w:rPr>
        <w:t> </w:t>
      </w:r>
      <w:r>
        <w:rPr>
          <w:rFonts w:ascii="Calibri"/>
          <w:sz w:val="16"/>
        </w:rPr>
        <w:t>to</w:t>
      </w:r>
      <w:r>
        <w:rPr>
          <w:rFonts w:ascii="Calibri"/>
          <w:spacing w:val="-3"/>
          <w:sz w:val="16"/>
        </w:rPr>
        <w:t> </w:t>
      </w:r>
      <w:r>
        <w:rPr>
          <w:rFonts w:ascii="Calibri"/>
          <w:sz w:val="16"/>
        </w:rPr>
        <w:t>it</w:t>
      </w:r>
      <w:r>
        <w:rPr>
          <w:rFonts w:ascii="Calibri"/>
          <w:spacing w:val="-3"/>
          <w:sz w:val="16"/>
        </w:rPr>
        <w:t> </w:t>
      </w:r>
      <w:r>
        <w:rPr>
          <w:rFonts w:ascii="Calibri"/>
          <w:sz w:val="16"/>
        </w:rPr>
        <w:t>in</w:t>
      </w:r>
      <w:r>
        <w:rPr>
          <w:rFonts w:ascii="Calibri"/>
          <w:spacing w:val="-1"/>
          <w:sz w:val="16"/>
        </w:rPr>
        <w:t> </w:t>
      </w:r>
      <w:r>
        <w:rPr>
          <w:rFonts w:ascii="Calibri"/>
          <w:sz w:val="16"/>
        </w:rPr>
        <w:t>the</w:t>
      </w:r>
      <w:r>
        <w:rPr>
          <w:rFonts w:ascii="Calibri"/>
          <w:spacing w:val="-4"/>
          <w:sz w:val="16"/>
        </w:rPr>
        <w:t> </w:t>
      </w:r>
      <w:r>
        <w:rPr>
          <w:rFonts w:ascii="Calibri"/>
          <w:sz w:val="16"/>
        </w:rPr>
        <w:t>subjective</w:t>
      </w:r>
      <w:r>
        <w:rPr>
          <w:rFonts w:ascii="Calibri"/>
          <w:spacing w:val="-3"/>
          <w:sz w:val="16"/>
        </w:rPr>
        <w:t> </w:t>
      </w:r>
      <w:r>
        <w:rPr>
          <w:rFonts w:ascii="Calibri"/>
          <w:sz w:val="16"/>
        </w:rPr>
        <w:t>well-being</w:t>
      </w:r>
      <w:r>
        <w:rPr>
          <w:rFonts w:ascii="Calibri"/>
          <w:spacing w:val="-2"/>
          <w:sz w:val="16"/>
        </w:rPr>
        <w:t> </w:t>
      </w:r>
      <w:r>
        <w:rPr>
          <w:rFonts w:ascii="Calibri"/>
          <w:sz w:val="16"/>
        </w:rPr>
        <w:t>literature.</w:t>
      </w:r>
      <w:r>
        <w:rPr>
          <w:rFonts w:ascii="Calibri"/>
          <w:spacing w:val="-2"/>
          <w:sz w:val="16"/>
        </w:rPr>
        <w:t> </w:t>
      </w:r>
      <w:r>
        <w:rPr>
          <w:rFonts w:ascii="Calibri"/>
          <w:sz w:val="16"/>
        </w:rPr>
        <w:t>See,</w:t>
      </w:r>
      <w:r>
        <w:rPr>
          <w:rFonts w:ascii="Calibri"/>
          <w:spacing w:val="-2"/>
          <w:sz w:val="16"/>
        </w:rPr>
        <w:t> </w:t>
      </w:r>
      <w:r>
        <w:rPr>
          <w:rFonts w:ascii="Calibri"/>
          <w:sz w:val="16"/>
        </w:rPr>
        <w:t>for</w:t>
      </w:r>
      <w:r>
        <w:rPr>
          <w:rFonts w:ascii="Calibri"/>
          <w:spacing w:val="-3"/>
          <w:sz w:val="16"/>
        </w:rPr>
        <w:t> </w:t>
      </w:r>
      <w:r>
        <w:rPr>
          <w:rFonts w:ascii="Calibri"/>
          <w:sz w:val="16"/>
        </w:rPr>
        <w:t>example,</w:t>
      </w:r>
      <w:r>
        <w:rPr>
          <w:rFonts w:ascii="Calibri"/>
          <w:spacing w:val="-2"/>
          <w:sz w:val="16"/>
        </w:rPr>
        <w:t> </w:t>
      </w:r>
      <w:r>
        <w:rPr>
          <w:rFonts w:ascii="Calibri"/>
          <w:sz w:val="16"/>
        </w:rPr>
        <w:t>Kenny,</w:t>
      </w:r>
    </w:p>
    <w:p>
      <w:pPr>
        <w:pStyle w:val="ListParagraph"/>
        <w:numPr>
          <w:ilvl w:val="0"/>
          <w:numId w:val="2"/>
        </w:numPr>
        <w:tabs>
          <w:tab w:pos="1604" w:val="left" w:leader="none"/>
        </w:tabs>
        <w:spacing w:line="195" w:lineRule="exact" w:before="6" w:after="0"/>
        <w:ind w:left="1603" w:right="0" w:hanging="163"/>
        <w:jc w:val="both"/>
        <w:rPr>
          <w:rFonts w:ascii="Calibri" w:hAnsi="Calibri" w:cs="Calibri" w:eastAsia="Calibri" w:hint="default"/>
          <w:sz w:val="16"/>
          <w:szCs w:val="16"/>
        </w:rPr>
      </w:pPr>
      <w:r>
        <w:rPr>
          <w:rFonts w:ascii="Calibri"/>
          <w:sz w:val="16"/>
        </w:rPr>
        <w:t>(2005).</w:t>
      </w:r>
      <w:r>
        <w:rPr>
          <w:rFonts w:ascii="Calibri"/>
          <w:spacing w:val="-4"/>
          <w:sz w:val="16"/>
        </w:rPr>
        <w:t> </w:t>
      </w:r>
      <w:r>
        <w:rPr>
          <w:rFonts w:ascii="Calibri"/>
          <w:sz w:val="16"/>
        </w:rPr>
        <w:t>Does</w:t>
      </w:r>
      <w:r>
        <w:rPr>
          <w:rFonts w:ascii="Calibri"/>
          <w:spacing w:val="-4"/>
          <w:sz w:val="16"/>
        </w:rPr>
        <w:t> </w:t>
      </w:r>
      <w:r>
        <w:rPr>
          <w:rFonts w:ascii="Calibri"/>
          <w:sz w:val="16"/>
        </w:rPr>
        <w:t>development</w:t>
      </w:r>
      <w:r>
        <w:rPr>
          <w:rFonts w:ascii="Calibri"/>
          <w:spacing w:val="-5"/>
          <w:sz w:val="16"/>
        </w:rPr>
        <w:t> </w:t>
      </w:r>
      <w:r>
        <w:rPr>
          <w:rFonts w:ascii="Calibri"/>
          <w:sz w:val="16"/>
        </w:rPr>
        <w:t>make</w:t>
      </w:r>
      <w:r>
        <w:rPr>
          <w:rFonts w:ascii="Calibri"/>
          <w:spacing w:val="-4"/>
          <w:sz w:val="16"/>
        </w:rPr>
        <w:t> </w:t>
      </w:r>
      <w:r>
        <w:rPr>
          <w:rFonts w:ascii="Calibri"/>
          <w:sz w:val="16"/>
        </w:rPr>
        <w:t>you</w:t>
      </w:r>
      <w:r>
        <w:rPr>
          <w:rFonts w:ascii="Calibri"/>
          <w:spacing w:val="-4"/>
          <w:sz w:val="16"/>
        </w:rPr>
        <w:t> </w:t>
      </w:r>
      <w:r>
        <w:rPr>
          <w:rFonts w:ascii="Calibri"/>
          <w:sz w:val="16"/>
        </w:rPr>
        <w:t>happy?</w:t>
      </w:r>
      <w:r>
        <w:rPr>
          <w:rFonts w:ascii="Calibri"/>
          <w:spacing w:val="-3"/>
          <w:sz w:val="16"/>
        </w:rPr>
        <w:t> </w:t>
      </w:r>
      <w:r>
        <w:rPr>
          <w:rFonts w:ascii="Calibri"/>
          <w:sz w:val="16"/>
        </w:rPr>
        <w:t>Subjective</w:t>
      </w:r>
      <w:r>
        <w:rPr>
          <w:rFonts w:ascii="Calibri"/>
          <w:spacing w:val="-4"/>
          <w:sz w:val="16"/>
        </w:rPr>
        <w:t> </w:t>
      </w:r>
      <w:r>
        <w:rPr>
          <w:rFonts w:ascii="Calibri"/>
          <w:sz w:val="16"/>
        </w:rPr>
        <w:t>well-being</w:t>
      </w:r>
      <w:r>
        <w:rPr>
          <w:rFonts w:ascii="Calibri"/>
          <w:spacing w:val="-3"/>
          <w:sz w:val="16"/>
        </w:rPr>
        <w:t> </w:t>
      </w:r>
      <w:r>
        <w:rPr>
          <w:rFonts w:ascii="Calibri"/>
          <w:sz w:val="16"/>
        </w:rPr>
        <w:t>and</w:t>
      </w:r>
      <w:r>
        <w:rPr>
          <w:rFonts w:ascii="Calibri"/>
          <w:spacing w:val="-4"/>
          <w:sz w:val="16"/>
        </w:rPr>
        <w:t> </w:t>
      </w:r>
      <w:r>
        <w:rPr>
          <w:rFonts w:ascii="Calibri"/>
          <w:sz w:val="16"/>
        </w:rPr>
        <w:t>economic</w:t>
      </w:r>
      <w:r>
        <w:rPr>
          <w:rFonts w:ascii="Calibri"/>
          <w:spacing w:val="-4"/>
          <w:sz w:val="16"/>
        </w:rPr>
        <w:t> </w:t>
      </w:r>
      <w:r>
        <w:rPr>
          <w:rFonts w:ascii="Calibri"/>
          <w:sz w:val="16"/>
        </w:rPr>
        <w:t>growth</w:t>
      </w:r>
      <w:r>
        <w:rPr>
          <w:rFonts w:ascii="Calibri"/>
          <w:spacing w:val="-4"/>
          <w:sz w:val="16"/>
        </w:rPr>
        <w:t> </w:t>
      </w:r>
      <w:r>
        <w:rPr>
          <w:rFonts w:ascii="Calibri"/>
          <w:sz w:val="16"/>
        </w:rPr>
        <w:t>in</w:t>
      </w:r>
      <w:r>
        <w:rPr>
          <w:rFonts w:ascii="Calibri"/>
          <w:spacing w:val="-4"/>
          <w:sz w:val="16"/>
        </w:rPr>
        <w:t> </w:t>
      </w:r>
      <w:r>
        <w:rPr>
          <w:rFonts w:ascii="Calibri"/>
          <w:sz w:val="16"/>
        </w:rPr>
        <w:t>developing</w:t>
      </w:r>
      <w:r>
        <w:rPr>
          <w:rFonts w:ascii="Calibri"/>
          <w:spacing w:val="-3"/>
          <w:sz w:val="16"/>
        </w:rPr>
        <w:t> </w:t>
      </w:r>
      <w:r>
        <w:rPr>
          <w:rFonts w:ascii="Calibri"/>
          <w:sz w:val="16"/>
        </w:rPr>
        <w:t>countries.</w:t>
      </w:r>
      <w:r>
        <w:rPr>
          <w:rFonts w:ascii="Calibri"/>
          <w:spacing w:val="-2"/>
          <w:sz w:val="16"/>
        </w:rPr>
        <w:t> </w:t>
      </w:r>
      <w:r>
        <w:rPr>
          <w:rFonts w:ascii="Calibri"/>
          <w:i/>
          <w:sz w:val="16"/>
        </w:rPr>
        <w:t>Social</w:t>
      </w:r>
      <w:r>
        <w:rPr>
          <w:rFonts w:ascii="Calibri"/>
          <w:i/>
          <w:spacing w:val="-4"/>
          <w:sz w:val="16"/>
        </w:rPr>
        <w:t> </w:t>
      </w:r>
      <w:r>
        <w:rPr>
          <w:rFonts w:ascii="Calibri"/>
          <w:i/>
          <w:sz w:val="16"/>
        </w:rPr>
        <w:t>Indicators</w:t>
      </w:r>
      <w:r>
        <w:rPr>
          <w:rFonts w:ascii="Calibri"/>
          <w:i/>
          <w:spacing w:val="-3"/>
          <w:sz w:val="16"/>
        </w:rPr>
        <w:t> </w:t>
      </w:r>
      <w:r>
        <w:rPr>
          <w:rFonts w:ascii="Calibri"/>
          <w:i/>
          <w:sz w:val="16"/>
        </w:rPr>
        <w:t>Research</w:t>
      </w:r>
      <w:r>
        <w:rPr>
          <w:rFonts w:ascii="Calibri"/>
          <w:sz w:val="16"/>
        </w:rPr>
      </w:r>
    </w:p>
    <w:p>
      <w:pPr>
        <w:spacing w:line="195" w:lineRule="exact" w:before="0"/>
        <w:ind w:left="1440" w:right="0" w:firstLine="0"/>
        <w:jc w:val="both"/>
        <w:rPr>
          <w:rFonts w:ascii="Calibri" w:hAnsi="Calibri" w:cs="Calibri" w:eastAsia="Calibri" w:hint="default"/>
          <w:sz w:val="16"/>
          <w:szCs w:val="16"/>
        </w:rPr>
      </w:pPr>
      <w:r>
        <w:rPr>
          <w:rFonts w:ascii="Calibri"/>
          <w:sz w:val="16"/>
        </w:rPr>
        <w:t>73,</w:t>
      </w:r>
      <w:r>
        <w:rPr>
          <w:rFonts w:ascii="Calibri"/>
          <w:spacing w:val="-2"/>
          <w:sz w:val="16"/>
        </w:rPr>
        <w:t> </w:t>
      </w:r>
      <w:r>
        <w:rPr>
          <w:rFonts w:ascii="Calibri"/>
          <w:sz w:val="16"/>
        </w:rPr>
        <w:t>199-219;</w:t>
      </w:r>
      <w:r>
        <w:rPr>
          <w:rFonts w:ascii="Calibri"/>
          <w:spacing w:val="-3"/>
          <w:sz w:val="16"/>
        </w:rPr>
        <w:t> </w:t>
      </w:r>
      <w:r>
        <w:rPr>
          <w:rFonts w:ascii="Calibri"/>
          <w:sz w:val="16"/>
        </w:rPr>
        <w:t>Layard,</w:t>
      </w:r>
      <w:r>
        <w:rPr>
          <w:rFonts w:ascii="Calibri"/>
          <w:spacing w:val="-2"/>
          <w:sz w:val="16"/>
        </w:rPr>
        <w:t> </w:t>
      </w:r>
      <w:r>
        <w:rPr>
          <w:rFonts w:ascii="Calibri"/>
          <w:sz w:val="16"/>
        </w:rPr>
        <w:t>R.</w:t>
      </w:r>
      <w:r>
        <w:rPr>
          <w:rFonts w:ascii="Calibri"/>
          <w:spacing w:val="-2"/>
          <w:sz w:val="16"/>
        </w:rPr>
        <w:t> </w:t>
      </w:r>
      <w:r>
        <w:rPr>
          <w:rFonts w:ascii="Calibri"/>
          <w:sz w:val="16"/>
        </w:rPr>
        <w:t>(2005).</w:t>
      </w:r>
      <w:r>
        <w:rPr>
          <w:rFonts w:ascii="Calibri"/>
          <w:spacing w:val="-3"/>
          <w:sz w:val="16"/>
        </w:rPr>
        <w:t> </w:t>
      </w:r>
      <w:r>
        <w:rPr>
          <w:rFonts w:ascii="Calibri"/>
          <w:sz w:val="16"/>
        </w:rPr>
        <w:t>Happiness:</w:t>
      </w:r>
      <w:r>
        <w:rPr>
          <w:rFonts w:ascii="Calibri"/>
          <w:spacing w:val="-2"/>
          <w:sz w:val="16"/>
        </w:rPr>
        <w:t> </w:t>
      </w:r>
      <w:r>
        <w:rPr>
          <w:rFonts w:ascii="Calibri"/>
          <w:sz w:val="16"/>
        </w:rPr>
        <w:t>lessons</w:t>
      </w:r>
      <w:r>
        <w:rPr>
          <w:rFonts w:ascii="Calibri"/>
          <w:spacing w:val="-2"/>
          <w:sz w:val="16"/>
        </w:rPr>
        <w:t> </w:t>
      </w:r>
      <w:r>
        <w:rPr>
          <w:rFonts w:ascii="Calibri"/>
          <w:sz w:val="16"/>
        </w:rPr>
        <w:t>from</w:t>
      </w:r>
      <w:r>
        <w:rPr>
          <w:rFonts w:ascii="Calibri"/>
          <w:spacing w:val="-2"/>
          <w:sz w:val="16"/>
        </w:rPr>
        <w:t> </w:t>
      </w:r>
      <w:r>
        <w:rPr>
          <w:rFonts w:ascii="Calibri"/>
          <w:sz w:val="16"/>
        </w:rPr>
        <w:t>a</w:t>
      </w:r>
      <w:r>
        <w:rPr>
          <w:rFonts w:ascii="Calibri"/>
          <w:spacing w:val="-3"/>
          <w:sz w:val="16"/>
        </w:rPr>
        <w:t> </w:t>
      </w:r>
      <w:r>
        <w:rPr>
          <w:rFonts w:ascii="Calibri"/>
          <w:sz w:val="16"/>
        </w:rPr>
        <w:t>new</w:t>
      </w:r>
      <w:r>
        <w:rPr>
          <w:rFonts w:ascii="Calibri"/>
          <w:spacing w:val="-2"/>
          <w:sz w:val="16"/>
        </w:rPr>
        <w:t> </w:t>
      </w:r>
      <w:r>
        <w:rPr>
          <w:rFonts w:ascii="Calibri"/>
          <w:sz w:val="16"/>
        </w:rPr>
        <w:t>science.</w:t>
      </w:r>
      <w:r>
        <w:rPr>
          <w:rFonts w:ascii="Calibri"/>
          <w:spacing w:val="-2"/>
          <w:sz w:val="16"/>
        </w:rPr>
        <w:t> </w:t>
      </w:r>
      <w:r>
        <w:rPr>
          <w:rFonts w:ascii="Calibri"/>
          <w:sz w:val="16"/>
        </w:rPr>
        <w:t>Penguin:</w:t>
      </w:r>
      <w:r>
        <w:rPr>
          <w:rFonts w:ascii="Calibri"/>
          <w:spacing w:val="-3"/>
          <w:sz w:val="16"/>
        </w:rPr>
        <w:t> </w:t>
      </w:r>
      <w:r>
        <w:rPr>
          <w:rFonts w:ascii="Calibri"/>
          <w:sz w:val="16"/>
        </w:rPr>
        <w:t>New</w:t>
      </w:r>
      <w:r>
        <w:rPr>
          <w:rFonts w:ascii="Calibri"/>
          <w:spacing w:val="-2"/>
          <w:sz w:val="16"/>
        </w:rPr>
        <w:t> </w:t>
      </w:r>
      <w:r>
        <w:rPr>
          <w:rFonts w:ascii="Calibri"/>
          <w:sz w:val="16"/>
        </w:rPr>
        <w:t>York.</w:t>
      </w:r>
    </w:p>
    <w:p>
      <w:pPr>
        <w:spacing w:line="242" w:lineRule="auto" w:before="8"/>
        <w:ind w:left="1440" w:right="1647" w:firstLine="0"/>
        <w:jc w:val="both"/>
        <w:rPr>
          <w:rFonts w:ascii="Calibri" w:hAnsi="Calibri" w:cs="Calibri" w:eastAsia="Calibri" w:hint="default"/>
          <w:sz w:val="16"/>
          <w:szCs w:val="16"/>
        </w:rPr>
      </w:pPr>
      <w:r>
        <w:rPr>
          <w:rFonts w:ascii="Calibri"/>
          <w:position w:val="5"/>
          <w:sz w:val="12"/>
        </w:rPr>
        <w:t>14 </w:t>
      </w:r>
      <w:r>
        <w:rPr>
          <w:rFonts w:ascii="Calibri"/>
          <w:sz w:val="16"/>
        </w:rPr>
        <w:t>For the Aruba case, see DPITS (2011). </w:t>
      </w:r>
      <w:r>
        <w:rPr>
          <w:rFonts w:ascii="Calibri"/>
          <w:i/>
          <w:sz w:val="16"/>
        </w:rPr>
        <w:t>Winning the Future</w:t>
      </w:r>
      <w:r>
        <w:rPr>
          <w:rFonts w:ascii="Calibri"/>
          <w:sz w:val="16"/>
        </w:rPr>
        <w:t>. Oranjestad, Aruba. For the American and Dutch cases, see Kapteyn, A., Smith, J. and Soest, A. (2010). Life satisfaction. In Diener, E. Kahneman, D., and Helliwell, J. </w:t>
      </w:r>
      <w:r>
        <w:rPr>
          <w:rFonts w:ascii="Calibri"/>
          <w:i/>
          <w:sz w:val="16"/>
        </w:rPr>
        <w:t>International differences in well-being</w:t>
      </w:r>
      <w:r>
        <w:rPr>
          <w:rFonts w:ascii="Calibri"/>
          <w:sz w:val="16"/>
        </w:rPr>
        <w:t>. Published to Oxford Scholarship Online: May 2010,</w:t>
      </w:r>
      <w:r>
        <w:rPr>
          <w:rFonts w:ascii="Calibri"/>
          <w:spacing w:val="-13"/>
          <w:sz w:val="16"/>
        </w:rPr>
        <w:t> </w:t>
      </w:r>
      <w:r>
        <w:rPr>
          <w:rFonts w:ascii="Calibri"/>
          <w:sz w:val="16"/>
        </w:rPr>
        <w:t>pp.70-104.</w:t>
      </w:r>
    </w:p>
    <w:p>
      <w:pPr>
        <w:spacing w:line="247" w:lineRule="auto" w:before="4"/>
        <w:ind w:left="1440" w:right="1848" w:firstLine="0"/>
        <w:jc w:val="left"/>
        <w:rPr>
          <w:rFonts w:ascii="Calibri" w:hAnsi="Calibri" w:cs="Calibri" w:eastAsia="Calibri" w:hint="default"/>
          <w:sz w:val="16"/>
          <w:szCs w:val="16"/>
        </w:rPr>
      </w:pPr>
      <w:r>
        <w:rPr>
          <w:rFonts w:ascii="Calibri" w:hAnsi="Calibri"/>
          <w:position w:val="5"/>
          <w:sz w:val="12"/>
        </w:rPr>
        <w:t>15 </w:t>
      </w:r>
      <w:r>
        <w:rPr>
          <w:rFonts w:ascii="Calibri" w:hAnsi="Calibri"/>
          <w:sz w:val="16"/>
        </w:rPr>
        <w:t>The sentiment of distrust and fear were apparent time and again during our conversations with multiple stakeholders. The TAC and the </w:t>
      </w:r>
      <w:r>
        <w:rPr>
          <w:rFonts w:ascii="Calibri" w:hAnsi="Calibri"/>
          <w:sz w:val="16"/>
        </w:rPr>
        <w:t>UNDP reports reference distrust and fear as main areas of concern for the development of</w:t>
      </w:r>
      <w:r>
        <w:rPr>
          <w:rFonts w:ascii="Calibri" w:hAnsi="Calibri"/>
          <w:spacing w:val="4"/>
          <w:sz w:val="16"/>
        </w:rPr>
        <w:t> </w:t>
      </w:r>
      <w:r>
        <w:rPr>
          <w:rFonts w:ascii="Calibri" w:hAnsi="Calibri"/>
          <w:sz w:val="16"/>
        </w:rPr>
        <w:t>Curaçao.</w:t>
      </w:r>
    </w:p>
    <w:p>
      <w:pPr>
        <w:spacing w:after="0" w:line="247" w:lineRule="auto"/>
        <w:jc w:val="left"/>
        <w:rPr>
          <w:rFonts w:ascii="Calibri" w:hAnsi="Calibri" w:cs="Calibri" w:eastAsia="Calibri" w:hint="default"/>
          <w:sz w:val="16"/>
          <w:szCs w:val="16"/>
        </w:rPr>
        <w:sectPr>
          <w:footerReference w:type="default" r:id="rId24"/>
          <w:pgSz w:w="12240" w:h="15840"/>
          <w:pgMar w:footer="533" w:header="0" w:top="840" w:bottom="720" w:left="0" w:right="0"/>
        </w:sectPr>
      </w:pP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24"/>
          <w:szCs w:val="24"/>
        </w:rPr>
      </w:pPr>
    </w:p>
    <w:p>
      <w:pPr>
        <w:pStyle w:val="Heading2"/>
        <w:spacing w:line="240" w:lineRule="auto"/>
        <w:ind w:right="0"/>
        <w:jc w:val="both"/>
        <w:rPr>
          <w:b w:val="0"/>
          <w:bCs w:val="0"/>
        </w:rPr>
      </w:pPr>
      <w:bookmarkStart w:name="_bookmark39" w:id="40"/>
      <w:bookmarkEnd w:id="40"/>
      <w:r>
        <w:rPr>
          <w:b w:val="0"/>
          <w:bCs w:val="0"/>
        </w:rPr>
      </w:r>
      <w:r>
        <w:rPr/>
        <w:t>To</w:t>
      </w:r>
      <w:r>
        <w:rPr>
          <w:rFonts w:ascii="Calibri" w:hAnsi="Calibri" w:cs="Calibri" w:eastAsia="Calibri" w:hint="default"/>
        </w:rPr>
        <w:t>urists’ future intentions to visit</w:t>
      </w:r>
      <w:r>
        <w:rPr>
          <w:rFonts w:ascii="Calibri" w:hAnsi="Calibri" w:cs="Calibri" w:eastAsia="Calibri" w:hint="default"/>
          <w:spacing w:val="-14"/>
        </w:rPr>
        <w:t> </w:t>
      </w:r>
      <w:r>
        <w:rPr/>
        <w:t>Curaçao</w:t>
      </w:r>
      <w:r>
        <w:rPr>
          <w:b w:val="0"/>
          <w:bCs w:val="0"/>
        </w:rPr>
      </w:r>
    </w:p>
    <w:p>
      <w:pPr>
        <w:pStyle w:val="BodyText"/>
        <w:spacing w:line="240" w:lineRule="auto" w:before="191"/>
        <w:ind w:right="1437"/>
        <w:jc w:val="both"/>
      </w:pPr>
      <w:r>
        <w:rPr/>
        <w:t>In predicting visits of potential tourists (those tourists who have not been to Curaçao but have been to the Caribbean), Curaçao possesses all of the key destination attributes that would envisage a vacation choice destination. Table 8 reveals that there is a difference among market segments (i.e. USA, Netherlands, Venezuela/Colombia) with the destination attributes that seem to predict a visit from potential tourists. Table 8 ranks the top five destination attributes that have a significant impact on determining if a potential tourist will visit Curaçao. For example, for the USA market, the destination attributes that were the most impactful were price and familiarity</w:t>
      </w:r>
      <w:r>
        <w:rPr>
          <w:spacing w:val="-2"/>
        </w:rPr>
        <w:t> </w:t>
      </w:r>
      <w:r>
        <w:rPr/>
        <w:t>whereas</w:t>
      </w:r>
      <w:r>
        <w:rPr>
          <w:spacing w:val="-3"/>
        </w:rPr>
        <w:t> </w:t>
      </w:r>
      <w:r>
        <w:rPr/>
        <w:t>the</w:t>
      </w:r>
      <w:r>
        <w:rPr>
          <w:spacing w:val="-5"/>
        </w:rPr>
        <w:t> </w:t>
      </w:r>
      <w:r>
        <w:rPr/>
        <w:t>Netherlands</w:t>
      </w:r>
      <w:r>
        <w:rPr>
          <w:spacing w:val="-5"/>
        </w:rPr>
        <w:t> </w:t>
      </w:r>
      <w:r>
        <w:rPr/>
        <w:t>most</w:t>
      </w:r>
      <w:r>
        <w:rPr>
          <w:spacing w:val="-4"/>
        </w:rPr>
        <w:t> </w:t>
      </w:r>
      <w:r>
        <w:rPr/>
        <w:t>important</w:t>
      </w:r>
      <w:r>
        <w:rPr>
          <w:spacing w:val="-4"/>
        </w:rPr>
        <w:t> </w:t>
      </w:r>
      <w:r>
        <w:rPr/>
        <w:t>destination</w:t>
      </w:r>
      <w:r>
        <w:rPr>
          <w:spacing w:val="-4"/>
        </w:rPr>
        <w:t> </w:t>
      </w:r>
      <w:r>
        <w:rPr/>
        <w:t>attributes</w:t>
      </w:r>
      <w:r>
        <w:rPr>
          <w:spacing w:val="-6"/>
        </w:rPr>
        <w:t> </w:t>
      </w:r>
      <w:r>
        <w:rPr/>
        <w:t>were</w:t>
      </w:r>
      <w:r>
        <w:rPr>
          <w:spacing w:val="-3"/>
        </w:rPr>
        <w:t> </w:t>
      </w:r>
      <w:r>
        <w:rPr/>
        <w:t>the</w:t>
      </w:r>
      <w:r>
        <w:rPr>
          <w:spacing w:val="-5"/>
        </w:rPr>
        <w:t> </w:t>
      </w:r>
      <w:r>
        <w:rPr/>
        <w:t>price</w:t>
      </w:r>
      <w:r>
        <w:rPr>
          <w:spacing w:val="-5"/>
        </w:rPr>
        <w:t> </w:t>
      </w:r>
      <w:r>
        <w:rPr/>
        <w:t>and</w:t>
      </w:r>
      <w:r>
        <w:rPr>
          <w:spacing w:val="-4"/>
        </w:rPr>
        <w:t> </w:t>
      </w:r>
      <w:r>
        <w:rPr/>
        <w:t>the</w:t>
      </w:r>
      <w:r>
        <w:rPr>
          <w:spacing w:val="-5"/>
        </w:rPr>
        <w:t> </w:t>
      </w:r>
      <w:r>
        <w:rPr/>
        <w:t>activities</w:t>
      </w:r>
      <w:r>
        <w:rPr>
          <w:spacing w:val="-5"/>
        </w:rPr>
        <w:t> </w:t>
      </w:r>
      <w:r>
        <w:rPr/>
        <w:t>and</w:t>
      </w:r>
      <w:r>
        <w:rPr>
          <w:spacing w:val="-4"/>
        </w:rPr>
        <w:t> </w:t>
      </w:r>
      <w:r>
        <w:rPr/>
        <w:t>the </w:t>
      </w:r>
      <w:r>
        <w:rPr/>
        <w:t>Venezuela/Colombia</w:t>
      </w:r>
      <w:r>
        <w:rPr>
          <w:spacing w:val="-8"/>
        </w:rPr>
        <w:t> </w:t>
      </w:r>
      <w:r>
        <w:rPr/>
        <w:t>market</w:t>
      </w:r>
      <w:r>
        <w:rPr>
          <w:spacing w:val="-8"/>
        </w:rPr>
        <w:t> </w:t>
      </w:r>
      <w:r>
        <w:rPr/>
        <w:t>was</w:t>
      </w:r>
      <w:r>
        <w:rPr>
          <w:spacing w:val="-11"/>
        </w:rPr>
        <w:t> </w:t>
      </w:r>
      <w:r>
        <w:rPr/>
        <w:t>the</w:t>
      </w:r>
      <w:r>
        <w:rPr>
          <w:spacing w:val="-9"/>
        </w:rPr>
        <w:t> </w:t>
      </w:r>
      <w:r>
        <w:rPr/>
        <w:t>safety</w:t>
      </w:r>
      <w:r>
        <w:rPr>
          <w:spacing w:val="-9"/>
        </w:rPr>
        <w:t> </w:t>
      </w:r>
      <w:r>
        <w:rPr/>
        <w:t>and</w:t>
      </w:r>
      <w:r>
        <w:rPr>
          <w:spacing w:val="-10"/>
        </w:rPr>
        <w:t> </w:t>
      </w:r>
      <w:r>
        <w:rPr/>
        <w:t>the</w:t>
      </w:r>
      <w:r>
        <w:rPr>
          <w:spacing w:val="-11"/>
        </w:rPr>
        <w:t> </w:t>
      </w:r>
      <w:r>
        <w:rPr/>
        <w:t>attractions.</w:t>
      </w:r>
      <w:r>
        <w:rPr>
          <w:spacing w:val="26"/>
        </w:rPr>
        <w:t> </w:t>
      </w:r>
      <w:r>
        <w:rPr/>
        <w:t>This</w:t>
      </w:r>
      <w:r>
        <w:rPr>
          <w:spacing w:val="-11"/>
        </w:rPr>
        <w:t> </w:t>
      </w:r>
      <w:r>
        <w:rPr/>
        <w:t>information</w:t>
      </w:r>
      <w:r>
        <w:rPr>
          <w:spacing w:val="-9"/>
        </w:rPr>
        <w:t> </w:t>
      </w:r>
      <w:r>
        <w:rPr/>
        <w:t>is</w:t>
      </w:r>
      <w:r>
        <w:rPr>
          <w:spacing w:val="-12"/>
        </w:rPr>
        <w:t> </w:t>
      </w:r>
      <w:r>
        <w:rPr/>
        <w:t>useful</w:t>
      </w:r>
      <w:r>
        <w:rPr>
          <w:spacing w:val="-8"/>
        </w:rPr>
        <w:t> </w:t>
      </w:r>
      <w:r>
        <w:rPr/>
        <w:t>to</w:t>
      </w:r>
      <w:r>
        <w:rPr>
          <w:spacing w:val="-4"/>
        </w:rPr>
        <w:t> </w:t>
      </w:r>
      <w:r>
        <w:rPr/>
        <w:t>Curaçao</w:t>
      </w:r>
      <w:r>
        <w:rPr>
          <w:spacing w:val="-9"/>
        </w:rPr>
        <w:t> </w:t>
      </w:r>
      <w:r>
        <w:rPr/>
        <w:t>for</w:t>
      </w:r>
      <w:r>
        <w:rPr>
          <w:spacing w:val="-10"/>
        </w:rPr>
        <w:t> </w:t>
      </w:r>
      <w:r>
        <w:rPr/>
        <w:t>developing </w:t>
      </w:r>
      <w:r>
        <w:rPr/>
        <w:t>product mix as well as crafting the marketing</w:t>
      </w:r>
      <w:r>
        <w:rPr>
          <w:spacing w:val="-24"/>
        </w:rPr>
        <w:t> </w:t>
      </w:r>
      <w:r>
        <w:rPr/>
        <w:t>message.</w:t>
      </w:r>
    </w:p>
    <w:p>
      <w:pPr>
        <w:spacing w:line="240" w:lineRule="auto" w:before="11"/>
        <w:ind w:right="0"/>
        <w:rPr>
          <w:rFonts w:ascii="Calibri" w:hAnsi="Calibri" w:cs="Calibri" w:eastAsia="Calibri" w:hint="default"/>
          <w:sz w:val="19"/>
          <w:szCs w:val="19"/>
        </w:rPr>
      </w:pPr>
    </w:p>
    <w:p>
      <w:pPr>
        <w:pStyle w:val="Heading9"/>
        <w:spacing w:line="240" w:lineRule="auto"/>
        <w:ind w:left="2386" w:right="0"/>
        <w:jc w:val="left"/>
        <w:rPr>
          <w:b w:val="0"/>
          <w:bCs w:val="0"/>
          <w:sz w:val="12"/>
          <w:szCs w:val="12"/>
        </w:rPr>
      </w:pPr>
      <w:bookmarkStart w:name="_bookmark40" w:id="41"/>
      <w:bookmarkEnd w:id="41"/>
      <w:r>
        <w:rPr>
          <w:b w:val="0"/>
        </w:rPr>
      </w:r>
      <w:r>
        <w:rPr/>
        <w:t>Table 8: Most important destination attributes that predict visits from potential</w:t>
      </w:r>
      <w:r>
        <w:rPr>
          <w:spacing w:val="6"/>
        </w:rPr>
        <w:t> </w:t>
      </w:r>
      <w:r>
        <w:rPr/>
        <w:t>tourists</w:t>
      </w:r>
      <w:r>
        <w:rPr>
          <w:position w:val="5"/>
          <w:sz w:val="12"/>
        </w:rPr>
        <w:t>16</w:t>
      </w:r>
      <w:r>
        <w:rPr>
          <w:b w:val="0"/>
          <w:sz w:val="12"/>
        </w:rPr>
      </w:r>
    </w:p>
    <w:tbl>
      <w:tblPr>
        <w:tblW w:w="0" w:type="auto"/>
        <w:jc w:val="left"/>
        <w:tblInd w:w="1450" w:type="dxa"/>
        <w:tblLayout w:type="fixed"/>
        <w:tblCellMar>
          <w:top w:w="0" w:type="dxa"/>
          <w:left w:w="0" w:type="dxa"/>
          <w:bottom w:w="0" w:type="dxa"/>
          <w:right w:w="0" w:type="dxa"/>
        </w:tblCellMar>
        <w:tblLook w:val="01E0"/>
      </w:tblPr>
      <w:tblGrid>
        <w:gridCol w:w="4966"/>
        <w:gridCol w:w="1564"/>
        <w:gridCol w:w="1543"/>
        <w:gridCol w:w="1255"/>
      </w:tblGrid>
      <w:tr>
        <w:trPr>
          <w:trHeight w:val="246" w:hRule="exact"/>
        </w:trPr>
        <w:tc>
          <w:tcPr>
            <w:tcW w:w="4966" w:type="dxa"/>
            <w:vMerge w:val="restart"/>
            <w:tcBorders>
              <w:top w:val="single" w:sz="4" w:space="0" w:color="000000"/>
              <w:left w:val="nil" w:sz="6" w:space="0" w:color="auto"/>
              <w:right w:val="nil" w:sz="6" w:space="0" w:color="auto"/>
            </w:tcBorders>
          </w:tcPr>
          <w:p>
            <w:pPr>
              <w:pStyle w:val="TableParagraph"/>
              <w:spacing w:line="240" w:lineRule="auto" w:before="114"/>
              <w:ind w:left="122" w:right="0"/>
              <w:jc w:val="left"/>
              <w:rPr>
                <w:rFonts w:ascii="Calibri" w:hAnsi="Calibri" w:cs="Calibri" w:eastAsia="Calibri" w:hint="default"/>
                <w:sz w:val="18"/>
                <w:szCs w:val="18"/>
              </w:rPr>
            </w:pPr>
            <w:r>
              <w:rPr>
                <w:rFonts w:ascii="Calibri"/>
                <w:b/>
                <w:sz w:val="18"/>
              </w:rPr>
              <w:t>Items</w:t>
            </w:r>
            <w:r>
              <w:rPr>
                <w:rFonts w:ascii="Calibri"/>
                <w:sz w:val="18"/>
              </w:rPr>
            </w:r>
          </w:p>
        </w:tc>
        <w:tc>
          <w:tcPr>
            <w:tcW w:w="1564" w:type="dxa"/>
            <w:tcBorders>
              <w:top w:val="single" w:sz="4" w:space="0" w:color="000000"/>
              <w:left w:val="nil" w:sz="6" w:space="0" w:color="auto"/>
              <w:bottom w:val="nil" w:sz="6" w:space="0" w:color="auto"/>
              <w:right w:val="nil" w:sz="6" w:space="0" w:color="auto"/>
            </w:tcBorders>
          </w:tcPr>
          <w:p>
            <w:pPr>
              <w:pStyle w:val="TableParagraph"/>
              <w:spacing w:line="219" w:lineRule="exact"/>
              <w:ind w:right="372"/>
              <w:jc w:val="right"/>
              <w:rPr>
                <w:rFonts w:ascii="Calibri" w:hAnsi="Calibri" w:cs="Calibri" w:eastAsia="Calibri" w:hint="default"/>
                <w:sz w:val="18"/>
                <w:szCs w:val="18"/>
              </w:rPr>
            </w:pPr>
            <w:r>
              <w:rPr>
                <w:rFonts w:ascii="Calibri"/>
                <w:b/>
                <w:spacing w:val="-1"/>
                <w:sz w:val="18"/>
              </w:rPr>
              <w:t>USA</w:t>
            </w:r>
            <w:r>
              <w:rPr>
                <w:rFonts w:ascii="Calibri"/>
                <w:spacing w:val="-1"/>
                <w:sz w:val="18"/>
              </w:rPr>
            </w:r>
          </w:p>
        </w:tc>
        <w:tc>
          <w:tcPr>
            <w:tcW w:w="1543" w:type="dxa"/>
            <w:tcBorders>
              <w:top w:val="single" w:sz="4" w:space="0" w:color="000000"/>
              <w:left w:val="nil" w:sz="6" w:space="0" w:color="auto"/>
              <w:bottom w:val="nil" w:sz="6" w:space="0" w:color="auto"/>
              <w:right w:val="nil" w:sz="6" w:space="0" w:color="auto"/>
            </w:tcBorders>
          </w:tcPr>
          <w:p>
            <w:pPr>
              <w:pStyle w:val="TableParagraph"/>
              <w:spacing w:line="219" w:lineRule="exact"/>
              <w:ind w:left="54" w:right="0"/>
              <w:jc w:val="center"/>
              <w:rPr>
                <w:rFonts w:ascii="Calibri" w:hAnsi="Calibri" w:cs="Calibri" w:eastAsia="Calibri" w:hint="default"/>
                <w:sz w:val="18"/>
                <w:szCs w:val="18"/>
              </w:rPr>
            </w:pPr>
            <w:r>
              <w:rPr>
                <w:rFonts w:ascii="Calibri"/>
                <w:b/>
                <w:sz w:val="18"/>
              </w:rPr>
              <w:t>Netherlands</w:t>
            </w:r>
            <w:r>
              <w:rPr>
                <w:rFonts w:ascii="Calibri"/>
                <w:sz w:val="18"/>
              </w:rPr>
            </w:r>
          </w:p>
        </w:tc>
        <w:tc>
          <w:tcPr>
            <w:tcW w:w="1255" w:type="dxa"/>
            <w:tcBorders>
              <w:top w:val="single" w:sz="4" w:space="0" w:color="000000"/>
              <w:left w:val="nil" w:sz="6" w:space="0" w:color="auto"/>
              <w:bottom w:val="nil" w:sz="6" w:space="0" w:color="auto"/>
              <w:right w:val="nil" w:sz="6" w:space="0" w:color="auto"/>
            </w:tcBorders>
          </w:tcPr>
          <w:p>
            <w:pPr>
              <w:pStyle w:val="TableParagraph"/>
              <w:spacing w:line="219" w:lineRule="exact"/>
              <w:ind w:right="77"/>
              <w:jc w:val="center"/>
              <w:rPr>
                <w:rFonts w:ascii="Calibri" w:hAnsi="Calibri" w:cs="Calibri" w:eastAsia="Calibri" w:hint="default"/>
                <w:sz w:val="18"/>
                <w:szCs w:val="18"/>
              </w:rPr>
            </w:pPr>
            <w:r>
              <w:rPr>
                <w:rFonts w:ascii="Calibri"/>
                <w:b/>
                <w:sz w:val="18"/>
              </w:rPr>
              <w:t>Ven\Col</w:t>
            </w:r>
            <w:r>
              <w:rPr>
                <w:rFonts w:ascii="Calibri"/>
                <w:sz w:val="18"/>
              </w:rPr>
            </w:r>
          </w:p>
        </w:tc>
      </w:tr>
      <w:tr>
        <w:trPr>
          <w:trHeight w:val="213" w:hRule="exact"/>
        </w:trPr>
        <w:tc>
          <w:tcPr>
            <w:tcW w:w="4966" w:type="dxa"/>
            <w:vMerge/>
            <w:tcBorders>
              <w:left w:val="nil" w:sz="6" w:space="0" w:color="auto"/>
              <w:bottom w:val="single" w:sz="4" w:space="0" w:color="000000"/>
              <w:right w:val="nil" w:sz="6" w:space="0" w:color="auto"/>
            </w:tcBorders>
          </w:tcPr>
          <w:p>
            <w:pPr/>
          </w:p>
        </w:tc>
        <w:tc>
          <w:tcPr>
            <w:tcW w:w="1564" w:type="dxa"/>
            <w:tcBorders>
              <w:top w:val="nil" w:sz="6" w:space="0" w:color="auto"/>
              <w:left w:val="nil" w:sz="6" w:space="0" w:color="auto"/>
              <w:bottom w:val="single" w:sz="4" w:space="0" w:color="000000"/>
              <w:right w:val="nil" w:sz="6" w:space="0" w:color="auto"/>
            </w:tcBorders>
          </w:tcPr>
          <w:p>
            <w:pPr>
              <w:pStyle w:val="TableParagraph"/>
              <w:spacing w:line="209" w:lineRule="exact"/>
              <w:ind w:right="337"/>
              <w:jc w:val="right"/>
              <w:rPr>
                <w:rFonts w:ascii="Calibri" w:hAnsi="Calibri" w:cs="Calibri" w:eastAsia="Calibri" w:hint="default"/>
                <w:sz w:val="18"/>
                <w:szCs w:val="18"/>
              </w:rPr>
            </w:pPr>
            <w:r>
              <w:rPr>
                <w:rFonts w:ascii="Calibri"/>
                <w:b/>
                <w:i/>
                <w:spacing w:val="-1"/>
                <w:sz w:val="18"/>
              </w:rPr>
              <w:t>Rank</w:t>
            </w:r>
            <w:r>
              <w:rPr>
                <w:rFonts w:ascii="Calibri"/>
                <w:spacing w:val="-1"/>
                <w:sz w:val="18"/>
              </w:rPr>
            </w:r>
          </w:p>
        </w:tc>
        <w:tc>
          <w:tcPr>
            <w:tcW w:w="1543" w:type="dxa"/>
            <w:tcBorders>
              <w:top w:val="nil" w:sz="6" w:space="0" w:color="auto"/>
              <w:left w:val="nil" w:sz="6" w:space="0" w:color="auto"/>
              <w:bottom w:val="single" w:sz="4" w:space="0" w:color="000000"/>
              <w:right w:val="nil" w:sz="6" w:space="0" w:color="auto"/>
            </w:tcBorders>
          </w:tcPr>
          <w:p>
            <w:pPr>
              <w:pStyle w:val="TableParagraph"/>
              <w:spacing w:line="209" w:lineRule="exact"/>
              <w:ind w:left="57" w:right="0"/>
              <w:jc w:val="center"/>
              <w:rPr>
                <w:rFonts w:ascii="Calibri" w:hAnsi="Calibri" w:cs="Calibri" w:eastAsia="Calibri" w:hint="default"/>
                <w:sz w:val="18"/>
                <w:szCs w:val="18"/>
              </w:rPr>
            </w:pPr>
            <w:r>
              <w:rPr>
                <w:rFonts w:ascii="Calibri"/>
                <w:b/>
                <w:i/>
                <w:sz w:val="18"/>
              </w:rPr>
              <w:t>Rank</w:t>
            </w:r>
            <w:r>
              <w:rPr>
                <w:rFonts w:ascii="Calibri"/>
                <w:sz w:val="18"/>
              </w:rPr>
            </w:r>
          </w:p>
        </w:tc>
        <w:tc>
          <w:tcPr>
            <w:tcW w:w="1255" w:type="dxa"/>
            <w:tcBorders>
              <w:top w:val="nil" w:sz="6" w:space="0" w:color="auto"/>
              <w:left w:val="nil" w:sz="6" w:space="0" w:color="auto"/>
              <w:bottom w:val="single" w:sz="4" w:space="0" w:color="000000"/>
              <w:right w:val="nil" w:sz="6" w:space="0" w:color="auto"/>
            </w:tcBorders>
          </w:tcPr>
          <w:p>
            <w:pPr>
              <w:pStyle w:val="TableParagraph"/>
              <w:spacing w:line="209" w:lineRule="exact"/>
              <w:ind w:right="73"/>
              <w:jc w:val="center"/>
              <w:rPr>
                <w:rFonts w:ascii="Calibri" w:hAnsi="Calibri" w:cs="Calibri" w:eastAsia="Calibri" w:hint="default"/>
                <w:sz w:val="18"/>
                <w:szCs w:val="18"/>
              </w:rPr>
            </w:pPr>
            <w:r>
              <w:rPr>
                <w:rFonts w:ascii="Calibri"/>
                <w:b/>
                <w:i/>
                <w:sz w:val="18"/>
              </w:rPr>
              <w:t>Rank</w:t>
            </w:r>
            <w:r>
              <w:rPr>
                <w:rFonts w:ascii="Calibri"/>
                <w:sz w:val="18"/>
              </w:rPr>
            </w:r>
          </w:p>
        </w:tc>
      </w:tr>
      <w:tr>
        <w:trPr>
          <w:trHeight w:val="239" w:hRule="exact"/>
        </w:trPr>
        <w:tc>
          <w:tcPr>
            <w:tcW w:w="4966"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122" w:right="0"/>
              <w:jc w:val="left"/>
              <w:rPr>
                <w:rFonts w:ascii="Calibri" w:hAnsi="Calibri" w:cs="Calibri" w:eastAsia="Calibri" w:hint="default"/>
                <w:sz w:val="18"/>
                <w:szCs w:val="18"/>
              </w:rPr>
            </w:pPr>
            <w:r>
              <w:rPr>
                <w:rFonts w:ascii="Calibri" w:hAnsi="Calibri"/>
                <w:sz w:val="18"/>
              </w:rPr>
              <w:t>A trip to Curaçao is worth the money I</w:t>
            </w:r>
            <w:r>
              <w:rPr>
                <w:rFonts w:ascii="Calibri" w:hAnsi="Calibri"/>
                <w:spacing w:val="-15"/>
                <w:sz w:val="18"/>
              </w:rPr>
              <w:t> </w:t>
            </w:r>
            <w:r>
              <w:rPr>
                <w:rFonts w:ascii="Calibri" w:hAnsi="Calibri"/>
                <w:sz w:val="18"/>
              </w:rPr>
              <w:t>spend.</w:t>
            </w:r>
          </w:p>
        </w:tc>
        <w:tc>
          <w:tcPr>
            <w:tcW w:w="1564"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421"/>
              <w:jc w:val="right"/>
              <w:rPr>
                <w:rFonts w:ascii="Calibri" w:hAnsi="Calibri" w:cs="Calibri" w:eastAsia="Calibri" w:hint="default"/>
                <w:sz w:val="12"/>
                <w:szCs w:val="12"/>
              </w:rPr>
            </w:pPr>
            <w:r>
              <w:rPr>
                <w:rFonts w:ascii="Calibri"/>
                <w:b/>
                <w:spacing w:val="-1"/>
                <w:position w:val="-4"/>
                <w:sz w:val="18"/>
              </w:rPr>
              <w:t>1</w:t>
            </w:r>
            <w:r>
              <w:rPr>
                <w:rFonts w:ascii="Calibri"/>
                <w:b/>
                <w:spacing w:val="-1"/>
                <w:sz w:val="12"/>
              </w:rPr>
              <w:t>**</w:t>
            </w:r>
            <w:r>
              <w:rPr>
                <w:rFonts w:ascii="Calibri"/>
                <w:spacing w:val="-1"/>
                <w:sz w:val="12"/>
              </w:rPr>
            </w:r>
          </w:p>
        </w:tc>
        <w:tc>
          <w:tcPr>
            <w:tcW w:w="1543"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55" w:right="0"/>
              <w:jc w:val="center"/>
              <w:rPr>
                <w:rFonts w:ascii="Calibri" w:hAnsi="Calibri" w:cs="Calibri" w:eastAsia="Calibri" w:hint="default"/>
                <w:sz w:val="12"/>
                <w:szCs w:val="12"/>
              </w:rPr>
            </w:pPr>
            <w:r>
              <w:rPr>
                <w:rFonts w:ascii="Calibri"/>
                <w:b/>
                <w:position w:val="-4"/>
                <w:sz w:val="18"/>
              </w:rPr>
              <w:t>1</w:t>
            </w:r>
            <w:r>
              <w:rPr>
                <w:rFonts w:ascii="Calibri"/>
                <w:b/>
                <w:sz w:val="12"/>
              </w:rPr>
              <w:t>***</w:t>
            </w:r>
            <w:r>
              <w:rPr>
                <w:rFonts w:ascii="Calibri"/>
                <w:sz w:val="12"/>
              </w:rPr>
            </w:r>
          </w:p>
        </w:tc>
        <w:tc>
          <w:tcPr>
            <w:tcW w:w="1255"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75"/>
              <w:jc w:val="center"/>
              <w:rPr>
                <w:rFonts w:ascii="Calibri" w:hAnsi="Calibri" w:cs="Calibri" w:eastAsia="Calibri" w:hint="default"/>
                <w:sz w:val="18"/>
                <w:szCs w:val="18"/>
              </w:rPr>
            </w:pPr>
            <w:r>
              <w:rPr>
                <w:rFonts w:ascii="Calibri"/>
                <w:sz w:val="18"/>
              </w:rPr>
              <w:t>-</w:t>
            </w:r>
          </w:p>
        </w:tc>
      </w:tr>
      <w:tr>
        <w:trPr>
          <w:trHeight w:val="220" w:hRule="exact"/>
        </w:trPr>
        <w:tc>
          <w:tcPr>
            <w:tcW w:w="4966" w:type="dxa"/>
            <w:tcBorders>
              <w:top w:val="nil" w:sz="6" w:space="0" w:color="auto"/>
              <w:left w:val="nil" w:sz="6" w:space="0" w:color="auto"/>
              <w:bottom w:val="nil" w:sz="6" w:space="0" w:color="auto"/>
              <w:right w:val="nil" w:sz="6" w:space="0" w:color="auto"/>
            </w:tcBorders>
          </w:tcPr>
          <w:p>
            <w:pPr>
              <w:pStyle w:val="TableParagraph"/>
              <w:spacing w:line="205" w:lineRule="exact"/>
              <w:ind w:left="122" w:right="0"/>
              <w:jc w:val="left"/>
              <w:rPr>
                <w:rFonts w:ascii="Calibri" w:hAnsi="Calibri" w:cs="Calibri" w:eastAsia="Calibri" w:hint="default"/>
                <w:sz w:val="18"/>
                <w:szCs w:val="18"/>
              </w:rPr>
            </w:pPr>
            <w:r>
              <w:rPr>
                <w:rFonts w:ascii="Calibri" w:hAnsi="Calibri"/>
                <w:sz w:val="18"/>
              </w:rPr>
              <w:t>I am familiar with</w:t>
            </w:r>
            <w:r>
              <w:rPr>
                <w:rFonts w:ascii="Calibri" w:hAnsi="Calibri"/>
                <w:spacing w:val="-9"/>
                <w:sz w:val="18"/>
              </w:rPr>
              <w:t> </w:t>
            </w:r>
            <w:r>
              <w:rPr>
                <w:rFonts w:ascii="Calibri" w:hAnsi="Calibri"/>
                <w:sz w:val="18"/>
              </w:rPr>
              <w:t>Curaçao.</w:t>
            </w:r>
          </w:p>
        </w:tc>
        <w:tc>
          <w:tcPr>
            <w:tcW w:w="1564" w:type="dxa"/>
            <w:tcBorders>
              <w:top w:val="nil" w:sz="6" w:space="0" w:color="auto"/>
              <w:left w:val="nil" w:sz="6" w:space="0" w:color="auto"/>
              <w:bottom w:val="nil" w:sz="6" w:space="0" w:color="auto"/>
              <w:right w:val="nil" w:sz="6" w:space="0" w:color="auto"/>
            </w:tcBorders>
          </w:tcPr>
          <w:p>
            <w:pPr>
              <w:pStyle w:val="TableParagraph"/>
              <w:spacing w:line="205" w:lineRule="exact"/>
              <w:ind w:right="392"/>
              <w:jc w:val="right"/>
              <w:rPr>
                <w:rFonts w:ascii="Calibri" w:hAnsi="Calibri" w:cs="Calibri" w:eastAsia="Calibri" w:hint="default"/>
                <w:sz w:val="12"/>
                <w:szCs w:val="12"/>
              </w:rPr>
            </w:pPr>
            <w:r>
              <w:rPr>
                <w:rFonts w:ascii="Calibri"/>
                <w:b/>
                <w:spacing w:val="-1"/>
                <w:position w:val="-4"/>
                <w:sz w:val="18"/>
              </w:rPr>
              <w:t>2</w:t>
            </w:r>
            <w:r>
              <w:rPr>
                <w:rFonts w:ascii="Calibri"/>
                <w:b/>
                <w:spacing w:val="-1"/>
                <w:sz w:val="12"/>
              </w:rPr>
              <w:t>***</w:t>
            </w:r>
            <w:r>
              <w:rPr>
                <w:rFonts w:ascii="Calibri"/>
                <w:spacing w:val="-1"/>
                <w:sz w:val="12"/>
              </w:rPr>
            </w:r>
          </w:p>
        </w:tc>
        <w:tc>
          <w:tcPr>
            <w:tcW w:w="1543" w:type="dxa"/>
            <w:tcBorders>
              <w:top w:val="nil" w:sz="6" w:space="0" w:color="auto"/>
              <w:left w:val="nil" w:sz="6" w:space="0" w:color="auto"/>
              <w:bottom w:val="nil" w:sz="6" w:space="0" w:color="auto"/>
              <w:right w:val="nil" w:sz="6" w:space="0" w:color="auto"/>
            </w:tcBorders>
          </w:tcPr>
          <w:p>
            <w:pPr>
              <w:pStyle w:val="TableParagraph"/>
              <w:spacing w:line="205" w:lineRule="exact"/>
              <w:ind w:left="57" w:right="0"/>
              <w:jc w:val="center"/>
              <w:rPr>
                <w:rFonts w:ascii="Calibri" w:hAnsi="Calibri" w:cs="Calibri" w:eastAsia="Calibri" w:hint="default"/>
                <w:sz w:val="12"/>
                <w:szCs w:val="12"/>
              </w:rPr>
            </w:pPr>
            <w:r>
              <w:rPr>
                <w:rFonts w:ascii="Calibri"/>
                <w:b/>
                <w:position w:val="-4"/>
                <w:sz w:val="18"/>
              </w:rPr>
              <w:t>3</w:t>
            </w:r>
            <w:r>
              <w:rPr>
                <w:rFonts w:ascii="Calibri"/>
                <w:b/>
                <w:sz w:val="12"/>
              </w:rPr>
              <w:t>**</w:t>
            </w:r>
            <w:r>
              <w:rPr>
                <w:rFonts w:ascii="Calibri"/>
                <w:sz w:val="12"/>
              </w:rPr>
            </w:r>
          </w:p>
        </w:tc>
        <w:tc>
          <w:tcPr>
            <w:tcW w:w="1255" w:type="dxa"/>
            <w:tcBorders>
              <w:top w:val="nil" w:sz="6" w:space="0" w:color="auto"/>
              <w:left w:val="nil" w:sz="6" w:space="0" w:color="auto"/>
              <w:bottom w:val="nil" w:sz="6" w:space="0" w:color="auto"/>
              <w:right w:val="nil" w:sz="6" w:space="0" w:color="auto"/>
            </w:tcBorders>
          </w:tcPr>
          <w:p>
            <w:pPr>
              <w:pStyle w:val="TableParagraph"/>
              <w:spacing w:line="205" w:lineRule="exact"/>
              <w:ind w:right="75"/>
              <w:jc w:val="center"/>
              <w:rPr>
                <w:rFonts w:ascii="Calibri" w:hAnsi="Calibri" w:cs="Calibri" w:eastAsia="Calibri" w:hint="default"/>
                <w:sz w:val="18"/>
                <w:szCs w:val="18"/>
              </w:rPr>
            </w:pPr>
            <w:r>
              <w:rPr>
                <w:rFonts w:ascii="Calibri"/>
                <w:sz w:val="18"/>
              </w:rPr>
              <w:t>-</w:t>
            </w:r>
          </w:p>
        </w:tc>
      </w:tr>
      <w:tr>
        <w:trPr>
          <w:trHeight w:val="220" w:hRule="exact"/>
        </w:trPr>
        <w:tc>
          <w:tcPr>
            <w:tcW w:w="4966" w:type="dxa"/>
            <w:tcBorders>
              <w:top w:val="nil" w:sz="6" w:space="0" w:color="auto"/>
              <w:left w:val="nil" w:sz="6" w:space="0" w:color="auto"/>
              <w:bottom w:val="nil" w:sz="6" w:space="0" w:color="auto"/>
              <w:right w:val="nil" w:sz="6" w:space="0" w:color="auto"/>
            </w:tcBorders>
          </w:tcPr>
          <w:p>
            <w:pPr>
              <w:pStyle w:val="TableParagraph"/>
              <w:spacing w:line="206" w:lineRule="exact"/>
              <w:ind w:left="122" w:right="0"/>
              <w:jc w:val="left"/>
              <w:rPr>
                <w:rFonts w:ascii="Calibri" w:hAnsi="Calibri" w:cs="Calibri" w:eastAsia="Calibri" w:hint="default"/>
                <w:sz w:val="18"/>
                <w:szCs w:val="18"/>
              </w:rPr>
            </w:pPr>
            <w:r>
              <w:rPr>
                <w:rFonts w:ascii="Calibri" w:hAnsi="Calibri"/>
                <w:sz w:val="18"/>
              </w:rPr>
              <w:t>Curaçao has a good image for</w:t>
            </w:r>
            <w:r>
              <w:rPr>
                <w:rFonts w:ascii="Calibri" w:hAnsi="Calibri"/>
                <w:spacing w:val="-8"/>
                <w:sz w:val="18"/>
              </w:rPr>
              <w:t> </w:t>
            </w:r>
            <w:r>
              <w:rPr>
                <w:rFonts w:ascii="Calibri" w:hAnsi="Calibri"/>
                <w:sz w:val="18"/>
              </w:rPr>
              <w:t>me.</w:t>
            </w:r>
          </w:p>
        </w:tc>
        <w:tc>
          <w:tcPr>
            <w:tcW w:w="1564" w:type="dxa"/>
            <w:tcBorders>
              <w:top w:val="nil" w:sz="6" w:space="0" w:color="auto"/>
              <w:left w:val="nil" w:sz="6" w:space="0" w:color="auto"/>
              <w:bottom w:val="nil" w:sz="6" w:space="0" w:color="auto"/>
              <w:right w:val="nil" w:sz="6" w:space="0" w:color="auto"/>
            </w:tcBorders>
          </w:tcPr>
          <w:p>
            <w:pPr>
              <w:pStyle w:val="TableParagraph"/>
              <w:spacing w:line="206" w:lineRule="exact"/>
              <w:ind w:right="421"/>
              <w:jc w:val="right"/>
              <w:rPr>
                <w:rFonts w:ascii="Calibri" w:hAnsi="Calibri" w:cs="Calibri" w:eastAsia="Calibri" w:hint="default"/>
                <w:sz w:val="12"/>
                <w:szCs w:val="12"/>
              </w:rPr>
            </w:pPr>
            <w:r>
              <w:rPr>
                <w:rFonts w:ascii="Calibri"/>
                <w:b/>
                <w:spacing w:val="-1"/>
                <w:position w:val="-4"/>
                <w:sz w:val="18"/>
              </w:rPr>
              <w:t>3</w:t>
            </w:r>
            <w:r>
              <w:rPr>
                <w:rFonts w:ascii="Calibri"/>
                <w:b/>
                <w:spacing w:val="-1"/>
                <w:sz w:val="12"/>
              </w:rPr>
              <w:t>**</w:t>
            </w:r>
            <w:r>
              <w:rPr>
                <w:rFonts w:ascii="Calibri"/>
                <w:spacing w:val="-1"/>
                <w:sz w:val="12"/>
              </w:rPr>
            </w:r>
          </w:p>
        </w:tc>
        <w:tc>
          <w:tcPr>
            <w:tcW w:w="1543" w:type="dxa"/>
            <w:tcBorders>
              <w:top w:val="nil" w:sz="6" w:space="0" w:color="auto"/>
              <w:left w:val="nil" w:sz="6" w:space="0" w:color="auto"/>
              <w:bottom w:val="nil" w:sz="6" w:space="0" w:color="auto"/>
              <w:right w:val="nil" w:sz="6" w:space="0" w:color="auto"/>
            </w:tcBorders>
          </w:tcPr>
          <w:p>
            <w:pPr>
              <w:pStyle w:val="TableParagraph"/>
              <w:spacing w:line="206" w:lineRule="exact"/>
              <w:ind w:left="55" w:right="0"/>
              <w:jc w:val="center"/>
              <w:rPr>
                <w:rFonts w:ascii="Calibri" w:hAnsi="Calibri" w:cs="Calibri" w:eastAsia="Calibri" w:hint="default"/>
                <w:sz w:val="12"/>
                <w:szCs w:val="12"/>
              </w:rPr>
            </w:pPr>
            <w:r>
              <w:rPr>
                <w:rFonts w:ascii="Calibri"/>
                <w:b/>
                <w:position w:val="-4"/>
                <w:sz w:val="18"/>
              </w:rPr>
              <w:t>4</w:t>
            </w:r>
            <w:r>
              <w:rPr>
                <w:rFonts w:ascii="Calibri"/>
                <w:b/>
                <w:sz w:val="12"/>
              </w:rPr>
              <w:t>*</w:t>
            </w:r>
            <w:r>
              <w:rPr>
                <w:rFonts w:ascii="Calibri"/>
                <w:sz w:val="12"/>
              </w:rPr>
            </w:r>
          </w:p>
        </w:tc>
        <w:tc>
          <w:tcPr>
            <w:tcW w:w="1255" w:type="dxa"/>
            <w:tcBorders>
              <w:top w:val="nil" w:sz="6" w:space="0" w:color="auto"/>
              <w:left w:val="nil" w:sz="6" w:space="0" w:color="auto"/>
              <w:bottom w:val="nil" w:sz="6" w:space="0" w:color="auto"/>
              <w:right w:val="nil" w:sz="6" w:space="0" w:color="auto"/>
            </w:tcBorders>
          </w:tcPr>
          <w:p>
            <w:pPr>
              <w:pStyle w:val="TableParagraph"/>
              <w:spacing w:line="206" w:lineRule="exact"/>
              <w:ind w:right="75"/>
              <w:jc w:val="center"/>
              <w:rPr>
                <w:rFonts w:ascii="Calibri" w:hAnsi="Calibri" w:cs="Calibri" w:eastAsia="Calibri" w:hint="default"/>
                <w:sz w:val="12"/>
                <w:szCs w:val="12"/>
              </w:rPr>
            </w:pPr>
            <w:r>
              <w:rPr>
                <w:rFonts w:ascii="Calibri"/>
                <w:b/>
                <w:position w:val="-4"/>
                <w:sz w:val="18"/>
              </w:rPr>
              <w:t>4</w:t>
            </w:r>
            <w:r>
              <w:rPr>
                <w:rFonts w:ascii="Calibri"/>
                <w:b/>
                <w:sz w:val="12"/>
              </w:rPr>
              <w:t>*</w:t>
            </w:r>
            <w:r>
              <w:rPr>
                <w:rFonts w:ascii="Calibri"/>
                <w:sz w:val="12"/>
              </w:rPr>
            </w:r>
          </w:p>
        </w:tc>
      </w:tr>
      <w:tr>
        <w:trPr>
          <w:trHeight w:val="220" w:hRule="exact"/>
        </w:trPr>
        <w:tc>
          <w:tcPr>
            <w:tcW w:w="4966" w:type="dxa"/>
            <w:tcBorders>
              <w:top w:val="nil" w:sz="6" w:space="0" w:color="auto"/>
              <w:left w:val="nil" w:sz="6" w:space="0" w:color="auto"/>
              <w:bottom w:val="nil" w:sz="6" w:space="0" w:color="auto"/>
              <w:right w:val="nil" w:sz="6" w:space="0" w:color="auto"/>
            </w:tcBorders>
          </w:tcPr>
          <w:p>
            <w:pPr>
              <w:pStyle w:val="TableParagraph"/>
              <w:spacing w:line="205" w:lineRule="exact"/>
              <w:ind w:left="122" w:right="0"/>
              <w:jc w:val="left"/>
              <w:rPr>
                <w:rFonts w:ascii="Calibri" w:hAnsi="Calibri" w:cs="Calibri" w:eastAsia="Calibri" w:hint="default"/>
                <w:sz w:val="18"/>
                <w:szCs w:val="18"/>
              </w:rPr>
            </w:pPr>
            <w:r>
              <w:rPr>
                <w:rFonts w:ascii="Calibri" w:hAnsi="Calibri"/>
                <w:sz w:val="18"/>
              </w:rPr>
              <w:t>Quality of services is high in</w:t>
            </w:r>
            <w:r>
              <w:rPr>
                <w:rFonts w:ascii="Calibri" w:hAnsi="Calibri"/>
                <w:spacing w:val="-8"/>
                <w:sz w:val="18"/>
              </w:rPr>
              <w:t> </w:t>
            </w:r>
            <w:r>
              <w:rPr>
                <w:rFonts w:ascii="Calibri" w:hAnsi="Calibri"/>
                <w:sz w:val="18"/>
              </w:rPr>
              <w:t>Curaçao.</w:t>
            </w:r>
          </w:p>
        </w:tc>
        <w:tc>
          <w:tcPr>
            <w:tcW w:w="1564" w:type="dxa"/>
            <w:tcBorders>
              <w:top w:val="nil" w:sz="6" w:space="0" w:color="auto"/>
              <w:left w:val="nil" w:sz="6" w:space="0" w:color="auto"/>
              <w:bottom w:val="nil" w:sz="6" w:space="0" w:color="auto"/>
              <w:right w:val="nil" w:sz="6" w:space="0" w:color="auto"/>
            </w:tcBorders>
          </w:tcPr>
          <w:p>
            <w:pPr>
              <w:pStyle w:val="TableParagraph"/>
              <w:spacing w:line="205" w:lineRule="exact"/>
              <w:ind w:right="421"/>
              <w:jc w:val="right"/>
              <w:rPr>
                <w:rFonts w:ascii="Calibri" w:hAnsi="Calibri" w:cs="Calibri" w:eastAsia="Calibri" w:hint="default"/>
                <w:sz w:val="12"/>
                <w:szCs w:val="12"/>
              </w:rPr>
            </w:pPr>
            <w:r>
              <w:rPr>
                <w:rFonts w:ascii="Calibri"/>
                <w:b/>
                <w:spacing w:val="-1"/>
                <w:position w:val="-4"/>
                <w:sz w:val="18"/>
              </w:rPr>
              <w:t>4</w:t>
            </w:r>
            <w:r>
              <w:rPr>
                <w:rFonts w:ascii="Calibri"/>
                <w:b/>
                <w:spacing w:val="-1"/>
                <w:sz w:val="12"/>
              </w:rPr>
              <w:t>**</w:t>
            </w:r>
            <w:r>
              <w:rPr>
                <w:rFonts w:ascii="Calibri"/>
                <w:spacing w:val="-1"/>
                <w:sz w:val="12"/>
              </w:rPr>
            </w:r>
          </w:p>
        </w:tc>
        <w:tc>
          <w:tcPr>
            <w:tcW w:w="1543" w:type="dxa"/>
            <w:tcBorders>
              <w:top w:val="nil" w:sz="6" w:space="0" w:color="auto"/>
              <w:left w:val="nil" w:sz="6" w:space="0" w:color="auto"/>
              <w:bottom w:val="nil" w:sz="6" w:space="0" w:color="auto"/>
              <w:right w:val="nil" w:sz="6" w:space="0" w:color="auto"/>
            </w:tcBorders>
          </w:tcPr>
          <w:p>
            <w:pPr>
              <w:pStyle w:val="TableParagraph"/>
              <w:spacing w:line="205" w:lineRule="exact"/>
              <w:ind w:left="55" w:right="0"/>
              <w:jc w:val="center"/>
              <w:rPr>
                <w:rFonts w:ascii="Calibri" w:hAnsi="Calibri" w:cs="Calibri" w:eastAsia="Calibri" w:hint="default"/>
                <w:sz w:val="18"/>
                <w:szCs w:val="18"/>
              </w:rPr>
            </w:pPr>
            <w:r>
              <w:rPr>
                <w:rFonts w:ascii="Calibri"/>
                <w:sz w:val="18"/>
              </w:rPr>
              <w:t>-</w:t>
            </w:r>
          </w:p>
        </w:tc>
        <w:tc>
          <w:tcPr>
            <w:tcW w:w="1255" w:type="dxa"/>
            <w:tcBorders>
              <w:top w:val="nil" w:sz="6" w:space="0" w:color="auto"/>
              <w:left w:val="nil" w:sz="6" w:space="0" w:color="auto"/>
              <w:bottom w:val="nil" w:sz="6" w:space="0" w:color="auto"/>
              <w:right w:val="nil" w:sz="6" w:space="0" w:color="auto"/>
            </w:tcBorders>
          </w:tcPr>
          <w:p>
            <w:pPr>
              <w:pStyle w:val="TableParagraph"/>
              <w:spacing w:line="205" w:lineRule="exact"/>
              <w:ind w:right="75"/>
              <w:jc w:val="center"/>
              <w:rPr>
                <w:rFonts w:ascii="Calibri" w:hAnsi="Calibri" w:cs="Calibri" w:eastAsia="Calibri" w:hint="default"/>
                <w:sz w:val="18"/>
                <w:szCs w:val="18"/>
              </w:rPr>
            </w:pPr>
            <w:r>
              <w:rPr>
                <w:rFonts w:ascii="Calibri"/>
                <w:sz w:val="18"/>
              </w:rPr>
              <w:t>-</w:t>
            </w:r>
          </w:p>
        </w:tc>
      </w:tr>
      <w:tr>
        <w:trPr>
          <w:trHeight w:val="220" w:hRule="exact"/>
        </w:trPr>
        <w:tc>
          <w:tcPr>
            <w:tcW w:w="4966" w:type="dxa"/>
            <w:tcBorders>
              <w:top w:val="nil" w:sz="6" w:space="0" w:color="auto"/>
              <w:left w:val="nil" w:sz="6" w:space="0" w:color="auto"/>
              <w:bottom w:val="nil" w:sz="6" w:space="0" w:color="auto"/>
              <w:right w:val="nil" w:sz="6" w:space="0" w:color="auto"/>
            </w:tcBorders>
          </w:tcPr>
          <w:p>
            <w:pPr>
              <w:pStyle w:val="TableParagraph"/>
              <w:spacing w:line="206" w:lineRule="exact"/>
              <w:ind w:left="122" w:right="0"/>
              <w:jc w:val="left"/>
              <w:rPr>
                <w:rFonts w:ascii="Calibri" w:hAnsi="Calibri" w:cs="Calibri" w:eastAsia="Calibri" w:hint="default"/>
                <w:sz w:val="18"/>
                <w:szCs w:val="18"/>
              </w:rPr>
            </w:pPr>
            <w:r>
              <w:rPr>
                <w:rFonts w:ascii="Calibri" w:hAnsi="Calibri"/>
                <w:sz w:val="18"/>
              </w:rPr>
              <w:t>(R) A trip to Curaçao is too</w:t>
            </w:r>
            <w:r>
              <w:rPr>
                <w:rFonts w:ascii="Calibri" w:hAnsi="Calibri"/>
                <w:spacing w:val="-15"/>
                <w:sz w:val="18"/>
              </w:rPr>
              <w:t> </w:t>
            </w:r>
            <w:r>
              <w:rPr>
                <w:rFonts w:ascii="Calibri" w:hAnsi="Calibri"/>
                <w:sz w:val="18"/>
              </w:rPr>
              <w:t>expensive.</w:t>
            </w:r>
          </w:p>
        </w:tc>
        <w:tc>
          <w:tcPr>
            <w:tcW w:w="1564" w:type="dxa"/>
            <w:tcBorders>
              <w:top w:val="nil" w:sz="6" w:space="0" w:color="auto"/>
              <w:left w:val="nil" w:sz="6" w:space="0" w:color="auto"/>
              <w:bottom w:val="nil" w:sz="6" w:space="0" w:color="auto"/>
              <w:right w:val="nil" w:sz="6" w:space="0" w:color="auto"/>
            </w:tcBorders>
          </w:tcPr>
          <w:p>
            <w:pPr>
              <w:pStyle w:val="TableParagraph"/>
              <w:spacing w:line="206" w:lineRule="exact"/>
              <w:ind w:right="452"/>
              <w:jc w:val="right"/>
              <w:rPr>
                <w:rFonts w:ascii="Calibri" w:hAnsi="Calibri" w:cs="Calibri" w:eastAsia="Calibri" w:hint="default"/>
                <w:sz w:val="12"/>
                <w:szCs w:val="12"/>
              </w:rPr>
            </w:pPr>
            <w:r>
              <w:rPr>
                <w:rFonts w:ascii="Calibri"/>
                <w:b/>
                <w:spacing w:val="-1"/>
                <w:position w:val="-4"/>
                <w:sz w:val="18"/>
              </w:rPr>
              <w:t>5</w:t>
            </w:r>
            <w:r>
              <w:rPr>
                <w:rFonts w:ascii="Calibri"/>
                <w:b/>
                <w:spacing w:val="-1"/>
                <w:sz w:val="12"/>
              </w:rPr>
              <w:t>*</w:t>
            </w:r>
            <w:r>
              <w:rPr>
                <w:rFonts w:ascii="Calibri"/>
                <w:spacing w:val="-1"/>
                <w:sz w:val="12"/>
              </w:rPr>
            </w:r>
          </w:p>
        </w:tc>
        <w:tc>
          <w:tcPr>
            <w:tcW w:w="1543" w:type="dxa"/>
            <w:tcBorders>
              <w:top w:val="nil" w:sz="6" w:space="0" w:color="auto"/>
              <w:left w:val="nil" w:sz="6" w:space="0" w:color="auto"/>
              <w:bottom w:val="nil" w:sz="6" w:space="0" w:color="auto"/>
              <w:right w:val="nil" w:sz="6" w:space="0" w:color="auto"/>
            </w:tcBorders>
          </w:tcPr>
          <w:p>
            <w:pPr>
              <w:pStyle w:val="TableParagraph"/>
              <w:spacing w:line="206" w:lineRule="exact"/>
              <w:ind w:left="55" w:right="0"/>
              <w:jc w:val="center"/>
              <w:rPr>
                <w:rFonts w:ascii="Calibri" w:hAnsi="Calibri" w:cs="Calibri" w:eastAsia="Calibri" w:hint="default"/>
                <w:sz w:val="18"/>
                <w:szCs w:val="18"/>
              </w:rPr>
            </w:pPr>
            <w:r>
              <w:rPr>
                <w:rFonts w:ascii="Calibri"/>
                <w:sz w:val="18"/>
              </w:rPr>
              <w:t>-</w:t>
            </w:r>
          </w:p>
        </w:tc>
        <w:tc>
          <w:tcPr>
            <w:tcW w:w="1255" w:type="dxa"/>
            <w:tcBorders>
              <w:top w:val="nil" w:sz="6" w:space="0" w:color="auto"/>
              <w:left w:val="nil" w:sz="6" w:space="0" w:color="auto"/>
              <w:bottom w:val="nil" w:sz="6" w:space="0" w:color="auto"/>
              <w:right w:val="nil" w:sz="6" w:space="0" w:color="auto"/>
            </w:tcBorders>
          </w:tcPr>
          <w:p>
            <w:pPr>
              <w:pStyle w:val="TableParagraph"/>
              <w:spacing w:line="206" w:lineRule="exact"/>
              <w:ind w:right="75"/>
              <w:jc w:val="center"/>
              <w:rPr>
                <w:rFonts w:ascii="Calibri" w:hAnsi="Calibri" w:cs="Calibri" w:eastAsia="Calibri" w:hint="default"/>
                <w:sz w:val="12"/>
                <w:szCs w:val="12"/>
              </w:rPr>
            </w:pPr>
            <w:r>
              <w:rPr>
                <w:rFonts w:ascii="Calibri"/>
                <w:b/>
                <w:position w:val="-4"/>
                <w:sz w:val="18"/>
              </w:rPr>
              <w:t>5</w:t>
            </w:r>
            <w:r>
              <w:rPr>
                <w:rFonts w:ascii="Calibri"/>
                <w:b/>
                <w:sz w:val="12"/>
              </w:rPr>
              <w:t>*</w:t>
            </w:r>
            <w:r>
              <w:rPr>
                <w:rFonts w:ascii="Calibri"/>
                <w:sz w:val="12"/>
              </w:rPr>
            </w:r>
          </w:p>
        </w:tc>
      </w:tr>
      <w:tr>
        <w:trPr>
          <w:trHeight w:val="220" w:hRule="exact"/>
        </w:trPr>
        <w:tc>
          <w:tcPr>
            <w:tcW w:w="4966" w:type="dxa"/>
            <w:tcBorders>
              <w:top w:val="nil" w:sz="6" w:space="0" w:color="auto"/>
              <w:left w:val="nil" w:sz="6" w:space="0" w:color="auto"/>
              <w:bottom w:val="nil" w:sz="6" w:space="0" w:color="auto"/>
              <w:right w:val="nil" w:sz="6" w:space="0" w:color="auto"/>
            </w:tcBorders>
          </w:tcPr>
          <w:p>
            <w:pPr>
              <w:pStyle w:val="TableParagraph"/>
              <w:spacing w:line="205" w:lineRule="exact"/>
              <w:ind w:left="122" w:right="0"/>
              <w:jc w:val="left"/>
              <w:rPr>
                <w:rFonts w:ascii="Calibri" w:hAnsi="Calibri" w:cs="Calibri" w:eastAsia="Calibri" w:hint="default"/>
                <w:sz w:val="18"/>
                <w:szCs w:val="18"/>
              </w:rPr>
            </w:pPr>
            <w:r>
              <w:rPr>
                <w:rFonts w:ascii="Calibri" w:hAnsi="Calibri"/>
                <w:sz w:val="18"/>
              </w:rPr>
              <w:t>Curaçao is safe and</w:t>
            </w:r>
            <w:r>
              <w:rPr>
                <w:rFonts w:ascii="Calibri" w:hAnsi="Calibri"/>
                <w:spacing w:val="-8"/>
                <w:sz w:val="18"/>
              </w:rPr>
              <w:t> </w:t>
            </w:r>
            <w:r>
              <w:rPr>
                <w:rFonts w:ascii="Calibri" w:hAnsi="Calibri"/>
                <w:sz w:val="18"/>
              </w:rPr>
              <w:t>secure.</w:t>
            </w:r>
          </w:p>
        </w:tc>
        <w:tc>
          <w:tcPr>
            <w:tcW w:w="1564" w:type="dxa"/>
            <w:tcBorders>
              <w:top w:val="nil" w:sz="6" w:space="0" w:color="auto"/>
              <w:left w:val="nil" w:sz="6" w:space="0" w:color="auto"/>
              <w:bottom w:val="nil" w:sz="6" w:space="0" w:color="auto"/>
              <w:right w:val="nil" w:sz="6" w:space="0" w:color="auto"/>
            </w:tcBorders>
          </w:tcPr>
          <w:p>
            <w:pPr>
              <w:pStyle w:val="TableParagraph"/>
              <w:spacing w:line="205" w:lineRule="exact"/>
              <w:ind w:left="1006" w:right="0"/>
              <w:jc w:val="left"/>
              <w:rPr>
                <w:rFonts w:ascii="Calibri" w:hAnsi="Calibri" w:cs="Calibri" w:eastAsia="Calibri" w:hint="default"/>
                <w:sz w:val="18"/>
                <w:szCs w:val="18"/>
              </w:rPr>
            </w:pPr>
            <w:r>
              <w:rPr>
                <w:rFonts w:ascii="Calibri"/>
                <w:sz w:val="18"/>
              </w:rPr>
              <w:t>-</w:t>
            </w:r>
          </w:p>
        </w:tc>
        <w:tc>
          <w:tcPr>
            <w:tcW w:w="1543" w:type="dxa"/>
            <w:tcBorders>
              <w:top w:val="nil" w:sz="6" w:space="0" w:color="auto"/>
              <w:left w:val="nil" w:sz="6" w:space="0" w:color="auto"/>
              <w:bottom w:val="nil" w:sz="6" w:space="0" w:color="auto"/>
              <w:right w:val="nil" w:sz="6" w:space="0" w:color="auto"/>
            </w:tcBorders>
          </w:tcPr>
          <w:p>
            <w:pPr>
              <w:pStyle w:val="TableParagraph"/>
              <w:spacing w:line="205" w:lineRule="exact"/>
              <w:ind w:left="55" w:right="0"/>
              <w:jc w:val="center"/>
              <w:rPr>
                <w:rFonts w:ascii="Calibri" w:hAnsi="Calibri" w:cs="Calibri" w:eastAsia="Calibri" w:hint="default"/>
                <w:sz w:val="18"/>
                <w:szCs w:val="18"/>
              </w:rPr>
            </w:pPr>
            <w:r>
              <w:rPr>
                <w:rFonts w:ascii="Calibri"/>
                <w:sz w:val="18"/>
              </w:rPr>
              <w:t>-</w:t>
            </w:r>
          </w:p>
        </w:tc>
        <w:tc>
          <w:tcPr>
            <w:tcW w:w="1255" w:type="dxa"/>
            <w:tcBorders>
              <w:top w:val="nil" w:sz="6" w:space="0" w:color="auto"/>
              <w:left w:val="nil" w:sz="6" w:space="0" w:color="auto"/>
              <w:bottom w:val="nil" w:sz="6" w:space="0" w:color="auto"/>
              <w:right w:val="nil" w:sz="6" w:space="0" w:color="auto"/>
            </w:tcBorders>
          </w:tcPr>
          <w:p>
            <w:pPr>
              <w:pStyle w:val="TableParagraph"/>
              <w:spacing w:line="205" w:lineRule="exact"/>
              <w:ind w:right="72"/>
              <w:jc w:val="center"/>
              <w:rPr>
                <w:rFonts w:ascii="Calibri" w:hAnsi="Calibri" w:cs="Calibri" w:eastAsia="Calibri" w:hint="default"/>
                <w:sz w:val="12"/>
                <w:szCs w:val="12"/>
              </w:rPr>
            </w:pPr>
            <w:r>
              <w:rPr>
                <w:rFonts w:ascii="Calibri"/>
                <w:b/>
                <w:position w:val="-4"/>
                <w:sz w:val="18"/>
              </w:rPr>
              <w:t>1</w:t>
            </w:r>
            <w:r>
              <w:rPr>
                <w:rFonts w:ascii="Calibri"/>
                <w:b/>
                <w:sz w:val="12"/>
              </w:rPr>
              <w:t>**</w:t>
            </w:r>
            <w:r>
              <w:rPr>
                <w:rFonts w:ascii="Calibri"/>
                <w:sz w:val="12"/>
              </w:rPr>
            </w:r>
          </w:p>
        </w:tc>
      </w:tr>
      <w:tr>
        <w:trPr>
          <w:trHeight w:val="220" w:hRule="exact"/>
        </w:trPr>
        <w:tc>
          <w:tcPr>
            <w:tcW w:w="4966" w:type="dxa"/>
            <w:tcBorders>
              <w:top w:val="nil" w:sz="6" w:space="0" w:color="auto"/>
              <w:left w:val="nil" w:sz="6" w:space="0" w:color="auto"/>
              <w:bottom w:val="nil" w:sz="6" w:space="0" w:color="auto"/>
              <w:right w:val="nil" w:sz="6" w:space="0" w:color="auto"/>
            </w:tcBorders>
          </w:tcPr>
          <w:p>
            <w:pPr>
              <w:pStyle w:val="TableParagraph"/>
              <w:spacing w:line="206" w:lineRule="exact"/>
              <w:ind w:left="122" w:right="0"/>
              <w:jc w:val="left"/>
              <w:rPr>
                <w:rFonts w:ascii="Calibri" w:hAnsi="Calibri" w:cs="Calibri" w:eastAsia="Calibri" w:hint="default"/>
                <w:sz w:val="18"/>
                <w:szCs w:val="18"/>
              </w:rPr>
            </w:pPr>
            <w:r>
              <w:rPr>
                <w:rFonts w:ascii="Calibri" w:hAnsi="Calibri"/>
                <w:sz w:val="18"/>
              </w:rPr>
              <w:t>Curaçao offers attractions that I look for on a</w:t>
            </w:r>
            <w:r>
              <w:rPr>
                <w:rFonts w:ascii="Calibri" w:hAnsi="Calibri"/>
                <w:spacing w:val="-15"/>
                <w:sz w:val="18"/>
              </w:rPr>
              <w:t> </w:t>
            </w:r>
            <w:r>
              <w:rPr>
                <w:rFonts w:ascii="Calibri" w:hAnsi="Calibri"/>
                <w:sz w:val="18"/>
              </w:rPr>
              <w:t>vacation.</w:t>
            </w:r>
          </w:p>
        </w:tc>
        <w:tc>
          <w:tcPr>
            <w:tcW w:w="1564" w:type="dxa"/>
            <w:tcBorders>
              <w:top w:val="nil" w:sz="6" w:space="0" w:color="auto"/>
              <w:left w:val="nil" w:sz="6" w:space="0" w:color="auto"/>
              <w:bottom w:val="nil" w:sz="6" w:space="0" w:color="auto"/>
              <w:right w:val="nil" w:sz="6" w:space="0" w:color="auto"/>
            </w:tcBorders>
          </w:tcPr>
          <w:p>
            <w:pPr>
              <w:pStyle w:val="TableParagraph"/>
              <w:spacing w:line="206" w:lineRule="exact"/>
              <w:ind w:left="1006" w:right="0"/>
              <w:jc w:val="left"/>
              <w:rPr>
                <w:rFonts w:ascii="Calibri" w:hAnsi="Calibri" w:cs="Calibri" w:eastAsia="Calibri" w:hint="default"/>
                <w:sz w:val="18"/>
                <w:szCs w:val="18"/>
              </w:rPr>
            </w:pPr>
            <w:r>
              <w:rPr>
                <w:rFonts w:ascii="Calibri"/>
                <w:sz w:val="18"/>
              </w:rPr>
              <w:t>-</w:t>
            </w:r>
          </w:p>
        </w:tc>
        <w:tc>
          <w:tcPr>
            <w:tcW w:w="1543" w:type="dxa"/>
            <w:tcBorders>
              <w:top w:val="nil" w:sz="6" w:space="0" w:color="auto"/>
              <w:left w:val="nil" w:sz="6" w:space="0" w:color="auto"/>
              <w:bottom w:val="nil" w:sz="6" w:space="0" w:color="auto"/>
              <w:right w:val="nil" w:sz="6" w:space="0" w:color="auto"/>
            </w:tcBorders>
          </w:tcPr>
          <w:p>
            <w:pPr>
              <w:pStyle w:val="TableParagraph"/>
              <w:spacing w:line="206" w:lineRule="exact"/>
              <w:ind w:left="55" w:right="0"/>
              <w:jc w:val="center"/>
              <w:rPr>
                <w:rFonts w:ascii="Calibri" w:hAnsi="Calibri" w:cs="Calibri" w:eastAsia="Calibri" w:hint="default"/>
                <w:sz w:val="18"/>
                <w:szCs w:val="18"/>
              </w:rPr>
            </w:pPr>
            <w:r>
              <w:rPr>
                <w:rFonts w:ascii="Calibri"/>
                <w:sz w:val="18"/>
              </w:rPr>
              <w:t>-</w:t>
            </w:r>
          </w:p>
        </w:tc>
        <w:tc>
          <w:tcPr>
            <w:tcW w:w="1255" w:type="dxa"/>
            <w:tcBorders>
              <w:top w:val="nil" w:sz="6" w:space="0" w:color="auto"/>
              <w:left w:val="nil" w:sz="6" w:space="0" w:color="auto"/>
              <w:bottom w:val="nil" w:sz="6" w:space="0" w:color="auto"/>
              <w:right w:val="nil" w:sz="6" w:space="0" w:color="auto"/>
            </w:tcBorders>
          </w:tcPr>
          <w:p>
            <w:pPr>
              <w:pStyle w:val="TableParagraph"/>
              <w:spacing w:line="206" w:lineRule="exact"/>
              <w:ind w:right="75"/>
              <w:jc w:val="center"/>
              <w:rPr>
                <w:rFonts w:ascii="Calibri" w:hAnsi="Calibri" w:cs="Calibri" w:eastAsia="Calibri" w:hint="default"/>
                <w:sz w:val="12"/>
                <w:szCs w:val="12"/>
              </w:rPr>
            </w:pPr>
            <w:r>
              <w:rPr>
                <w:rFonts w:ascii="Calibri"/>
                <w:b/>
                <w:position w:val="-4"/>
                <w:sz w:val="18"/>
              </w:rPr>
              <w:t>2</w:t>
            </w:r>
            <w:r>
              <w:rPr>
                <w:rFonts w:ascii="Calibri"/>
                <w:b/>
                <w:sz w:val="12"/>
              </w:rPr>
              <w:t>*</w:t>
            </w:r>
            <w:r>
              <w:rPr>
                <w:rFonts w:ascii="Calibri"/>
                <w:sz w:val="12"/>
              </w:rPr>
            </w:r>
          </w:p>
        </w:tc>
      </w:tr>
      <w:tr>
        <w:trPr>
          <w:trHeight w:val="220" w:hRule="exact"/>
        </w:trPr>
        <w:tc>
          <w:tcPr>
            <w:tcW w:w="4966" w:type="dxa"/>
            <w:tcBorders>
              <w:top w:val="nil" w:sz="6" w:space="0" w:color="auto"/>
              <w:left w:val="nil" w:sz="6" w:space="0" w:color="auto"/>
              <w:bottom w:val="nil" w:sz="6" w:space="0" w:color="auto"/>
              <w:right w:val="nil" w:sz="6" w:space="0" w:color="auto"/>
            </w:tcBorders>
          </w:tcPr>
          <w:p>
            <w:pPr>
              <w:pStyle w:val="TableParagraph"/>
              <w:spacing w:line="205" w:lineRule="exact"/>
              <w:ind w:left="122" w:right="0"/>
              <w:jc w:val="left"/>
              <w:rPr>
                <w:rFonts w:ascii="Calibri" w:hAnsi="Calibri" w:cs="Calibri" w:eastAsia="Calibri" w:hint="default"/>
                <w:sz w:val="18"/>
                <w:szCs w:val="18"/>
              </w:rPr>
            </w:pPr>
            <w:r>
              <w:rPr>
                <w:rFonts w:ascii="Calibri" w:hAnsi="Calibri"/>
                <w:sz w:val="18"/>
              </w:rPr>
              <w:t>Curaçao has high-quality tourist</w:t>
            </w:r>
            <w:r>
              <w:rPr>
                <w:rFonts w:ascii="Calibri" w:hAnsi="Calibri"/>
                <w:spacing w:val="-13"/>
                <w:sz w:val="18"/>
              </w:rPr>
              <w:t> </w:t>
            </w:r>
            <w:r>
              <w:rPr>
                <w:rFonts w:ascii="Calibri" w:hAnsi="Calibri"/>
                <w:sz w:val="18"/>
              </w:rPr>
              <w:t>products.</w:t>
            </w:r>
          </w:p>
        </w:tc>
        <w:tc>
          <w:tcPr>
            <w:tcW w:w="1564" w:type="dxa"/>
            <w:tcBorders>
              <w:top w:val="nil" w:sz="6" w:space="0" w:color="auto"/>
              <w:left w:val="nil" w:sz="6" w:space="0" w:color="auto"/>
              <w:bottom w:val="nil" w:sz="6" w:space="0" w:color="auto"/>
              <w:right w:val="nil" w:sz="6" w:space="0" w:color="auto"/>
            </w:tcBorders>
          </w:tcPr>
          <w:p>
            <w:pPr>
              <w:pStyle w:val="TableParagraph"/>
              <w:spacing w:line="205" w:lineRule="exact"/>
              <w:ind w:left="1006" w:right="0"/>
              <w:jc w:val="left"/>
              <w:rPr>
                <w:rFonts w:ascii="Calibri" w:hAnsi="Calibri" w:cs="Calibri" w:eastAsia="Calibri" w:hint="default"/>
                <w:sz w:val="18"/>
                <w:szCs w:val="18"/>
              </w:rPr>
            </w:pPr>
            <w:r>
              <w:rPr>
                <w:rFonts w:ascii="Calibri"/>
                <w:sz w:val="18"/>
              </w:rPr>
              <w:t>-</w:t>
            </w:r>
          </w:p>
        </w:tc>
        <w:tc>
          <w:tcPr>
            <w:tcW w:w="1543" w:type="dxa"/>
            <w:tcBorders>
              <w:top w:val="nil" w:sz="6" w:space="0" w:color="auto"/>
              <w:left w:val="nil" w:sz="6" w:space="0" w:color="auto"/>
              <w:bottom w:val="nil" w:sz="6" w:space="0" w:color="auto"/>
              <w:right w:val="nil" w:sz="6" w:space="0" w:color="auto"/>
            </w:tcBorders>
          </w:tcPr>
          <w:p>
            <w:pPr>
              <w:pStyle w:val="TableParagraph"/>
              <w:spacing w:line="205" w:lineRule="exact"/>
              <w:ind w:left="55" w:right="0"/>
              <w:jc w:val="center"/>
              <w:rPr>
                <w:rFonts w:ascii="Calibri" w:hAnsi="Calibri" w:cs="Calibri" w:eastAsia="Calibri" w:hint="default"/>
                <w:sz w:val="18"/>
                <w:szCs w:val="18"/>
              </w:rPr>
            </w:pPr>
            <w:r>
              <w:rPr>
                <w:rFonts w:ascii="Calibri"/>
                <w:sz w:val="18"/>
              </w:rPr>
              <w:t>-</w:t>
            </w:r>
          </w:p>
        </w:tc>
        <w:tc>
          <w:tcPr>
            <w:tcW w:w="1255" w:type="dxa"/>
            <w:tcBorders>
              <w:top w:val="nil" w:sz="6" w:space="0" w:color="auto"/>
              <w:left w:val="nil" w:sz="6" w:space="0" w:color="auto"/>
              <w:bottom w:val="nil" w:sz="6" w:space="0" w:color="auto"/>
              <w:right w:val="nil" w:sz="6" w:space="0" w:color="auto"/>
            </w:tcBorders>
          </w:tcPr>
          <w:p>
            <w:pPr>
              <w:pStyle w:val="TableParagraph"/>
              <w:spacing w:line="205" w:lineRule="exact"/>
              <w:ind w:right="75"/>
              <w:jc w:val="center"/>
              <w:rPr>
                <w:rFonts w:ascii="Calibri" w:hAnsi="Calibri" w:cs="Calibri" w:eastAsia="Calibri" w:hint="default"/>
                <w:sz w:val="12"/>
                <w:szCs w:val="12"/>
              </w:rPr>
            </w:pPr>
            <w:r>
              <w:rPr>
                <w:rFonts w:ascii="Calibri"/>
                <w:b/>
                <w:position w:val="-4"/>
                <w:sz w:val="18"/>
              </w:rPr>
              <w:t>3</w:t>
            </w:r>
            <w:r>
              <w:rPr>
                <w:rFonts w:ascii="Calibri"/>
                <w:b/>
                <w:sz w:val="12"/>
              </w:rPr>
              <w:t>*</w:t>
            </w:r>
            <w:r>
              <w:rPr>
                <w:rFonts w:ascii="Calibri"/>
                <w:sz w:val="12"/>
              </w:rPr>
            </w:r>
          </w:p>
        </w:tc>
      </w:tr>
      <w:tr>
        <w:trPr>
          <w:trHeight w:val="213" w:hRule="exact"/>
        </w:trPr>
        <w:tc>
          <w:tcPr>
            <w:tcW w:w="4966" w:type="dxa"/>
            <w:tcBorders>
              <w:top w:val="nil" w:sz="6" w:space="0" w:color="auto"/>
              <w:left w:val="nil" w:sz="6" w:space="0" w:color="auto"/>
              <w:bottom w:val="single" w:sz="4" w:space="0" w:color="000000"/>
              <w:right w:val="nil" w:sz="6" w:space="0" w:color="auto"/>
            </w:tcBorders>
          </w:tcPr>
          <w:p>
            <w:pPr>
              <w:pStyle w:val="TableParagraph"/>
              <w:spacing w:line="206" w:lineRule="exact"/>
              <w:ind w:left="122" w:right="0"/>
              <w:jc w:val="left"/>
              <w:rPr>
                <w:rFonts w:ascii="Calibri" w:hAnsi="Calibri" w:cs="Calibri" w:eastAsia="Calibri" w:hint="default"/>
                <w:sz w:val="18"/>
                <w:szCs w:val="18"/>
              </w:rPr>
            </w:pPr>
            <w:r>
              <w:rPr>
                <w:rFonts w:ascii="Calibri" w:hAnsi="Calibri"/>
                <w:sz w:val="18"/>
              </w:rPr>
              <w:t>Curaçao offers activities that I look for on a</w:t>
            </w:r>
            <w:r>
              <w:rPr>
                <w:rFonts w:ascii="Calibri" w:hAnsi="Calibri"/>
                <w:spacing w:val="-13"/>
                <w:sz w:val="18"/>
              </w:rPr>
              <w:t> </w:t>
            </w:r>
            <w:r>
              <w:rPr>
                <w:rFonts w:ascii="Calibri" w:hAnsi="Calibri"/>
                <w:sz w:val="18"/>
              </w:rPr>
              <w:t>vacation.</w:t>
            </w:r>
          </w:p>
        </w:tc>
        <w:tc>
          <w:tcPr>
            <w:tcW w:w="1564" w:type="dxa"/>
            <w:tcBorders>
              <w:top w:val="nil" w:sz="6" w:space="0" w:color="auto"/>
              <w:left w:val="nil" w:sz="6" w:space="0" w:color="auto"/>
              <w:bottom w:val="single" w:sz="4" w:space="0" w:color="000000"/>
              <w:right w:val="nil" w:sz="6" w:space="0" w:color="auto"/>
            </w:tcBorders>
          </w:tcPr>
          <w:p>
            <w:pPr>
              <w:pStyle w:val="TableParagraph"/>
              <w:spacing w:line="206" w:lineRule="exact"/>
              <w:ind w:left="1006" w:right="0"/>
              <w:jc w:val="left"/>
              <w:rPr>
                <w:rFonts w:ascii="Calibri" w:hAnsi="Calibri" w:cs="Calibri" w:eastAsia="Calibri" w:hint="default"/>
                <w:sz w:val="18"/>
                <w:szCs w:val="18"/>
              </w:rPr>
            </w:pPr>
            <w:r>
              <w:rPr>
                <w:rFonts w:ascii="Calibri"/>
                <w:sz w:val="18"/>
              </w:rPr>
              <w:t>-</w:t>
            </w:r>
          </w:p>
        </w:tc>
        <w:tc>
          <w:tcPr>
            <w:tcW w:w="1543" w:type="dxa"/>
            <w:tcBorders>
              <w:top w:val="nil" w:sz="6" w:space="0" w:color="auto"/>
              <w:left w:val="nil" w:sz="6" w:space="0" w:color="auto"/>
              <w:bottom w:val="single" w:sz="4" w:space="0" w:color="000000"/>
              <w:right w:val="nil" w:sz="6" w:space="0" w:color="auto"/>
            </w:tcBorders>
          </w:tcPr>
          <w:p>
            <w:pPr>
              <w:pStyle w:val="TableParagraph"/>
              <w:spacing w:line="206" w:lineRule="exact"/>
              <w:ind w:left="57" w:right="0"/>
              <w:jc w:val="center"/>
              <w:rPr>
                <w:rFonts w:ascii="Calibri" w:hAnsi="Calibri" w:cs="Calibri" w:eastAsia="Calibri" w:hint="default"/>
                <w:sz w:val="12"/>
                <w:szCs w:val="12"/>
              </w:rPr>
            </w:pPr>
            <w:r>
              <w:rPr>
                <w:rFonts w:ascii="Calibri"/>
                <w:b/>
                <w:position w:val="-4"/>
                <w:sz w:val="18"/>
              </w:rPr>
              <w:t>2</w:t>
            </w:r>
            <w:r>
              <w:rPr>
                <w:rFonts w:ascii="Calibri"/>
                <w:b/>
                <w:sz w:val="12"/>
              </w:rPr>
              <w:t>**</w:t>
            </w:r>
            <w:r>
              <w:rPr>
                <w:rFonts w:ascii="Calibri"/>
                <w:sz w:val="12"/>
              </w:rPr>
            </w:r>
          </w:p>
        </w:tc>
        <w:tc>
          <w:tcPr>
            <w:tcW w:w="1255" w:type="dxa"/>
            <w:tcBorders>
              <w:top w:val="nil" w:sz="6" w:space="0" w:color="auto"/>
              <w:left w:val="nil" w:sz="6" w:space="0" w:color="auto"/>
              <w:bottom w:val="single" w:sz="4" w:space="0" w:color="000000"/>
              <w:right w:val="nil" w:sz="6" w:space="0" w:color="auto"/>
            </w:tcBorders>
          </w:tcPr>
          <w:p>
            <w:pPr>
              <w:pStyle w:val="TableParagraph"/>
              <w:spacing w:line="206" w:lineRule="exact"/>
              <w:ind w:right="75"/>
              <w:jc w:val="center"/>
              <w:rPr>
                <w:rFonts w:ascii="Calibri" w:hAnsi="Calibri" w:cs="Calibri" w:eastAsia="Calibri" w:hint="default"/>
                <w:sz w:val="18"/>
                <w:szCs w:val="18"/>
              </w:rPr>
            </w:pPr>
            <w:r>
              <w:rPr>
                <w:rFonts w:ascii="Calibri"/>
                <w:sz w:val="18"/>
              </w:rPr>
              <w:t>-</w:t>
            </w:r>
          </w:p>
        </w:tc>
      </w:tr>
    </w:tbl>
    <w:p>
      <w:pPr>
        <w:spacing w:line="240" w:lineRule="auto" w:before="12"/>
        <w:ind w:right="0"/>
        <w:rPr>
          <w:rFonts w:ascii="Calibri" w:hAnsi="Calibri" w:cs="Calibri" w:eastAsia="Calibri" w:hint="default"/>
          <w:b/>
          <w:bCs/>
          <w:sz w:val="19"/>
          <w:szCs w:val="19"/>
        </w:rPr>
      </w:pPr>
    </w:p>
    <w:p>
      <w:pPr>
        <w:pStyle w:val="Heading2"/>
        <w:spacing w:line="240" w:lineRule="auto"/>
        <w:ind w:right="0"/>
        <w:jc w:val="both"/>
        <w:rPr>
          <w:b w:val="0"/>
          <w:bCs w:val="0"/>
        </w:rPr>
      </w:pPr>
      <w:bookmarkStart w:name="_bookmark41" w:id="42"/>
      <w:bookmarkEnd w:id="42"/>
      <w:r>
        <w:rPr>
          <w:b w:val="0"/>
        </w:rPr>
      </w:r>
      <w:r>
        <w:rPr/>
        <w:t>Perception Cruise</w:t>
      </w:r>
      <w:r>
        <w:rPr>
          <w:spacing w:val="-16"/>
        </w:rPr>
        <w:t> </w:t>
      </w:r>
      <w:r>
        <w:rPr/>
        <w:t>Visitors</w:t>
      </w:r>
      <w:r>
        <w:rPr>
          <w:b w:val="0"/>
        </w:rPr>
      </w:r>
    </w:p>
    <w:p>
      <w:pPr>
        <w:pStyle w:val="BodyText"/>
        <w:spacing w:line="240" w:lineRule="auto" w:before="191"/>
        <w:ind w:right="1440"/>
        <w:jc w:val="both"/>
      </w:pPr>
      <w:r>
        <w:rPr/>
        <w:t>Curaçao</w:t>
      </w:r>
      <w:r>
        <w:rPr>
          <w:spacing w:val="-6"/>
        </w:rPr>
        <w:t> </w:t>
      </w:r>
      <w:r>
        <w:rPr>
          <w:rFonts w:ascii="Calibri" w:hAnsi="Calibri" w:cs="Calibri" w:eastAsia="Calibri" w:hint="default"/>
        </w:rPr>
        <w:t>has</w:t>
      </w:r>
      <w:r>
        <w:rPr>
          <w:rFonts w:ascii="Calibri" w:hAnsi="Calibri" w:cs="Calibri" w:eastAsia="Calibri" w:hint="default"/>
          <w:spacing w:val="-7"/>
        </w:rPr>
        <w:t> </w:t>
      </w:r>
      <w:r>
        <w:rPr>
          <w:rFonts w:ascii="Calibri" w:hAnsi="Calibri" w:cs="Calibri" w:eastAsia="Calibri" w:hint="default"/>
        </w:rPr>
        <w:t>experienced</w:t>
      </w:r>
      <w:r>
        <w:rPr>
          <w:rFonts w:ascii="Calibri" w:hAnsi="Calibri" w:cs="Calibri" w:eastAsia="Calibri" w:hint="default"/>
          <w:spacing w:val="-4"/>
        </w:rPr>
        <w:t> </w:t>
      </w:r>
      <w:r>
        <w:rPr>
          <w:rFonts w:ascii="Calibri" w:hAnsi="Calibri" w:cs="Calibri" w:eastAsia="Calibri" w:hint="default"/>
        </w:rPr>
        <w:t>strong</w:t>
      </w:r>
      <w:r>
        <w:rPr>
          <w:rFonts w:ascii="Calibri" w:hAnsi="Calibri" w:cs="Calibri" w:eastAsia="Calibri" w:hint="default"/>
          <w:spacing w:val="-7"/>
        </w:rPr>
        <w:t> </w:t>
      </w:r>
      <w:r>
        <w:rPr>
          <w:rFonts w:ascii="Calibri" w:hAnsi="Calibri" w:cs="Calibri" w:eastAsia="Calibri" w:hint="default"/>
        </w:rPr>
        <w:t>growth</w:t>
      </w:r>
      <w:r>
        <w:rPr>
          <w:rFonts w:ascii="Calibri" w:hAnsi="Calibri" w:cs="Calibri" w:eastAsia="Calibri" w:hint="default"/>
          <w:spacing w:val="-6"/>
        </w:rPr>
        <w:t> </w:t>
      </w:r>
      <w:r>
        <w:rPr>
          <w:rFonts w:ascii="Calibri" w:hAnsi="Calibri" w:cs="Calibri" w:eastAsia="Calibri" w:hint="default"/>
        </w:rPr>
        <w:t>in</w:t>
      </w:r>
      <w:r>
        <w:rPr>
          <w:rFonts w:ascii="Calibri" w:hAnsi="Calibri" w:cs="Calibri" w:eastAsia="Calibri" w:hint="default"/>
          <w:spacing w:val="-6"/>
        </w:rPr>
        <w:t> </w:t>
      </w:r>
      <w:r>
        <w:rPr>
          <w:rFonts w:ascii="Calibri" w:hAnsi="Calibri" w:cs="Calibri" w:eastAsia="Calibri" w:hint="default"/>
        </w:rPr>
        <w:t>its</w:t>
      </w:r>
      <w:r>
        <w:rPr>
          <w:rFonts w:ascii="Calibri" w:hAnsi="Calibri" w:cs="Calibri" w:eastAsia="Calibri" w:hint="default"/>
          <w:spacing w:val="-8"/>
        </w:rPr>
        <w:t> </w:t>
      </w:r>
      <w:r>
        <w:rPr>
          <w:rFonts w:ascii="Calibri" w:hAnsi="Calibri" w:cs="Calibri" w:eastAsia="Calibri" w:hint="default"/>
        </w:rPr>
        <w:t>cruise</w:t>
      </w:r>
      <w:r>
        <w:rPr>
          <w:rFonts w:ascii="Calibri" w:hAnsi="Calibri" w:cs="Calibri" w:eastAsia="Calibri" w:hint="default"/>
          <w:spacing w:val="-8"/>
        </w:rPr>
        <w:t> </w:t>
      </w:r>
      <w:r>
        <w:rPr>
          <w:rFonts w:ascii="Calibri" w:hAnsi="Calibri" w:cs="Calibri" w:eastAsia="Calibri" w:hint="default"/>
        </w:rPr>
        <w:t>business</w:t>
      </w:r>
      <w:r>
        <w:rPr>
          <w:rFonts w:ascii="Calibri" w:hAnsi="Calibri" w:cs="Calibri" w:eastAsia="Calibri" w:hint="default"/>
          <w:spacing w:val="-8"/>
        </w:rPr>
        <w:t> </w:t>
      </w:r>
      <w:r>
        <w:rPr>
          <w:rFonts w:ascii="Calibri" w:hAnsi="Calibri" w:cs="Calibri" w:eastAsia="Calibri" w:hint="default"/>
        </w:rPr>
        <w:t>in</w:t>
      </w:r>
      <w:r>
        <w:rPr>
          <w:rFonts w:ascii="Calibri" w:hAnsi="Calibri" w:cs="Calibri" w:eastAsia="Calibri" w:hint="default"/>
          <w:spacing w:val="-6"/>
        </w:rPr>
        <w:t> </w:t>
      </w:r>
      <w:r>
        <w:rPr>
          <w:rFonts w:ascii="Calibri" w:hAnsi="Calibri" w:cs="Calibri" w:eastAsia="Calibri" w:hint="default"/>
        </w:rPr>
        <w:t>the</w:t>
      </w:r>
      <w:r>
        <w:rPr>
          <w:rFonts w:ascii="Calibri" w:hAnsi="Calibri" w:cs="Calibri" w:eastAsia="Calibri" w:hint="default"/>
          <w:spacing w:val="-8"/>
        </w:rPr>
        <w:t> </w:t>
      </w:r>
      <w:r>
        <w:rPr>
          <w:rFonts w:ascii="Calibri" w:hAnsi="Calibri" w:cs="Calibri" w:eastAsia="Calibri" w:hint="default"/>
        </w:rPr>
        <w:t>past</w:t>
      </w:r>
      <w:r>
        <w:rPr>
          <w:rFonts w:ascii="Calibri" w:hAnsi="Calibri" w:cs="Calibri" w:eastAsia="Calibri" w:hint="default"/>
          <w:spacing w:val="-7"/>
        </w:rPr>
        <w:t> </w:t>
      </w:r>
      <w:r>
        <w:rPr>
          <w:rFonts w:ascii="Calibri" w:hAnsi="Calibri" w:cs="Calibri" w:eastAsia="Calibri" w:hint="default"/>
        </w:rPr>
        <w:t>fifteen</w:t>
      </w:r>
      <w:r>
        <w:rPr>
          <w:rFonts w:ascii="Calibri" w:hAnsi="Calibri" w:cs="Calibri" w:eastAsia="Calibri" w:hint="default"/>
          <w:spacing w:val="-6"/>
        </w:rPr>
        <w:t> </w:t>
      </w:r>
      <w:r>
        <w:rPr>
          <w:rFonts w:ascii="Calibri" w:hAnsi="Calibri" w:cs="Calibri" w:eastAsia="Calibri" w:hint="default"/>
        </w:rPr>
        <w:t>years.</w:t>
      </w:r>
      <w:r>
        <w:rPr>
          <w:rFonts w:ascii="Calibri" w:hAnsi="Calibri" w:cs="Calibri" w:eastAsia="Calibri" w:hint="default"/>
          <w:spacing w:val="-7"/>
        </w:rPr>
        <w:t> </w:t>
      </w:r>
      <w:r>
        <w:rPr>
          <w:rFonts w:ascii="Calibri" w:hAnsi="Calibri" w:cs="Calibri" w:eastAsia="Calibri" w:hint="default"/>
        </w:rPr>
        <w:t>Growth</w:t>
      </w:r>
      <w:r>
        <w:rPr>
          <w:rFonts w:ascii="Calibri" w:hAnsi="Calibri" w:cs="Calibri" w:eastAsia="Calibri" w:hint="default"/>
          <w:spacing w:val="-6"/>
        </w:rPr>
        <w:t> </w:t>
      </w:r>
      <w:r>
        <w:rPr>
          <w:rFonts w:ascii="Calibri" w:hAnsi="Calibri" w:cs="Calibri" w:eastAsia="Calibri" w:hint="default"/>
        </w:rPr>
        <w:t>in</w:t>
      </w:r>
      <w:r>
        <w:rPr>
          <w:rFonts w:ascii="Calibri" w:hAnsi="Calibri" w:cs="Calibri" w:eastAsia="Calibri" w:hint="default"/>
          <w:spacing w:val="-6"/>
        </w:rPr>
        <w:t> </w:t>
      </w:r>
      <w:r>
        <w:rPr>
          <w:rFonts w:ascii="Calibri" w:hAnsi="Calibri" w:cs="Calibri" w:eastAsia="Calibri" w:hint="default"/>
        </w:rPr>
        <w:t>passengers’</w:t>
      </w:r>
      <w:r>
        <w:rPr>
          <w:rFonts w:ascii="Calibri" w:hAnsi="Calibri" w:cs="Calibri" w:eastAsia="Calibri" w:hint="default"/>
          <w:spacing w:val="-6"/>
        </w:rPr>
        <w:t> </w:t>
      </w:r>
      <w:r>
        <w:rPr>
          <w:rFonts w:ascii="Calibri" w:hAnsi="Calibri" w:cs="Calibri" w:eastAsia="Calibri" w:hint="default"/>
        </w:rPr>
        <w:t>arrivals </w:t>
      </w:r>
      <w:r>
        <w:rPr>
          <w:rFonts w:ascii="Calibri" w:hAnsi="Calibri" w:cs="Calibri" w:eastAsia="Calibri" w:hint="default"/>
        </w:rPr>
      </w:r>
      <w:r>
        <w:rPr/>
        <w:t>averaged 6% per year, following the positive trend of the cruise industry in the Caribbean. Passenger production projection from North America alone is poised to increase from 16.7 million in 2015 to 19.8 million in 2020, underlying the cruise industry potential for Curaçao.</w:t>
      </w:r>
      <w:r>
        <w:rPr>
          <w:position w:val="5"/>
          <w:sz w:val="12"/>
          <w:szCs w:val="12"/>
        </w:rPr>
        <w:t>17 </w:t>
      </w:r>
      <w:r>
        <w:rPr/>
        <w:t>Given the prominence of this industry subsector, the DPITS </w:t>
      </w:r>
      <w:r>
        <w:rPr/>
        <w:t>conducted a survey among cruise passengers and crew members in the months of January to March, 2015. The survey aimed to estimate the economic impact of the subsector, the level of satisfaction and intention to return to the island. A total of 897 cruise surveys were collected at the</w:t>
      </w:r>
      <w:r>
        <w:rPr>
          <w:spacing w:val="-19"/>
        </w:rPr>
        <w:t> </w:t>
      </w:r>
      <w:r>
        <w:rPr/>
        <w:t>harbor.</w:t>
      </w:r>
    </w:p>
    <w:p>
      <w:pPr>
        <w:pStyle w:val="BodyText"/>
        <w:spacing w:line="240" w:lineRule="auto" w:before="161"/>
        <w:ind w:right="1434"/>
        <w:jc w:val="both"/>
      </w:pPr>
      <w:r>
        <w:rPr/>
        <w:t>Of the 897 cruise survey respondents, the majority of passengers who visited Curaçao were experienced cruise travelers. Three out of four respondents had been on a cruise before, enjoy a high income (60% had an annual income of more than US$75,000), and the majority of respondents were familiar with Curaçao. Two-thirds of the respondents had previously visited Curaçao via a cruise. Four out of ten respondents were from the United States, while 11% were from Latin American countries (i.e. Argentina, Brazil, Colombia and Venezuela). Nearly 8% of respondents were from Europe with the majority being from</w:t>
      </w:r>
      <w:r>
        <w:rPr>
          <w:spacing w:val="-21"/>
        </w:rPr>
        <w:t> </w:t>
      </w:r>
      <w:r>
        <w:rPr/>
        <w:t>Germany.</w:t>
      </w:r>
    </w:p>
    <w:p>
      <w:pPr>
        <w:pStyle w:val="BodyText"/>
        <w:spacing w:line="240" w:lineRule="auto" w:before="161"/>
        <w:ind w:right="1435"/>
        <w:jc w:val="both"/>
      </w:pPr>
      <w:r>
        <w:rPr/>
        <w:t>Cruise passengers seem satisfied with their experience while on the island. The drivers of the satisfaction level are variety in shopping (p=0.017) and friendliness of the local people (p=0.025). The recommendation to visit Curaçao depends on the amount of time visitors spend on the island (p=0.011). In other words, the longer cruise visitors spend on the island, the more likely they are to recommend Curaçao as a vacation destination. One of five respondents</w:t>
      </w:r>
      <w:r>
        <w:rPr>
          <w:spacing w:val="-8"/>
        </w:rPr>
        <w:t> </w:t>
      </w:r>
      <w:r>
        <w:rPr/>
        <w:t>indicated</w:t>
      </w:r>
      <w:r>
        <w:rPr>
          <w:spacing w:val="-7"/>
        </w:rPr>
        <w:t> </w:t>
      </w:r>
      <w:r>
        <w:rPr/>
        <w:t>that</w:t>
      </w:r>
      <w:r>
        <w:rPr>
          <w:spacing w:val="-7"/>
        </w:rPr>
        <w:t> </w:t>
      </w:r>
      <w:r>
        <w:rPr/>
        <w:t>they</w:t>
      </w:r>
      <w:r>
        <w:rPr>
          <w:spacing w:val="-7"/>
        </w:rPr>
        <w:t> </w:t>
      </w:r>
      <w:r>
        <w:rPr/>
        <w:t>were</w:t>
      </w:r>
      <w:r>
        <w:rPr>
          <w:spacing w:val="-9"/>
        </w:rPr>
        <w:t> </w:t>
      </w:r>
      <w:r>
        <w:rPr/>
        <w:t>extremely</w:t>
      </w:r>
      <w:r>
        <w:rPr>
          <w:spacing w:val="-7"/>
        </w:rPr>
        <w:t> </w:t>
      </w:r>
      <w:r>
        <w:rPr/>
        <w:t>likely</w:t>
      </w:r>
      <w:r>
        <w:rPr>
          <w:spacing w:val="-7"/>
        </w:rPr>
        <w:t> </w:t>
      </w:r>
      <w:r>
        <w:rPr/>
        <w:t>to</w:t>
      </w:r>
      <w:r>
        <w:rPr>
          <w:spacing w:val="-7"/>
        </w:rPr>
        <w:t> </w:t>
      </w:r>
      <w:r>
        <w:rPr/>
        <w:t>return</w:t>
      </w:r>
      <w:r>
        <w:rPr>
          <w:spacing w:val="-7"/>
        </w:rPr>
        <w:t> </w:t>
      </w:r>
      <w:r>
        <w:rPr/>
        <w:t>to</w:t>
      </w:r>
      <w:r>
        <w:rPr>
          <w:spacing w:val="-1"/>
        </w:rPr>
        <w:t> </w:t>
      </w:r>
      <w:r>
        <w:rPr/>
        <w:t>Curaçao</w:t>
      </w:r>
      <w:r>
        <w:rPr>
          <w:spacing w:val="-7"/>
        </w:rPr>
        <w:t> </w:t>
      </w:r>
      <w:r>
        <w:rPr/>
        <w:t>for</w:t>
      </w:r>
      <w:r>
        <w:rPr>
          <w:spacing w:val="-8"/>
        </w:rPr>
        <w:t> </w:t>
      </w:r>
      <w:r>
        <w:rPr/>
        <w:t>a</w:t>
      </w:r>
      <w:r>
        <w:rPr>
          <w:spacing w:val="-7"/>
        </w:rPr>
        <w:t> </w:t>
      </w:r>
      <w:r>
        <w:rPr/>
        <w:t>non-cruise</w:t>
      </w:r>
      <w:r>
        <w:rPr>
          <w:spacing w:val="-9"/>
        </w:rPr>
        <w:t> </w:t>
      </w:r>
      <w:r>
        <w:rPr/>
        <w:t>vacation</w:t>
      </w:r>
      <w:r>
        <w:rPr>
          <w:spacing w:val="-5"/>
        </w:rPr>
        <w:t> </w:t>
      </w:r>
      <w:r>
        <w:rPr/>
        <w:t>within</w:t>
      </w:r>
      <w:r>
        <w:rPr>
          <w:spacing w:val="-7"/>
        </w:rPr>
        <w:t> </w:t>
      </w:r>
      <w:r>
        <w:rPr/>
        <w:t>the</w:t>
      </w:r>
      <w:r>
        <w:rPr>
          <w:spacing w:val="-9"/>
        </w:rPr>
        <w:t> </w:t>
      </w:r>
      <w:r>
        <w:rPr/>
        <w:t>next </w:t>
      </w:r>
      <w:r>
        <w:rPr/>
        <w:t>three years. And, more than 25% of respondents indicated that a non-cruise vacation to Curaçao is worth the time and</w:t>
      </w:r>
      <w:r>
        <w:rPr>
          <w:spacing w:val="-5"/>
        </w:rPr>
        <w:t> </w:t>
      </w:r>
      <w:r>
        <w:rPr/>
        <w:t>money.</w:t>
      </w:r>
      <w:r>
        <w:rPr>
          <w:spacing w:val="-4"/>
        </w:rPr>
        <w:t> </w:t>
      </w:r>
      <w:r>
        <w:rPr/>
        <w:t>Cruise</w:t>
      </w:r>
      <w:r>
        <w:rPr>
          <w:spacing w:val="-6"/>
        </w:rPr>
        <w:t> </w:t>
      </w:r>
      <w:r>
        <w:rPr/>
        <w:t>visitors</w:t>
      </w:r>
      <w:r>
        <w:rPr>
          <w:spacing w:val="-6"/>
        </w:rPr>
        <w:t> </w:t>
      </w:r>
      <w:r>
        <w:rPr/>
        <w:t>are</w:t>
      </w:r>
      <w:r>
        <w:rPr>
          <w:spacing w:val="-4"/>
        </w:rPr>
        <w:t> </w:t>
      </w:r>
      <w:r>
        <w:rPr/>
        <w:t>impressed</w:t>
      </w:r>
      <w:r>
        <w:rPr>
          <w:spacing w:val="-5"/>
        </w:rPr>
        <w:t> </w:t>
      </w:r>
      <w:r>
        <w:rPr/>
        <w:t>by</w:t>
      </w:r>
      <w:r>
        <w:rPr>
          <w:spacing w:val="-5"/>
        </w:rPr>
        <w:t> </w:t>
      </w:r>
      <w:r>
        <w:rPr/>
        <w:t>the</w:t>
      </w:r>
      <w:r>
        <w:rPr>
          <w:spacing w:val="-6"/>
        </w:rPr>
        <w:t> </w:t>
      </w:r>
      <w:r>
        <w:rPr/>
        <w:t>variety</w:t>
      </w:r>
      <w:r>
        <w:rPr>
          <w:spacing w:val="-4"/>
        </w:rPr>
        <w:t> </w:t>
      </w:r>
      <w:r>
        <w:rPr/>
        <w:t>of</w:t>
      </w:r>
      <w:r>
        <w:rPr>
          <w:spacing w:val="-6"/>
        </w:rPr>
        <w:t> </w:t>
      </w:r>
      <w:r>
        <w:rPr/>
        <w:t>offerings</w:t>
      </w:r>
      <w:r>
        <w:rPr>
          <w:spacing w:val="-6"/>
        </w:rPr>
        <w:t> </w:t>
      </w:r>
      <w:r>
        <w:rPr/>
        <w:t>(things</w:t>
      </w:r>
      <w:r>
        <w:rPr>
          <w:spacing w:val="-7"/>
        </w:rPr>
        <w:t> </w:t>
      </w:r>
      <w:r>
        <w:rPr/>
        <w:t>to</w:t>
      </w:r>
      <w:r>
        <w:rPr>
          <w:spacing w:val="-5"/>
        </w:rPr>
        <w:t> </w:t>
      </w:r>
      <w:r>
        <w:rPr/>
        <w:t>do),</w:t>
      </w:r>
      <w:r>
        <w:rPr>
          <w:spacing w:val="-5"/>
        </w:rPr>
        <w:t> </w:t>
      </w:r>
      <w:r>
        <w:rPr/>
        <w:t>and</w:t>
      </w:r>
      <w:r>
        <w:rPr>
          <w:spacing w:val="-5"/>
        </w:rPr>
        <w:t> </w:t>
      </w:r>
      <w:r>
        <w:rPr/>
        <w:t>the</w:t>
      </w:r>
      <w:r>
        <w:rPr>
          <w:spacing w:val="-9"/>
        </w:rPr>
        <w:t> </w:t>
      </w:r>
      <w:r>
        <w:rPr/>
        <w:t>opportunity</w:t>
      </w:r>
      <w:r>
        <w:rPr>
          <w:spacing w:val="-7"/>
        </w:rPr>
        <w:t> </w:t>
      </w:r>
      <w:r>
        <w:rPr/>
        <w:t>to</w:t>
      </w:r>
      <w:r>
        <w:rPr>
          <w:spacing w:val="-5"/>
        </w:rPr>
        <w:t> </w:t>
      </w:r>
      <w:r>
        <w:rPr/>
        <w:t>shop</w:t>
      </w:r>
      <w:r>
        <w:rPr>
          <w:spacing w:val="-5"/>
        </w:rPr>
        <w:t> </w:t>
      </w:r>
      <w:r>
        <w:rPr/>
        <w:t>duty</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8"/>
        <w:ind w:right="0"/>
        <w:rPr>
          <w:rFonts w:ascii="Calibri" w:hAnsi="Calibri" w:cs="Calibri" w:eastAsia="Calibri" w:hint="default"/>
          <w:sz w:val="11"/>
          <w:szCs w:val="11"/>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before="91"/>
        <w:ind w:left="1440" w:right="0" w:firstLine="0"/>
        <w:jc w:val="left"/>
        <w:rPr>
          <w:rFonts w:ascii="Calibri" w:hAnsi="Calibri" w:cs="Calibri" w:eastAsia="Calibri" w:hint="default"/>
          <w:sz w:val="16"/>
          <w:szCs w:val="16"/>
        </w:rPr>
      </w:pPr>
      <w:r>
        <w:rPr>
          <w:rFonts w:ascii="Calibri"/>
          <w:position w:val="5"/>
          <w:sz w:val="12"/>
        </w:rPr>
        <w:t>16 </w:t>
      </w:r>
      <w:r>
        <w:rPr>
          <w:rFonts w:ascii="Calibri"/>
          <w:sz w:val="16"/>
        </w:rPr>
        <w:t>Note: *=p&lt;.10, **=p&lt;.05,</w:t>
      </w:r>
      <w:r>
        <w:rPr>
          <w:rFonts w:ascii="Calibri"/>
          <w:spacing w:val="-15"/>
          <w:sz w:val="16"/>
        </w:rPr>
        <w:t> </w:t>
      </w:r>
      <w:r>
        <w:rPr>
          <w:rFonts w:ascii="Calibri"/>
          <w:sz w:val="16"/>
        </w:rPr>
        <w:t>***=p&lt;.01</w:t>
      </w:r>
    </w:p>
    <w:p>
      <w:pPr>
        <w:spacing w:before="11"/>
        <w:ind w:left="1440" w:right="0" w:firstLine="0"/>
        <w:jc w:val="left"/>
        <w:rPr>
          <w:rFonts w:ascii="Calibri" w:hAnsi="Calibri" w:cs="Calibri" w:eastAsia="Calibri" w:hint="default"/>
          <w:sz w:val="16"/>
          <w:szCs w:val="16"/>
        </w:rPr>
      </w:pPr>
      <w:r>
        <w:rPr>
          <w:rFonts w:ascii="Calibri"/>
          <w:position w:val="5"/>
          <w:sz w:val="12"/>
        </w:rPr>
        <w:t>17 </w:t>
      </w:r>
      <w:r>
        <w:rPr>
          <w:rFonts w:ascii="Calibri"/>
          <w:sz w:val="16"/>
        </w:rPr>
        <w:t>For the passenger production projection, see The World Cruise Shipping Industry to</w:t>
      </w:r>
      <w:r>
        <w:rPr>
          <w:rFonts w:ascii="Calibri"/>
          <w:spacing w:val="-23"/>
          <w:sz w:val="16"/>
        </w:rPr>
        <w:t> </w:t>
      </w:r>
      <w:r>
        <w:rPr>
          <w:rFonts w:ascii="Calibri"/>
          <w:sz w:val="16"/>
        </w:rPr>
        <w:t>2020.</w:t>
      </w:r>
    </w:p>
    <w:p>
      <w:pPr>
        <w:spacing w:after="0"/>
        <w:jc w:val="left"/>
        <w:rPr>
          <w:rFonts w:ascii="Calibri" w:hAnsi="Calibri" w:cs="Calibri" w:eastAsia="Calibri" w:hint="default"/>
          <w:sz w:val="16"/>
          <w:szCs w:val="16"/>
        </w:rPr>
        <w:sectPr>
          <w:footerReference w:type="default" r:id="rId25"/>
          <w:pgSz w:w="12240" w:h="15840"/>
          <w:pgMar w:footer="533" w:header="0" w:top="840" w:bottom="720" w:left="0" w:right="0"/>
          <w:pgNumType w:start="21"/>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7"/>
        <w:jc w:val="both"/>
      </w:pPr>
      <w:r>
        <w:rPr/>
        <w:t>free. Focusing on the conversion of cruise passengers to stay-over tourists is a great marketing opportunity for the destination.</w:t>
      </w: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16"/>
          <w:szCs w:val="16"/>
        </w:rPr>
      </w:pPr>
    </w:p>
    <w:p>
      <w:pPr>
        <w:pStyle w:val="Heading2"/>
        <w:spacing w:line="240" w:lineRule="auto" w:before="0"/>
        <w:ind w:right="0"/>
        <w:jc w:val="both"/>
        <w:rPr>
          <w:b w:val="0"/>
          <w:bCs w:val="0"/>
        </w:rPr>
      </w:pPr>
      <w:bookmarkStart w:name="_bookmark42" w:id="43"/>
      <w:bookmarkEnd w:id="43"/>
      <w:r>
        <w:rPr>
          <w:b w:val="0"/>
          <w:bCs w:val="0"/>
        </w:rPr>
      </w:r>
      <w:r>
        <w:rPr/>
        <w:t>Tourism</w:t>
      </w:r>
      <w:r>
        <w:rPr>
          <w:rFonts w:ascii="Calibri" w:hAnsi="Calibri" w:cs="Calibri" w:eastAsia="Calibri" w:hint="default"/>
        </w:rPr>
        <w:t>’s </w:t>
      </w:r>
      <w:r>
        <w:rPr/>
        <w:t>new</w:t>
      </w:r>
      <w:r>
        <w:rPr>
          <w:spacing w:val="-14"/>
        </w:rPr>
        <w:t> </w:t>
      </w:r>
      <w:r>
        <w:rPr/>
        <w:t>promise</w:t>
      </w:r>
      <w:r>
        <w:rPr>
          <w:b w:val="0"/>
          <w:bCs w:val="0"/>
        </w:rPr>
      </w:r>
    </w:p>
    <w:p>
      <w:pPr>
        <w:pStyle w:val="BodyText"/>
        <w:spacing w:line="240" w:lineRule="auto" w:before="189"/>
        <w:ind w:right="1435"/>
        <w:jc w:val="both"/>
      </w:pPr>
      <w:r>
        <w:rPr>
          <w:rFonts w:ascii="Calibri" w:hAnsi="Calibri" w:cs="Calibri" w:eastAsia="Calibri" w:hint="default"/>
        </w:rPr>
        <w:t>In summary, although Curaçao’s tourism product has changed significa</w:t>
      </w:r>
      <w:r>
        <w:rPr/>
        <w:t>ntly over time with regard to the product </w:t>
      </w:r>
      <w:r>
        <w:rPr>
          <w:rFonts w:ascii="Calibri" w:hAnsi="Calibri" w:cs="Calibri" w:eastAsia="Calibri" w:hint="default"/>
        </w:rPr>
        <w:t>portfolio,</w:t>
      </w:r>
      <w:r>
        <w:rPr>
          <w:rFonts w:ascii="Calibri" w:hAnsi="Calibri" w:cs="Calibri" w:eastAsia="Calibri" w:hint="default"/>
          <w:spacing w:val="-4"/>
        </w:rPr>
        <w:t> </w:t>
      </w:r>
      <w:r>
        <w:rPr>
          <w:rFonts w:ascii="Calibri" w:hAnsi="Calibri" w:cs="Calibri" w:eastAsia="Calibri" w:hint="default"/>
        </w:rPr>
        <w:t>market</w:t>
      </w:r>
      <w:r>
        <w:rPr>
          <w:rFonts w:ascii="Calibri" w:hAnsi="Calibri" w:cs="Calibri" w:eastAsia="Calibri" w:hint="default"/>
          <w:spacing w:val="-4"/>
        </w:rPr>
        <w:t> </w:t>
      </w:r>
      <w:r>
        <w:rPr>
          <w:rFonts w:ascii="Calibri" w:hAnsi="Calibri" w:cs="Calibri" w:eastAsia="Calibri" w:hint="default"/>
        </w:rPr>
        <w:t>segment</w:t>
      </w:r>
      <w:r>
        <w:rPr>
          <w:rFonts w:ascii="Calibri" w:hAnsi="Calibri" w:cs="Calibri" w:eastAsia="Calibri" w:hint="default"/>
          <w:spacing w:val="-4"/>
        </w:rPr>
        <w:t> </w:t>
      </w:r>
      <w:r>
        <w:rPr>
          <w:rFonts w:ascii="Calibri" w:hAnsi="Calibri" w:cs="Calibri" w:eastAsia="Calibri" w:hint="default"/>
        </w:rPr>
        <w:t>mix,</w:t>
      </w:r>
      <w:r>
        <w:rPr>
          <w:rFonts w:ascii="Calibri" w:hAnsi="Calibri" w:cs="Calibri" w:eastAsia="Calibri" w:hint="default"/>
          <w:spacing w:val="-4"/>
        </w:rPr>
        <w:t> </w:t>
      </w:r>
      <w:r>
        <w:rPr>
          <w:rFonts w:ascii="Calibri" w:hAnsi="Calibri" w:cs="Calibri" w:eastAsia="Calibri" w:hint="default"/>
        </w:rPr>
        <w:t>and</w:t>
      </w:r>
      <w:r>
        <w:rPr>
          <w:rFonts w:ascii="Calibri" w:hAnsi="Calibri" w:cs="Calibri" w:eastAsia="Calibri" w:hint="default"/>
          <w:spacing w:val="-4"/>
        </w:rPr>
        <w:t> </w:t>
      </w:r>
      <w:r>
        <w:rPr>
          <w:rFonts w:ascii="Calibri" w:hAnsi="Calibri" w:cs="Calibri" w:eastAsia="Calibri" w:hint="default"/>
        </w:rPr>
        <w:t>the</w:t>
      </w:r>
      <w:r>
        <w:rPr>
          <w:rFonts w:ascii="Calibri" w:hAnsi="Calibri" w:cs="Calibri" w:eastAsia="Calibri" w:hint="default"/>
          <w:spacing w:val="-5"/>
        </w:rPr>
        <w:t> </w:t>
      </w:r>
      <w:r>
        <w:rPr>
          <w:rFonts w:ascii="Calibri" w:hAnsi="Calibri" w:cs="Calibri" w:eastAsia="Calibri" w:hint="default"/>
        </w:rPr>
        <w:t>industry’s</w:t>
      </w:r>
      <w:r>
        <w:rPr>
          <w:rFonts w:ascii="Calibri" w:hAnsi="Calibri" w:cs="Calibri" w:eastAsia="Calibri" w:hint="default"/>
          <w:spacing w:val="-5"/>
        </w:rPr>
        <w:t> </w:t>
      </w:r>
      <w:r>
        <w:rPr>
          <w:rFonts w:ascii="Calibri" w:hAnsi="Calibri" w:cs="Calibri" w:eastAsia="Calibri" w:hint="default"/>
        </w:rPr>
        <w:t>overall</w:t>
      </w:r>
      <w:r>
        <w:rPr>
          <w:rFonts w:ascii="Calibri" w:hAnsi="Calibri" w:cs="Calibri" w:eastAsia="Calibri" w:hint="default"/>
          <w:spacing w:val="-5"/>
        </w:rPr>
        <w:t> </w:t>
      </w:r>
      <w:r>
        <w:rPr>
          <w:rFonts w:ascii="Calibri" w:hAnsi="Calibri" w:cs="Calibri" w:eastAsia="Calibri" w:hint="default"/>
        </w:rPr>
        <w:t>contributio</w:t>
      </w:r>
      <w:r>
        <w:rPr/>
        <w:t>n</w:t>
      </w:r>
      <w:r>
        <w:rPr>
          <w:spacing w:val="-4"/>
        </w:rPr>
        <w:t> </w:t>
      </w:r>
      <w:r>
        <w:rPr/>
        <w:t>to</w:t>
      </w:r>
      <w:r>
        <w:rPr>
          <w:spacing w:val="-4"/>
        </w:rPr>
        <w:t> </w:t>
      </w:r>
      <w:r>
        <w:rPr/>
        <w:t>the</w:t>
      </w:r>
      <w:r>
        <w:rPr>
          <w:spacing w:val="-5"/>
        </w:rPr>
        <w:t> </w:t>
      </w:r>
      <w:r>
        <w:rPr/>
        <w:t>economy,</w:t>
      </w:r>
      <w:r>
        <w:rPr>
          <w:spacing w:val="-4"/>
        </w:rPr>
        <w:t> </w:t>
      </w:r>
      <w:r>
        <w:rPr/>
        <w:t>the</w:t>
      </w:r>
      <w:r>
        <w:rPr>
          <w:spacing w:val="-5"/>
        </w:rPr>
        <w:t> </w:t>
      </w:r>
      <w:r>
        <w:rPr/>
        <w:t>current</w:t>
      </w:r>
      <w:r>
        <w:rPr>
          <w:spacing w:val="-4"/>
        </w:rPr>
        <w:t> </w:t>
      </w:r>
      <w:r>
        <w:rPr/>
        <w:t>tourism</w:t>
      </w:r>
      <w:r>
        <w:rPr>
          <w:spacing w:val="-5"/>
        </w:rPr>
        <w:t> </w:t>
      </w:r>
      <w:r>
        <w:rPr/>
        <w:t>product </w:t>
      </w:r>
      <w:r>
        <w:rPr/>
        <w:t>seems</w:t>
      </w:r>
      <w:r>
        <w:rPr>
          <w:spacing w:val="-11"/>
        </w:rPr>
        <w:t> </w:t>
      </w:r>
      <w:r>
        <w:rPr/>
        <w:t>to</w:t>
      </w:r>
      <w:r>
        <w:rPr>
          <w:spacing w:val="-10"/>
        </w:rPr>
        <w:t> </w:t>
      </w:r>
      <w:r>
        <w:rPr/>
        <w:t>possess</w:t>
      </w:r>
      <w:r>
        <w:rPr>
          <w:spacing w:val="-11"/>
        </w:rPr>
        <w:t> </w:t>
      </w:r>
      <w:r>
        <w:rPr/>
        <w:t>a</w:t>
      </w:r>
      <w:r>
        <w:rPr>
          <w:spacing w:val="-10"/>
        </w:rPr>
        <w:t> </w:t>
      </w:r>
      <w:r>
        <w:rPr/>
        <w:t>composition</w:t>
      </w:r>
      <w:r>
        <w:rPr>
          <w:spacing w:val="-10"/>
        </w:rPr>
        <w:t> </w:t>
      </w:r>
      <w:r>
        <w:rPr/>
        <w:t>of</w:t>
      </w:r>
      <w:r>
        <w:rPr>
          <w:spacing w:val="-11"/>
        </w:rPr>
        <w:t> </w:t>
      </w:r>
      <w:r>
        <w:rPr/>
        <w:t>experiences</w:t>
      </w:r>
      <w:r>
        <w:rPr>
          <w:spacing w:val="-11"/>
        </w:rPr>
        <w:t> </w:t>
      </w:r>
      <w:r>
        <w:rPr/>
        <w:t>that</w:t>
      </w:r>
      <w:r>
        <w:rPr>
          <w:spacing w:val="-9"/>
        </w:rPr>
        <w:t> </w:t>
      </w:r>
      <w:r>
        <w:rPr/>
        <w:t>are</w:t>
      </w:r>
      <w:r>
        <w:rPr>
          <w:spacing w:val="-11"/>
        </w:rPr>
        <w:t> </w:t>
      </w:r>
      <w:r>
        <w:rPr/>
        <w:t>evaluated</w:t>
      </w:r>
      <w:r>
        <w:rPr>
          <w:spacing w:val="-10"/>
        </w:rPr>
        <w:t> </w:t>
      </w:r>
      <w:r>
        <w:rPr/>
        <w:t>by</w:t>
      </w:r>
      <w:r>
        <w:rPr>
          <w:spacing w:val="-9"/>
        </w:rPr>
        <w:t> </w:t>
      </w:r>
      <w:r>
        <w:rPr/>
        <w:t>tourists</w:t>
      </w:r>
      <w:r>
        <w:rPr>
          <w:spacing w:val="-11"/>
        </w:rPr>
        <w:t> </w:t>
      </w:r>
      <w:r>
        <w:rPr/>
        <w:t>as</w:t>
      </w:r>
      <w:r>
        <w:rPr>
          <w:spacing w:val="-11"/>
        </w:rPr>
        <w:t> </w:t>
      </w:r>
      <w:r>
        <w:rPr/>
        <w:t>favorable.</w:t>
      </w:r>
      <w:r>
        <w:rPr>
          <w:spacing w:val="27"/>
        </w:rPr>
        <w:t> </w:t>
      </w:r>
      <w:r>
        <w:rPr/>
        <w:t>This</w:t>
      </w:r>
      <w:r>
        <w:rPr>
          <w:spacing w:val="-11"/>
        </w:rPr>
        <w:t> </w:t>
      </w:r>
      <w:r>
        <w:rPr/>
        <w:t>favorable</w:t>
      </w:r>
      <w:r>
        <w:rPr>
          <w:spacing w:val="-11"/>
        </w:rPr>
        <w:t> </w:t>
      </w:r>
      <w:r>
        <w:rPr/>
        <w:t>evaluation </w:t>
      </w:r>
      <w:r>
        <w:rPr/>
        <w:t>is shared by both actual tourists: those who have visited Curaçao within one year, and those potential tourists who have</w:t>
      </w:r>
      <w:r>
        <w:rPr>
          <w:spacing w:val="-4"/>
        </w:rPr>
        <w:t> </w:t>
      </w:r>
      <w:r>
        <w:rPr/>
        <w:t>not</w:t>
      </w:r>
      <w:r>
        <w:rPr>
          <w:spacing w:val="-3"/>
        </w:rPr>
        <w:t> </w:t>
      </w:r>
      <w:r>
        <w:rPr/>
        <w:t>visited</w:t>
      </w:r>
      <w:r>
        <w:rPr>
          <w:spacing w:val="-3"/>
        </w:rPr>
        <w:t> </w:t>
      </w:r>
      <w:r>
        <w:rPr/>
        <w:t>Curaçao</w:t>
      </w:r>
      <w:r>
        <w:rPr>
          <w:spacing w:val="-3"/>
        </w:rPr>
        <w:t> </w:t>
      </w:r>
      <w:r>
        <w:rPr/>
        <w:t>but</w:t>
      </w:r>
      <w:r>
        <w:rPr>
          <w:spacing w:val="-3"/>
        </w:rPr>
        <w:t> </w:t>
      </w:r>
      <w:r>
        <w:rPr/>
        <w:t>have</w:t>
      </w:r>
      <w:r>
        <w:rPr>
          <w:spacing w:val="-4"/>
        </w:rPr>
        <w:t> </w:t>
      </w:r>
      <w:r>
        <w:rPr/>
        <w:t>visited</w:t>
      </w:r>
      <w:r>
        <w:rPr>
          <w:spacing w:val="-3"/>
        </w:rPr>
        <w:t> </w:t>
      </w:r>
      <w:r>
        <w:rPr/>
        <w:t>the</w:t>
      </w:r>
      <w:r>
        <w:rPr>
          <w:spacing w:val="-4"/>
        </w:rPr>
        <w:t> </w:t>
      </w:r>
      <w:r>
        <w:rPr/>
        <w:t>Caribbean</w:t>
      </w:r>
      <w:r>
        <w:rPr>
          <w:spacing w:val="-2"/>
        </w:rPr>
        <w:t> </w:t>
      </w:r>
      <w:r>
        <w:rPr/>
        <w:t>within</w:t>
      </w:r>
      <w:r>
        <w:rPr>
          <w:spacing w:val="-3"/>
        </w:rPr>
        <w:t> </w:t>
      </w:r>
      <w:r>
        <w:rPr/>
        <w:t>the</w:t>
      </w:r>
      <w:r>
        <w:rPr>
          <w:spacing w:val="-4"/>
        </w:rPr>
        <w:t> </w:t>
      </w:r>
      <w:r>
        <w:rPr/>
        <w:t>last</w:t>
      </w:r>
      <w:r>
        <w:rPr>
          <w:spacing w:val="-3"/>
        </w:rPr>
        <w:t> </w:t>
      </w:r>
      <w:r>
        <w:rPr/>
        <w:t>five</w:t>
      </w:r>
      <w:r>
        <w:rPr>
          <w:spacing w:val="-4"/>
        </w:rPr>
        <w:t> </w:t>
      </w:r>
      <w:r>
        <w:rPr/>
        <w:t>years.</w:t>
      </w:r>
    </w:p>
    <w:p>
      <w:pPr>
        <w:spacing w:line="240" w:lineRule="auto" w:before="1"/>
        <w:ind w:right="0"/>
        <w:rPr>
          <w:rFonts w:ascii="Calibri" w:hAnsi="Calibri" w:cs="Calibri" w:eastAsia="Calibri" w:hint="default"/>
          <w:sz w:val="20"/>
          <w:szCs w:val="20"/>
        </w:rPr>
      </w:pPr>
    </w:p>
    <w:p>
      <w:pPr>
        <w:pStyle w:val="BodyText"/>
        <w:spacing w:line="240" w:lineRule="auto"/>
        <w:ind w:right="1438"/>
        <w:jc w:val="both"/>
      </w:pPr>
      <w:r>
        <w:rPr/>
        <w:t>This information is an indicator that the potential strategic position for Curaçao within the Caribbean region is promising. Based on the perform</w:t>
      </w:r>
      <w:r>
        <w:rPr>
          <w:rFonts w:ascii="Calibri" w:hAnsi="Calibri" w:cs="Calibri" w:eastAsia="Calibri" w:hint="default"/>
        </w:rPr>
        <w:t>ance evaluation by tourists and potential tourists, Curaçao’s existing destination </w:t>
      </w:r>
      <w:r>
        <w:rPr/>
        <w:t>attributes (tourism supply) seem </w:t>
      </w:r>
      <w:r>
        <w:rPr>
          <w:rFonts w:ascii="Calibri" w:hAnsi="Calibri" w:cs="Calibri" w:eastAsia="Calibri" w:hint="default"/>
        </w:rPr>
        <w:t>to be in line with tourists’ needs and wants. Therefore, an opportunity exists for </w:t>
      </w:r>
      <w:r>
        <w:rPr/>
        <w:t>Curaçao to concert efforts toward aligning new demand with existing products. The local population supports tourism</w:t>
      </w:r>
      <w:r>
        <w:rPr>
          <w:spacing w:val="-8"/>
        </w:rPr>
        <w:t> </w:t>
      </w:r>
      <w:r>
        <w:rPr/>
        <w:t>as</w:t>
      </w:r>
      <w:r>
        <w:rPr>
          <w:spacing w:val="-8"/>
        </w:rPr>
        <w:t> </w:t>
      </w:r>
      <w:r>
        <w:rPr/>
        <w:t>an</w:t>
      </w:r>
      <w:r>
        <w:rPr>
          <w:spacing w:val="-6"/>
        </w:rPr>
        <w:t> </w:t>
      </w:r>
      <w:r>
        <w:rPr/>
        <w:t>important</w:t>
      </w:r>
      <w:r>
        <w:rPr>
          <w:spacing w:val="-6"/>
        </w:rPr>
        <w:t> </w:t>
      </w:r>
      <w:r>
        <w:rPr/>
        <w:t>economic</w:t>
      </w:r>
      <w:r>
        <w:rPr>
          <w:spacing w:val="-8"/>
        </w:rPr>
        <w:t> </w:t>
      </w:r>
      <w:r>
        <w:rPr/>
        <w:t>pillar</w:t>
      </w:r>
      <w:r>
        <w:rPr>
          <w:spacing w:val="-4"/>
        </w:rPr>
        <w:t> </w:t>
      </w:r>
      <w:r>
        <w:rPr/>
        <w:t>for</w:t>
      </w:r>
      <w:r>
        <w:rPr>
          <w:spacing w:val="-7"/>
        </w:rPr>
        <w:t> </w:t>
      </w:r>
      <w:r>
        <w:rPr/>
        <w:t>the</w:t>
      </w:r>
      <w:r>
        <w:rPr>
          <w:spacing w:val="-8"/>
        </w:rPr>
        <w:t> </w:t>
      </w:r>
      <w:r>
        <w:rPr/>
        <w:t>future</w:t>
      </w:r>
      <w:r>
        <w:rPr>
          <w:spacing w:val="-1"/>
        </w:rPr>
        <w:t> </w:t>
      </w:r>
      <w:r>
        <w:rPr/>
        <w:t>-</w:t>
      </w:r>
      <w:r>
        <w:rPr>
          <w:spacing w:val="-8"/>
        </w:rPr>
        <w:t> </w:t>
      </w:r>
      <w:r>
        <w:rPr/>
        <w:t>and</w:t>
      </w:r>
      <w:r>
        <w:rPr>
          <w:spacing w:val="-3"/>
        </w:rPr>
        <w:t> </w:t>
      </w:r>
      <w:r>
        <w:rPr/>
        <w:t>that</w:t>
      </w:r>
      <w:r>
        <w:rPr>
          <w:spacing w:val="-6"/>
        </w:rPr>
        <w:t> </w:t>
      </w:r>
      <w:r>
        <w:rPr/>
        <w:t>promises</w:t>
      </w:r>
      <w:r>
        <w:rPr>
          <w:spacing w:val="-8"/>
        </w:rPr>
        <w:t> </w:t>
      </w:r>
      <w:r>
        <w:rPr/>
        <w:t>hope.</w:t>
      </w:r>
      <w:r>
        <w:rPr>
          <w:spacing w:val="-7"/>
        </w:rPr>
        <w:t> </w:t>
      </w:r>
      <w:r>
        <w:rPr/>
        <w:t>Consensus</w:t>
      </w:r>
      <w:r>
        <w:rPr>
          <w:spacing w:val="-8"/>
        </w:rPr>
        <w:t> </w:t>
      </w:r>
      <w:r>
        <w:rPr/>
        <w:t>exists</w:t>
      </w:r>
      <w:r>
        <w:rPr>
          <w:spacing w:val="-7"/>
        </w:rPr>
        <w:t> </w:t>
      </w:r>
      <w:r>
        <w:rPr/>
        <w:t>amongst</w:t>
      </w:r>
      <w:r>
        <w:rPr>
          <w:spacing w:val="-6"/>
        </w:rPr>
        <w:t> </w:t>
      </w:r>
      <w:r>
        <w:rPr/>
        <w:t>the</w:t>
      </w:r>
      <w:r>
        <w:rPr>
          <w:spacing w:val="-8"/>
        </w:rPr>
        <w:t> </w:t>
      </w:r>
      <w:r>
        <w:rPr/>
        <w:t>local </w:t>
      </w:r>
      <w:r>
        <w:rPr/>
        <w:t>population</w:t>
      </w:r>
      <w:r>
        <w:rPr>
          <w:spacing w:val="-6"/>
        </w:rPr>
        <w:t> </w:t>
      </w:r>
      <w:r>
        <w:rPr/>
        <w:t>and</w:t>
      </w:r>
      <w:r>
        <w:rPr>
          <w:spacing w:val="-6"/>
        </w:rPr>
        <w:t> </w:t>
      </w:r>
      <w:r>
        <w:rPr/>
        <w:t>industry</w:t>
      </w:r>
      <w:r>
        <w:rPr>
          <w:spacing w:val="-5"/>
        </w:rPr>
        <w:t> </w:t>
      </w:r>
      <w:r>
        <w:rPr/>
        <w:t>stakeholders</w:t>
      </w:r>
      <w:r>
        <w:rPr>
          <w:spacing w:val="-8"/>
        </w:rPr>
        <w:t> </w:t>
      </w:r>
      <w:r>
        <w:rPr/>
        <w:t>that</w:t>
      </w:r>
      <w:r>
        <w:rPr>
          <w:spacing w:val="-6"/>
        </w:rPr>
        <w:t> </w:t>
      </w:r>
      <w:r>
        <w:rPr/>
        <w:t>a</w:t>
      </w:r>
      <w:r>
        <w:rPr>
          <w:spacing w:val="-6"/>
        </w:rPr>
        <w:t> </w:t>
      </w:r>
      <w:r>
        <w:rPr/>
        <w:t>change</w:t>
      </w:r>
      <w:r>
        <w:rPr>
          <w:spacing w:val="-8"/>
        </w:rPr>
        <w:t> </w:t>
      </w:r>
      <w:r>
        <w:rPr/>
        <w:t>is</w:t>
      </w:r>
      <w:r>
        <w:rPr>
          <w:spacing w:val="-8"/>
        </w:rPr>
        <w:t> </w:t>
      </w:r>
      <w:r>
        <w:rPr/>
        <w:t>necessary</w:t>
      </w:r>
      <w:r>
        <w:rPr>
          <w:spacing w:val="-6"/>
        </w:rPr>
        <w:t> </w:t>
      </w:r>
      <w:r>
        <w:rPr/>
        <w:t>to</w:t>
      </w:r>
      <w:r>
        <w:rPr>
          <w:spacing w:val="-6"/>
        </w:rPr>
        <w:t> </w:t>
      </w:r>
      <w:r>
        <w:rPr/>
        <w:t>move</w:t>
      </w:r>
      <w:r>
        <w:rPr>
          <w:spacing w:val="-5"/>
        </w:rPr>
        <w:t> </w:t>
      </w:r>
      <w:r>
        <w:rPr/>
        <w:t>the</w:t>
      </w:r>
      <w:r>
        <w:rPr>
          <w:spacing w:val="-5"/>
        </w:rPr>
        <w:t> </w:t>
      </w:r>
      <w:r>
        <w:rPr/>
        <w:t>sector</w:t>
      </w:r>
      <w:r>
        <w:rPr>
          <w:spacing w:val="-5"/>
        </w:rPr>
        <w:t> </w:t>
      </w:r>
      <w:r>
        <w:rPr/>
        <w:t>forward.</w:t>
      </w:r>
      <w:r>
        <w:rPr>
          <w:spacing w:val="-7"/>
        </w:rPr>
        <w:t> </w:t>
      </w:r>
      <w:r>
        <w:rPr/>
        <w:t>The</w:t>
      </w:r>
      <w:r>
        <w:rPr>
          <w:spacing w:val="-5"/>
        </w:rPr>
        <w:t> </w:t>
      </w:r>
      <w:r>
        <w:rPr/>
        <w:t>majority</w:t>
      </w:r>
      <w:r>
        <w:rPr>
          <w:spacing w:val="-6"/>
        </w:rPr>
        <w:t> </w:t>
      </w:r>
      <w:r>
        <w:rPr/>
        <w:t>of</w:t>
      </w:r>
      <w:r>
        <w:rPr>
          <w:spacing w:val="-5"/>
        </w:rPr>
        <w:t> </w:t>
      </w:r>
      <w:r>
        <w:rPr/>
        <w:t>people </w:t>
      </w:r>
      <w:r>
        <w:rPr/>
        <w:t>indicated that they are willing to work for that change in order for Curaçao to reap the socioeconomic benefits that tourism could</w:t>
      </w:r>
      <w:r>
        <w:rPr>
          <w:spacing w:val="-9"/>
        </w:rPr>
        <w:t> </w:t>
      </w:r>
      <w:r>
        <w:rPr/>
        <w:t>afford.</w:t>
      </w:r>
    </w:p>
    <w:p>
      <w:pPr>
        <w:spacing w:line="240" w:lineRule="auto" w:before="11"/>
        <w:ind w:right="0"/>
        <w:rPr>
          <w:rFonts w:ascii="Calibri" w:hAnsi="Calibri" w:cs="Calibri" w:eastAsia="Calibri" w:hint="default"/>
          <w:sz w:val="19"/>
          <w:szCs w:val="19"/>
        </w:rPr>
      </w:pPr>
    </w:p>
    <w:p>
      <w:pPr>
        <w:pStyle w:val="BodyText"/>
        <w:spacing w:line="240" w:lineRule="auto"/>
        <w:ind w:right="1434"/>
        <w:jc w:val="both"/>
        <w:rPr>
          <w:rFonts w:ascii="Calibri" w:hAnsi="Calibri" w:cs="Calibri" w:eastAsia="Calibri" w:hint="default"/>
        </w:rPr>
      </w:pPr>
      <w:r>
        <w:rPr/>
        <w:t>In</w:t>
      </w:r>
      <w:r>
        <w:rPr>
          <w:spacing w:val="-12"/>
        </w:rPr>
        <w:t> </w:t>
      </w:r>
      <w:r>
        <w:rPr/>
        <w:t>order</w:t>
      </w:r>
      <w:r>
        <w:rPr>
          <w:spacing w:val="-13"/>
        </w:rPr>
        <w:t> </w:t>
      </w:r>
      <w:r>
        <w:rPr/>
        <w:t>for</w:t>
      </w:r>
      <w:r>
        <w:rPr>
          <w:spacing w:val="-12"/>
        </w:rPr>
        <w:t> </w:t>
      </w:r>
      <w:r>
        <w:rPr/>
        <w:t>Curaçao</w:t>
      </w:r>
      <w:r>
        <w:rPr>
          <w:spacing w:val="-12"/>
        </w:rPr>
        <w:t> </w:t>
      </w:r>
      <w:r>
        <w:rPr/>
        <w:t>to</w:t>
      </w:r>
      <w:r>
        <w:rPr>
          <w:spacing w:val="-12"/>
        </w:rPr>
        <w:t> </w:t>
      </w:r>
      <w:r>
        <w:rPr/>
        <w:t>materialize</w:t>
      </w:r>
      <w:r>
        <w:rPr>
          <w:spacing w:val="-13"/>
        </w:rPr>
        <w:t> </w:t>
      </w:r>
      <w:r>
        <w:rPr/>
        <w:t>the</w:t>
      </w:r>
      <w:r>
        <w:rPr>
          <w:spacing w:val="-12"/>
        </w:rPr>
        <w:t> </w:t>
      </w:r>
      <w:r>
        <w:rPr/>
        <w:t>benefits</w:t>
      </w:r>
      <w:r>
        <w:rPr>
          <w:spacing w:val="-14"/>
        </w:rPr>
        <w:t> </w:t>
      </w:r>
      <w:r>
        <w:rPr/>
        <w:t>afforded</w:t>
      </w:r>
      <w:r>
        <w:rPr>
          <w:spacing w:val="-12"/>
        </w:rPr>
        <w:t> </w:t>
      </w:r>
      <w:r>
        <w:rPr/>
        <w:t>by</w:t>
      </w:r>
      <w:r>
        <w:rPr>
          <w:spacing w:val="-12"/>
        </w:rPr>
        <w:t> </w:t>
      </w:r>
      <w:r>
        <w:rPr/>
        <w:t>tourism,</w:t>
      </w:r>
      <w:r>
        <w:rPr>
          <w:spacing w:val="-12"/>
        </w:rPr>
        <w:t> </w:t>
      </w:r>
      <w:r>
        <w:rPr/>
        <w:t>it</w:t>
      </w:r>
      <w:r>
        <w:rPr>
          <w:spacing w:val="-13"/>
        </w:rPr>
        <w:t> </w:t>
      </w:r>
      <w:r>
        <w:rPr/>
        <w:t>is</w:t>
      </w:r>
      <w:r>
        <w:rPr>
          <w:spacing w:val="-14"/>
        </w:rPr>
        <w:t> </w:t>
      </w:r>
      <w:r>
        <w:rPr/>
        <w:t>necessary</w:t>
      </w:r>
      <w:r>
        <w:rPr>
          <w:spacing w:val="-12"/>
        </w:rPr>
        <w:t> </w:t>
      </w:r>
      <w:r>
        <w:rPr/>
        <w:t>for</w:t>
      </w:r>
      <w:r>
        <w:rPr>
          <w:spacing w:val="-13"/>
        </w:rPr>
        <w:t> </w:t>
      </w:r>
      <w:r>
        <w:rPr/>
        <w:t>Curaçao</w:t>
      </w:r>
      <w:r>
        <w:rPr>
          <w:spacing w:val="-12"/>
        </w:rPr>
        <w:t> </w:t>
      </w:r>
      <w:r>
        <w:rPr/>
        <w:t>to</w:t>
      </w:r>
      <w:r>
        <w:rPr>
          <w:spacing w:val="-12"/>
        </w:rPr>
        <w:t> </w:t>
      </w:r>
      <w:r>
        <w:rPr/>
        <w:t>examine</w:t>
      </w:r>
      <w:r>
        <w:rPr>
          <w:spacing w:val="-13"/>
        </w:rPr>
        <w:t> </w:t>
      </w:r>
      <w:r>
        <w:rPr/>
        <w:t>its</w:t>
      </w:r>
      <w:r>
        <w:rPr>
          <w:spacing w:val="-14"/>
        </w:rPr>
        <w:t> </w:t>
      </w:r>
      <w:r>
        <w:rPr/>
        <w:t>current </w:t>
      </w:r>
      <w:r>
        <w:rPr/>
        <w:t>market</w:t>
      </w:r>
      <w:r>
        <w:rPr>
          <w:spacing w:val="-13"/>
        </w:rPr>
        <w:t> </w:t>
      </w:r>
      <w:r>
        <w:rPr/>
        <w:t>segment</w:t>
      </w:r>
      <w:r>
        <w:rPr>
          <w:spacing w:val="-12"/>
        </w:rPr>
        <w:t> </w:t>
      </w:r>
      <w:r>
        <w:rPr/>
        <w:t>mix</w:t>
      </w:r>
      <w:r>
        <w:rPr>
          <w:spacing w:val="-13"/>
        </w:rPr>
        <w:t> </w:t>
      </w:r>
      <w:r>
        <w:rPr/>
        <w:t>and</w:t>
      </w:r>
      <w:r>
        <w:rPr>
          <w:spacing w:val="-12"/>
        </w:rPr>
        <w:t> </w:t>
      </w:r>
      <w:r>
        <w:rPr/>
        <w:t>optimize</w:t>
      </w:r>
      <w:r>
        <w:rPr>
          <w:spacing w:val="-13"/>
        </w:rPr>
        <w:t> </w:t>
      </w:r>
      <w:r>
        <w:rPr/>
        <w:t>tourism</w:t>
      </w:r>
      <w:r>
        <w:rPr>
          <w:spacing w:val="-13"/>
        </w:rPr>
        <w:t> </w:t>
      </w:r>
      <w:r>
        <w:rPr/>
        <w:t>supply</w:t>
      </w:r>
      <w:r>
        <w:rPr>
          <w:spacing w:val="-12"/>
        </w:rPr>
        <w:t> </w:t>
      </w:r>
      <w:r>
        <w:rPr/>
        <w:t>utilization</w:t>
      </w:r>
      <w:r>
        <w:rPr>
          <w:spacing w:val="-12"/>
        </w:rPr>
        <w:t> </w:t>
      </w:r>
      <w:r>
        <w:rPr/>
        <w:t>from</w:t>
      </w:r>
      <w:r>
        <w:rPr>
          <w:spacing w:val="-13"/>
        </w:rPr>
        <w:t> </w:t>
      </w:r>
      <w:r>
        <w:rPr/>
        <w:t>underserved</w:t>
      </w:r>
      <w:r>
        <w:rPr>
          <w:spacing w:val="-12"/>
        </w:rPr>
        <w:t> </w:t>
      </w:r>
      <w:r>
        <w:rPr/>
        <w:t>markets</w:t>
      </w:r>
      <w:r>
        <w:rPr>
          <w:spacing w:val="-14"/>
        </w:rPr>
        <w:t> </w:t>
      </w:r>
      <w:r>
        <w:rPr/>
        <w:t>that</w:t>
      </w:r>
      <w:r>
        <w:rPr>
          <w:spacing w:val="-12"/>
        </w:rPr>
        <w:t> </w:t>
      </w:r>
      <w:r>
        <w:rPr/>
        <w:t>exist</w:t>
      </w:r>
      <w:r>
        <w:rPr>
          <w:spacing w:val="-12"/>
        </w:rPr>
        <w:t> </w:t>
      </w:r>
      <w:r>
        <w:rPr/>
        <w:t>within</w:t>
      </w:r>
      <w:r>
        <w:rPr>
          <w:spacing w:val="-12"/>
        </w:rPr>
        <w:t> </w:t>
      </w:r>
      <w:r>
        <w:rPr/>
        <w:t>the</w:t>
      </w:r>
      <w:r>
        <w:rPr>
          <w:spacing w:val="-13"/>
        </w:rPr>
        <w:t> </w:t>
      </w:r>
      <w:r>
        <w:rPr/>
        <w:t>confines </w:t>
      </w:r>
      <w:r>
        <w:rPr/>
        <w:t>of the current demand structure. This means that Curaçao will need to restructure the foundation of its market segment mix. This does not imply a market segment displacement. This implies creating a value proposition for the American market that </w:t>
      </w:r>
      <w:r>
        <w:rPr>
          <w:rFonts w:ascii="Calibri" w:hAnsi="Calibri" w:cs="Calibri" w:eastAsia="Calibri" w:hint="default"/>
        </w:rPr>
        <w:t>is familiar with the Caribbean region but is unacquainted with Curaçao’s</w:t>
      </w:r>
      <w:r>
        <w:rPr>
          <w:rFonts w:ascii="Calibri" w:hAnsi="Calibri" w:cs="Calibri" w:eastAsia="Calibri" w:hint="default"/>
          <w:spacing w:val="-31"/>
        </w:rPr>
        <w:t> </w:t>
      </w:r>
      <w:r>
        <w:rPr>
          <w:rFonts w:ascii="Calibri" w:hAnsi="Calibri" w:cs="Calibri" w:eastAsia="Calibri" w:hint="default"/>
        </w:rPr>
        <w:t>potential.</w:t>
      </w:r>
    </w:p>
    <w:p>
      <w:pPr>
        <w:spacing w:line="240" w:lineRule="auto" w:before="1"/>
        <w:ind w:right="0"/>
        <w:rPr>
          <w:rFonts w:ascii="Calibri" w:hAnsi="Calibri" w:cs="Calibri" w:eastAsia="Calibri" w:hint="default"/>
          <w:sz w:val="20"/>
          <w:szCs w:val="20"/>
        </w:rPr>
      </w:pPr>
    </w:p>
    <w:p>
      <w:pPr>
        <w:pStyle w:val="BodyText"/>
        <w:spacing w:line="240" w:lineRule="auto"/>
        <w:ind w:right="1437"/>
        <w:jc w:val="both"/>
      </w:pPr>
      <w:r>
        <w:rPr/>
        <w:t>The</w:t>
      </w:r>
      <w:r>
        <w:rPr>
          <w:spacing w:val="-9"/>
        </w:rPr>
        <w:t> </w:t>
      </w:r>
      <w:r>
        <w:rPr/>
        <w:t>Dutch</w:t>
      </w:r>
      <w:r>
        <w:rPr>
          <w:spacing w:val="-7"/>
        </w:rPr>
        <w:t> </w:t>
      </w:r>
      <w:r>
        <w:rPr/>
        <w:t>and</w:t>
      </w:r>
      <w:r>
        <w:rPr>
          <w:spacing w:val="-7"/>
        </w:rPr>
        <w:t> </w:t>
      </w:r>
      <w:r>
        <w:rPr/>
        <w:t>Venezuela/Colombia</w:t>
      </w:r>
      <w:r>
        <w:rPr>
          <w:spacing w:val="-8"/>
        </w:rPr>
        <w:t> </w:t>
      </w:r>
      <w:r>
        <w:rPr/>
        <w:t>markets</w:t>
      </w:r>
      <w:r>
        <w:rPr>
          <w:spacing w:val="-9"/>
        </w:rPr>
        <w:t> </w:t>
      </w:r>
      <w:r>
        <w:rPr/>
        <w:t>will</w:t>
      </w:r>
      <w:r>
        <w:rPr>
          <w:spacing w:val="-8"/>
        </w:rPr>
        <w:t> </w:t>
      </w:r>
      <w:r>
        <w:rPr/>
        <w:t>remain</w:t>
      </w:r>
      <w:r>
        <w:rPr>
          <w:spacing w:val="-7"/>
        </w:rPr>
        <w:t> </w:t>
      </w:r>
      <w:r>
        <w:rPr/>
        <w:t>within</w:t>
      </w:r>
      <w:r>
        <w:rPr>
          <w:spacing w:val="-7"/>
        </w:rPr>
        <w:t> </w:t>
      </w:r>
      <w:r>
        <w:rPr/>
        <w:t>the</w:t>
      </w:r>
      <w:r>
        <w:rPr>
          <w:spacing w:val="-9"/>
        </w:rPr>
        <w:t> </w:t>
      </w:r>
      <w:r>
        <w:rPr/>
        <w:t>top</w:t>
      </w:r>
      <w:r>
        <w:rPr>
          <w:spacing w:val="-7"/>
        </w:rPr>
        <w:t> </w:t>
      </w:r>
      <w:r>
        <w:rPr/>
        <w:t>three</w:t>
      </w:r>
      <w:r>
        <w:rPr>
          <w:spacing w:val="-9"/>
        </w:rPr>
        <w:t> </w:t>
      </w:r>
      <w:r>
        <w:rPr/>
        <w:t>market</w:t>
      </w:r>
      <w:r>
        <w:rPr>
          <w:spacing w:val="-5"/>
        </w:rPr>
        <w:t> </w:t>
      </w:r>
      <w:r>
        <w:rPr/>
        <w:t>segments</w:t>
      </w:r>
      <w:r>
        <w:rPr>
          <w:spacing w:val="-6"/>
        </w:rPr>
        <w:t> </w:t>
      </w:r>
      <w:r>
        <w:rPr/>
        <w:t>frequenting</w:t>
      </w:r>
      <w:r>
        <w:rPr>
          <w:spacing w:val="-6"/>
        </w:rPr>
        <w:t> </w:t>
      </w:r>
      <w:r>
        <w:rPr/>
        <w:t>Curaçao </w:t>
      </w:r>
      <w:r>
        <w:rPr/>
        <w:t>and will not be displaced. This means that Curaçao will maintain the current market share from the Dutch and Venezuela/Colombia</w:t>
      </w:r>
      <w:r>
        <w:rPr>
          <w:spacing w:val="-11"/>
        </w:rPr>
        <w:t> </w:t>
      </w:r>
      <w:r>
        <w:rPr/>
        <w:t>markets</w:t>
      </w:r>
      <w:r>
        <w:rPr>
          <w:spacing w:val="-9"/>
        </w:rPr>
        <w:t> </w:t>
      </w:r>
      <w:r>
        <w:rPr/>
        <w:t>that</w:t>
      </w:r>
      <w:r>
        <w:rPr>
          <w:spacing w:val="-10"/>
        </w:rPr>
        <w:t> </w:t>
      </w:r>
      <w:r>
        <w:rPr/>
        <w:t>enter</w:t>
      </w:r>
      <w:r>
        <w:rPr>
          <w:spacing w:val="-9"/>
        </w:rPr>
        <w:t> </w:t>
      </w:r>
      <w:r>
        <w:rPr/>
        <w:t>the</w:t>
      </w:r>
      <w:r>
        <w:rPr>
          <w:spacing w:val="-12"/>
        </w:rPr>
        <w:t> </w:t>
      </w:r>
      <w:r>
        <w:rPr/>
        <w:t>Caribbean</w:t>
      </w:r>
      <w:r>
        <w:rPr>
          <w:spacing w:val="-10"/>
        </w:rPr>
        <w:t> </w:t>
      </w:r>
      <w:r>
        <w:rPr/>
        <w:t>region.</w:t>
      </w:r>
      <w:r>
        <w:rPr>
          <w:spacing w:val="24"/>
        </w:rPr>
        <w:t> </w:t>
      </w:r>
      <w:r>
        <w:rPr/>
        <w:t>The</w:t>
      </w:r>
      <w:r>
        <w:rPr>
          <w:spacing w:val="-12"/>
        </w:rPr>
        <w:t> </w:t>
      </w:r>
      <w:r>
        <w:rPr/>
        <w:t>suggested</w:t>
      </w:r>
      <w:r>
        <w:rPr>
          <w:spacing w:val="-11"/>
        </w:rPr>
        <w:t> </w:t>
      </w:r>
      <w:r>
        <w:rPr/>
        <w:t>restructuring</w:t>
      </w:r>
      <w:r>
        <w:rPr>
          <w:spacing w:val="-11"/>
        </w:rPr>
        <w:t> </w:t>
      </w:r>
      <w:r>
        <w:rPr/>
        <w:t>of</w:t>
      </w:r>
      <w:r>
        <w:rPr>
          <w:spacing w:val="-12"/>
        </w:rPr>
        <w:t> </w:t>
      </w:r>
      <w:r>
        <w:rPr/>
        <w:t>the</w:t>
      </w:r>
      <w:r>
        <w:rPr>
          <w:spacing w:val="-12"/>
        </w:rPr>
        <w:t> </w:t>
      </w:r>
      <w:r>
        <w:rPr/>
        <w:t>demand</w:t>
      </w:r>
      <w:r>
        <w:rPr>
          <w:spacing w:val="-11"/>
        </w:rPr>
        <w:t> </w:t>
      </w:r>
      <w:r>
        <w:rPr/>
        <w:t>structure </w:t>
      </w:r>
      <w:r>
        <w:rPr/>
        <w:t>is based on quantitative results that reveal that Curaçao possesses a strong product identity within the Dutch and Venezuela/Colombia markets but has not yet fully penetrated its tertiary market segment (i.e., the USA). This suggestion is a relatively simplistic market</w:t>
      </w:r>
      <w:r>
        <w:rPr>
          <w:spacing w:val="-20"/>
        </w:rPr>
        <w:t> </w:t>
      </w:r>
      <w:r>
        <w:rPr/>
        <w:t>reconfiguration.</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3"/>
        <w:ind w:right="0"/>
        <w:rPr>
          <w:rFonts w:ascii="Calibri" w:hAnsi="Calibri" w:cs="Calibri" w:eastAsia="Calibri" w:hint="default"/>
          <w:sz w:val="26"/>
          <w:szCs w:val="26"/>
        </w:rPr>
      </w:pPr>
    </w:p>
    <w:p>
      <w:pPr>
        <w:pStyle w:val="Heading1"/>
        <w:spacing w:line="240" w:lineRule="auto"/>
        <w:ind w:right="26"/>
        <w:jc w:val="center"/>
        <w:rPr>
          <w:b w:val="0"/>
          <w:bCs w:val="0"/>
        </w:rPr>
      </w:pPr>
      <w:bookmarkStart w:name="_bookmark43" w:id="44"/>
      <w:bookmarkEnd w:id="44"/>
      <w:r>
        <w:rPr>
          <w:b w:val="0"/>
        </w:rPr>
      </w:r>
      <w:r>
        <w:rPr/>
        <w:t>Chapter 3: The Economic Contribution of</w:t>
      </w:r>
      <w:r>
        <w:rPr>
          <w:spacing w:val="-12"/>
        </w:rPr>
        <w:t> </w:t>
      </w:r>
      <w:r>
        <w:rPr/>
        <w:t>Tourism</w:t>
      </w:r>
      <w:r>
        <w:rPr>
          <w:b w:val="0"/>
        </w:rPr>
      </w:r>
    </w:p>
    <w:p>
      <w:pPr>
        <w:pStyle w:val="Heading2"/>
        <w:spacing w:line="240" w:lineRule="auto" w:before="281"/>
        <w:ind w:right="0"/>
        <w:jc w:val="both"/>
        <w:rPr>
          <w:b w:val="0"/>
          <w:bCs w:val="0"/>
        </w:rPr>
      </w:pPr>
      <w:bookmarkStart w:name="_bookmark44" w:id="45"/>
      <w:bookmarkEnd w:id="45"/>
      <w:r>
        <w:rPr>
          <w:b w:val="0"/>
        </w:rPr>
      </w:r>
      <w:r>
        <w:rPr/>
        <w:t>Tourism</w:t>
      </w:r>
      <w:r>
        <w:rPr>
          <w:spacing w:val="-8"/>
        </w:rPr>
        <w:t> </w:t>
      </w:r>
      <w:r>
        <w:rPr/>
        <w:t>spending</w:t>
      </w:r>
      <w:r>
        <w:rPr>
          <w:b w:val="0"/>
        </w:rPr>
      </w:r>
    </w:p>
    <w:p>
      <w:pPr>
        <w:pStyle w:val="BodyText"/>
        <w:spacing w:line="240" w:lineRule="auto" w:before="191"/>
        <w:ind w:right="1436"/>
        <w:jc w:val="both"/>
      </w:pPr>
      <w:r>
        <w:rPr/>
        <w:t>The previous chapter indicated that tourism has potential in Curaçao with tourists revealing more favorable </w:t>
      </w:r>
      <w:r>
        <w:rPr>
          <w:rFonts w:ascii="Calibri" w:hAnsi="Calibri" w:cs="Calibri" w:eastAsia="Calibri" w:hint="default"/>
        </w:rPr>
        <w:t>perceptions about the delivery of the tourism product compared to Curaçao’s stakeholders (managers, emplo</w:t>
      </w:r>
      <w:r>
        <w:rPr/>
        <w:t>yees, business owners, locals). </w:t>
      </w:r>
      <w:r>
        <w:rPr>
          <w:rFonts w:ascii="Calibri" w:hAnsi="Calibri" w:cs="Calibri" w:eastAsia="Calibri" w:hint="default"/>
        </w:rPr>
        <w:t>Tourists’ favorable perceptions resulted in significant spending while on the island. This </w:t>
      </w:r>
      <w:r>
        <w:rPr/>
        <w:t>spending rev</w:t>
      </w:r>
      <w:r>
        <w:rPr>
          <w:rFonts w:ascii="Calibri" w:hAnsi="Calibri" w:cs="Calibri" w:eastAsia="Calibri" w:hint="default"/>
        </w:rPr>
        <w:t>eals a sizeable contribution to the island’s economy. </w:t>
      </w:r>
      <w:r>
        <w:rPr/>
        <w:t>For example, tourist receipts in 2013 amounted to US$618 million, which is a 6% increase compared to the year</w:t>
      </w:r>
      <w:r>
        <w:rPr>
          <w:spacing w:val="-26"/>
        </w:rPr>
        <w:t> </w:t>
      </w:r>
      <w:r>
        <w:rPr/>
        <w:t>before.</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t>Tourism spending has significantly increased over the past 15 years by an annual average of 4.5% in nominal terms. When compared to the Caribbean region, Curaçao has outperformed other destinations within the Caribbean. For example, the annual average increase in tourism receipts from 2012-2013 was 14% in Curaçao, while the entire Caribbean region only scored an increase of 2.1% during the same time span. Over time, Curaçao has deepened its tourism</w:t>
      </w:r>
      <w:r>
        <w:rPr>
          <w:spacing w:val="-3"/>
        </w:rPr>
        <w:t> </w:t>
      </w:r>
      <w:r>
        <w:rPr/>
        <w:t>specialization</w:t>
      </w:r>
      <w:r>
        <w:rPr>
          <w:spacing w:val="-2"/>
        </w:rPr>
        <w:t> </w:t>
      </w:r>
      <w:r>
        <w:rPr/>
        <w:t>to</w:t>
      </w:r>
      <w:r>
        <w:rPr>
          <w:spacing w:val="-2"/>
        </w:rPr>
        <w:t> </w:t>
      </w:r>
      <w:r>
        <w:rPr/>
        <w:t>the</w:t>
      </w:r>
      <w:r>
        <w:rPr>
          <w:spacing w:val="-3"/>
        </w:rPr>
        <w:t> </w:t>
      </w:r>
      <w:r>
        <w:rPr/>
        <w:t>point</w:t>
      </w:r>
      <w:r>
        <w:rPr>
          <w:spacing w:val="-2"/>
        </w:rPr>
        <w:t> </w:t>
      </w:r>
      <w:r>
        <w:rPr/>
        <w:t>where</w:t>
      </w:r>
      <w:r>
        <w:rPr>
          <w:spacing w:val="-3"/>
        </w:rPr>
        <w:t> </w:t>
      </w:r>
      <w:r>
        <w:rPr/>
        <w:t>18.5%</w:t>
      </w:r>
      <w:r>
        <w:rPr>
          <w:spacing w:val="-3"/>
        </w:rPr>
        <w:t> </w:t>
      </w:r>
      <w:r>
        <w:rPr/>
        <w:t>of</w:t>
      </w:r>
      <w:r>
        <w:rPr>
          <w:spacing w:val="-4"/>
        </w:rPr>
        <w:t> </w:t>
      </w:r>
      <w:r>
        <w:rPr/>
        <w:t>the</w:t>
      </w:r>
      <w:r>
        <w:rPr>
          <w:spacing w:val="-3"/>
        </w:rPr>
        <w:t> </w:t>
      </w:r>
      <w:r>
        <w:rPr/>
        <w:t>economy</w:t>
      </w:r>
      <w:r>
        <w:rPr>
          <w:spacing w:val="-2"/>
        </w:rPr>
        <w:t> </w:t>
      </w:r>
      <w:r>
        <w:rPr/>
        <w:t>in</w:t>
      </w:r>
      <w:r>
        <w:rPr>
          <w:spacing w:val="-2"/>
        </w:rPr>
        <w:t> </w:t>
      </w:r>
      <w:r>
        <w:rPr/>
        <w:t>2013</w:t>
      </w:r>
      <w:r>
        <w:rPr>
          <w:spacing w:val="-3"/>
        </w:rPr>
        <w:t> </w:t>
      </w:r>
      <w:r>
        <w:rPr/>
        <w:t>relied</w:t>
      </w:r>
      <w:r>
        <w:rPr>
          <w:spacing w:val="-2"/>
        </w:rPr>
        <w:t> </w:t>
      </w:r>
      <w:r>
        <w:rPr/>
        <w:t>on</w:t>
      </w:r>
      <w:r>
        <w:rPr>
          <w:spacing w:val="5"/>
        </w:rPr>
        <w:t> </w:t>
      </w:r>
      <w:r>
        <w:rPr/>
        <w:t>the</w:t>
      </w:r>
      <w:r>
        <w:rPr>
          <w:spacing w:val="-3"/>
        </w:rPr>
        <w:t> </w:t>
      </w:r>
      <w:r>
        <w:rPr/>
        <w:t>tourism</w:t>
      </w:r>
      <w:r>
        <w:rPr>
          <w:spacing w:val="-1"/>
        </w:rPr>
        <w:t> </w:t>
      </w:r>
      <w:r>
        <w:rPr/>
        <w:t>sector</w:t>
      </w:r>
      <w:r>
        <w:rPr>
          <w:spacing w:val="-2"/>
        </w:rPr>
        <w:t> </w:t>
      </w:r>
      <w:r>
        <w:rPr/>
        <w:t>(see</w:t>
      </w:r>
      <w:r>
        <w:rPr>
          <w:spacing w:val="-3"/>
        </w:rPr>
        <w:t> </w:t>
      </w:r>
      <w:r>
        <w:rPr/>
        <w:t>Figure</w:t>
      </w:r>
      <w:r>
        <w:rPr>
          <w:spacing w:val="-1"/>
        </w:rPr>
        <w:t> </w:t>
      </w:r>
      <w:r>
        <w:rPr/>
        <w:t>9).</w:t>
      </w:r>
    </w:p>
    <w:p>
      <w:pPr>
        <w:spacing w:line="240" w:lineRule="auto" w:before="1" w:after="0"/>
        <w:ind w:right="0"/>
        <w:rPr>
          <w:rFonts w:ascii="Calibri" w:hAnsi="Calibri" w:cs="Calibri" w:eastAsia="Calibri" w:hint="default"/>
          <w:sz w:val="20"/>
          <w:szCs w:val="20"/>
        </w:rPr>
      </w:pPr>
    </w:p>
    <w:p>
      <w:pPr>
        <w:spacing w:line="240" w:lineRule="auto"/>
        <w:ind w:left="1586"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5688711" cy="1896237"/>
            <wp:effectExtent l="0" t="0" r="0" b="0"/>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26" cstate="print"/>
                    <a:stretch>
                      <a:fillRect/>
                    </a:stretch>
                  </pic:blipFill>
                  <pic:spPr>
                    <a:xfrm>
                      <a:off x="0" y="0"/>
                      <a:ext cx="5688711" cy="1896237"/>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36"/>
        <w:ind w:left="24" w:right="26"/>
        <w:jc w:val="center"/>
        <w:rPr>
          <w:rFonts w:ascii="Calibri" w:hAnsi="Calibri" w:cs="Calibri" w:eastAsia="Calibri" w:hint="default"/>
          <w:b w:val="0"/>
          <w:bCs w:val="0"/>
        </w:rPr>
      </w:pPr>
      <w:bookmarkStart w:name="_bookmark45" w:id="46"/>
      <w:bookmarkEnd w:id="46"/>
      <w:r>
        <w:rPr>
          <w:b w:val="0"/>
          <w:bCs w:val="0"/>
        </w:rPr>
      </w:r>
      <w:r>
        <w:rPr/>
        <w:t>Figure 9:  </w:t>
      </w:r>
      <w:r>
        <w:rPr>
          <w:rFonts w:ascii="Calibri" w:hAnsi="Calibri" w:cs="Calibri" w:eastAsia="Calibri" w:hint="default"/>
        </w:rPr>
        <w:t>Curaçao’s tourism</w:t>
      </w:r>
      <w:r>
        <w:rPr>
          <w:rFonts w:ascii="Calibri" w:hAnsi="Calibri" w:cs="Calibri" w:eastAsia="Calibri" w:hint="default"/>
          <w:spacing w:val="-16"/>
        </w:rPr>
        <w:t> </w:t>
      </w:r>
      <w:r>
        <w:rPr>
          <w:rFonts w:ascii="Calibri" w:hAnsi="Calibri" w:cs="Calibri" w:eastAsia="Calibri" w:hint="default"/>
        </w:rPr>
        <w:t>specialization</w:t>
      </w:r>
      <w:r>
        <w:rPr>
          <w:rFonts w:ascii="Calibri" w:hAnsi="Calibri" w:cs="Calibri" w:eastAsia="Calibri" w:hint="default"/>
          <w:b w:val="0"/>
          <w:bCs w:val="0"/>
        </w:rPr>
      </w:r>
    </w:p>
    <w:p>
      <w:pPr>
        <w:spacing w:line="240" w:lineRule="auto" w:before="11"/>
        <w:ind w:right="0"/>
        <w:rPr>
          <w:rFonts w:ascii="Calibri" w:hAnsi="Calibri" w:cs="Calibri" w:eastAsia="Calibri" w:hint="default"/>
          <w:b/>
          <w:bCs/>
          <w:sz w:val="19"/>
          <w:szCs w:val="19"/>
        </w:rPr>
      </w:pPr>
    </w:p>
    <w:p>
      <w:pPr>
        <w:pStyle w:val="BodyText"/>
        <w:spacing w:line="240" w:lineRule="auto"/>
        <w:ind w:right="1438"/>
        <w:jc w:val="both"/>
      </w:pPr>
      <w:r>
        <w:rPr/>
        <w:t>The spending per tourist arrival in Curaçao amounted to US$925.5 in 2014. In 2013, the spending per arrival was US$911,</w:t>
      </w:r>
      <w:r>
        <w:rPr>
          <w:spacing w:val="-9"/>
        </w:rPr>
        <w:t> </w:t>
      </w:r>
      <w:r>
        <w:rPr/>
        <w:t>which</w:t>
      </w:r>
      <w:r>
        <w:rPr>
          <w:spacing w:val="-9"/>
        </w:rPr>
        <w:t> </w:t>
      </w:r>
      <w:r>
        <w:rPr/>
        <w:t>is</w:t>
      </w:r>
      <w:r>
        <w:rPr>
          <w:spacing w:val="-11"/>
        </w:rPr>
        <w:t> </w:t>
      </w:r>
      <w:r>
        <w:rPr/>
        <w:t>an</w:t>
      </w:r>
      <w:r>
        <w:rPr>
          <w:spacing w:val="-8"/>
        </w:rPr>
        <w:t> </w:t>
      </w:r>
      <w:r>
        <w:rPr/>
        <w:t>increase</w:t>
      </w:r>
      <w:r>
        <w:rPr>
          <w:spacing w:val="-10"/>
        </w:rPr>
        <w:t> </w:t>
      </w:r>
      <w:r>
        <w:rPr/>
        <w:t>of</w:t>
      </w:r>
      <w:r>
        <w:rPr>
          <w:spacing w:val="-10"/>
        </w:rPr>
        <w:t> </w:t>
      </w:r>
      <w:r>
        <w:rPr/>
        <w:t>1.6%.</w:t>
      </w:r>
      <w:r>
        <w:rPr>
          <w:spacing w:val="27"/>
        </w:rPr>
        <w:t> </w:t>
      </w:r>
      <w:r>
        <w:rPr/>
        <w:t>When</w:t>
      </w:r>
      <w:r>
        <w:rPr>
          <w:spacing w:val="-9"/>
        </w:rPr>
        <w:t> </w:t>
      </w:r>
      <w:r>
        <w:rPr/>
        <w:t>compared</w:t>
      </w:r>
      <w:r>
        <w:rPr>
          <w:spacing w:val="-9"/>
        </w:rPr>
        <w:t> </w:t>
      </w:r>
      <w:r>
        <w:rPr/>
        <w:t>to</w:t>
      </w:r>
      <w:r>
        <w:rPr>
          <w:spacing w:val="-9"/>
        </w:rPr>
        <w:t> </w:t>
      </w:r>
      <w:r>
        <w:rPr/>
        <w:t>the</w:t>
      </w:r>
      <w:r>
        <w:rPr>
          <w:spacing w:val="-10"/>
        </w:rPr>
        <w:t> </w:t>
      </w:r>
      <w:r>
        <w:rPr/>
        <w:t>year</w:t>
      </w:r>
      <w:r>
        <w:rPr>
          <w:spacing w:val="-6"/>
        </w:rPr>
        <w:t> </w:t>
      </w:r>
      <w:r>
        <w:rPr/>
        <w:t>2000,</w:t>
      </w:r>
      <w:r>
        <w:rPr>
          <w:spacing w:val="-9"/>
        </w:rPr>
        <w:t> </w:t>
      </w:r>
      <w:r>
        <w:rPr/>
        <w:t>the</w:t>
      </w:r>
      <w:r>
        <w:rPr>
          <w:spacing w:val="-10"/>
        </w:rPr>
        <w:t> </w:t>
      </w:r>
      <w:r>
        <w:rPr/>
        <w:t>spending</w:t>
      </w:r>
      <w:r>
        <w:rPr>
          <w:spacing w:val="-9"/>
        </w:rPr>
        <w:t> </w:t>
      </w:r>
      <w:r>
        <w:rPr/>
        <w:t>per</w:t>
      </w:r>
      <w:r>
        <w:rPr>
          <w:spacing w:val="-9"/>
        </w:rPr>
        <w:t> </w:t>
      </w:r>
      <w:r>
        <w:rPr/>
        <w:t>arrival</w:t>
      </w:r>
      <w:r>
        <w:rPr>
          <w:spacing w:val="-9"/>
        </w:rPr>
        <w:t> </w:t>
      </w:r>
      <w:r>
        <w:rPr/>
        <w:t>has</w:t>
      </w:r>
      <w:r>
        <w:rPr>
          <w:spacing w:val="-10"/>
        </w:rPr>
        <w:t> </w:t>
      </w:r>
      <w:r>
        <w:rPr/>
        <w:t>increased</w:t>
      </w:r>
      <w:r>
        <w:rPr>
          <w:spacing w:val="-6"/>
        </w:rPr>
        <w:t> </w:t>
      </w:r>
      <w:r>
        <w:rPr/>
        <w:t>from </w:t>
      </w:r>
      <w:r>
        <w:rPr/>
        <w:t>US$664.5 to US$925.5. </w:t>
      </w:r>
      <w:r>
        <w:rPr>
          <w:rFonts w:ascii="Calibri" w:hAnsi="Calibri" w:cs="Calibri" w:eastAsia="Calibri" w:hint="default"/>
        </w:rPr>
        <w:t>Curaçao’s average annual receipt increase per arrival is 2.5% which compares favorably to </w:t>
      </w:r>
      <w:r>
        <w:rPr/>
        <w:t>that of Aruba,</w:t>
      </w:r>
      <w:r>
        <w:rPr>
          <w:position w:val="5"/>
          <w:sz w:val="12"/>
          <w:szCs w:val="12"/>
        </w:rPr>
        <w:t>18 </w:t>
      </w:r>
      <w:r>
        <w:rPr/>
        <w:t>a competing island destination. The increase in spending per arrival over time suggests a strong </w:t>
      </w:r>
      <w:r>
        <w:rPr/>
        <w:t>performance by the Curaçao tourism</w:t>
      </w:r>
      <w:r>
        <w:rPr>
          <w:spacing w:val="-18"/>
        </w:rPr>
        <w:t> </w:t>
      </w:r>
      <w:r>
        <w:rPr/>
        <w:t>sector.</w:t>
      </w:r>
    </w:p>
    <w:p>
      <w:pPr>
        <w:pStyle w:val="Heading2"/>
        <w:spacing w:line="240" w:lineRule="auto" w:before="37"/>
        <w:ind w:right="0"/>
        <w:jc w:val="both"/>
        <w:rPr>
          <w:b w:val="0"/>
          <w:bCs w:val="0"/>
        </w:rPr>
      </w:pPr>
      <w:bookmarkStart w:name="_bookmark46" w:id="47"/>
      <w:bookmarkEnd w:id="47"/>
      <w:r>
        <w:rPr>
          <w:b w:val="0"/>
        </w:rPr>
      </w:r>
      <w:r>
        <w:rPr/>
        <w:t>The spending impact in the local</w:t>
      </w:r>
      <w:r>
        <w:rPr>
          <w:spacing w:val="-23"/>
        </w:rPr>
        <w:t> </w:t>
      </w:r>
      <w:r>
        <w:rPr/>
        <w:t>economy</w:t>
      </w:r>
      <w:r>
        <w:rPr>
          <w:b w:val="0"/>
        </w:rPr>
      </w:r>
    </w:p>
    <w:p>
      <w:pPr>
        <w:pStyle w:val="BodyText"/>
        <w:spacing w:line="240" w:lineRule="auto" w:before="189"/>
        <w:ind w:right="1435"/>
        <w:jc w:val="both"/>
      </w:pPr>
      <w:r>
        <w:rPr/>
        <w:t>The direct spending from tourists patronizing Curaçao touches conventional tourism suppliers, such as hotels, restaurants, and transportation, as well as other less conventional suppliers, such as banks, utilities, and manufacturing. It is important to note that the amount of tourist spending that occurs in Curaçao is directly </w:t>
      </w:r>
      <w:r>
        <w:rPr>
          <w:rFonts w:ascii="Calibri" w:hAnsi="Calibri" w:cs="Calibri" w:eastAsia="Calibri" w:hint="default"/>
        </w:rPr>
        <w:t>dependent</w:t>
      </w:r>
      <w:r>
        <w:rPr>
          <w:rFonts w:ascii="Calibri" w:hAnsi="Calibri" w:cs="Calibri" w:eastAsia="Calibri" w:hint="default"/>
          <w:spacing w:val="-6"/>
        </w:rPr>
        <w:t> </w:t>
      </w:r>
      <w:r>
        <w:rPr>
          <w:rFonts w:ascii="Calibri" w:hAnsi="Calibri" w:cs="Calibri" w:eastAsia="Calibri" w:hint="default"/>
        </w:rPr>
        <w:t>upon</w:t>
      </w:r>
      <w:r>
        <w:rPr>
          <w:rFonts w:ascii="Calibri" w:hAnsi="Calibri" w:cs="Calibri" w:eastAsia="Calibri" w:hint="default"/>
          <w:spacing w:val="-6"/>
        </w:rPr>
        <w:t> </w:t>
      </w:r>
      <w:r>
        <w:rPr>
          <w:rFonts w:ascii="Calibri" w:hAnsi="Calibri" w:cs="Calibri" w:eastAsia="Calibri" w:hint="default"/>
        </w:rPr>
        <w:t>the</w:t>
      </w:r>
      <w:r>
        <w:rPr>
          <w:rFonts w:ascii="Calibri" w:hAnsi="Calibri" w:cs="Calibri" w:eastAsia="Calibri" w:hint="default"/>
          <w:spacing w:val="-8"/>
        </w:rPr>
        <w:t> </w:t>
      </w:r>
      <w:r>
        <w:rPr>
          <w:rFonts w:ascii="Calibri" w:hAnsi="Calibri" w:cs="Calibri" w:eastAsia="Calibri" w:hint="default"/>
        </w:rPr>
        <w:t>tourists’</w:t>
      </w:r>
      <w:r>
        <w:rPr>
          <w:rFonts w:ascii="Calibri" w:hAnsi="Calibri" w:cs="Calibri" w:eastAsia="Calibri" w:hint="default"/>
          <w:spacing w:val="-9"/>
        </w:rPr>
        <w:t> </w:t>
      </w:r>
      <w:r>
        <w:rPr>
          <w:rFonts w:ascii="Calibri" w:hAnsi="Calibri" w:cs="Calibri" w:eastAsia="Calibri" w:hint="default"/>
        </w:rPr>
        <w:t>stay</w:t>
      </w:r>
      <w:r>
        <w:rPr>
          <w:rFonts w:ascii="Calibri" w:hAnsi="Calibri" w:cs="Calibri" w:eastAsia="Calibri" w:hint="default"/>
          <w:spacing w:val="-6"/>
        </w:rPr>
        <w:t> </w:t>
      </w:r>
      <w:r>
        <w:rPr>
          <w:rFonts w:ascii="Calibri" w:hAnsi="Calibri" w:cs="Calibri" w:eastAsia="Calibri" w:hint="default"/>
        </w:rPr>
        <w:t>in</w:t>
      </w:r>
      <w:r>
        <w:rPr>
          <w:rFonts w:ascii="Calibri" w:hAnsi="Calibri" w:cs="Calibri" w:eastAsia="Calibri" w:hint="default"/>
          <w:spacing w:val="-6"/>
        </w:rPr>
        <w:t> </w:t>
      </w:r>
      <w:r>
        <w:rPr>
          <w:rFonts w:ascii="Calibri" w:hAnsi="Calibri" w:cs="Calibri" w:eastAsia="Calibri" w:hint="default"/>
        </w:rPr>
        <w:t>hotels.</w:t>
      </w:r>
      <w:r>
        <w:rPr>
          <w:rFonts w:ascii="Calibri" w:hAnsi="Calibri" w:cs="Calibri" w:eastAsia="Calibri" w:hint="default"/>
          <w:spacing w:val="-7"/>
        </w:rPr>
        <w:t> </w:t>
      </w:r>
      <w:r>
        <w:rPr>
          <w:rFonts w:ascii="Calibri" w:hAnsi="Calibri" w:cs="Calibri" w:eastAsia="Calibri" w:hint="default"/>
        </w:rPr>
        <w:t>This</w:t>
      </w:r>
      <w:r>
        <w:rPr>
          <w:rFonts w:ascii="Calibri" w:hAnsi="Calibri" w:cs="Calibri" w:eastAsia="Calibri" w:hint="default"/>
          <w:spacing w:val="-8"/>
        </w:rPr>
        <w:t> </w:t>
      </w:r>
      <w:r>
        <w:rPr>
          <w:rFonts w:ascii="Calibri" w:hAnsi="Calibri" w:cs="Calibri" w:eastAsia="Calibri" w:hint="default"/>
        </w:rPr>
        <w:t>is</w:t>
      </w:r>
      <w:r>
        <w:rPr>
          <w:rFonts w:ascii="Calibri" w:hAnsi="Calibri" w:cs="Calibri" w:eastAsia="Calibri" w:hint="default"/>
          <w:spacing w:val="-8"/>
        </w:rPr>
        <w:t> </w:t>
      </w:r>
      <w:r>
        <w:rPr>
          <w:rFonts w:ascii="Calibri" w:hAnsi="Calibri" w:cs="Calibri" w:eastAsia="Calibri" w:hint="default"/>
        </w:rPr>
        <w:t>because</w:t>
      </w:r>
      <w:r>
        <w:rPr>
          <w:rFonts w:ascii="Calibri" w:hAnsi="Calibri" w:cs="Calibri" w:eastAsia="Calibri" w:hint="default"/>
          <w:spacing w:val="-8"/>
        </w:rPr>
        <w:t> </w:t>
      </w:r>
      <w:r>
        <w:rPr>
          <w:rFonts w:ascii="Calibri" w:hAnsi="Calibri" w:cs="Calibri" w:eastAsia="Calibri" w:hint="default"/>
        </w:rPr>
        <w:t>hotels</w:t>
      </w:r>
      <w:r>
        <w:rPr>
          <w:rFonts w:ascii="Calibri" w:hAnsi="Calibri" w:cs="Calibri" w:eastAsia="Calibri" w:hint="default"/>
          <w:spacing w:val="-8"/>
        </w:rPr>
        <w:t> </w:t>
      </w:r>
      <w:r>
        <w:rPr>
          <w:rFonts w:ascii="Calibri" w:hAnsi="Calibri" w:cs="Calibri" w:eastAsia="Calibri" w:hint="default"/>
        </w:rPr>
        <w:t>have</w:t>
      </w:r>
      <w:r>
        <w:rPr>
          <w:rFonts w:ascii="Calibri" w:hAnsi="Calibri" w:cs="Calibri" w:eastAsia="Calibri" w:hint="default"/>
          <w:spacing w:val="-8"/>
        </w:rPr>
        <w:t> </w:t>
      </w:r>
      <w:r>
        <w:rPr>
          <w:rFonts w:ascii="Calibri" w:hAnsi="Calibri" w:cs="Calibri" w:eastAsia="Calibri" w:hint="default"/>
        </w:rPr>
        <w:t>the</w:t>
      </w:r>
      <w:r>
        <w:rPr>
          <w:rFonts w:ascii="Calibri" w:hAnsi="Calibri" w:cs="Calibri" w:eastAsia="Calibri" w:hint="default"/>
          <w:spacing w:val="-8"/>
        </w:rPr>
        <w:t> </w:t>
      </w:r>
      <w:r>
        <w:rPr>
          <w:rFonts w:ascii="Calibri" w:hAnsi="Calibri" w:cs="Calibri" w:eastAsia="Calibri" w:hint="default"/>
        </w:rPr>
        <w:t>largest</w:t>
      </w:r>
      <w:r>
        <w:rPr>
          <w:rFonts w:ascii="Calibri" w:hAnsi="Calibri" w:cs="Calibri" w:eastAsia="Calibri" w:hint="default"/>
          <w:spacing w:val="-4"/>
        </w:rPr>
        <w:t> </w:t>
      </w:r>
      <w:r>
        <w:rPr>
          <w:rFonts w:ascii="Calibri" w:hAnsi="Calibri" w:cs="Calibri" w:eastAsia="Calibri" w:hint="default"/>
        </w:rPr>
        <w:t>multiplier</w:t>
      </w:r>
      <w:r>
        <w:rPr>
          <w:rFonts w:ascii="Calibri" w:hAnsi="Calibri" w:cs="Calibri" w:eastAsia="Calibri" w:hint="default"/>
          <w:spacing w:val="-7"/>
        </w:rPr>
        <w:t> </w:t>
      </w:r>
      <w:r>
        <w:rPr>
          <w:rFonts w:ascii="Calibri" w:hAnsi="Calibri" w:cs="Calibri" w:eastAsia="Calibri" w:hint="default"/>
        </w:rPr>
        <w:t>in</w:t>
      </w:r>
      <w:r>
        <w:rPr>
          <w:rFonts w:ascii="Calibri" w:hAnsi="Calibri" w:cs="Calibri" w:eastAsia="Calibri" w:hint="default"/>
          <w:spacing w:val="-6"/>
        </w:rPr>
        <w:t> </w:t>
      </w:r>
      <w:r>
        <w:rPr>
          <w:rFonts w:ascii="Calibri" w:hAnsi="Calibri" w:cs="Calibri" w:eastAsia="Calibri" w:hint="default"/>
        </w:rPr>
        <w:t>the</w:t>
      </w:r>
      <w:r>
        <w:rPr>
          <w:rFonts w:ascii="Calibri" w:hAnsi="Calibri" w:cs="Calibri" w:eastAsia="Calibri" w:hint="default"/>
          <w:spacing w:val="-8"/>
        </w:rPr>
        <w:t> </w:t>
      </w:r>
      <w:r>
        <w:rPr>
          <w:rFonts w:ascii="Calibri" w:hAnsi="Calibri" w:cs="Calibri" w:eastAsia="Calibri" w:hint="default"/>
        </w:rPr>
        <w:t>economy.</w:t>
      </w:r>
      <w:r>
        <w:rPr>
          <w:rFonts w:ascii="Calibri" w:hAnsi="Calibri" w:cs="Calibri" w:eastAsia="Calibri" w:hint="default"/>
          <w:spacing w:val="41"/>
        </w:rPr>
        <w:t> </w:t>
      </w:r>
      <w:r>
        <w:rPr/>
        <w:t>In</w:t>
      </w:r>
      <w:r>
        <w:rPr>
          <w:spacing w:val="-6"/>
        </w:rPr>
        <w:t> </w:t>
      </w:r>
      <w:r>
        <w:rPr/>
        <w:t>the </w:t>
      </w:r>
      <w:r>
        <w:rPr/>
        <w:t>case of Curaçao, the estimates reveal that the multiplier for hotels is</w:t>
      </w:r>
      <w:r>
        <w:rPr>
          <w:spacing w:val="-20"/>
        </w:rPr>
        <w:t> </w:t>
      </w:r>
      <w:r>
        <w:rPr/>
        <w:t>1.92.</w:t>
      </w:r>
    </w:p>
    <w:p>
      <w:pPr>
        <w:spacing w:line="240" w:lineRule="auto" w:before="1"/>
        <w:ind w:right="0"/>
        <w:rPr>
          <w:rFonts w:ascii="Calibri" w:hAnsi="Calibri" w:cs="Calibri" w:eastAsia="Calibri" w:hint="default"/>
          <w:sz w:val="20"/>
          <w:szCs w:val="20"/>
        </w:rPr>
      </w:pPr>
    </w:p>
    <w:p>
      <w:pPr>
        <w:pStyle w:val="BodyText"/>
        <w:spacing w:line="240" w:lineRule="auto"/>
        <w:ind w:right="1435"/>
        <w:jc w:val="both"/>
      </w:pPr>
      <w:r>
        <w:rPr/>
        <w:t>Interestingly, a large proportion of those tourists frequenting Curaçao (nearly 43%) stay outside of the traditional accommodation sector, such as renting private homes and apartments, or staying with friends and relatives.</w:t>
      </w:r>
      <w:r>
        <w:rPr>
          <w:position w:val="5"/>
          <w:sz w:val="12"/>
        </w:rPr>
        <w:t>19 </w:t>
      </w:r>
      <w:r>
        <w:rPr/>
        <w:t>The </w:t>
      </w:r>
      <w:r>
        <w:rPr/>
        <w:t>shift</w:t>
      </w:r>
      <w:r>
        <w:rPr>
          <w:spacing w:val="-10"/>
        </w:rPr>
        <w:t> </w:t>
      </w:r>
      <w:r>
        <w:rPr/>
        <w:t>towards</w:t>
      </w:r>
      <w:r>
        <w:rPr>
          <w:spacing w:val="-11"/>
        </w:rPr>
        <w:t> </w:t>
      </w:r>
      <w:r>
        <w:rPr/>
        <w:t>other</w:t>
      </w:r>
      <w:r>
        <w:rPr>
          <w:spacing w:val="-10"/>
        </w:rPr>
        <w:t> </w:t>
      </w:r>
      <w:r>
        <w:rPr/>
        <w:t>types</w:t>
      </w:r>
      <w:r>
        <w:rPr>
          <w:spacing w:val="-11"/>
        </w:rPr>
        <w:t> </w:t>
      </w:r>
      <w:r>
        <w:rPr/>
        <w:t>of</w:t>
      </w:r>
      <w:r>
        <w:rPr>
          <w:spacing w:val="-11"/>
        </w:rPr>
        <w:t> </w:t>
      </w:r>
      <w:r>
        <w:rPr/>
        <w:t>accommodations</w:t>
      </w:r>
      <w:r>
        <w:rPr>
          <w:spacing w:val="-11"/>
        </w:rPr>
        <w:t> </w:t>
      </w:r>
      <w:r>
        <w:rPr/>
        <w:t>rather</w:t>
      </w:r>
      <w:r>
        <w:rPr>
          <w:spacing w:val="-10"/>
        </w:rPr>
        <w:t> </w:t>
      </w:r>
      <w:r>
        <w:rPr/>
        <w:t>than</w:t>
      </w:r>
      <w:r>
        <w:rPr>
          <w:spacing w:val="-9"/>
        </w:rPr>
        <w:t> </w:t>
      </w:r>
      <w:r>
        <w:rPr/>
        <w:t>the</w:t>
      </w:r>
      <w:r>
        <w:rPr>
          <w:spacing w:val="-11"/>
        </w:rPr>
        <w:t> </w:t>
      </w:r>
      <w:r>
        <w:rPr/>
        <w:t>transient</w:t>
      </w:r>
      <w:r>
        <w:rPr>
          <w:spacing w:val="-10"/>
        </w:rPr>
        <w:t> </w:t>
      </w:r>
      <w:r>
        <w:rPr/>
        <w:t>hotels</w:t>
      </w:r>
      <w:r>
        <w:rPr>
          <w:spacing w:val="-12"/>
        </w:rPr>
        <w:t> </w:t>
      </w:r>
      <w:r>
        <w:rPr/>
        <w:t>are</w:t>
      </w:r>
      <w:r>
        <w:rPr>
          <w:spacing w:val="-11"/>
        </w:rPr>
        <w:t> </w:t>
      </w:r>
      <w:r>
        <w:rPr/>
        <w:t>clearly</w:t>
      </w:r>
      <w:r>
        <w:rPr>
          <w:spacing w:val="-10"/>
        </w:rPr>
        <w:t> </w:t>
      </w:r>
      <w:r>
        <w:rPr/>
        <w:t>exposed</w:t>
      </w:r>
      <w:r>
        <w:rPr>
          <w:spacing w:val="-10"/>
        </w:rPr>
        <w:t> </w:t>
      </w:r>
      <w:r>
        <w:rPr/>
        <w:t>in</w:t>
      </w:r>
      <w:r>
        <w:rPr>
          <w:spacing w:val="-10"/>
        </w:rPr>
        <w:t> </w:t>
      </w:r>
      <w:r>
        <w:rPr/>
        <w:t>Table</w:t>
      </w:r>
      <w:r>
        <w:rPr>
          <w:spacing w:val="-7"/>
        </w:rPr>
        <w:t> </w:t>
      </w:r>
      <w:r>
        <w:rPr/>
        <w:t>9.</w:t>
      </w:r>
      <w:r>
        <w:rPr>
          <w:spacing w:val="-10"/>
        </w:rPr>
        <w:t> </w:t>
      </w:r>
      <w:r>
        <w:rPr/>
        <w:t>Tourists </w:t>
      </w:r>
      <w:r>
        <w:rPr/>
        <w:t>staying</w:t>
      </w:r>
      <w:r>
        <w:rPr>
          <w:spacing w:val="-12"/>
        </w:rPr>
        <w:t> </w:t>
      </w:r>
      <w:r>
        <w:rPr/>
        <w:t>in</w:t>
      </w:r>
      <w:r>
        <w:rPr>
          <w:spacing w:val="-11"/>
        </w:rPr>
        <w:t> </w:t>
      </w:r>
      <w:r>
        <w:rPr/>
        <w:t>hotels</w:t>
      </w:r>
      <w:r>
        <w:rPr>
          <w:spacing w:val="-13"/>
        </w:rPr>
        <w:t> </w:t>
      </w:r>
      <w:r>
        <w:rPr/>
        <w:t>only</w:t>
      </w:r>
      <w:r>
        <w:rPr>
          <w:spacing w:val="-11"/>
        </w:rPr>
        <w:t> </w:t>
      </w:r>
      <w:r>
        <w:rPr/>
        <w:t>increased</w:t>
      </w:r>
      <w:r>
        <w:rPr>
          <w:spacing w:val="-11"/>
        </w:rPr>
        <w:t> </w:t>
      </w:r>
      <w:r>
        <w:rPr/>
        <w:t>on</w:t>
      </w:r>
      <w:r>
        <w:rPr>
          <w:spacing w:val="-11"/>
        </w:rPr>
        <w:t> </w:t>
      </w:r>
      <w:r>
        <w:rPr/>
        <w:t>average</w:t>
      </w:r>
      <w:r>
        <w:rPr>
          <w:spacing w:val="-13"/>
        </w:rPr>
        <w:t> </w:t>
      </w:r>
      <w:r>
        <w:rPr/>
        <w:t>by</w:t>
      </w:r>
      <w:r>
        <w:rPr>
          <w:spacing w:val="-11"/>
        </w:rPr>
        <w:t> </w:t>
      </w:r>
      <w:r>
        <w:rPr/>
        <w:t>5%</w:t>
      </w:r>
      <w:r>
        <w:rPr>
          <w:spacing w:val="-13"/>
        </w:rPr>
        <w:t> </w:t>
      </w:r>
      <w:r>
        <w:rPr/>
        <w:t>per</w:t>
      </w:r>
      <w:r>
        <w:rPr>
          <w:spacing w:val="-12"/>
        </w:rPr>
        <w:t> </w:t>
      </w:r>
      <w:r>
        <w:rPr/>
        <w:t>year,</w:t>
      </w:r>
      <w:r>
        <w:rPr>
          <w:spacing w:val="-9"/>
        </w:rPr>
        <w:t> </w:t>
      </w:r>
      <w:r>
        <w:rPr/>
        <w:t>which</w:t>
      </w:r>
      <w:r>
        <w:rPr>
          <w:spacing w:val="-12"/>
        </w:rPr>
        <w:t> </w:t>
      </w:r>
      <w:r>
        <w:rPr/>
        <w:t>is</w:t>
      </w:r>
      <w:r>
        <w:rPr>
          <w:spacing w:val="-13"/>
        </w:rPr>
        <w:t> </w:t>
      </w:r>
      <w:r>
        <w:rPr/>
        <w:t>below</w:t>
      </w:r>
      <w:r>
        <w:rPr>
          <w:spacing w:val="-12"/>
        </w:rPr>
        <w:t> </w:t>
      </w:r>
      <w:r>
        <w:rPr/>
        <w:t>the</w:t>
      </w:r>
      <w:r>
        <w:rPr>
          <w:spacing w:val="-12"/>
        </w:rPr>
        <w:t> </w:t>
      </w:r>
      <w:r>
        <w:rPr/>
        <w:t>7%</w:t>
      </w:r>
      <w:r>
        <w:rPr>
          <w:spacing w:val="-12"/>
        </w:rPr>
        <w:t> </w:t>
      </w:r>
      <w:r>
        <w:rPr/>
        <w:t>annual</w:t>
      </w:r>
      <w:r>
        <w:rPr>
          <w:spacing w:val="-11"/>
        </w:rPr>
        <w:t> </w:t>
      </w:r>
      <w:r>
        <w:rPr/>
        <w:t>average</w:t>
      </w:r>
      <w:r>
        <w:rPr>
          <w:spacing w:val="-12"/>
        </w:rPr>
        <w:t> </w:t>
      </w:r>
      <w:r>
        <w:rPr/>
        <w:t>increase</w:t>
      </w:r>
      <w:r>
        <w:rPr>
          <w:spacing w:val="-12"/>
        </w:rPr>
        <w:t> </w:t>
      </w:r>
      <w:r>
        <w:rPr/>
        <w:t>of</w:t>
      </w:r>
      <w:r>
        <w:rPr>
          <w:spacing w:val="-12"/>
        </w:rPr>
        <w:t> </w:t>
      </w:r>
      <w:r>
        <w:rPr/>
        <w:t>arrivals.</w:t>
      </w:r>
    </w:p>
    <w:p>
      <w:pPr>
        <w:spacing w:line="240" w:lineRule="auto" w:before="4"/>
        <w:ind w:right="0"/>
        <w:rPr>
          <w:rFonts w:ascii="Calibri" w:hAnsi="Calibri" w:cs="Calibri" w:eastAsia="Calibri" w:hint="default"/>
          <w:sz w:val="12"/>
          <w:szCs w:val="12"/>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before="91"/>
        <w:ind w:left="1440" w:right="0" w:firstLine="0"/>
        <w:jc w:val="left"/>
        <w:rPr>
          <w:rFonts w:ascii="Calibri" w:hAnsi="Calibri" w:cs="Calibri" w:eastAsia="Calibri" w:hint="default"/>
          <w:sz w:val="16"/>
          <w:szCs w:val="16"/>
        </w:rPr>
      </w:pPr>
      <w:r>
        <w:rPr>
          <w:rFonts w:ascii="Calibri"/>
          <w:position w:val="5"/>
          <w:sz w:val="12"/>
        </w:rPr>
        <w:t>18</w:t>
      </w:r>
      <w:r>
        <w:rPr>
          <w:rFonts w:ascii="Calibri"/>
          <w:spacing w:val="6"/>
          <w:position w:val="5"/>
          <w:sz w:val="12"/>
        </w:rPr>
        <w:t> </w:t>
      </w:r>
      <w:r>
        <w:rPr>
          <w:rFonts w:ascii="Calibri"/>
          <w:sz w:val="16"/>
        </w:rPr>
        <w:t>See</w:t>
      </w:r>
      <w:r>
        <w:rPr>
          <w:rFonts w:ascii="Calibri"/>
          <w:spacing w:val="-3"/>
          <w:sz w:val="16"/>
        </w:rPr>
        <w:t> </w:t>
      </w:r>
      <w:r>
        <w:rPr>
          <w:rFonts w:ascii="Calibri"/>
          <w:sz w:val="16"/>
        </w:rPr>
        <w:t>the</w:t>
      </w:r>
      <w:r>
        <w:rPr>
          <w:rFonts w:ascii="Calibri"/>
          <w:spacing w:val="-4"/>
          <w:sz w:val="16"/>
        </w:rPr>
        <w:t> </w:t>
      </w:r>
      <w:r>
        <w:rPr>
          <w:rFonts w:ascii="Calibri"/>
          <w:sz w:val="16"/>
        </w:rPr>
        <w:t>report</w:t>
      </w:r>
      <w:r>
        <w:rPr>
          <w:rFonts w:ascii="Calibri"/>
          <w:spacing w:val="-3"/>
          <w:sz w:val="16"/>
        </w:rPr>
        <w:t> </w:t>
      </w:r>
      <w:r>
        <w:rPr>
          <w:rFonts w:ascii="Calibri"/>
          <w:sz w:val="16"/>
        </w:rPr>
        <w:t>authored</w:t>
      </w:r>
      <w:r>
        <w:rPr>
          <w:rFonts w:ascii="Calibri"/>
          <w:spacing w:val="-3"/>
          <w:sz w:val="16"/>
        </w:rPr>
        <w:t> </w:t>
      </w:r>
      <w:r>
        <w:rPr>
          <w:rFonts w:ascii="Calibri"/>
          <w:sz w:val="16"/>
        </w:rPr>
        <w:t>by</w:t>
      </w:r>
      <w:r>
        <w:rPr>
          <w:rFonts w:ascii="Calibri"/>
          <w:spacing w:val="-2"/>
          <w:sz w:val="16"/>
        </w:rPr>
        <w:t> </w:t>
      </w:r>
      <w:r>
        <w:rPr>
          <w:rFonts w:ascii="Calibri"/>
          <w:sz w:val="16"/>
        </w:rPr>
        <w:t>the</w:t>
      </w:r>
      <w:r>
        <w:rPr>
          <w:rFonts w:ascii="Calibri"/>
          <w:spacing w:val="-4"/>
          <w:sz w:val="16"/>
        </w:rPr>
        <w:t> </w:t>
      </w:r>
      <w:r>
        <w:rPr>
          <w:rFonts w:ascii="Calibri"/>
          <w:sz w:val="16"/>
        </w:rPr>
        <w:t>DPITS,</w:t>
      </w:r>
      <w:r>
        <w:rPr>
          <w:rFonts w:ascii="Calibri"/>
          <w:spacing w:val="-2"/>
          <w:sz w:val="16"/>
        </w:rPr>
        <w:t> </w:t>
      </w:r>
      <w:r>
        <w:rPr>
          <w:rFonts w:ascii="Calibri"/>
          <w:sz w:val="16"/>
        </w:rPr>
        <w:t>Croes</w:t>
      </w:r>
      <w:r>
        <w:rPr>
          <w:rFonts w:ascii="Calibri"/>
          <w:spacing w:val="-3"/>
          <w:sz w:val="16"/>
        </w:rPr>
        <w:t> </w:t>
      </w:r>
      <w:r>
        <w:rPr>
          <w:rFonts w:ascii="Calibri"/>
          <w:sz w:val="16"/>
        </w:rPr>
        <w:t>et</w:t>
      </w:r>
      <w:r>
        <w:rPr>
          <w:rFonts w:ascii="Calibri"/>
          <w:spacing w:val="-3"/>
          <w:sz w:val="16"/>
        </w:rPr>
        <w:t> </w:t>
      </w:r>
      <w:r>
        <w:rPr>
          <w:rFonts w:ascii="Calibri"/>
          <w:sz w:val="16"/>
        </w:rPr>
        <w:t>al.</w:t>
      </w:r>
      <w:r>
        <w:rPr>
          <w:rFonts w:ascii="Calibri"/>
          <w:spacing w:val="-2"/>
          <w:sz w:val="16"/>
        </w:rPr>
        <w:t> </w:t>
      </w:r>
      <w:r>
        <w:rPr>
          <w:rFonts w:ascii="Calibri"/>
          <w:sz w:val="16"/>
        </w:rPr>
        <w:t>(2011).</w:t>
      </w:r>
      <w:r>
        <w:rPr>
          <w:rFonts w:ascii="Calibri"/>
          <w:spacing w:val="-3"/>
          <w:sz w:val="16"/>
        </w:rPr>
        <w:t> </w:t>
      </w:r>
      <w:r>
        <w:rPr>
          <w:rFonts w:ascii="Calibri"/>
          <w:i/>
          <w:sz w:val="16"/>
        </w:rPr>
        <w:t>Winning</w:t>
      </w:r>
      <w:r>
        <w:rPr>
          <w:rFonts w:ascii="Calibri"/>
          <w:i/>
          <w:spacing w:val="-3"/>
          <w:sz w:val="16"/>
        </w:rPr>
        <w:t> </w:t>
      </w:r>
      <w:r>
        <w:rPr>
          <w:rFonts w:ascii="Calibri"/>
          <w:i/>
          <w:sz w:val="16"/>
        </w:rPr>
        <w:t>the</w:t>
      </w:r>
      <w:r>
        <w:rPr>
          <w:rFonts w:ascii="Calibri"/>
          <w:i/>
          <w:spacing w:val="-2"/>
          <w:sz w:val="16"/>
        </w:rPr>
        <w:t> </w:t>
      </w:r>
      <w:r>
        <w:rPr>
          <w:rFonts w:ascii="Calibri"/>
          <w:i/>
          <w:sz w:val="16"/>
        </w:rPr>
        <w:t>Future:</w:t>
      </w:r>
      <w:r>
        <w:rPr>
          <w:rFonts w:ascii="Calibri"/>
          <w:i/>
          <w:spacing w:val="-2"/>
          <w:sz w:val="16"/>
        </w:rPr>
        <w:t> </w:t>
      </w:r>
      <w:r>
        <w:rPr>
          <w:rFonts w:ascii="Calibri"/>
          <w:i/>
          <w:sz w:val="16"/>
        </w:rPr>
        <w:t>Strategic</w:t>
      </w:r>
      <w:r>
        <w:rPr>
          <w:rFonts w:ascii="Calibri"/>
          <w:i/>
          <w:spacing w:val="-2"/>
          <w:sz w:val="16"/>
        </w:rPr>
        <w:t> </w:t>
      </w:r>
      <w:r>
        <w:rPr>
          <w:rFonts w:ascii="Calibri"/>
          <w:i/>
          <w:sz w:val="16"/>
        </w:rPr>
        <w:t>Plan</w:t>
      </w:r>
      <w:r>
        <w:rPr>
          <w:rFonts w:ascii="Calibri"/>
          <w:i/>
          <w:spacing w:val="-2"/>
          <w:sz w:val="16"/>
        </w:rPr>
        <w:t> </w:t>
      </w:r>
      <w:r>
        <w:rPr>
          <w:rFonts w:ascii="Calibri"/>
          <w:i/>
          <w:sz w:val="16"/>
        </w:rPr>
        <w:t>for</w:t>
      </w:r>
      <w:r>
        <w:rPr>
          <w:rFonts w:ascii="Calibri"/>
          <w:i/>
          <w:spacing w:val="-2"/>
          <w:sz w:val="16"/>
        </w:rPr>
        <w:t> </w:t>
      </w:r>
      <w:r>
        <w:rPr>
          <w:rFonts w:ascii="Calibri"/>
          <w:i/>
          <w:sz w:val="16"/>
        </w:rPr>
        <w:t>the</w:t>
      </w:r>
      <w:r>
        <w:rPr>
          <w:rFonts w:ascii="Calibri"/>
          <w:i/>
          <w:spacing w:val="-2"/>
          <w:sz w:val="16"/>
        </w:rPr>
        <w:t> </w:t>
      </w:r>
      <w:r>
        <w:rPr>
          <w:rFonts w:ascii="Calibri"/>
          <w:i/>
          <w:sz w:val="16"/>
        </w:rPr>
        <w:t>development</w:t>
      </w:r>
      <w:r>
        <w:rPr>
          <w:rFonts w:ascii="Calibri"/>
          <w:i/>
          <w:spacing w:val="-3"/>
          <w:sz w:val="16"/>
        </w:rPr>
        <w:t> </w:t>
      </w:r>
      <w:r>
        <w:rPr>
          <w:rFonts w:ascii="Calibri"/>
          <w:i/>
          <w:sz w:val="16"/>
        </w:rPr>
        <w:t>of</w:t>
      </w:r>
      <w:r>
        <w:rPr>
          <w:rFonts w:ascii="Calibri"/>
          <w:i/>
          <w:spacing w:val="-3"/>
          <w:sz w:val="16"/>
        </w:rPr>
        <w:t> </w:t>
      </w:r>
      <w:r>
        <w:rPr>
          <w:rFonts w:ascii="Calibri"/>
          <w:i/>
          <w:sz w:val="16"/>
        </w:rPr>
        <w:t>Tourism.</w:t>
      </w:r>
      <w:r>
        <w:rPr>
          <w:rFonts w:ascii="Calibri"/>
          <w:sz w:val="16"/>
        </w:rPr>
      </w:r>
    </w:p>
    <w:p>
      <w:pPr>
        <w:spacing w:line="247" w:lineRule="auto" w:before="11"/>
        <w:ind w:left="1440" w:right="1749" w:firstLine="0"/>
        <w:jc w:val="left"/>
        <w:rPr>
          <w:rFonts w:ascii="Calibri" w:hAnsi="Calibri" w:cs="Calibri" w:eastAsia="Calibri" w:hint="default"/>
          <w:sz w:val="16"/>
          <w:szCs w:val="16"/>
        </w:rPr>
      </w:pPr>
      <w:r>
        <w:rPr>
          <w:rFonts w:ascii="Calibri"/>
          <w:position w:val="5"/>
          <w:sz w:val="12"/>
        </w:rPr>
        <w:t>19 </w:t>
      </w:r>
      <w:r>
        <w:rPr>
          <w:rFonts w:ascii="Calibri"/>
          <w:sz w:val="16"/>
        </w:rPr>
        <w:t>This proportion is substantially higher than, for example, Aruba where 80% of the tourists stay in hotel accommodations. See Croes et al. </w:t>
      </w:r>
      <w:r>
        <w:rPr>
          <w:rFonts w:ascii="Calibri"/>
          <w:sz w:val="16"/>
        </w:rPr>
        <w:t>(2011). </w:t>
      </w:r>
      <w:r>
        <w:rPr>
          <w:rFonts w:ascii="Calibri"/>
          <w:i/>
          <w:sz w:val="16"/>
        </w:rPr>
        <w:t>Winning the</w:t>
      </w:r>
      <w:r>
        <w:rPr>
          <w:rFonts w:ascii="Calibri"/>
          <w:i/>
          <w:spacing w:val="-10"/>
          <w:sz w:val="16"/>
        </w:rPr>
        <w:t> </w:t>
      </w:r>
      <w:r>
        <w:rPr>
          <w:rFonts w:ascii="Calibri"/>
          <w:i/>
          <w:sz w:val="16"/>
        </w:rPr>
        <w:t>Future.</w:t>
      </w:r>
      <w:r>
        <w:rPr>
          <w:rFonts w:ascii="Calibri"/>
          <w:sz w:val="16"/>
        </w:rPr>
      </w:r>
    </w:p>
    <w:p>
      <w:pPr>
        <w:spacing w:after="0" w:line="247"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i/>
          <w:sz w:val="20"/>
          <w:szCs w:val="20"/>
        </w:rPr>
      </w:pPr>
    </w:p>
    <w:p>
      <w:pPr>
        <w:spacing w:line="240" w:lineRule="auto" w:before="1"/>
        <w:ind w:right="0"/>
        <w:rPr>
          <w:rFonts w:ascii="Calibri" w:hAnsi="Calibri" w:cs="Calibri" w:eastAsia="Calibri" w:hint="default"/>
          <w:i/>
          <w:sz w:val="23"/>
          <w:szCs w:val="23"/>
        </w:rPr>
      </w:pPr>
    </w:p>
    <w:p>
      <w:pPr>
        <w:pStyle w:val="BodyText"/>
        <w:spacing w:line="240" w:lineRule="auto" w:before="59"/>
        <w:ind w:right="1434"/>
        <w:jc w:val="both"/>
        <w:rPr>
          <w:rFonts w:ascii="Calibri" w:hAnsi="Calibri" w:cs="Calibri" w:eastAsia="Calibri" w:hint="default"/>
        </w:rPr>
      </w:pPr>
      <w:r>
        <w:rPr/>
        <w:t>On the other hand, private homes, apartments and bungalows increased by an annual average of 318%, </w:t>
      </w:r>
      <w:r>
        <w:rPr>
          <w:spacing w:val="3"/>
        </w:rPr>
        <w:t>20%, </w:t>
      </w:r>
      <w:r>
        <w:rPr/>
        <w:t>and </w:t>
      </w:r>
      <w:r>
        <w:rPr/>
        <w:t>16%, respectively.</w:t>
      </w:r>
      <w:r>
        <w:rPr>
          <w:position w:val="5"/>
          <w:sz w:val="12"/>
          <w:szCs w:val="12"/>
        </w:rPr>
        <w:t>20 </w:t>
      </w:r>
      <w:r>
        <w:rPr/>
        <w:t>The choice accommodation selection of tourists directly affects their spending as well as the </w:t>
      </w:r>
      <w:r>
        <w:rPr/>
      </w:r>
      <w:r>
        <w:rPr>
          <w:rFonts w:ascii="Calibri" w:hAnsi="Calibri" w:cs="Calibri" w:eastAsia="Calibri" w:hint="default"/>
        </w:rPr>
        <w:t>tourism industry’s overall contribution to the wider</w:t>
      </w:r>
      <w:r>
        <w:rPr>
          <w:rFonts w:ascii="Calibri" w:hAnsi="Calibri" w:cs="Calibri" w:eastAsia="Calibri" w:hint="default"/>
          <w:spacing w:val="-23"/>
        </w:rPr>
        <w:t> </w:t>
      </w:r>
      <w:r>
        <w:rPr>
          <w:rFonts w:ascii="Calibri" w:hAnsi="Calibri" w:cs="Calibri" w:eastAsia="Calibri" w:hint="default"/>
        </w:rPr>
        <w:t>economy.</w:t>
      </w:r>
    </w:p>
    <w:p>
      <w:pPr>
        <w:spacing w:line="240" w:lineRule="auto" w:before="1"/>
        <w:ind w:right="0"/>
        <w:rPr>
          <w:rFonts w:ascii="Calibri" w:hAnsi="Calibri" w:cs="Calibri" w:eastAsia="Calibri" w:hint="default"/>
          <w:sz w:val="20"/>
          <w:szCs w:val="20"/>
        </w:rPr>
      </w:pPr>
    </w:p>
    <w:p>
      <w:pPr>
        <w:pStyle w:val="BodyText"/>
        <w:spacing w:line="240" w:lineRule="auto"/>
        <w:ind w:right="1437"/>
        <w:jc w:val="both"/>
      </w:pPr>
      <w:r>
        <w:rPr/>
        <w:t>In</w:t>
      </w:r>
      <w:r>
        <w:rPr>
          <w:spacing w:val="-5"/>
        </w:rPr>
        <w:t> </w:t>
      </w:r>
      <w:r>
        <w:rPr/>
        <w:t>reviewing</w:t>
      </w:r>
      <w:r>
        <w:rPr>
          <w:spacing w:val="-5"/>
        </w:rPr>
        <w:t> </w:t>
      </w:r>
      <w:r>
        <w:rPr>
          <w:rFonts w:ascii="Calibri" w:hAnsi="Calibri" w:cs="Calibri" w:eastAsia="Calibri" w:hint="default"/>
        </w:rPr>
        <w:t>Curacao’s</w:t>
      </w:r>
      <w:r>
        <w:rPr>
          <w:rFonts w:ascii="Calibri" w:hAnsi="Calibri" w:cs="Calibri" w:eastAsia="Calibri" w:hint="default"/>
          <w:spacing w:val="-6"/>
        </w:rPr>
        <w:t> </w:t>
      </w:r>
      <w:r>
        <w:rPr/>
        <w:t>tourism</w:t>
      </w:r>
      <w:r>
        <w:rPr>
          <w:spacing w:val="-6"/>
        </w:rPr>
        <w:t> </w:t>
      </w:r>
      <w:r>
        <w:rPr/>
        <w:t>data,</w:t>
      </w:r>
      <w:r>
        <w:rPr>
          <w:spacing w:val="-4"/>
        </w:rPr>
        <w:t> </w:t>
      </w:r>
      <w:r>
        <w:rPr/>
        <w:t>it</w:t>
      </w:r>
      <w:r>
        <w:rPr>
          <w:spacing w:val="-5"/>
        </w:rPr>
        <w:t> </w:t>
      </w:r>
      <w:r>
        <w:rPr/>
        <w:t>is</w:t>
      </w:r>
      <w:r>
        <w:rPr>
          <w:spacing w:val="-7"/>
        </w:rPr>
        <w:t> </w:t>
      </w:r>
      <w:r>
        <w:rPr/>
        <w:t>determined</w:t>
      </w:r>
      <w:r>
        <w:rPr>
          <w:spacing w:val="-5"/>
        </w:rPr>
        <w:t> </w:t>
      </w:r>
      <w:r>
        <w:rPr/>
        <w:t>that</w:t>
      </w:r>
      <w:r>
        <w:rPr>
          <w:spacing w:val="-5"/>
        </w:rPr>
        <w:t> </w:t>
      </w:r>
      <w:r>
        <w:rPr/>
        <w:t>accommodation</w:t>
      </w:r>
      <w:r>
        <w:rPr>
          <w:spacing w:val="-5"/>
        </w:rPr>
        <w:t> </w:t>
      </w:r>
      <w:r>
        <w:rPr/>
        <w:t>receipts</w:t>
      </w:r>
      <w:r>
        <w:rPr>
          <w:spacing w:val="-6"/>
        </w:rPr>
        <w:t> </w:t>
      </w:r>
      <w:r>
        <w:rPr/>
        <w:t>represent</w:t>
      </w:r>
      <w:r>
        <w:rPr>
          <w:spacing w:val="-5"/>
        </w:rPr>
        <w:t> </w:t>
      </w:r>
      <w:r>
        <w:rPr/>
        <w:t>approximately</w:t>
      </w:r>
      <w:r>
        <w:rPr>
          <w:spacing w:val="-5"/>
        </w:rPr>
        <w:t> </w:t>
      </w:r>
      <w:r>
        <w:rPr/>
        <w:t>43%</w:t>
      </w:r>
      <w:r>
        <w:rPr>
          <w:spacing w:val="-6"/>
        </w:rPr>
        <w:t> </w:t>
      </w:r>
      <w:r>
        <w:rPr/>
        <w:t>of </w:t>
      </w:r>
      <w:r>
        <w:rPr/>
        <w:t>the total tourism spending in Curaçao. However, approximately 42% of the 2014 tourism receipts did not include hotel stays. Due to the high opportunity costs in direct spending, as well as multiplier effects, the large amount of tourists that do not stay in hotels should raise concern for</w:t>
      </w:r>
      <w:r>
        <w:rPr>
          <w:spacing w:val="-19"/>
        </w:rPr>
        <w:t> </w:t>
      </w:r>
      <w:r>
        <w:rPr/>
        <w:t>Curaçao.</w:t>
      </w:r>
    </w:p>
    <w:p>
      <w:pPr>
        <w:spacing w:line="240" w:lineRule="auto" w:before="1"/>
        <w:ind w:right="0"/>
        <w:rPr>
          <w:rFonts w:ascii="Calibri" w:hAnsi="Calibri" w:cs="Calibri" w:eastAsia="Calibri" w:hint="default"/>
          <w:sz w:val="20"/>
          <w:szCs w:val="20"/>
        </w:rPr>
      </w:pPr>
    </w:p>
    <w:p>
      <w:pPr>
        <w:pStyle w:val="Heading9"/>
        <w:tabs>
          <w:tab w:pos="4088" w:val="left" w:leader="none"/>
          <w:tab w:pos="11315" w:val="left" w:leader="none"/>
        </w:tabs>
        <w:spacing w:line="240" w:lineRule="auto"/>
        <w:ind w:left="928" w:right="0"/>
        <w:jc w:val="left"/>
        <w:rPr>
          <w:b w:val="0"/>
          <w:bCs w:val="0"/>
        </w:rPr>
      </w:pPr>
      <w:bookmarkStart w:name="_bookmark47" w:id="48"/>
      <w:bookmarkEnd w:id="48"/>
      <w:r>
        <w:rPr>
          <w:b w:val="0"/>
          <w:bCs w:val="0"/>
        </w:rPr>
      </w:r>
      <w:r>
        <w:rPr>
          <w:w w:val="99"/>
        </w:rPr>
      </w:r>
      <w:r>
        <w:rPr>
          <w:w w:val="99"/>
          <w:u w:val="single" w:color="000000"/>
        </w:rPr>
        <w:t> </w:t>
      </w:r>
      <w:r>
        <w:rPr>
          <w:u w:val="single" w:color="000000"/>
        </w:rPr>
        <w:tab/>
        <w:t>Table 9:  </w:t>
      </w:r>
      <w:r>
        <w:rPr>
          <w:rFonts w:ascii="Calibri" w:hAnsi="Calibri" w:cs="Calibri" w:eastAsia="Calibri" w:hint="default"/>
          <w:u w:val="single" w:color="000000"/>
        </w:rPr>
        <w:t>Curacao’s Demand </w:t>
      </w:r>
      <w:r>
        <w:rPr>
          <w:u w:val="single" w:color="000000"/>
        </w:rPr>
        <w:t>Accommodation</w:t>
      </w:r>
      <w:r>
        <w:rPr>
          <w:spacing w:val="-13"/>
          <w:u w:val="single" w:color="000000"/>
        </w:rPr>
        <w:t> </w:t>
      </w:r>
      <w:r>
        <w:rPr>
          <w:u w:val="single" w:color="000000"/>
        </w:rPr>
        <w:t>mix</w:t>
        <w:tab/>
      </w:r>
      <w:r>
        <w:rPr/>
      </w:r>
      <w:r>
        <w:rPr>
          <w:b w:val="0"/>
          <w:bCs w:val="0"/>
        </w:rPr>
      </w:r>
    </w:p>
    <w:p>
      <w:pPr>
        <w:spacing w:line="240" w:lineRule="auto" w:before="1"/>
        <w:ind w:right="0"/>
        <w:rPr>
          <w:rFonts w:ascii="Calibri" w:hAnsi="Calibri" w:cs="Calibri" w:eastAsia="Calibri" w:hint="default"/>
          <w:b/>
          <w:bCs/>
          <w:sz w:val="10"/>
          <w:szCs w:val="10"/>
        </w:rPr>
      </w:pPr>
    </w:p>
    <w:tbl>
      <w:tblPr>
        <w:tblW w:w="0" w:type="auto"/>
        <w:jc w:val="left"/>
        <w:tblInd w:w="928" w:type="dxa"/>
        <w:tblLayout w:type="fixed"/>
        <w:tblCellMar>
          <w:top w:w="0" w:type="dxa"/>
          <w:left w:w="0" w:type="dxa"/>
          <w:bottom w:w="0" w:type="dxa"/>
          <w:right w:w="0" w:type="dxa"/>
        </w:tblCellMar>
        <w:tblLook w:val="01E0"/>
      </w:tblPr>
      <w:tblGrid>
        <w:gridCol w:w="512"/>
        <w:gridCol w:w="692"/>
        <w:gridCol w:w="564"/>
        <w:gridCol w:w="868"/>
        <w:gridCol w:w="495"/>
        <w:gridCol w:w="713"/>
        <w:gridCol w:w="550"/>
        <w:gridCol w:w="697"/>
        <w:gridCol w:w="475"/>
        <w:gridCol w:w="693"/>
        <w:gridCol w:w="515"/>
        <w:gridCol w:w="692"/>
        <w:gridCol w:w="515"/>
        <w:gridCol w:w="699"/>
        <w:gridCol w:w="530"/>
        <w:gridCol w:w="702"/>
        <w:gridCol w:w="475"/>
      </w:tblGrid>
      <w:tr>
        <w:trPr>
          <w:trHeight w:val="234" w:hRule="exact"/>
        </w:trPr>
        <w:tc>
          <w:tcPr>
            <w:tcW w:w="1767" w:type="dxa"/>
            <w:gridSpan w:val="3"/>
            <w:tcBorders>
              <w:top w:val="nil" w:sz="6" w:space="0" w:color="auto"/>
              <w:left w:val="nil" w:sz="6" w:space="0" w:color="auto"/>
              <w:bottom w:val="single" w:sz="4" w:space="0" w:color="000000"/>
              <w:right w:val="nil" w:sz="6" w:space="0" w:color="auto"/>
            </w:tcBorders>
          </w:tcPr>
          <w:p>
            <w:pPr>
              <w:pStyle w:val="TableParagraph"/>
              <w:spacing w:line="142" w:lineRule="exact"/>
              <w:ind w:left="775" w:right="0"/>
              <w:jc w:val="left"/>
              <w:rPr>
                <w:rFonts w:ascii="Calibri" w:hAnsi="Calibri" w:cs="Calibri" w:eastAsia="Calibri" w:hint="default"/>
                <w:sz w:val="14"/>
                <w:szCs w:val="14"/>
              </w:rPr>
            </w:pPr>
            <w:r>
              <w:rPr>
                <w:rFonts w:ascii="Calibri"/>
                <w:b/>
                <w:sz w:val="14"/>
              </w:rPr>
              <w:t>Guest</w:t>
            </w:r>
            <w:r>
              <w:rPr>
                <w:rFonts w:ascii="Calibri"/>
                <w:b/>
                <w:spacing w:val="-6"/>
                <w:sz w:val="14"/>
              </w:rPr>
              <w:t> </w:t>
            </w:r>
            <w:r>
              <w:rPr>
                <w:rFonts w:ascii="Calibri"/>
                <w:b/>
                <w:sz w:val="14"/>
              </w:rPr>
              <w:t>House</w:t>
            </w:r>
            <w:r>
              <w:rPr>
                <w:rFonts w:ascii="Calibri"/>
                <w:sz w:val="14"/>
              </w:rPr>
            </w:r>
          </w:p>
        </w:tc>
        <w:tc>
          <w:tcPr>
            <w:tcW w:w="868" w:type="dxa"/>
            <w:tcBorders>
              <w:top w:val="nil" w:sz="6" w:space="0" w:color="auto"/>
              <w:left w:val="nil" w:sz="6" w:space="0" w:color="auto"/>
              <w:bottom w:val="single" w:sz="4" w:space="0" w:color="000000"/>
              <w:right w:val="nil" w:sz="6" w:space="0" w:color="auto"/>
            </w:tcBorders>
          </w:tcPr>
          <w:p>
            <w:pPr>
              <w:pStyle w:val="TableParagraph"/>
              <w:spacing w:line="142" w:lineRule="exact"/>
              <w:ind w:right="-20"/>
              <w:jc w:val="right"/>
              <w:rPr>
                <w:rFonts w:ascii="Calibri" w:hAnsi="Calibri" w:cs="Calibri" w:eastAsia="Calibri" w:hint="default"/>
                <w:sz w:val="14"/>
                <w:szCs w:val="14"/>
              </w:rPr>
            </w:pPr>
            <w:r>
              <w:rPr>
                <w:rFonts w:ascii="Calibri"/>
                <w:b/>
                <w:spacing w:val="-1"/>
                <w:sz w:val="14"/>
              </w:rPr>
              <w:t>Others</w:t>
            </w:r>
            <w:r>
              <w:rPr>
                <w:rFonts w:ascii="Calibri"/>
                <w:spacing w:val="-1"/>
                <w:sz w:val="14"/>
              </w:rPr>
            </w:r>
          </w:p>
        </w:tc>
        <w:tc>
          <w:tcPr>
            <w:tcW w:w="495" w:type="dxa"/>
            <w:tcBorders>
              <w:top w:val="nil" w:sz="6" w:space="0" w:color="auto"/>
              <w:left w:val="nil" w:sz="6" w:space="0" w:color="auto"/>
              <w:bottom w:val="single" w:sz="4" w:space="0" w:color="000000"/>
              <w:right w:val="nil" w:sz="6" w:space="0" w:color="auto"/>
            </w:tcBorders>
          </w:tcPr>
          <w:p>
            <w:pPr/>
          </w:p>
        </w:tc>
        <w:tc>
          <w:tcPr>
            <w:tcW w:w="1263" w:type="dxa"/>
            <w:gridSpan w:val="2"/>
            <w:tcBorders>
              <w:top w:val="nil" w:sz="6" w:space="0" w:color="auto"/>
              <w:left w:val="nil" w:sz="6" w:space="0" w:color="auto"/>
              <w:bottom w:val="single" w:sz="4" w:space="0" w:color="000000"/>
              <w:right w:val="nil" w:sz="6" w:space="0" w:color="auto"/>
            </w:tcBorders>
          </w:tcPr>
          <w:p>
            <w:pPr>
              <w:pStyle w:val="TableParagraph"/>
              <w:spacing w:line="142" w:lineRule="exact"/>
              <w:ind w:left="292" w:right="0"/>
              <w:jc w:val="left"/>
              <w:rPr>
                <w:rFonts w:ascii="Calibri" w:hAnsi="Calibri" w:cs="Calibri" w:eastAsia="Calibri" w:hint="default"/>
                <w:sz w:val="14"/>
                <w:szCs w:val="14"/>
              </w:rPr>
            </w:pPr>
            <w:r>
              <w:rPr>
                <w:rFonts w:ascii="Calibri"/>
                <w:b/>
                <w:sz w:val="14"/>
              </w:rPr>
              <w:t>Apartments</w:t>
            </w:r>
            <w:r>
              <w:rPr>
                <w:rFonts w:ascii="Calibri"/>
                <w:sz w:val="14"/>
              </w:rPr>
            </w:r>
          </w:p>
        </w:tc>
        <w:tc>
          <w:tcPr>
            <w:tcW w:w="1171" w:type="dxa"/>
            <w:gridSpan w:val="2"/>
            <w:tcBorders>
              <w:top w:val="nil" w:sz="6" w:space="0" w:color="auto"/>
              <w:left w:val="nil" w:sz="6" w:space="0" w:color="auto"/>
              <w:bottom w:val="single" w:sz="4" w:space="0" w:color="000000"/>
              <w:right w:val="nil" w:sz="6" w:space="0" w:color="auto"/>
            </w:tcBorders>
          </w:tcPr>
          <w:p>
            <w:pPr>
              <w:pStyle w:val="TableParagraph"/>
              <w:spacing w:line="142" w:lineRule="exact"/>
              <w:ind w:left="268" w:right="0"/>
              <w:jc w:val="left"/>
              <w:rPr>
                <w:rFonts w:ascii="Calibri" w:hAnsi="Calibri" w:cs="Calibri" w:eastAsia="Calibri" w:hint="default"/>
                <w:sz w:val="14"/>
                <w:szCs w:val="14"/>
              </w:rPr>
            </w:pPr>
            <w:r>
              <w:rPr>
                <w:rFonts w:ascii="Calibri"/>
                <w:b/>
                <w:sz w:val="14"/>
              </w:rPr>
              <w:t>Bungalows</w:t>
            </w:r>
            <w:r>
              <w:rPr>
                <w:rFonts w:ascii="Calibri"/>
                <w:sz w:val="14"/>
              </w:rPr>
            </w:r>
          </w:p>
        </w:tc>
        <w:tc>
          <w:tcPr>
            <w:tcW w:w="1209" w:type="dxa"/>
            <w:gridSpan w:val="2"/>
            <w:tcBorders>
              <w:top w:val="nil" w:sz="6" w:space="0" w:color="auto"/>
              <w:left w:val="nil" w:sz="6" w:space="0" w:color="auto"/>
              <w:bottom w:val="single" w:sz="4" w:space="0" w:color="000000"/>
              <w:right w:val="nil" w:sz="6" w:space="0" w:color="auto"/>
            </w:tcBorders>
          </w:tcPr>
          <w:p>
            <w:pPr>
              <w:pStyle w:val="TableParagraph"/>
              <w:spacing w:line="142" w:lineRule="exact"/>
              <w:ind w:left="242" w:right="0"/>
              <w:jc w:val="left"/>
              <w:rPr>
                <w:rFonts w:ascii="Calibri" w:hAnsi="Calibri" w:cs="Calibri" w:eastAsia="Calibri" w:hint="default"/>
                <w:sz w:val="14"/>
                <w:szCs w:val="14"/>
              </w:rPr>
            </w:pPr>
            <w:r>
              <w:rPr>
                <w:rFonts w:ascii="Calibri"/>
                <w:b/>
                <w:sz w:val="14"/>
              </w:rPr>
              <w:t>Small</w:t>
            </w:r>
            <w:r>
              <w:rPr>
                <w:rFonts w:ascii="Calibri"/>
                <w:b/>
                <w:spacing w:val="-7"/>
                <w:sz w:val="14"/>
              </w:rPr>
              <w:t> </w:t>
            </w:r>
            <w:r>
              <w:rPr>
                <w:rFonts w:ascii="Calibri"/>
                <w:b/>
                <w:sz w:val="14"/>
              </w:rPr>
              <w:t>Hotels</w:t>
            </w:r>
            <w:r>
              <w:rPr>
                <w:rFonts w:ascii="Calibri"/>
                <w:sz w:val="14"/>
              </w:rPr>
            </w:r>
          </w:p>
        </w:tc>
        <w:tc>
          <w:tcPr>
            <w:tcW w:w="1207" w:type="dxa"/>
            <w:gridSpan w:val="2"/>
            <w:tcBorders>
              <w:top w:val="nil" w:sz="6" w:space="0" w:color="auto"/>
              <w:left w:val="nil" w:sz="6" w:space="0" w:color="auto"/>
              <w:bottom w:val="single" w:sz="4" w:space="0" w:color="000000"/>
              <w:right w:val="nil" w:sz="6" w:space="0" w:color="auto"/>
            </w:tcBorders>
          </w:tcPr>
          <w:p>
            <w:pPr>
              <w:pStyle w:val="TableParagraph"/>
              <w:spacing w:line="142" w:lineRule="exact"/>
              <w:ind w:left="115" w:right="0"/>
              <w:jc w:val="left"/>
              <w:rPr>
                <w:rFonts w:ascii="Calibri" w:hAnsi="Calibri" w:cs="Calibri" w:eastAsia="Calibri" w:hint="default"/>
                <w:sz w:val="14"/>
                <w:szCs w:val="14"/>
              </w:rPr>
            </w:pPr>
            <w:r>
              <w:rPr>
                <w:rFonts w:ascii="Calibri"/>
                <w:b/>
                <w:sz w:val="14"/>
              </w:rPr>
              <w:t>Friends &amp;</w:t>
            </w:r>
            <w:r>
              <w:rPr>
                <w:rFonts w:ascii="Calibri"/>
                <w:b/>
                <w:spacing w:val="-9"/>
                <w:sz w:val="14"/>
              </w:rPr>
              <w:t> </w:t>
            </w:r>
            <w:r>
              <w:rPr>
                <w:rFonts w:ascii="Calibri"/>
                <w:b/>
                <w:sz w:val="14"/>
              </w:rPr>
              <w:t>Family</w:t>
            </w:r>
            <w:r>
              <w:rPr>
                <w:rFonts w:ascii="Calibri"/>
                <w:sz w:val="14"/>
              </w:rPr>
            </w:r>
          </w:p>
        </w:tc>
        <w:tc>
          <w:tcPr>
            <w:tcW w:w="1229" w:type="dxa"/>
            <w:gridSpan w:val="2"/>
            <w:tcBorders>
              <w:top w:val="nil" w:sz="6" w:space="0" w:color="auto"/>
              <w:left w:val="nil" w:sz="6" w:space="0" w:color="auto"/>
              <w:bottom w:val="single" w:sz="4" w:space="0" w:color="000000"/>
              <w:right w:val="nil" w:sz="6" w:space="0" w:color="auto"/>
            </w:tcBorders>
          </w:tcPr>
          <w:p>
            <w:pPr>
              <w:pStyle w:val="TableParagraph"/>
              <w:spacing w:line="142" w:lineRule="exact"/>
              <w:ind w:left="255" w:right="0"/>
              <w:jc w:val="left"/>
              <w:rPr>
                <w:rFonts w:ascii="Calibri" w:hAnsi="Calibri" w:cs="Calibri" w:eastAsia="Calibri" w:hint="default"/>
                <w:sz w:val="14"/>
                <w:szCs w:val="14"/>
              </w:rPr>
            </w:pPr>
            <w:r>
              <w:rPr>
                <w:rFonts w:ascii="Calibri"/>
                <w:b/>
                <w:sz w:val="14"/>
              </w:rPr>
              <w:t>Large</w:t>
            </w:r>
            <w:r>
              <w:rPr>
                <w:rFonts w:ascii="Calibri"/>
                <w:b/>
                <w:spacing w:val="-6"/>
                <w:sz w:val="14"/>
              </w:rPr>
              <w:t> </w:t>
            </w:r>
            <w:r>
              <w:rPr>
                <w:rFonts w:ascii="Calibri"/>
                <w:b/>
                <w:sz w:val="14"/>
              </w:rPr>
              <w:t>Hotels</w:t>
            </w:r>
            <w:r>
              <w:rPr>
                <w:rFonts w:ascii="Calibri"/>
                <w:sz w:val="14"/>
              </w:rPr>
            </w:r>
          </w:p>
        </w:tc>
        <w:tc>
          <w:tcPr>
            <w:tcW w:w="1177" w:type="dxa"/>
            <w:gridSpan w:val="2"/>
            <w:tcBorders>
              <w:top w:val="nil" w:sz="6" w:space="0" w:color="auto"/>
              <w:left w:val="nil" w:sz="6" w:space="0" w:color="auto"/>
              <w:bottom w:val="single" w:sz="4" w:space="0" w:color="000000"/>
              <w:right w:val="nil" w:sz="6" w:space="0" w:color="auto"/>
            </w:tcBorders>
          </w:tcPr>
          <w:p>
            <w:pPr>
              <w:pStyle w:val="TableParagraph"/>
              <w:spacing w:line="142" w:lineRule="exact"/>
              <w:ind w:left="367" w:right="0"/>
              <w:jc w:val="left"/>
              <w:rPr>
                <w:rFonts w:ascii="Calibri" w:hAnsi="Calibri" w:cs="Calibri" w:eastAsia="Calibri" w:hint="default"/>
                <w:sz w:val="14"/>
                <w:szCs w:val="14"/>
              </w:rPr>
            </w:pPr>
            <w:r>
              <w:rPr>
                <w:rFonts w:ascii="Calibri"/>
                <w:b/>
                <w:sz w:val="14"/>
              </w:rPr>
              <w:t>Arrivals</w:t>
            </w:r>
            <w:r>
              <w:rPr>
                <w:rFonts w:ascii="Calibri"/>
                <w:sz w:val="14"/>
              </w:rPr>
            </w:r>
          </w:p>
        </w:tc>
      </w:tr>
      <w:tr>
        <w:trPr>
          <w:trHeight w:val="247" w:hRule="exact"/>
        </w:trPr>
        <w:tc>
          <w:tcPr>
            <w:tcW w:w="512" w:type="dxa"/>
            <w:tcBorders>
              <w:top w:val="single" w:sz="4" w:space="0" w:color="000000"/>
              <w:left w:val="nil" w:sz="6" w:space="0" w:color="auto"/>
              <w:bottom w:val="single" w:sz="4" w:space="0" w:color="000000"/>
              <w:right w:val="nil" w:sz="6" w:space="0" w:color="auto"/>
            </w:tcBorders>
          </w:tcPr>
          <w:p>
            <w:pPr>
              <w:pStyle w:val="TableParagraph"/>
              <w:spacing w:line="240" w:lineRule="auto" w:before="32"/>
              <w:ind w:left="124" w:right="0"/>
              <w:jc w:val="left"/>
              <w:rPr>
                <w:rFonts w:ascii="Calibri" w:hAnsi="Calibri" w:cs="Calibri" w:eastAsia="Calibri" w:hint="default"/>
                <w:sz w:val="14"/>
                <w:szCs w:val="14"/>
              </w:rPr>
            </w:pPr>
            <w:r>
              <w:rPr>
                <w:rFonts w:ascii="Calibri"/>
                <w:b/>
                <w:sz w:val="14"/>
              </w:rPr>
              <w:t>Year</w:t>
            </w:r>
            <w:r>
              <w:rPr>
                <w:rFonts w:ascii="Calibri"/>
                <w:sz w:val="14"/>
              </w:rPr>
            </w:r>
          </w:p>
        </w:tc>
        <w:tc>
          <w:tcPr>
            <w:tcW w:w="692" w:type="dxa"/>
            <w:tcBorders>
              <w:top w:val="single" w:sz="4" w:space="0" w:color="000000"/>
              <w:left w:val="nil" w:sz="6" w:space="0" w:color="auto"/>
              <w:bottom w:val="single" w:sz="4" w:space="0" w:color="000000"/>
              <w:right w:val="nil" w:sz="6" w:space="0" w:color="auto"/>
            </w:tcBorders>
          </w:tcPr>
          <w:p>
            <w:pPr>
              <w:pStyle w:val="TableParagraph"/>
              <w:spacing w:line="240" w:lineRule="auto" w:before="66"/>
              <w:ind w:left="115" w:right="0"/>
              <w:jc w:val="left"/>
              <w:rPr>
                <w:rFonts w:ascii="Calibri" w:hAnsi="Calibri" w:cs="Calibri" w:eastAsia="Calibri" w:hint="default"/>
                <w:sz w:val="14"/>
                <w:szCs w:val="14"/>
              </w:rPr>
            </w:pPr>
            <w:r>
              <w:rPr>
                <w:rFonts w:ascii="Calibri"/>
                <w:sz w:val="14"/>
              </w:rPr>
              <w:t>Tourists</w:t>
            </w:r>
          </w:p>
        </w:tc>
        <w:tc>
          <w:tcPr>
            <w:tcW w:w="564" w:type="dxa"/>
            <w:tcBorders>
              <w:top w:val="single" w:sz="4" w:space="0" w:color="000000"/>
              <w:left w:val="nil" w:sz="6" w:space="0" w:color="auto"/>
              <w:bottom w:val="single" w:sz="4" w:space="0" w:color="000000"/>
              <w:right w:val="nil" w:sz="6" w:space="0" w:color="auto"/>
            </w:tcBorders>
          </w:tcPr>
          <w:p>
            <w:pPr>
              <w:pStyle w:val="TableParagraph"/>
              <w:spacing w:line="240" w:lineRule="auto" w:before="32"/>
              <w:ind w:left="3" w:right="0"/>
              <w:jc w:val="center"/>
              <w:rPr>
                <w:rFonts w:ascii="Calibri" w:hAnsi="Calibri" w:cs="Calibri" w:eastAsia="Calibri" w:hint="default"/>
                <w:sz w:val="14"/>
                <w:szCs w:val="14"/>
              </w:rPr>
            </w:pPr>
            <w:r>
              <w:rPr>
                <w:rFonts w:ascii="Calibri" w:hAnsi="Calibri" w:cs="Calibri" w:eastAsia="Calibri" w:hint="default"/>
                <w:b/>
                <w:bCs/>
                <w:sz w:val="14"/>
                <w:szCs w:val="14"/>
              </w:rPr>
              <w:t>∆%</w:t>
            </w:r>
            <w:r>
              <w:rPr>
                <w:rFonts w:ascii="Calibri" w:hAnsi="Calibri" w:cs="Calibri" w:eastAsia="Calibri" w:hint="default"/>
                <w:sz w:val="14"/>
                <w:szCs w:val="14"/>
              </w:rPr>
            </w:r>
          </w:p>
        </w:tc>
        <w:tc>
          <w:tcPr>
            <w:tcW w:w="868" w:type="dxa"/>
            <w:tcBorders>
              <w:top w:val="single" w:sz="4" w:space="0" w:color="000000"/>
              <w:left w:val="nil" w:sz="6" w:space="0" w:color="auto"/>
              <w:bottom w:val="single" w:sz="4" w:space="0" w:color="000000"/>
              <w:right w:val="nil" w:sz="6" w:space="0" w:color="auto"/>
            </w:tcBorders>
          </w:tcPr>
          <w:p>
            <w:pPr>
              <w:pStyle w:val="TableParagraph"/>
              <w:spacing w:line="240" w:lineRule="auto" w:before="66"/>
              <w:ind w:left="126" w:right="0"/>
              <w:jc w:val="left"/>
              <w:rPr>
                <w:rFonts w:ascii="Calibri" w:hAnsi="Calibri" w:cs="Calibri" w:eastAsia="Calibri" w:hint="default"/>
                <w:sz w:val="14"/>
                <w:szCs w:val="14"/>
              </w:rPr>
            </w:pPr>
            <w:r>
              <w:rPr>
                <w:rFonts w:ascii="Calibri"/>
                <w:b/>
                <w:sz w:val="14"/>
              </w:rPr>
              <w:t>Tourists</w:t>
            </w:r>
            <w:r>
              <w:rPr>
                <w:rFonts w:ascii="Calibri"/>
                <w:sz w:val="14"/>
              </w:rPr>
            </w:r>
          </w:p>
        </w:tc>
        <w:tc>
          <w:tcPr>
            <w:tcW w:w="495" w:type="dxa"/>
            <w:tcBorders>
              <w:top w:val="single" w:sz="4" w:space="0" w:color="000000"/>
              <w:left w:val="nil" w:sz="6" w:space="0" w:color="auto"/>
              <w:bottom w:val="single" w:sz="4" w:space="0" w:color="000000"/>
              <w:right w:val="nil" w:sz="6" w:space="0" w:color="auto"/>
            </w:tcBorders>
          </w:tcPr>
          <w:p>
            <w:pPr>
              <w:pStyle w:val="TableParagraph"/>
              <w:spacing w:line="240" w:lineRule="auto" w:before="32"/>
              <w:ind w:left="81" w:right="0"/>
              <w:jc w:val="left"/>
              <w:rPr>
                <w:rFonts w:ascii="Calibri" w:hAnsi="Calibri" w:cs="Calibri" w:eastAsia="Calibri" w:hint="default"/>
                <w:sz w:val="14"/>
                <w:szCs w:val="14"/>
              </w:rPr>
            </w:pPr>
            <w:r>
              <w:rPr>
                <w:rFonts w:ascii="Calibri" w:hAnsi="Calibri" w:cs="Calibri" w:eastAsia="Calibri" w:hint="default"/>
                <w:b/>
                <w:bCs/>
                <w:sz w:val="14"/>
                <w:szCs w:val="14"/>
              </w:rPr>
              <w:t>∆%</w:t>
            </w:r>
            <w:r>
              <w:rPr>
                <w:rFonts w:ascii="Calibri" w:hAnsi="Calibri" w:cs="Calibri" w:eastAsia="Calibri" w:hint="default"/>
                <w:sz w:val="14"/>
                <w:szCs w:val="14"/>
              </w:rPr>
            </w:r>
          </w:p>
        </w:tc>
        <w:tc>
          <w:tcPr>
            <w:tcW w:w="713" w:type="dxa"/>
            <w:tcBorders>
              <w:top w:val="single" w:sz="4" w:space="0" w:color="000000"/>
              <w:left w:val="nil" w:sz="6" w:space="0" w:color="auto"/>
              <w:bottom w:val="single" w:sz="4" w:space="0" w:color="000000"/>
              <w:right w:val="nil" w:sz="6" w:space="0" w:color="auto"/>
            </w:tcBorders>
          </w:tcPr>
          <w:p>
            <w:pPr>
              <w:pStyle w:val="TableParagraph"/>
              <w:spacing w:line="240" w:lineRule="auto" w:before="66"/>
              <w:ind w:left="131" w:right="0"/>
              <w:jc w:val="left"/>
              <w:rPr>
                <w:rFonts w:ascii="Calibri" w:hAnsi="Calibri" w:cs="Calibri" w:eastAsia="Calibri" w:hint="default"/>
                <w:sz w:val="14"/>
                <w:szCs w:val="14"/>
              </w:rPr>
            </w:pPr>
            <w:r>
              <w:rPr>
                <w:rFonts w:ascii="Calibri"/>
                <w:b/>
                <w:sz w:val="14"/>
              </w:rPr>
              <w:t>Tourists</w:t>
            </w:r>
            <w:r>
              <w:rPr>
                <w:rFonts w:ascii="Calibri"/>
                <w:sz w:val="14"/>
              </w:rPr>
            </w:r>
          </w:p>
        </w:tc>
        <w:tc>
          <w:tcPr>
            <w:tcW w:w="550" w:type="dxa"/>
            <w:tcBorders>
              <w:top w:val="single" w:sz="4" w:space="0" w:color="000000"/>
              <w:left w:val="nil" w:sz="6" w:space="0" w:color="auto"/>
              <w:bottom w:val="single" w:sz="4" w:space="0" w:color="000000"/>
              <w:right w:val="nil" w:sz="6" w:space="0" w:color="auto"/>
            </w:tcBorders>
          </w:tcPr>
          <w:p>
            <w:pPr>
              <w:pStyle w:val="TableParagraph"/>
              <w:spacing w:line="240" w:lineRule="auto" w:before="32"/>
              <w:ind w:left="184" w:right="0"/>
              <w:jc w:val="left"/>
              <w:rPr>
                <w:rFonts w:ascii="Calibri" w:hAnsi="Calibri" w:cs="Calibri" w:eastAsia="Calibri" w:hint="default"/>
                <w:sz w:val="14"/>
                <w:szCs w:val="14"/>
              </w:rPr>
            </w:pPr>
            <w:r>
              <w:rPr>
                <w:rFonts w:ascii="Calibri" w:hAnsi="Calibri" w:cs="Calibri" w:eastAsia="Calibri" w:hint="default"/>
                <w:b/>
                <w:bCs/>
                <w:sz w:val="14"/>
                <w:szCs w:val="14"/>
              </w:rPr>
              <w:t>∆%</w:t>
            </w:r>
            <w:r>
              <w:rPr>
                <w:rFonts w:ascii="Calibri" w:hAnsi="Calibri" w:cs="Calibri" w:eastAsia="Calibri" w:hint="default"/>
                <w:sz w:val="14"/>
                <w:szCs w:val="14"/>
              </w:rPr>
            </w:r>
          </w:p>
        </w:tc>
        <w:tc>
          <w:tcPr>
            <w:tcW w:w="697" w:type="dxa"/>
            <w:tcBorders>
              <w:top w:val="single" w:sz="4" w:space="0" w:color="000000"/>
              <w:left w:val="nil" w:sz="6" w:space="0" w:color="auto"/>
              <w:bottom w:val="single" w:sz="4" w:space="0" w:color="000000"/>
              <w:right w:val="nil" w:sz="6" w:space="0" w:color="auto"/>
            </w:tcBorders>
          </w:tcPr>
          <w:p>
            <w:pPr>
              <w:pStyle w:val="TableParagraph"/>
              <w:spacing w:line="240" w:lineRule="auto" w:before="66"/>
              <w:ind w:left="119" w:right="0"/>
              <w:jc w:val="left"/>
              <w:rPr>
                <w:rFonts w:ascii="Calibri" w:hAnsi="Calibri" w:cs="Calibri" w:eastAsia="Calibri" w:hint="default"/>
                <w:sz w:val="14"/>
                <w:szCs w:val="14"/>
              </w:rPr>
            </w:pPr>
            <w:r>
              <w:rPr>
                <w:rFonts w:ascii="Calibri"/>
                <w:b/>
                <w:sz w:val="14"/>
              </w:rPr>
              <w:t>Tourists</w:t>
            </w:r>
            <w:r>
              <w:rPr>
                <w:rFonts w:ascii="Calibri"/>
                <w:sz w:val="14"/>
              </w:rPr>
            </w:r>
          </w:p>
        </w:tc>
        <w:tc>
          <w:tcPr>
            <w:tcW w:w="475" w:type="dxa"/>
            <w:tcBorders>
              <w:top w:val="single" w:sz="4" w:space="0" w:color="000000"/>
              <w:left w:val="nil" w:sz="6" w:space="0" w:color="auto"/>
              <w:bottom w:val="single" w:sz="4" w:space="0" w:color="000000"/>
              <w:right w:val="nil" w:sz="6" w:space="0" w:color="auto"/>
            </w:tcBorders>
          </w:tcPr>
          <w:p>
            <w:pPr>
              <w:pStyle w:val="TableParagraph"/>
              <w:spacing w:line="240" w:lineRule="auto" w:before="32"/>
              <w:ind w:left="147" w:right="0"/>
              <w:jc w:val="left"/>
              <w:rPr>
                <w:rFonts w:ascii="Calibri" w:hAnsi="Calibri" w:cs="Calibri" w:eastAsia="Calibri" w:hint="default"/>
                <w:sz w:val="14"/>
                <w:szCs w:val="14"/>
              </w:rPr>
            </w:pPr>
            <w:r>
              <w:rPr>
                <w:rFonts w:ascii="Calibri" w:hAnsi="Calibri" w:cs="Calibri" w:eastAsia="Calibri" w:hint="default"/>
                <w:b/>
                <w:bCs/>
                <w:sz w:val="14"/>
                <w:szCs w:val="14"/>
              </w:rPr>
              <w:t>∆%</w:t>
            </w:r>
            <w:r>
              <w:rPr>
                <w:rFonts w:ascii="Calibri" w:hAnsi="Calibri" w:cs="Calibri" w:eastAsia="Calibri" w:hint="default"/>
                <w:sz w:val="14"/>
                <w:szCs w:val="14"/>
              </w:rPr>
            </w:r>
          </w:p>
        </w:tc>
        <w:tc>
          <w:tcPr>
            <w:tcW w:w="693" w:type="dxa"/>
            <w:tcBorders>
              <w:top w:val="single" w:sz="4" w:space="0" w:color="000000"/>
              <w:left w:val="nil" w:sz="6" w:space="0" w:color="auto"/>
              <w:bottom w:val="single" w:sz="4" w:space="0" w:color="000000"/>
              <w:right w:val="nil" w:sz="6" w:space="0" w:color="auto"/>
            </w:tcBorders>
          </w:tcPr>
          <w:p>
            <w:pPr>
              <w:pStyle w:val="TableParagraph"/>
              <w:spacing w:line="240" w:lineRule="auto" w:before="66"/>
              <w:ind w:left="117" w:right="0"/>
              <w:jc w:val="left"/>
              <w:rPr>
                <w:rFonts w:ascii="Calibri" w:hAnsi="Calibri" w:cs="Calibri" w:eastAsia="Calibri" w:hint="default"/>
                <w:sz w:val="14"/>
                <w:szCs w:val="14"/>
              </w:rPr>
            </w:pPr>
            <w:r>
              <w:rPr>
                <w:rFonts w:ascii="Calibri"/>
                <w:b/>
                <w:sz w:val="14"/>
              </w:rPr>
              <w:t>Tourists</w:t>
            </w:r>
            <w:r>
              <w:rPr>
                <w:rFonts w:ascii="Calibri"/>
                <w:sz w:val="14"/>
              </w:rPr>
            </w:r>
          </w:p>
        </w:tc>
        <w:tc>
          <w:tcPr>
            <w:tcW w:w="515" w:type="dxa"/>
            <w:tcBorders>
              <w:top w:val="single" w:sz="4" w:space="0" w:color="000000"/>
              <w:left w:val="nil" w:sz="6" w:space="0" w:color="auto"/>
              <w:bottom w:val="single" w:sz="4" w:space="0" w:color="000000"/>
              <w:right w:val="nil" w:sz="6" w:space="0" w:color="auto"/>
            </w:tcBorders>
          </w:tcPr>
          <w:p>
            <w:pPr>
              <w:pStyle w:val="TableParagraph"/>
              <w:spacing w:line="240" w:lineRule="auto" w:before="32"/>
              <w:ind w:left="168" w:right="0"/>
              <w:jc w:val="left"/>
              <w:rPr>
                <w:rFonts w:ascii="Calibri" w:hAnsi="Calibri" w:cs="Calibri" w:eastAsia="Calibri" w:hint="default"/>
                <w:sz w:val="14"/>
                <w:szCs w:val="14"/>
              </w:rPr>
            </w:pPr>
            <w:r>
              <w:rPr>
                <w:rFonts w:ascii="Calibri" w:hAnsi="Calibri" w:cs="Calibri" w:eastAsia="Calibri" w:hint="default"/>
                <w:b/>
                <w:bCs/>
                <w:sz w:val="14"/>
                <w:szCs w:val="14"/>
              </w:rPr>
              <w:t>∆%</w:t>
            </w:r>
            <w:r>
              <w:rPr>
                <w:rFonts w:ascii="Calibri" w:hAnsi="Calibri" w:cs="Calibri" w:eastAsia="Calibri" w:hint="default"/>
                <w:sz w:val="14"/>
                <w:szCs w:val="14"/>
              </w:rPr>
            </w:r>
          </w:p>
        </w:tc>
        <w:tc>
          <w:tcPr>
            <w:tcW w:w="692" w:type="dxa"/>
            <w:tcBorders>
              <w:top w:val="single" w:sz="4" w:space="0" w:color="000000"/>
              <w:left w:val="nil" w:sz="6" w:space="0" w:color="auto"/>
              <w:bottom w:val="single" w:sz="4" w:space="0" w:color="000000"/>
              <w:right w:val="nil" w:sz="6" w:space="0" w:color="auto"/>
            </w:tcBorders>
          </w:tcPr>
          <w:p>
            <w:pPr>
              <w:pStyle w:val="TableParagraph"/>
              <w:spacing w:line="240" w:lineRule="auto" w:before="66"/>
              <w:ind w:left="115" w:right="0"/>
              <w:jc w:val="left"/>
              <w:rPr>
                <w:rFonts w:ascii="Calibri" w:hAnsi="Calibri" w:cs="Calibri" w:eastAsia="Calibri" w:hint="default"/>
                <w:sz w:val="14"/>
                <w:szCs w:val="14"/>
              </w:rPr>
            </w:pPr>
            <w:r>
              <w:rPr>
                <w:rFonts w:ascii="Calibri"/>
                <w:b/>
                <w:sz w:val="14"/>
              </w:rPr>
              <w:t>Tourists</w:t>
            </w:r>
            <w:r>
              <w:rPr>
                <w:rFonts w:ascii="Calibri"/>
                <w:sz w:val="14"/>
              </w:rPr>
            </w:r>
          </w:p>
        </w:tc>
        <w:tc>
          <w:tcPr>
            <w:tcW w:w="515" w:type="dxa"/>
            <w:tcBorders>
              <w:top w:val="single" w:sz="4" w:space="0" w:color="000000"/>
              <w:left w:val="nil" w:sz="6" w:space="0" w:color="auto"/>
              <w:bottom w:val="single" w:sz="4" w:space="0" w:color="000000"/>
              <w:right w:val="nil" w:sz="6" w:space="0" w:color="auto"/>
            </w:tcBorders>
          </w:tcPr>
          <w:p>
            <w:pPr>
              <w:pStyle w:val="TableParagraph"/>
              <w:spacing w:line="240" w:lineRule="auto" w:before="32"/>
              <w:ind w:left="168" w:right="0"/>
              <w:jc w:val="left"/>
              <w:rPr>
                <w:rFonts w:ascii="Calibri" w:hAnsi="Calibri" w:cs="Calibri" w:eastAsia="Calibri" w:hint="default"/>
                <w:sz w:val="14"/>
                <w:szCs w:val="14"/>
              </w:rPr>
            </w:pPr>
            <w:r>
              <w:rPr>
                <w:rFonts w:ascii="Calibri" w:hAnsi="Calibri" w:cs="Calibri" w:eastAsia="Calibri" w:hint="default"/>
                <w:b/>
                <w:bCs/>
                <w:sz w:val="14"/>
                <w:szCs w:val="14"/>
              </w:rPr>
              <w:t>∆%</w:t>
            </w:r>
            <w:r>
              <w:rPr>
                <w:rFonts w:ascii="Calibri" w:hAnsi="Calibri" w:cs="Calibri" w:eastAsia="Calibri" w:hint="default"/>
                <w:sz w:val="14"/>
                <w:szCs w:val="14"/>
              </w:rPr>
            </w:r>
          </w:p>
        </w:tc>
        <w:tc>
          <w:tcPr>
            <w:tcW w:w="699" w:type="dxa"/>
            <w:tcBorders>
              <w:top w:val="single" w:sz="4" w:space="0" w:color="000000"/>
              <w:left w:val="nil" w:sz="6" w:space="0" w:color="auto"/>
              <w:bottom w:val="single" w:sz="4" w:space="0" w:color="000000"/>
              <w:right w:val="nil" w:sz="6" w:space="0" w:color="auto"/>
            </w:tcBorders>
          </w:tcPr>
          <w:p>
            <w:pPr>
              <w:pStyle w:val="TableParagraph"/>
              <w:spacing w:line="240" w:lineRule="auto" w:before="66"/>
              <w:ind w:left="115" w:right="0"/>
              <w:jc w:val="left"/>
              <w:rPr>
                <w:rFonts w:ascii="Calibri" w:hAnsi="Calibri" w:cs="Calibri" w:eastAsia="Calibri" w:hint="default"/>
                <w:sz w:val="14"/>
                <w:szCs w:val="14"/>
              </w:rPr>
            </w:pPr>
            <w:r>
              <w:rPr>
                <w:rFonts w:ascii="Calibri"/>
                <w:b/>
                <w:sz w:val="14"/>
              </w:rPr>
              <w:t>Tourists</w:t>
            </w:r>
            <w:r>
              <w:rPr>
                <w:rFonts w:ascii="Calibri"/>
                <w:sz w:val="14"/>
              </w:rPr>
            </w:r>
          </w:p>
        </w:tc>
        <w:tc>
          <w:tcPr>
            <w:tcW w:w="530" w:type="dxa"/>
            <w:tcBorders>
              <w:top w:val="single" w:sz="4" w:space="0" w:color="000000"/>
              <w:left w:val="nil" w:sz="6" w:space="0" w:color="auto"/>
              <w:bottom w:val="single" w:sz="4" w:space="0" w:color="000000"/>
              <w:right w:val="nil" w:sz="6" w:space="0" w:color="auto"/>
            </w:tcBorders>
          </w:tcPr>
          <w:p>
            <w:pPr>
              <w:pStyle w:val="TableParagraph"/>
              <w:spacing w:line="240" w:lineRule="auto" w:before="32"/>
              <w:ind w:left="175" w:right="0"/>
              <w:jc w:val="left"/>
              <w:rPr>
                <w:rFonts w:ascii="Calibri" w:hAnsi="Calibri" w:cs="Calibri" w:eastAsia="Calibri" w:hint="default"/>
                <w:sz w:val="14"/>
                <w:szCs w:val="14"/>
              </w:rPr>
            </w:pPr>
            <w:r>
              <w:rPr>
                <w:rFonts w:ascii="Calibri" w:hAnsi="Calibri" w:cs="Calibri" w:eastAsia="Calibri" w:hint="default"/>
                <w:b/>
                <w:bCs/>
                <w:sz w:val="14"/>
                <w:szCs w:val="14"/>
              </w:rPr>
              <w:t>∆%</w:t>
            </w:r>
            <w:r>
              <w:rPr>
                <w:rFonts w:ascii="Calibri" w:hAnsi="Calibri" w:cs="Calibri" w:eastAsia="Calibri" w:hint="default"/>
                <w:sz w:val="14"/>
                <w:szCs w:val="14"/>
              </w:rPr>
            </w:r>
          </w:p>
        </w:tc>
        <w:tc>
          <w:tcPr>
            <w:tcW w:w="702" w:type="dxa"/>
            <w:tcBorders>
              <w:top w:val="single" w:sz="4" w:space="0" w:color="000000"/>
              <w:left w:val="nil" w:sz="6" w:space="0" w:color="auto"/>
              <w:bottom w:val="single" w:sz="4" w:space="0" w:color="000000"/>
              <w:right w:val="nil" w:sz="6" w:space="0" w:color="auto"/>
            </w:tcBorders>
          </w:tcPr>
          <w:p>
            <w:pPr>
              <w:pStyle w:val="TableParagraph"/>
              <w:spacing w:line="240" w:lineRule="auto" w:before="66"/>
              <w:ind w:left="123" w:right="0"/>
              <w:jc w:val="left"/>
              <w:rPr>
                <w:rFonts w:ascii="Calibri" w:hAnsi="Calibri" w:cs="Calibri" w:eastAsia="Calibri" w:hint="default"/>
                <w:sz w:val="14"/>
                <w:szCs w:val="14"/>
              </w:rPr>
            </w:pPr>
            <w:r>
              <w:rPr>
                <w:rFonts w:ascii="Calibri"/>
                <w:b/>
                <w:sz w:val="14"/>
              </w:rPr>
              <w:t>Tourists</w:t>
            </w:r>
            <w:r>
              <w:rPr>
                <w:rFonts w:ascii="Calibri"/>
                <w:sz w:val="14"/>
              </w:rPr>
            </w:r>
          </w:p>
        </w:tc>
        <w:tc>
          <w:tcPr>
            <w:tcW w:w="475" w:type="dxa"/>
            <w:tcBorders>
              <w:top w:val="single" w:sz="4" w:space="0" w:color="000000"/>
              <w:left w:val="nil" w:sz="6" w:space="0" w:color="auto"/>
              <w:bottom w:val="single" w:sz="4" w:space="0" w:color="000000"/>
              <w:right w:val="nil" w:sz="6" w:space="0" w:color="auto"/>
            </w:tcBorders>
          </w:tcPr>
          <w:p>
            <w:pPr>
              <w:pStyle w:val="TableParagraph"/>
              <w:spacing w:line="240" w:lineRule="auto" w:before="32"/>
              <w:ind w:left="148" w:right="0"/>
              <w:jc w:val="left"/>
              <w:rPr>
                <w:rFonts w:ascii="Calibri" w:hAnsi="Calibri" w:cs="Calibri" w:eastAsia="Calibri" w:hint="default"/>
                <w:sz w:val="14"/>
                <w:szCs w:val="14"/>
              </w:rPr>
            </w:pPr>
            <w:r>
              <w:rPr>
                <w:rFonts w:ascii="Calibri" w:hAnsi="Calibri" w:cs="Calibri" w:eastAsia="Calibri" w:hint="default"/>
                <w:b/>
                <w:bCs/>
                <w:sz w:val="14"/>
                <w:szCs w:val="14"/>
              </w:rPr>
              <w:t>∆%</w:t>
            </w:r>
            <w:r>
              <w:rPr>
                <w:rFonts w:ascii="Calibri" w:hAnsi="Calibri" w:cs="Calibri" w:eastAsia="Calibri" w:hint="default"/>
                <w:sz w:val="14"/>
                <w:szCs w:val="14"/>
              </w:rPr>
            </w:r>
          </w:p>
        </w:tc>
      </w:tr>
      <w:tr>
        <w:trPr>
          <w:trHeight w:val="269" w:hRule="exact"/>
        </w:trPr>
        <w:tc>
          <w:tcPr>
            <w:tcW w:w="512" w:type="dxa"/>
            <w:tcBorders>
              <w:top w:val="single" w:sz="4" w:space="0" w:color="000000"/>
              <w:left w:val="nil" w:sz="6" w:space="0" w:color="auto"/>
              <w:bottom w:val="nil" w:sz="6" w:space="0" w:color="auto"/>
              <w:right w:val="nil" w:sz="6" w:space="0" w:color="auto"/>
            </w:tcBorders>
          </w:tcPr>
          <w:p>
            <w:pPr>
              <w:pStyle w:val="TableParagraph"/>
              <w:spacing w:line="240" w:lineRule="auto" w:before="32"/>
              <w:ind w:left="115" w:right="0"/>
              <w:jc w:val="left"/>
              <w:rPr>
                <w:rFonts w:ascii="Calibri" w:hAnsi="Calibri" w:cs="Calibri" w:eastAsia="Calibri" w:hint="default"/>
                <w:sz w:val="14"/>
                <w:szCs w:val="14"/>
              </w:rPr>
            </w:pPr>
            <w:r>
              <w:rPr>
                <w:rFonts w:ascii="Calibri"/>
                <w:sz w:val="14"/>
              </w:rPr>
              <w:t>2000</w:t>
            </w:r>
          </w:p>
        </w:tc>
        <w:tc>
          <w:tcPr>
            <w:tcW w:w="692" w:type="dxa"/>
            <w:tcBorders>
              <w:top w:val="single" w:sz="4" w:space="0" w:color="000000"/>
              <w:left w:val="nil" w:sz="6" w:space="0" w:color="auto"/>
              <w:bottom w:val="nil" w:sz="6" w:space="0" w:color="auto"/>
              <w:right w:val="nil" w:sz="6" w:space="0" w:color="auto"/>
            </w:tcBorders>
          </w:tcPr>
          <w:p>
            <w:pPr>
              <w:pStyle w:val="TableParagraph"/>
              <w:spacing w:line="240" w:lineRule="auto" w:before="32"/>
              <w:ind w:left="182" w:right="0"/>
              <w:jc w:val="left"/>
              <w:rPr>
                <w:rFonts w:ascii="Calibri" w:hAnsi="Calibri" w:cs="Calibri" w:eastAsia="Calibri" w:hint="default"/>
                <w:sz w:val="14"/>
                <w:szCs w:val="14"/>
              </w:rPr>
            </w:pPr>
            <w:r>
              <w:rPr>
                <w:rFonts w:ascii="Calibri"/>
                <w:sz w:val="14"/>
              </w:rPr>
              <w:t>1,830</w:t>
            </w:r>
          </w:p>
        </w:tc>
        <w:tc>
          <w:tcPr>
            <w:tcW w:w="564" w:type="dxa"/>
            <w:tcBorders>
              <w:top w:val="single" w:sz="4" w:space="0" w:color="000000"/>
              <w:left w:val="nil" w:sz="6" w:space="0" w:color="auto"/>
              <w:bottom w:val="nil" w:sz="6" w:space="0" w:color="auto"/>
              <w:right w:val="nil" w:sz="6" w:space="0" w:color="auto"/>
            </w:tcBorders>
          </w:tcPr>
          <w:p>
            <w:pPr/>
          </w:p>
        </w:tc>
        <w:tc>
          <w:tcPr>
            <w:tcW w:w="868" w:type="dxa"/>
            <w:tcBorders>
              <w:top w:val="single" w:sz="4" w:space="0" w:color="000000"/>
              <w:left w:val="nil" w:sz="6" w:space="0" w:color="auto"/>
              <w:bottom w:val="nil" w:sz="6" w:space="0" w:color="auto"/>
              <w:right w:val="nil" w:sz="6" w:space="0" w:color="auto"/>
            </w:tcBorders>
          </w:tcPr>
          <w:p>
            <w:pPr>
              <w:pStyle w:val="TableParagraph"/>
              <w:spacing w:line="240" w:lineRule="auto" w:before="32"/>
              <w:ind w:left="198" w:right="0"/>
              <w:jc w:val="left"/>
              <w:rPr>
                <w:rFonts w:ascii="Calibri" w:hAnsi="Calibri" w:cs="Calibri" w:eastAsia="Calibri" w:hint="default"/>
                <w:sz w:val="14"/>
                <w:szCs w:val="14"/>
              </w:rPr>
            </w:pPr>
            <w:r>
              <w:rPr>
                <w:rFonts w:ascii="Calibri"/>
                <w:sz w:val="14"/>
              </w:rPr>
              <w:t>2,255</w:t>
            </w:r>
          </w:p>
        </w:tc>
        <w:tc>
          <w:tcPr>
            <w:tcW w:w="495" w:type="dxa"/>
            <w:tcBorders>
              <w:top w:val="single" w:sz="4" w:space="0" w:color="000000"/>
              <w:left w:val="nil" w:sz="6" w:space="0" w:color="auto"/>
              <w:bottom w:val="nil" w:sz="6" w:space="0" w:color="auto"/>
              <w:right w:val="nil" w:sz="6" w:space="0" w:color="auto"/>
            </w:tcBorders>
          </w:tcPr>
          <w:p>
            <w:pPr/>
          </w:p>
        </w:tc>
        <w:tc>
          <w:tcPr>
            <w:tcW w:w="713" w:type="dxa"/>
            <w:tcBorders>
              <w:top w:val="single" w:sz="4" w:space="0" w:color="000000"/>
              <w:left w:val="nil" w:sz="6" w:space="0" w:color="auto"/>
              <w:bottom w:val="nil" w:sz="6" w:space="0" w:color="auto"/>
              <w:right w:val="nil" w:sz="6" w:space="0" w:color="auto"/>
            </w:tcBorders>
          </w:tcPr>
          <w:p>
            <w:pPr>
              <w:pStyle w:val="TableParagraph"/>
              <w:spacing w:line="240" w:lineRule="auto" w:before="32"/>
              <w:ind w:left="203" w:right="0"/>
              <w:jc w:val="left"/>
              <w:rPr>
                <w:rFonts w:ascii="Calibri" w:hAnsi="Calibri" w:cs="Calibri" w:eastAsia="Calibri" w:hint="default"/>
                <w:sz w:val="14"/>
                <w:szCs w:val="14"/>
              </w:rPr>
            </w:pPr>
            <w:r>
              <w:rPr>
                <w:rFonts w:ascii="Calibri"/>
                <w:sz w:val="14"/>
              </w:rPr>
              <w:t>3,745</w:t>
            </w:r>
          </w:p>
        </w:tc>
        <w:tc>
          <w:tcPr>
            <w:tcW w:w="550" w:type="dxa"/>
            <w:tcBorders>
              <w:top w:val="single" w:sz="4" w:space="0" w:color="000000"/>
              <w:left w:val="nil" w:sz="6" w:space="0" w:color="auto"/>
              <w:bottom w:val="nil" w:sz="6" w:space="0" w:color="auto"/>
              <w:right w:val="nil" w:sz="6" w:space="0" w:color="auto"/>
            </w:tcBorders>
          </w:tcPr>
          <w:p>
            <w:pPr/>
          </w:p>
        </w:tc>
        <w:tc>
          <w:tcPr>
            <w:tcW w:w="697" w:type="dxa"/>
            <w:tcBorders>
              <w:top w:val="single" w:sz="4" w:space="0" w:color="000000"/>
              <w:left w:val="nil" w:sz="6" w:space="0" w:color="auto"/>
              <w:bottom w:val="nil" w:sz="6" w:space="0" w:color="auto"/>
              <w:right w:val="nil" w:sz="6" w:space="0" w:color="auto"/>
            </w:tcBorders>
          </w:tcPr>
          <w:p>
            <w:pPr>
              <w:pStyle w:val="TableParagraph"/>
              <w:spacing w:line="240" w:lineRule="auto" w:before="32"/>
              <w:ind w:left="155" w:right="0"/>
              <w:jc w:val="left"/>
              <w:rPr>
                <w:rFonts w:ascii="Calibri" w:hAnsi="Calibri" w:cs="Calibri" w:eastAsia="Calibri" w:hint="default"/>
                <w:sz w:val="14"/>
                <w:szCs w:val="14"/>
              </w:rPr>
            </w:pPr>
            <w:r>
              <w:rPr>
                <w:rFonts w:ascii="Calibri"/>
                <w:sz w:val="14"/>
              </w:rPr>
              <w:t>10,134</w:t>
            </w:r>
          </w:p>
        </w:tc>
        <w:tc>
          <w:tcPr>
            <w:tcW w:w="475" w:type="dxa"/>
            <w:tcBorders>
              <w:top w:val="single" w:sz="4" w:space="0" w:color="000000"/>
              <w:left w:val="nil" w:sz="6" w:space="0" w:color="auto"/>
              <w:bottom w:val="nil" w:sz="6" w:space="0" w:color="auto"/>
              <w:right w:val="nil" w:sz="6" w:space="0" w:color="auto"/>
            </w:tcBorders>
          </w:tcPr>
          <w:p>
            <w:pPr/>
          </w:p>
        </w:tc>
        <w:tc>
          <w:tcPr>
            <w:tcW w:w="693" w:type="dxa"/>
            <w:tcBorders>
              <w:top w:val="single" w:sz="4" w:space="0" w:color="000000"/>
              <w:left w:val="nil" w:sz="6" w:space="0" w:color="auto"/>
              <w:bottom w:val="nil" w:sz="6" w:space="0" w:color="auto"/>
              <w:right w:val="nil" w:sz="6" w:space="0" w:color="auto"/>
            </w:tcBorders>
          </w:tcPr>
          <w:p>
            <w:pPr>
              <w:pStyle w:val="TableParagraph"/>
              <w:spacing w:line="240" w:lineRule="auto" w:before="32"/>
              <w:ind w:left="153" w:right="0"/>
              <w:jc w:val="left"/>
              <w:rPr>
                <w:rFonts w:ascii="Calibri" w:hAnsi="Calibri" w:cs="Calibri" w:eastAsia="Calibri" w:hint="default"/>
                <w:sz w:val="14"/>
                <w:szCs w:val="14"/>
              </w:rPr>
            </w:pPr>
            <w:r>
              <w:rPr>
                <w:rFonts w:ascii="Calibri"/>
                <w:sz w:val="14"/>
              </w:rPr>
              <w:t>35,844</w:t>
            </w:r>
          </w:p>
        </w:tc>
        <w:tc>
          <w:tcPr>
            <w:tcW w:w="515" w:type="dxa"/>
            <w:tcBorders>
              <w:top w:val="single" w:sz="4" w:space="0" w:color="000000"/>
              <w:left w:val="nil" w:sz="6" w:space="0" w:color="auto"/>
              <w:bottom w:val="nil" w:sz="6" w:space="0" w:color="auto"/>
              <w:right w:val="nil" w:sz="6" w:space="0" w:color="auto"/>
            </w:tcBorders>
          </w:tcPr>
          <w:p>
            <w:pPr/>
          </w:p>
        </w:tc>
        <w:tc>
          <w:tcPr>
            <w:tcW w:w="692" w:type="dxa"/>
            <w:tcBorders>
              <w:top w:val="single" w:sz="4" w:space="0" w:color="000000"/>
              <w:left w:val="nil" w:sz="6" w:space="0" w:color="auto"/>
              <w:bottom w:val="nil" w:sz="6" w:space="0" w:color="auto"/>
              <w:right w:val="nil" w:sz="6" w:space="0" w:color="auto"/>
            </w:tcBorders>
          </w:tcPr>
          <w:p>
            <w:pPr>
              <w:pStyle w:val="TableParagraph"/>
              <w:spacing w:line="240" w:lineRule="auto" w:before="32"/>
              <w:ind w:left="151" w:right="0"/>
              <w:jc w:val="left"/>
              <w:rPr>
                <w:rFonts w:ascii="Calibri" w:hAnsi="Calibri" w:cs="Calibri" w:eastAsia="Calibri" w:hint="default"/>
                <w:sz w:val="14"/>
                <w:szCs w:val="14"/>
              </w:rPr>
            </w:pPr>
            <w:r>
              <w:rPr>
                <w:rFonts w:ascii="Calibri"/>
                <w:sz w:val="14"/>
              </w:rPr>
              <w:t>57,668</w:t>
            </w:r>
          </w:p>
        </w:tc>
        <w:tc>
          <w:tcPr>
            <w:tcW w:w="515" w:type="dxa"/>
            <w:tcBorders>
              <w:top w:val="single" w:sz="4" w:space="0" w:color="000000"/>
              <w:left w:val="nil" w:sz="6" w:space="0" w:color="auto"/>
              <w:bottom w:val="nil" w:sz="6" w:space="0" w:color="auto"/>
              <w:right w:val="nil" w:sz="6" w:space="0" w:color="auto"/>
            </w:tcBorders>
          </w:tcPr>
          <w:p>
            <w:pPr/>
          </w:p>
        </w:tc>
        <w:tc>
          <w:tcPr>
            <w:tcW w:w="699" w:type="dxa"/>
            <w:tcBorders>
              <w:top w:val="single" w:sz="4" w:space="0" w:color="000000"/>
              <w:left w:val="nil" w:sz="6" w:space="0" w:color="auto"/>
              <w:bottom w:val="nil" w:sz="6" w:space="0" w:color="auto"/>
              <w:right w:val="nil" w:sz="6" w:space="0" w:color="auto"/>
            </w:tcBorders>
          </w:tcPr>
          <w:p>
            <w:pPr>
              <w:pStyle w:val="TableParagraph"/>
              <w:spacing w:line="240" w:lineRule="auto" w:before="63"/>
              <w:ind w:left="151" w:right="0"/>
              <w:jc w:val="left"/>
              <w:rPr>
                <w:rFonts w:ascii="Calibri" w:hAnsi="Calibri" w:cs="Calibri" w:eastAsia="Calibri" w:hint="default"/>
                <w:sz w:val="14"/>
                <w:szCs w:val="14"/>
              </w:rPr>
            </w:pPr>
            <w:r>
              <w:rPr>
                <w:rFonts w:ascii="Calibri"/>
                <w:sz w:val="14"/>
              </w:rPr>
              <w:t>76,056</w:t>
            </w:r>
          </w:p>
        </w:tc>
        <w:tc>
          <w:tcPr>
            <w:tcW w:w="530" w:type="dxa"/>
            <w:tcBorders>
              <w:top w:val="single" w:sz="4" w:space="0" w:color="000000"/>
              <w:left w:val="nil" w:sz="6" w:space="0" w:color="auto"/>
              <w:bottom w:val="nil" w:sz="6" w:space="0" w:color="auto"/>
              <w:right w:val="nil" w:sz="6" w:space="0" w:color="auto"/>
            </w:tcBorders>
          </w:tcPr>
          <w:p>
            <w:pPr/>
          </w:p>
        </w:tc>
        <w:tc>
          <w:tcPr>
            <w:tcW w:w="702" w:type="dxa"/>
            <w:tcBorders>
              <w:top w:val="single" w:sz="4" w:space="0" w:color="000000"/>
              <w:left w:val="nil" w:sz="6" w:space="0" w:color="auto"/>
              <w:bottom w:val="nil" w:sz="6" w:space="0" w:color="auto"/>
              <w:right w:val="nil" w:sz="6" w:space="0" w:color="auto"/>
            </w:tcBorders>
          </w:tcPr>
          <w:p>
            <w:pPr>
              <w:pStyle w:val="TableParagraph"/>
              <w:spacing w:line="240" w:lineRule="auto" w:before="63"/>
              <w:ind w:left="123" w:right="0"/>
              <w:jc w:val="left"/>
              <w:rPr>
                <w:rFonts w:ascii="Calibri" w:hAnsi="Calibri" w:cs="Calibri" w:eastAsia="Calibri" w:hint="default"/>
                <w:sz w:val="14"/>
                <w:szCs w:val="14"/>
              </w:rPr>
            </w:pPr>
            <w:r>
              <w:rPr>
                <w:rFonts w:ascii="Calibri"/>
                <w:sz w:val="14"/>
              </w:rPr>
              <w:t>187,532</w:t>
            </w:r>
          </w:p>
        </w:tc>
        <w:tc>
          <w:tcPr>
            <w:tcW w:w="475" w:type="dxa"/>
            <w:tcBorders>
              <w:top w:val="single" w:sz="4" w:space="0" w:color="000000"/>
              <w:left w:val="nil" w:sz="6" w:space="0" w:color="auto"/>
              <w:bottom w:val="nil" w:sz="6" w:space="0" w:color="auto"/>
              <w:right w:val="nil" w:sz="6" w:space="0" w:color="auto"/>
            </w:tcBorders>
          </w:tcPr>
          <w:p>
            <w:pPr/>
          </w:p>
        </w:tc>
      </w:tr>
      <w:tr>
        <w:trPr>
          <w:trHeight w:val="238" w:hRule="exact"/>
        </w:trPr>
        <w:tc>
          <w:tcPr>
            <w:tcW w:w="51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5" w:right="0"/>
              <w:jc w:val="left"/>
              <w:rPr>
                <w:rFonts w:ascii="Calibri" w:hAnsi="Calibri" w:cs="Calibri" w:eastAsia="Calibri" w:hint="default"/>
                <w:sz w:val="14"/>
                <w:szCs w:val="14"/>
              </w:rPr>
            </w:pPr>
            <w:r>
              <w:rPr>
                <w:rFonts w:ascii="Calibri"/>
                <w:sz w:val="14"/>
              </w:rPr>
              <w:t>2001</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2" w:right="0"/>
              <w:jc w:val="left"/>
              <w:rPr>
                <w:rFonts w:ascii="Calibri" w:hAnsi="Calibri" w:cs="Calibri" w:eastAsia="Calibri" w:hint="default"/>
                <w:sz w:val="14"/>
                <w:szCs w:val="14"/>
              </w:rPr>
            </w:pPr>
            <w:r>
              <w:rPr>
                <w:rFonts w:ascii="Calibri"/>
                <w:sz w:val="14"/>
              </w:rPr>
              <w:t>2,768</w:t>
            </w:r>
          </w:p>
        </w:tc>
        <w:tc>
          <w:tcPr>
            <w:tcW w:w="564" w:type="dxa"/>
            <w:tcBorders>
              <w:top w:val="nil" w:sz="6" w:space="0" w:color="auto"/>
              <w:left w:val="nil" w:sz="6" w:space="0" w:color="auto"/>
              <w:bottom w:val="nil" w:sz="6" w:space="0" w:color="auto"/>
              <w:right w:val="nil" w:sz="6" w:space="0" w:color="auto"/>
            </w:tcBorders>
          </w:tcPr>
          <w:p>
            <w:pPr>
              <w:pStyle w:val="TableParagraph"/>
              <w:spacing w:line="240" w:lineRule="auto" w:before="3"/>
              <w:ind w:left="162" w:right="0"/>
              <w:jc w:val="left"/>
              <w:rPr>
                <w:rFonts w:ascii="Calibri" w:hAnsi="Calibri" w:cs="Calibri" w:eastAsia="Calibri" w:hint="default"/>
                <w:sz w:val="14"/>
                <w:szCs w:val="14"/>
              </w:rPr>
            </w:pPr>
            <w:r>
              <w:rPr>
                <w:rFonts w:ascii="Calibri"/>
                <w:sz w:val="14"/>
              </w:rPr>
              <w:t>51%</w:t>
            </w:r>
          </w:p>
        </w:tc>
        <w:tc>
          <w:tcPr>
            <w:tcW w:w="868" w:type="dxa"/>
            <w:tcBorders>
              <w:top w:val="nil" w:sz="6" w:space="0" w:color="auto"/>
              <w:left w:val="nil" w:sz="6" w:space="0" w:color="auto"/>
              <w:bottom w:val="nil" w:sz="6" w:space="0" w:color="auto"/>
              <w:right w:val="nil" w:sz="6" w:space="0" w:color="auto"/>
            </w:tcBorders>
          </w:tcPr>
          <w:p>
            <w:pPr>
              <w:pStyle w:val="TableParagraph"/>
              <w:spacing w:line="240" w:lineRule="auto" w:before="3"/>
              <w:ind w:left="198" w:right="0"/>
              <w:jc w:val="left"/>
              <w:rPr>
                <w:rFonts w:ascii="Calibri" w:hAnsi="Calibri" w:cs="Calibri" w:eastAsia="Calibri" w:hint="default"/>
                <w:sz w:val="14"/>
                <w:szCs w:val="14"/>
              </w:rPr>
            </w:pPr>
            <w:r>
              <w:rPr>
                <w:rFonts w:ascii="Calibri"/>
                <w:sz w:val="14"/>
              </w:rPr>
              <w:t>5,726</w:t>
            </w:r>
          </w:p>
        </w:tc>
        <w:tc>
          <w:tcPr>
            <w:tcW w:w="49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6" w:right="0"/>
              <w:jc w:val="left"/>
              <w:rPr>
                <w:rFonts w:ascii="Calibri" w:hAnsi="Calibri" w:cs="Calibri" w:eastAsia="Calibri" w:hint="default"/>
                <w:sz w:val="14"/>
                <w:szCs w:val="14"/>
              </w:rPr>
            </w:pPr>
            <w:r>
              <w:rPr>
                <w:rFonts w:ascii="Calibri"/>
                <w:sz w:val="14"/>
              </w:rPr>
              <w:t>154%</w:t>
            </w:r>
          </w:p>
        </w:tc>
        <w:tc>
          <w:tcPr>
            <w:tcW w:w="713" w:type="dxa"/>
            <w:tcBorders>
              <w:top w:val="nil" w:sz="6" w:space="0" w:color="auto"/>
              <w:left w:val="nil" w:sz="6" w:space="0" w:color="auto"/>
              <w:bottom w:val="nil" w:sz="6" w:space="0" w:color="auto"/>
              <w:right w:val="nil" w:sz="6" w:space="0" w:color="auto"/>
            </w:tcBorders>
          </w:tcPr>
          <w:p>
            <w:pPr>
              <w:pStyle w:val="TableParagraph"/>
              <w:spacing w:line="240" w:lineRule="auto" w:before="3"/>
              <w:ind w:left="203" w:right="0"/>
              <w:jc w:val="left"/>
              <w:rPr>
                <w:rFonts w:ascii="Calibri" w:hAnsi="Calibri" w:cs="Calibri" w:eastAsia="Calibri" w:hint="default"/>
                <w:sz w:val="14"/>
                <w:szCs w:val="14"/>
              </w:rPr>
            </w:pPr>
            <w:r>
              <w:rPr>
                <w:rFonts w:ascii="Calibri"/>
                <w:sz w:val="14"/>
              </w:rPr>
              <w:t>4,687</w:t>
            </w:r>
          </w:p>
        </w:tc>
        <w:tc>
          <w:tcPr>
            <w:tcW w:w="55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25%</w:t>
            </w:r>
          </w:p>
        </w:tc>
        <w:tc>
          <w:tcPr>
            <w:tcW w:w="697"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5" w:right="0"/>
              <w:jc w:val="left"/>
              <w:rPr>
                <w:rFonts w:ascii="Calibri" w:hAnsi="Calibri" w:cs="Calibri" w:eastAsia="Calibri" w:hint="default"/>
                <w:sz w:val="14"/>
                <w:szCs w:val="14"/>
              </w:rPr>
            </w:pPr>
            <w:r>
              <w:rPr>
                <w:rFonts w:ascii="Calibri"/>
                <w:sz w:val="14"/>
              </w:rPr>
              <w:t>10,178</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2" w:right="0"/>
              <w:jc w:val="left"/>
              <w:rPr>
                <w:rFonts w:ascii="Calibri" w:hAnsi="Calibri" w:cs="Calibri" w:eastAsia="Calibri" w:hint="default"/>
                <w:sz w:val="14"/>
                <w:szCs w:val="14"/>
              </w:rPr>
            </w:pPr>
            <w:r>
              <w:rPr>
                <w:rFonts w:ascii="Calibri"/>
                <w:sz w:val="14"/>
              </w:rPr>
              <w:t>0%</w:t>
            </w:r>
          </w:p>
        </w:tc>
        <w:tc>
          <w:tcPr>
            <w:tcW w:w="693"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44,399</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36" w:right="0"/>
              <w:jc w:val="left"/>
              <w:rPr>
                <w:rFonts w:ascii="Calibri" w:hAnsi="Calibri" w:cs="Calibri" w:eastAsia="Calibri" w:hint="default"/>
                <w:sz w:val="14"/>
                <w:szCs w:val="14"/>
              </w:rPr>
            </w:pPr>
            <w:r>
              <w:rPr>
                <w:rFonts w:ascii="Calibri"/>
                <w:sz w:val="14"/>
              </w:rPr>
              <w:t>24%</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58,312</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right="1"/>
              <w:jc w:val="center"/>
              <w:rPr>
                <w:rFonts w:ascii="Calibri" w:hAnsi="Calibri" w:cs="Calibri" w:eastAsia="Calibri" w:hint="default"/>
                <w:sz w:val="14"/>
                <w:szCs w:val="14"/>
              </w:rPr>
            </w:pPr>
            <w:r>
              <w:rPr>
                <w:rFonts w:ascii="Calibri"/>
                <w:sz w:val="14"/>
              </w:rPr>
              <w:t>1%</w:t>
            </w:r>
          </w:p>
        </w:tc>
        <w:tc>
          <w:tcPr>
            <w:tcW w:w="699"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51" w:right="0"/>
              <w:jc w:val="left"/>
              <w:rPr>
                <w:rFonts w:ascii="Calibri" w:hAnsi="Calibri" w:cs="Calibri" w:eastAsia="Calibri" w:hint="default"/>
                <w:sz w:val="14"/>
                <w:szCs w:val="14"/>
              </w:rPr>
            </w:pPr>
            <w:r>
              <w:rPr>
                <w:rFonts w:ascii="Calibri"/>
                <w:sz w:val="14"/>
              </w:rPr>
              <w:t>73,298</w:t>
            </w:r>
          </w:p>
        </w:tc>
        <w:tc>
          <w:tcPr>
            <w:tcW w:w="53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8" w:right="0"/>
              <w:jc w:val="left"/>
              <w:rPr>
                <w:rFonts w:ascii="Calibri" w:hAnsi="Calibri" w:cs="Calibri" w:eastAsia="Calibri" w:hint="default"/>
                <w:sz w:val="14"/>
                <w:szCs w:val="14"/>
              </w:rPr>
            </w:pPr>
            <w:r>
              <w:rPr>
                <w:rFonts w:ascii="Calibri"/>
                <w:sz w:val="14"/>
              </w:rPr>
              <w:t>-4%</w:t>
            </w:r>
          </w:p>
        </w:tc>
        <w:tc>
          <w:tcPr>
            <w:tcW w:w="702"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23" w:right="0"/>
              <w:jc w:val="left"/>
              <w:rPr>
                <w:rFonts w:ascii="Calibri" w:hAnsi="Calibri" w:cs="Calibri" w:eastAsia="Calibri" w:hint="default"/>
                <w:sz w:val="14"/>
                <w:szCs w:val="14"/>
              </w:rPr>
            </w:pPr>
            <w:r>
              <w:rPr>
                <w:rFonts w:ascii="Calibri"/>
                <w:sz w:val="14"/>
              </w:rPr>
              <w:t>199,368</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6%</w:t>
            </w:r>
          </w:p>
        </w:tc>
      </w:tr>
      <w:tr>
        <w:trPr>
          <w:trHeight w:val="238" w:hRule="exact"/>
        </w:trPr>
        <w:tc>
          <w:tcPr>
            <w:tcW w:w="51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5" w:right="0"/>
              <w:jc w:val="left"/>
              <w:rPr>
                <w:rFonts w:ascii="Calibri" w:hAnsi="Calibri" w:cs="Calibri" w:eastAsia="Calibri" w:hint="default"/>
                <w:sz w:val="14"/>
                <w:szCs w:val="14"/>
              </w:rPr>
            </w:pPr>
            <w:r>
              <w:rPr>
                <w:rFonts w:ascii="Calibri"/>
                <w:sz w:val="14"/>
              </w:rPr>
              <w:t>2002</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2" w:right="0"/>
              <w:jc w:val="left"/>
              <w:rPr>
                <w:rFonts w:ascii="Calibri" w:hAnsi="Calibri" w:cs="Calibri" w:eastAsia="Calibri" w:hint="default"/>
                <w:sz w:val="14"/>
                <w:szCs w:val="14"/>
              </w:rPr>
            </w:pPr>
            <w:r>
              <w:rPr>
                <w:rFonts w:ascii="Calibri"/>
                <w:sz w:val="14"/>
              </w:rPr>
              <w:t>2,946</w:t>
            </w:r>
          </w:p>
        </w:tc>
        <w:tc>
          <w:tcPr>
            <w:tcW w:w="564" w:type="dxa"/>
            <w:tcBorders>
              <w:top w:val="nil" w:sz="6" w:space="0" w:color="auto"/>
              <w:left w:val="nil" w:sz="6" w:space="0" w:color="auto"/>
              <w:bottom w:val="nil" w:sz="6" w:space="0" w:color="auto"/>
              <w:right w:val="nil" w:sz="6" w:space="0" w:color="auto"/>
            </w:tcBorders>
          </w:tcPr>
          <w:p>
            <w:pPr>
              <w:pStyle w:val="TableParagraph"/>
              <w:spacing w:line="240" w:lineRule="auto" w:before="3"/>
              <w:ind w:left="1" w:right="0"/>
              <w:jc w:val="center"/>
              <w:rPr>
                <w:rFonts w:ascii="Calibri" w:hAnsi="Calibri" w:cs="Calibri" w:eastAsia="Calibri" w:hint="default"/>
                <w:sz w:val="14"/>
                <w:szCs w:val="14"/>
              </w:rPr>
            </w:pPr>
            <w:r>
              <w:rPr>
                <w:rFonts w:ascii="Calibri"/>
                <w:sz w:val="14"/>
              </w:rPr>
              <w:t>6%</w:t>
            </w:r>
          </w:p>
        </w:tc>
        <w:tc>
          <w:tcPr>
            <w:tcW w:w="868" w:type="dxa"/>
            <w:tcBorders>
              <w:top w:val="nil" w:sz="6" w:space="0" w:color="auto"/>
              <w:left w:val="nil" w:sz="6" w:space="0" w:color="auto"/>
              <w:bottom w:val="nil" w:sz="6" w:space="0" w:color="auto"/>
              <w:right w:val="nil" w:sz="6" w:space="0" w:color="auto"/>
            </w:tcBorders>
          </w:tcPr>
          <w:p>
            <w:pPr>
              <w:pStyle w:val="TableParagraph"/>
              <w:spacing w:line="240" w:lineRule="auto" w:before="3"/>
              <w:ind w:left="198" w:right="0"/>
              <w:jc w:val="left"/>
              <w:rPr>
                <w:rFonts w:ascii="Calibri" w:hAnsi="Calibri" w:cs="Calibri" w:eastAsia="Calibri" w:hint="default"/>
                <w:sz w:val="14"/>
                <w:szCs w:val="14"/>
              </w:rPr>
            </w:pPr>
            <w:r>
              <w:rPr>
                <w:rFonts w:ascii="Calibri"/>
                <w:sz w:val="14"/>
              </w:rPr>
              <w:t>6,850</w:t>
            </w:r>
          </w:p>
        </w:tc>
        <w:tc>
          <w:tcPr>
            <w:tcW w:w="495" w:type="dxa"/>
            <w:tcBorders>
              <w:top w:val="nil" w:sz="6" w:space="0" w:color="auto"/>
              <w:left w:val="nil" w:sz="6" w:space="0" w:color="auto"/>
              <w:bottom w:val="nil" w:sz="6" w:space="0" w:color="auto"/>
              <w:right w:val="nil" w:sz="6" w:space="0" w:color="auto"/>
            </w:tcBorders>
          </w:tcPr>
          <w:p>
            <w:pPr>
              <w:pStyle w:val="TableParagraph"/>
              <w:spacing w:line="240" w:lineRule="auto" w:before="3"/>
              <w:ind w:left="50" w:right="0"/>
              <w:jc w:val="left"/>
              <w:rPr>
                <w:rFonts w:ascii="Calibri" w:hAnsi="Calibri" w:cs="Calibri" w:eastAsia="Calibri" w:hint="default"/>
                <w:sz w:val="14"/>
                <w:szCs w:val="14"/>
              </w:rPr>
            </w:pPr>
            <w:r>
              <w:rPr>
                <w:rFonts w:ascii="Calibri"/>
                <w:sz w:val="14"/>
              </w:rPr>
              <w:t>20%</w:t>
            </w:r>
          </w:p>
        </w:tc>
        <w:tc>
          <w:tcPr>
            <w:tcW w:w="713" w:type="dxa"/>
            <w:tcBorders>
              <w:top w:val="nil" w:sz="6" w:space="0" w:color="auto"/>
              <w:left w:val="nil" w:sz="6" w:space="0" w:color="auto"/>
              <w:bottom w:val="nil" w:sz="6" w:space="0" w:color="auto"/>
              <w:right w:val="nil" w:sz="6" w:space="0" w:color="auto"/>
            </w:tcBorders>
          </w:tcPr>
          <w:p>
            <w:pPr>
              <w:pStyle w:val="TableParagraph"/>
              <w:spacing w:line="240" w:lineRule="auto" w:before="3"/>
              <w:ind w:left="203" w:right="0"/>
              <w:jc w:val="left"/>
              <w:rPr>
                <w:rFonts w:ascii="Calibri" w:hAnsi="Calibri" w:cs="Calibri" w:eastAsia="Calibri" w:hint="default"/>
                <w:sz w:val="14"/>
                <w:szCs w:val="14"/>
              </w:rPr>
            </w:pPr>
            <w:r>
              <w:rPr>
                <w:rFonts w:ascii="Calibri"/>
                <w:sz w:val="14"/>
              </w:rPr>
              <w:t>4,194</w:t>
            </w:r>
          </w:p>
        </w:tc>
        <w:tc>
          <w:tcPr>
            <w:tcW w:w="55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32" w:right="0"/>
              <w:jc w:val="left"/>
              <w:rPr>
                <w:rFonts w:ascii="Calibri" w:hAnsi="Calibri" w:cs="Calibri" w:eastAsia="Calibri" w:hint="default"/>
                <w:sz w:val="14"/>
                <w:szCs w:val="14"/>
              </w:rPr>
            </w:pPr>
            <w:r>
              <w:rPr>
                <w:rFonts w:ascii="Calibri"/>
                <w:sz w:val="14"/>
              </w:rPr>
              <w:t>-11%</w:t>
            </w:r>
          </w:p>
        </w:tc>
        <w:tc>
          <w:tcPr>
            <w:tcW w:w="697"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5" w:right="0"/>
              <w:jc w:val="left"/>
              <w:rPr>
                <w:rFonts w:ascii="Calibri" w:hAnsi="Calibri" w:cs="Calibri" w:eastAsia="Calibri" w:hint="default"/>
                <w:sz w:val="14"/>
                <w:szCs w:val="14"/>
              </w:rPr>
            </w:pPr>
            <w:r>
              <w:rPr>
                <w:rFonts w:ascii="Calibri"/>
                <w:sz w:val="14"/>
              </w:rPr>
              <w:t>13,193</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6" w:right="0"/>
              <w:jc w:val="left"/>
              <w:rPr>
                <w:rFonts w:ascii="Calibri" w:hAnsi="Calibri" w:cs="Calibri" w:eastAsia="Calibri" w:hint="default"/>
                <w:sz w:val="14"/>
                <w:szCs w:val="14"/>
              </w:rPr>
            </w:pPr>
            <w:r>
              <w:rPr>
                <w:rFonts w:ascii="Calibri"/>
                <w:sz w:val="14"/>
              </w:rPr>
              <w:t>30%</w:t>
            </w:r>
          </w:p>
        </w:tc>
        <w:tc>
          <w:tcPr>
            <w:tcW w:w="693"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45,093</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72" w:right="0"/>
              <w:jc w:val="left"/>
              <w:rPr>
                <w:rFonts w:ascii="Calibri" w:hAnsi="Calibri" w:cs="Calibri" w:eastAsia="Calibri" w:hint="default"/>
                <w:sz w:val="14"/>
                <w:szCs w:val="14"/>
              </w:rPr>
            </w:pPr>
            <w:r>
              <w:rPr>
                <w:rFonts w:ascii="Calibri"/>
                <w:sz w:val="14"/>
              </w:rPr>
              <w:t>2%</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66,450</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36" w:right="0"/>
              <w:jc w:val="left"/>
              <w:rPr>
                <w:rFonts w:ascii="Calibri" w:hAnsi="Calibri" w:cs="Calibri" w:eastAsia="Calibri" w:hint="default"/>
                <w:sz w:val="14"/>
                <w:szCs w:val="14"/>
              </w:rPr>
            </w:pPr>
            <w:r>
              <w:rPr>
                <w:rFonts w:ascii="Calibri"/>
                <w:sz w:val="14"/>
              </w:rPr>
              <w:t>14%</w:t>
            </w:r>
          </w:p>
        </w:tc>
        <w:tc>
          <w:tcPr>
            <w:tcW w:w="699"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51" w:right="0"/>
              <w:jc w:val="left"/>
              <w:rPr>
                <w:rFonts w:ascii="Calibri" w:hAnsi="Calibri" w:cs="Calibri" w:eastAsia="Calibri" w:hint="default"/>
                <w:sz w:val="14"/>
                <w:szCs w:val="14"/>
              </w:rPr>
            </w:pPr>
            <w:r>
              <w:rPr>
                <w:rFonts w:ascii="Calibri"/>
                <w:sz w:val="14"/>
              </w:rPr>
              <w:t>75,630</w:t>
            </w:r>
          </w:p>
        </w:tc>
        <w:tc>
          <w:tcPr>
            <w:tcW w:w="53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0" w:right="0"/>
              <w:jc w:val="left"/>
              <w:rPr>
                <w:rFonts w:ascii="Calibri" w:hAnsi="Calibri" w:cs="Calibri" w:eastAsia="Calibri" w:hint="default"/>
                <w:sz w:val="14"/>
                <w:szCs w:val="14"/>
              </w:rPr>
            </w:pPr>
            <w:r>
              <w:rPr>
                <w:rFonts w:ascii="Calibri"/>
                <w:sz w:val="14"/>
              </w:rPr>
              <w:t>3%</w:t>
            </w:r>
          </w:p>
        </w:tc>
        <w:tc>
          <w:tcPr>
            <w:tcW w:w="702"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23" w:right="0"/>
              <w:jc w:val="left"/>
              <w:rPr>
                <w:rFonts w:ascii="Calibri" w:hAnsi="Calibri" w:cs="Calibri" w:eastAsia="Calibri" w:hint="default"/>
                <w:sz w:val="14"/>
                <w:szCs w:val="14"/>
              </w:rPr>
            </w:pPr>
            <w:r>
              <w:rPr>
                <w:rFonts w:ascii="Calibri"/>
                <w:sz w:val="14"/>
              </w:rPr>
              <w:t>214,356</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8%</w:t>
            </w:r>
          </w:p>
        </w:tc>
      </w:tr>
      <w:tr>
        <w:trPr>
          <w:trHeight w:val="238" w:hRule="exact"/>
        </w:trPr>
        <w:tc>
          <w:tcPr>
            <w:tcW w:w="51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5" w:right="0"/>
              <w:jc w:val="left"/>
              <w:rPr>
                <w:rFonts w:ascii="Calibri" w:hAnsi="Calibri" w:cs="Calibri" w:eastAsia="Calibri" w:hint="default"/>
                <w:sz w:val="14"/>
                <w:szCs w:val="14"/>
              </w:rPr>
            </w:pPr>
            <w:r>
              <w:rPr>
                <w:rFonts w:ascii="Calibri"/>
                <w:sz w:val="14"/>
              </w:rPr>
              <w:t>2003</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2" w:right="0"/>
              <w:jc w:val="left"/>
              <w:rPr>
                <w:rFonts w:ascii="Calibri" w:hAnsi="Calibri" w:cs="Calibri" w:eastAsia="Calibri" w:hint="default"/>
                <w:sz w:val="14"/>
                <w:szCs w:val="14"/>
              </w:rPr>
            </w:pPr>
            <w:r>
              <w:rPr>
                <w:rFonts w:ascii="Calibri"/>
                <w:sz w:val="14"/>
              </w:rPr>
              <w:t>2,392</w:t>
            </w:r>
          </w:p>
        </w:tc>
        <w:tc>
          <w:tcPr>
            <w:tcW w:w="564" w:type="dxa"/>
            <w:tcBorders>
              <w:top w:val="nil" w:sz="6" w:space="0" w:color="auto"/>
              <w:left w:val="nil" w:sz="6" w:space="0" w:color="auto"/>
              <w:bottom w:val="nil" w:sz="6" w:space="0" w:color="auto"/>
              <w:right w:val="nil" w:sz="6" w:space="0" w:color="auto"/>
            </w:tcBorders>
          </w:tcPr>
          <w:p>
            <w:pPr>
              <w:pStyle w:val="TableParagraph"/>
              <w:spacing w:line="240" w:lineRule="auto" w:before="3"/>
              <w:ind w:left="140" w:right="0"/>
              <w:jc w:val="left"/>
              <w:rPr>
                <w:rFonts w:ascii="Calibri" w:hAnsi="Calibri" w:cs="Calibri" w:eastAsia="Calibri" w:hint="default"/>
                <w:sz w:val="14"/>
                <w:szCs w:val="14"/>
              </w:rPr>
            </w:pPr>
            <w:r>
              <w:rPr>
                <w:rFonts w:ascii="Calibri"/>
                <w:sz w:val="14"/>
              </w:rPr>
              <w:t>-19%</w:t>
            </w:r>
          </w:p>
        </w:tc>
        <w:tc>
          <w:tcPr>
            <w:tcW w:w="868" w:type="dxa"/>
            <w:tcBorders>
              <w:top w:val="nil" w:sz="6" w:space="0" w:color="auto"/>
              <w:left w:val="nil" w:sz="6" w:space="0" w:color="auto"/>
              <w:bottom w:val="nil" w:sz="6" w:space="0" w:color="auto"/>
              <w:right w:val="nil" w:sz="6" w:space="0" w:color="auto"/>
            </w:tcBorders>
          </w:tcPr>
          <w:p>
            <w:pPr>
              <w:pStyle w:val="TableParagraph"/>
              <w:spacing w:line="240" w:lineRule="auto" w:before="3"/>
              <w:ind w:left="198" w:right="0"/>
              <w:jc w:val="left"/>
              <w:rPr>
                <w:rFonts w:ascii="Calibri" w:hAnsi="Calibri" w:cs="Calibri" w:eastAsia="Calibri" w:hint="default"/>
                <w:sz w:val="14"/>
                <w:szCs w:val="14"/>
              </w:rPr>
            </w:pPr>
            <w:r>
              <w:rPr>
                <w:rFonts w:ascii="Calibri"/>
                <w:sz w:val="14"/>
              </w:rPr>
              <w:t>7,488</w:t>
            </w:r>
          </w:p>
        </w:tc>
        <w:tc>
          <w:tcPr>
            <w:tcW w:w="495" w:type="dxa"/>
            <w:tcBorders>
              <w:top w:val="nil" w:sz="6" w:space="0" w:color="auto"/>
              <w:left w:val="nil" w:sz="6" w:space="0" w:color="auto"/>
              <w:bottom w:val="nil" w:sz="6" w:space="0" w:color="auto"/>
              <w:right w:val="nil" w:sz="6" w:space="0" w:color="auto"/>
            </w:tcBorders>
          </w:tcPr>
          <w:p>
            <w:pPr>
              <w:pStyle w:val="TableParagraph"/>
              <w:spacing w:line="240" w:lineRule="auto" w:before="3"/>
              <w:ind w:left="86" w:right="0"/>
              <w:jc w:val="left"/>
              <w:rPr>
                <w:rFonts w:ascii="Calibri" w:hAnsi="Calibri" w:cs="Calibri" w:eastAsia="Calibri" w:hint="default"/>
                <w:sz w:val="14"/>
                <w:szCs w:val="14"/>
              </w:rPr>
            </w:pPr>
            <w:r>
              <w:rPr>
                <w:rFonts w:ascii="Calibri"/>
                <w:sz w:val="14"/>
              </w:rPr>
              <w:t>9%</w:t>
            </w:r>
          </w:p>
        </w:tc>
        <w:tc>
          <w:tcPr>
            <w:tcW w:w="713" w:type="dxa"/>
            <w:tcBorders>
              <w:top w:val="nil" w:sz="6" w:space="0" w:color="auto"/>
              <w:left w:val="nil" w:sz="6" w:space="0" w:color="auto"/>
              <w:bottom w:val="nil" w:sz="6" w:space="0" w:color="auto"/>
              <w:right w:val="nil" w:sz="6" w:space="0" w:color="auto"/>
            </w:tcBorders>
          </w:tcPr>
          <w:p>
            <w:pPr>
              <w:pStyle w:val="TableParagraph"/>
              <w:spacing w:line="240" w:lineRule="auto" w:before="3"/>
              <w:ind w:left="203" w:right="0"/>
              <w:jc w:val="left"/>
              <w:rPr>
                <w:rFonts w:ascii="Calibri" w:hAnsi="Calibri" w:cs="Calibri" w:eastAsia="Calibri" w:hint="default"/>
                <w:sz w:val="14"/>
                <w:szCs w:val="14"/>
              </w:rPr>
            </w:pPr>
            <w:r>
              <w:rPr>
                <w:rFonts w:ascii="Calibri"/>
                <w:sz w:val="14"/>
              </w:rPr>
              <w:t>4,256</w:t>
            </w:r>
          </w:p>
        </w:tc>
        <w:tc>
          <w:tcPr>
            <w:tcW w:w="550" w:type="dxa"/>
            <w:tcBorders>
              <w:top w:val="nil" w:sz="6" w:space="0" w:color="auto"/>
              <w:left w:val="nil" w:sz="6" w:space="0" w:color="auto"/>
              <w:bottom w:val="nil" w:sz="6" w:space="0" w:color="auto"/>
              <w:right w:val="nil" w:sz="6" w:space="0" w:color="auto"/>
            </w:tcBorders>
          </w:tcPr>
          <w:p>
            <w:pPr>
              <w:pStyle w:val="TableParagraph"/>
              <w:spacing w:line="240" w:lineRule="auto" w:before="3"/>
              <w:ind w:right="0"/>
              <w:jc w:val="center"/>
              <w:rPr>
                <w:rFonts w:ascii="Calibri" w:hAnsi="Calibri" w:cs="Calibri" w:eastAsia="Calibri" w:hint="default"/>
                <w:sz w:val="14"/>
                <w:szCs w:val="14"/>
              </w:rPr>
            </w:pPr>
            <w:r>
              <w:rPr>
                <w:rFonts w:ascii="Calibri"/>
                <w:sz w:val="14"/>
              </w:rPr>
              <w:t>1%</w:t>
            </w:r>
          </w:p>
        </w:tc>
        <w:tc>
          <w:tcPr>
            <w:tcW w:w="697"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5" w:right="0"/>
              <w:jc w:val="left"/>
              <w:rPr>
                <w:rFonts w:ascii="Calibri" w:hAnsi="Calibri" w:cs="Calibri" w:eastAsia="Calibri" w:hint="default"/>
                <w:sz w:val="14"/>
                <w:szCs w:val="14"/>
              </w:rPr>
            </w:pPr>
            <w:r>
              <w:rPr>
                <w:rFonts w:ascii="Calibri"/>
                <w:sz w:val="14"/>
              </w:rPr>
              <w:t>19,710</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6" w:right="0"/>
              <w:jc w:val="left"/>
              <w:rPr>
                <w:rFonts w:ascii="Calibri" w:hAnsi="Calibri" w:cs="Calibri" w:eastAsia="Calibri" w:hint="default"/>
                <w:sz w:val="14"/>
                <w:szCs w:val="14"/>
              </w:rPr>
            </w:pPr>
            <w:r>
              <w:rPr>
                <w:rFonts w:ascii="Calibri"/>
                <w:sz w:val="14"/>
              </w:rPr>
              <w:t>49%</w:t>
            </w:r>
          </w:p>
        </w:tc>
        <w:tc>
          <w:tcPr>
            <w:tcW w:w="693"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41,744</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-7%</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65,779</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-1%</w:t>
            </w:r>
          </w:p>
        </w:tc>
        <w:tc>
          <w:tcPr>
            <w:tcW w:w="699"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51" w:right="0"/>
              <w:jc w:val="left"/>
              <w:rPr>
                <w:rFonts w:ascii="Calibri" w:hAnsi="Calibri" w:cs="Calibri" w:eastAsia="Calibri" w:hint="default"/>
                <w:sz w:val="14"/>
                <w:szCs w:val="14"/>
              </w:rPr>
            </w:pPr>
            <w:r>
              <w:rPr>
                <w:rFonts w:ascii="Calibri"/>
                <w:sz w:val="14"/>
              </w:rPr>
              <w:t>78,612</w:t>
            </w:r>
          </w:p>
        </w:tc>
        <w:tc>
          <w:tcPr>
            <w:tcW w:w="53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0" w:right="0"/>
              <w:jc w:val="left"/>
              <w:rPr>
                <w:rFonts w:ascii="Calibri" w:hAnsi="Calibri" w:cs="Calibri" w:eastAsia="Calibri" w:hint="default"/>
                <w:sz w:val="14"/>
                <w:szCs w:val="14"/>
              </w:rPr>
            </w:pPr>
            <w:r>
              <w:rPr>
                <w:rFonts w:ascii="Calibri"/>
                <w:sz w:val="14"/>
              </w:rPr>
              <w:t>4%</w:t>
            </w:r>
          </w:p>
        </w:tc>
        <w:tc>
          <w:tcPr>
            <w:tcW w:w="702"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23" w:right="0"/>
              <w:jc w:val="left"/>
              <w:rPr>
                <w:rFonts w:ascii="Calibri" w:hAnsi="Calibri" w:cs="Calibri" w:eastAsia="Calibri" w:hint="default"/>
                <w:sz w:val="14"/>
                <w:szCs w:val="14"/>
              </w:rPr>
            </w:pPr>
            <w:r>
              <w:rPr>
                <w:rFonts w:ascii="Calibri"/>
                <w:sz w:val="14"/>
              </w:rPr>
              <w:t>219,981</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3%</w:t>
            </w:r>
          </w:p>
        </w:tc>
      </w:tr>
      <w:tr>
        <w:trPr>
          <w:trHeight w:val="235" w:hRule="exact"/>
        </w:trPr>
        <w:tc>
          <w:tcPr>
            <w:tcW w:w="51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5" w:right="0"/>
              <w:jc w:val="left"/>
              <w:rPr>
                <w:rFonts w:ascii="Calibri" w:hAnsi="Calibri" w:cs="Calibri" w:eastAsia="Calibri" w:hint="default"/>
                <w:sz w:val="14"/>
                <w:szCs w:val="14"/>
              </w:rPr>
            </w:pPr>
            <w:r>
              <w:rPr>
                <w:rFonts w:ascii="Calibri"/>
                <w:sz w:val="14"/>
              </w:rPr>
              <w:t>2004</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2" w:right="0"/>
              <w:jc w:val="left"/>
              <w:rPr>
                <w:rFonts w:ascii="Calibri" w:hAnsi="Calibri" w:cs="Calibri" w:eastAsia="Calibri" w:hint="default"/>
                <w:sz w:val="14"/>
                <w:szCs w:val="14"/>
              </w:rPr>
            </w:pPr>
            <w:r>
              <w:rPr>
                <w:rFonts w:ascii="Calibri"/>
                <w:sz w:val="14"/>
              </w:rPr>
              <w:t>1,948</w:t>
            </w:r>
          </w:p>
        </w:tc>
        <w:tc>
          <w:tcPr>
            <w:tcW w:w="564" w:type="dxa"/>
            <w:tcBorders>
              <w:top w:val="nil" w:sz="6" w:space="0" w:color="auto"/>
              <w:left w:val="nil" w:sz="6" w:space="0" w:color="auto"/>
              <w:bottom w:val="nil" w:sz="6" w:space="0" w:color="auto"/>
              <w:right w:val="nil" w:sz="6" w:space="0" w:color="auto"/>
            </w:tcBorders>
          </w:tcPr>
          <w:p>
            <w:pPr>
              <w:pStyle w:val="TableParagraph"/>
              <w:spacing w:line="240" w:lineRule="auto" w:before="3"/>
              <w:ind w:left="140" w:right="0"/>
              <w:jc w:val="left"/>
              <w:rPr>
                <w:rFonts w:ascii="Calibri" w:hAnsi="Calibri" w:cs="Calibri" w:eastAsia="Calibri" w:hint="default"/>
                <w:sz w:val="14"/>
                <w:szCs w:val="14"/>
              </w:rPr>
            </w:pPr>
            <w:r>
              <w:rPr>
                <w:rFonts w:ascii="Calibri"/>
                <w:sz w:val="14"/>
              </w:rPr>
              <w:t>-19%</w:t>
            </w:r>
          </w:p>
        </w:tc>
        <w:tc>
          <w:tcPr>
            <w:tcW w:w="868" w:type="dxa"/>
            <w:tcBorders>
              <w:top w:val="nil" w:sz="6" w:space="0" w:color="auto"/>
              <w:left w:val="nil" w:sz="6" w:space="0" w:color="auto"/>
              <w:bottom w:val="nil" w:sz="6" w:space="0" w:color="auto"/>
              <w:right w:val="nil" w:sz="6" w:space="0" w:color="auto"/>
            </w:tcBorders>
          </w:tcPr>
          <w:p>
            <w:pPr>
              <w:pStyle w:val="TableParagraph"/>
              <w:spacing w:line="240" w:lineRule="auto" w:before="3"/>
              <w:ind w:left="198" w:right="0"/>
              <w:jc w:val="left"/>
              <w:rPr>
                <w:rFonts w:ascii="Calibri" w:hAnsi="Calibri" w:cs="Calibri" w:eastAsia="Calibri" w:hint="default"/>
                <w:sz w:val="14"/>
                <w:szCs w:val="14"/>
              </w:rPr>
            </w:pPr>
            <w:r>
              <w:rPr>
                <w:rFonts w:ascii="Calibri"/>
                <w:sz w:val="14"/>
              </w:rPr>
              <w:t>6,112</w:t>
            </w:r>
          </w:p>
        </w:tc>
        <w:tc>
          <w:tcPr>
            <w:tcW w:w="495" w:type="dxa"/>
            <w:tcBorders>
              <w:top w:val="nil" w:sz="6" w:space="0" w:color="auto"/>
              <w:left w:val="nil" w:sz="6" w:space="0" w:color="auto"/>
              <w:bottom w:val="nil" w:sz="6" w:space="0" w:color="auto"/>
              <w:right w:val="nil" w:sz="6" w:space="0" w:color="auto"/>
            </w:tcBorders>
          </w:tcPr>
          <w:p>
            <w:pPr>
              <w:pStyle w:val="TableParagraph"/>
              <w:spacing w:line="240" w:lineRule="auto" w:before="3"/>
              <w:ind w:left="28" w:right="0"/>
              <w:jc w:val="left"/>
              <w:rPr>
                <w:rFonts w:ascii="Calibri" w:hAnsi="Calibri" w:cs="Calibri" w:eastAsia="Calibri" w:hint="default"/>
                <w:sz w:val="14"/>
                <w:szCs w:val="14"/>
              </w:rPr>
            </w:pPr>
            <w:r>
              <w:rPr>
                <w:rFonts w:ascii="Calibri"/>
                <w:sz w:val="14"/>
              </w:rPr>
              <w:t>-18%</w:t>
            </w:r>
          </w:p>
        </w:tc>
        <w:tc>
          <w:tcPr>
            <w:tcW w:w="713" w:type="dxa"/>
            <w:tcBorders>
              <w:top w:val="nil" w:sz="6" w:space="0" w:color="auto"/>
              <w:left w:val="nil" w:sz="6" w:space="0" w:color="auto"/>
              <w:bottom w:val="nil" w:sz="6" w:space="0" w:color="auto"/>
              <w:right w:val="nil" w:sz="6" w:space="0" w:color="auto"/>
            </w:tcBorders>
          </w:tcPr>
          <w:p>
            <w:pPr>
              <w:pStyle w:val="TableParagraph"/>
              <w:spacing w:line="240" w:lineRule="auto" w:before="3"/>
              <w:ind w:left="203" w:right="0"/>
              <w:jc w:val="left"/>
              <w:rPr>
                <w:rFonts w:ascii="Calibri" w:hAnsi="Calibri" w:cs="Calibri" w:eastAsia="Calibri" w:hint="default"/>
                <w:sz w:val="14"/>
                <w:szCs w:val="14"/>
              </w:rPr>
            </w:pPr>
            <w:r>
              <w:rPr>
                <w:rFonts w:ascii="Calibri"/>
                <w:sz w:val="14"/>
              </w:rPr>
              <w:t>3,534</w:t>
            </w:r>
          </w:p>
        </w:tc>
        <w:tc>
          <w:tcPr>
            <w:tcW w:w="55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32" w:right="0"/>
              <w:jc w:val="left"/>
              <w:rPr>
                <w:rFonts w:ascii="Calibri" w:hAnsi="Calibri" w:cs="Calibri" w:eastAsia="Calibri" w:hint="default"/>
                <w:sz w:val="14"/>
                <w:szCs w:val="14"/>
              </w:rPr>
            </w:pPr>
            <w:r>
              <w:rPr>
                <w:rFonts w:ascii="Calibri"/>
                <w:sz w:val="14"/>
              </w:rPr>
              <w:t>-17%</w:t>
            </w:r>
          </w:p>
        </w:tc>
        <w:tc>
          <w:tcPr>
            <w:tcW w:w="697"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5" w:right="0"/>
              <w:jc w:val="left"/>
              <w:rPr>
                <w:rFonts w:ascii="Calibri" w:hAnsi="Calibri" w:cs="Calibri" w:eastAsia="Calibri" w:hint="default"/>
                <w:sz w:val="14"/>
                <w:szCs w:val="14"/>
              </w:rPr>
            </w:pPr>
            <w:r>
              <w:rPr>
                <w:rFonts w:ascii="Calibri"/>
                <w:sz w:val="14"/>
              </w:rPr>
              <w:t>23,079</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6" w:right="0"/>
              <w:jc w:val="left"/>
              <w:rPr>
                <w:rFonts w:ascii="Calibri" w:hAnsi="Calibri" w:cs="Calibri" w:eastAsia="Calibri" w:hint="default"/>
                <w:sz w:val="14"/>
                <w:szCs w:val="14"/>
              </w:rPr>
            </w:pPr>
            <w:r>
              <w:rPr>
                <w:rFonts w:ascii="Calibri"/>
                <w:sz w:val="14"/>
              </w:rPr>
              <w:t>17%</w:t>
            </w:r>
          </w:p>
        </w:tc>
        <w:tc>
          <w:tcPr>
            <w:tcW w:w="693"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41,737</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72" w:right="0"/>
              <w:jc w:val="left"/>
              <w:rPr>
                <w:rFonts w:ascii="Calibri" w:hAnsi="Calibri" w:cs="Calibri" w:eastAsia="Calibri" w:hint="default"/>
                <w:sz w:val="14"/>
                <w:szCs w:val="14"/>
              </w:rPr>
            </w:pPr>
            <w:r>
              <w:rPr>
                <w:rFonts w:ascii="Calibri"/>
                <w:sz w:val="14"/>
              </w:rPr>
              <w:t>0%</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65,400</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-1%</w:t>
            </w:r>
          </w:p>
        </w:tc>
        <w:tc>
          <w:tcPr>
            <w:tcW w:w="699" w:type="dxa"/>
            <w:tcBorders>
              <w:top w:val="nil" w:sz="6" w:space="0" w:color="auto"/>
              <w:left w:val="nil" w:sz="6" w:space="0" w:color="auto"/>
              <w:bottom w:val="nil" w:sz="6" w:space="0" w:color="auto"/>
              <w:right w:val="nil" w:sz="6" w:space="0" w:color="auto"/>
            </w:tcBorders>
          </w:tcPr>
          <w:p>
            <w:pPr>
              <w:pStyle w:val="TableParagraph"/>
              <w:spacing w:line="240" w:lineRule="auto" w:before="34"/>
              <w:ind w:left="151" w:right="0"/>
              <w:jc w:val="left"/>
              <w:rPr>
                <w:rFonts w:ascii="Calibri" w:hAnsi="Calibri" w:cs="Calibri" w:eastAsia="Calibri" w:hint="default"/>
                <w:sz w:val="14"/>
                <w:szCs w:val="14"/>
              </w:rPr>
            </w:pPr>
            <w:r>
              <w:rPr>
                <w:rFonts w:ascii="Calibri"/>
                <w:sz w:val="14"/>
              </w:rPr>
              <w:t>80,357</w:t>
            </w:r>
          </w:p>
        </w:tc>
        <w:tc>
          <w:tcPr>
            <w:tcW w:w="53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0" w:right="0"/>
              <w:jc w:val="left"/>
              <w:rPr>
                <w:rFonts w:ascii="Calibri" w:hAnsi="Calibri" w:cs="Calibri" w:eastAsia="Calibri" w:hint="default"/>
                <w:sz w:val="14"/>
                <w:szCs w:val="14"/>
              </w:rPr>
            </w:pPr>
            <w:r>
              <w:rPr>
                <w:rFonts w:ascii="Calibri"/>
                <w:sz w:val="14"/>
              </w:rPr>
              <w:t>2%</w:t>
            </w:r>
          </w:p>
        </w:tc>
        <w:tc>
          <w:tcPr>
            <w:tcW w:w="702" w:type="dxa"/>
            <w:tcBorders>
              <w:top w:val="nil" w:sz="6" w:space="0" w:color="auto"/>
              <w:left w:val="nil" w:sz="6" w:space="0" w:color="auto"/>
              <w:bottom w:val="nil" w:sz="6" w:space="0" w:color="auto"/>
              <w:right w:val="nil" w:sz="6" w:space="0" w:color="auto"/>
            </w:tcBorders>
          </w:tcPr>
          <w:p>
            <w:pPr>
              <w:pStyle w:val="TableParagraph"/>
              <w:spacing w:line="240" w:lineRule="auto" w:before="34"/>
              <w:ind w:left="123" w:right="0"/>
              <w:jc w:val="left"/>
              <w:rPr>
                <w:rFonts w:ascii="Calibri" w:hAnsi="Calibri" w:cs="Calibri" w:eastAsia="Calibri" w:hint="default"/>
                <w:sz w:val="14"/>
                <w:szCs w:val="14"/>
              </w:rPr>
            </w:pPr>
            <w:r>
              <w:rPr>
                <w:rFonts w:ascii="Calibri"/>
                <w:sz w:val="14"/>
              </w:rPr>
              <w:t>222,167</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1%</w:t>
            </w:r>
          </w:p>
        </w:tc>
      </w:tr>
      <w:tr>
        <w:trPr>
          <w:trHeight w:val="238" w:hRule="exact"/>
        </w:trPr>
        <w:tc>
          <w:tcPr>
            <w:tcW w:w="51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5" w:right="0"/>
              <w:jc w:val="left"/>
              <w:rPr>
                <w:rFonts w:ascii="Calibri" w:hAnsi="Calibri" w:cs="Calibri" w:eastAsia="Calibri" w:hint="default"/>
                <w:sz w:val="14"/>
                <w:szCs w:val="14"/>
              </w:rPr>
            </w:pPr>
            <w:r>
              <w:rPr>
                <w:rFonts w:ascii="Calibri"/>
                <w:sz w:val="14"/>
              </w:rPr>
              <w:t>2005</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2" w:right="0"/>
              <w:jc w:val="left"/>
              <w:rPr>
                <w:rFonts w:ascii="Calibri" w:hAnsi="Calibri" w:cs="Calibri" w:eastAsia="Calibri" w:hint="default"/>
                <w:sz w:val="14"/>
                <w:szCs w:val="14"/>
              </w:rPr>
            </w:pPr>
            <w:r>
              <w:rPr>
                <w:rFonts w:ascii="Calibri"/>
                <w:sz w:val="14"/>
              </w:rPr>
              <w:t>1,672</w:t>
            </w:r>
          </w:p>
        </w:tc>
        <w:tc>
          <w:tcPr>
            <w:tcW w:w="564" w:type="dxa"/>
            <w:tcBorders>
              <w:top w:val="nil" w:sz="6" w:space="0" w:color="auto"/>
              <w:left w:val="nil" w:sz="6" w:space="0" w:color="auto"/>
              <w:bottom w:val="nil" w:sz="6" w:space="0" w:color="auto"/>
              <w:right w:val="nil" w:sz="6" w:space="0" w:color="auto"/>
            </w:tcBorders>
          </w:tcPr>
          <w:p>
            <w:pPr>
              <w:pStyle w:val="TableParagraph"/>
              <w:spacing w:line="240" w:lineRule="auto" w:before="3"/>
              <w:ind w:left="140" w:right="0"/>
              <w:jc w:val="left"/>
              <w:rPr>
                <w:rFonts w:ascii="Calibri" w:hAnsi="Calibri" w:cs="Calibri" w:eastAsia="Calibri" w:hint="default"/>
                <w:sz w:val="14"/>
                <w:szCs w:val="14"/>
              </w:rPr>
            </w:pPr>
            <w:r>
              <w:rPr>
                <w:rFonts w:ascii="Calibri"/>
                <w:sz w:val="14"/>
              </w:rPr>
              <w:t>-14%</w:t>
            </w:r>
          </w:p>
        </w:tc>
        <w:tc>
          <w:tcPr>
            <w:tcW w:w="868" w:type="dxa"/>
            <w:tcBorders>
              <w:top w:val="nil" w:sz="6" w:space="0" w:color="auto"/>
              <w:left w:val="nil" w:sz="6" w:space="0" w:color="auto"/>
              <w:bottom w:val="nil" w:sz="6" w:space="0" w:color="auto"/>
              <w:right w:val="nil" w:sz="6" w:space="0" w:color="auto"/>
            </w:tcBorders>
          </w:tcPr>
          <w:p>
            <w:pPr>
              <w:pStyle w:val="TableParagraph"/>
              <w:spacing w:line="240" w:lineRule="auto" w:before="3"/>
              <w:ind w:left="198" w:right="0"/>
              <w:jc w:val="left"/>
              <w:rPr>
                <w:rFonts w:ascii="Calibri" w:hAnsi="Calibri" w:cs="Calibri" w:eastAsia="Calibri" w:hint="default"/>
                <w:sz w:val="14"/>
                <w:szCs w:val="14"/>
              </w:rPr>
            </w:pPr>
            <w:r>
              <w:rPr>
                <w:rFonts w:ascii="Calibri"/>
                <w:sz w:val="14"/>
              </w:rPr>
              <w:t>2,797</w:t>
            </w:r>
          </w:p>
        </w:tc>
        <w:tc>
          <w:tcPr>
            <w:tcW w:w="495" w:type="dxa"/>
            <w:tcBorders>
              <w:top w:val="nil" w:sz="6" w:space="0" w:color="auto"/>
              <w:left w:val="nil" w:sz="6" w:space="0" w:color="auto"/>
              <w:bottom w:val="nil" w:sz="6" w:space="0" w:color="auto"/>
              <w:right w:val="nil" w:sz="6" w:space="0" w:color="auto"/>
            </w:tcBorders>
          </w:tcPr>
          <w:p>
            <w:pPr>
              <w:pStyle w:val="TableParagraph"/>
              <w:spacing w:line="240" w:lineRule="auto" w:before="3"/>
              <w:ind w:left="28" w:right="0"/>
              <w:jc w:val="left"/>
              <w:rPr>
                <w:rFonts w:ascii="Calibri" w:hAnsi="Calibri" w:cs="Calibri" w:eastAsia="Calibri" w:hint="default"/>
                <w:sz w:val="14"/>
                <w:szCs w:val="14"/>
              </w:rPr>
            </w:pPr>
            <w:r>
              <w:rPr>
                <w:rFonts w:ascii="Calibri"/>
                <w:sz w:val="14"/>
              </w:rPr>
              <w:t>-54%</w:t>
            </w:r>
          </w:p>
        </w:tc>
        <w:tc>
          <w:tcPr>
            <w:tcW w:w="713" w:type="dxa"/>
            <w:tcBorders>
              <w:top w:val="nil" w:sz="6" w:space="0" w:color="auto"/>
              <w:left w:val="nil" w:sz="6" w:space="0" w:color="auto"/>
              <w:bottom w:val="nil" w:sz="6" w:space="0" w:color="auto"/>
              <w:right w:val="nil" w:sz="6" w:space="0" w:color="auto"/>
            </w:tcBorders>
          </w:tcPr>
          <w:p>
            <w:pPr>
              <w:pStyle w:val="TableParagraph"/>
              <w:spacing w:line="240" w:lineRule="auto" w:before="3"/>
              <w:ind w:left="203" w:right="0"/>
              <w:jc w:val="left"/>
              <w:rPr>
                <w:rFonts w:ascii="Calibri" w:hAnsi="Calibri" w:cs="Calibri" w:eastAsia="Calibri" w:hint="default"/>
                <w:sz w:val="14"/>
                <w:szCs w:val="14"/>
              </w:rPr>
            </w:pPr>
            <w:r>
              <w:rPr>
                <w:rFonts w:ascii="Calibri"/>
                <w:sz w:val="14"/>
              </w:rPr>
              <w:t>3,252</w:t>
            </w:r>
          </w:p>
        </w:tc>
        <w:tc>
          <w:tcPr>
            <w:tcW w:w="55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68" w:right="0"/>
              <w:jc w:val="left"/>
              <w:rPr>
                <w:rFonts w:ascii="Calibri" w:hAnsi="Calibri" w:cs="Calibri" w:eastAsia="Calibri" w:hint="default"/>
                <w:sz w:val="14"/>
                <w:szCs w:val="14"/>
              </w:rPr>
            </w:pPr>
            <w:r>
              <w:rPr>
                <w:rFonts w:ascii="Calibri"/>
                <w:sz w:val="14"/>
              </w:rPr>
              <w:t>-8%</w:t>
            </w:r>
          </w:p>
        </w:tc>
        <w:tc>
          <w:tcPr>
            <w:tcW w:w="697"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5" w:right="0"/>
              <w:jc w:val="left"/>
              <w:rPr>
                <w:rFonts w:ascii="Calibri" w:hAnsi="Calibri" w:cs="Calibri" w:eastAsia="Calibri" w:hint="default"/>
                <w:sz w:val="14"/>
                <w:szCs w:val="14"/>
              </w:rPr>
            </w:pPr>
            <w:r>
              <w:rPr>
                <w:rFonts w:ascii="Calibri"/>
                <w:sz w:val="14"/>
              </w:rPr>
              <w:t>25,488</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6" w:right="0"/>
              <w:jc w:val="left"/>
              <w:rPr>
                <w:rFonts w:ascii="Calibri" w:hAnsi="Calibri" w:cs="Calibri" w:eastAsia="Calibri" w:hint="default"/>
                <w:sz w:val="14"/>
                <w:szCs w:val="14"/>
              </w:rPr>
            </w:pPr>
            <w:r>
              <w:rPr>
                <w:rFonts w:ascii="Calibri"/>
                <w:sz w:val="14"/>
              </w:rPr>
              <w:t>10%</w:t>
            </w:r>
          </w:p>
        </w:tc>
        <w:tc>
          <w:tcPr>
            <w:tcW w:w="693"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40,057</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-4%</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59,361</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-9%</w:t>
            </w:r>
          </w:p>
        </w:tc>
        <w:tc>
          <w:tcPr>
            <w:tcW w:w="699"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51" w:right="0"/>
              <w:jc w:val="left"/>
              <w:rPr>
                <w:rFonts w:ascii="Calibri" w:hAnsi="Calibri" w:cs="Calibri" w:eastAsia="Calibri" w:hint="default"/>
                <w:sz w:val="14"/>
                <w:szCs w:val="14"/>
              </w:rPr>
            </w:pPr>
            <w:r>
              <w:rPr>
                <w:rFonts w:ascii="Calibri"/>
                <w:sz w:val="14"/>
              </w:rPr>
              <w:t>88,511</w:t>
            </w:r>
          </w:p>
        </w:tc>
        <w:tc>
          <w:tcPr>
            <w:tcW w:w="53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44" w:right="0"/>
              <w:jc w:val="left"/>
              <w:rPr>
                <w:rFonts w:ascii="Calibri" w:hAnsi="Calibri" w:cs="Calibri" w:eastAsia="Calibri" w:hint="default"/>
                <w:sz w:val="14"/>
                <w:szCs w:val="14"/>
              </w:rPr>
            </w:pPr>
            <w:r>
              <w:rPr>
                <w:rFonts w:ascii="Calibri"/>
                <w:sz w:val="14"/>
              </w:rPr>
              <w:t>10%</w:t>
            </w:r>
          </w:p>
        </w:tc>
        <w:tc>
          <w:tcPr>
            <w:tcW w:w="702"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23" w:right="0"/>
              <w:jc w:val="left"/>
              <w:rPr>
                <w:rFonts w:ascii="Calibri" w:hAnsi="Calibri" w:cs="Calibri" w:eastAsia="Calibri" w:hint="default"/>
                <w:sz w:val="14"/>
                <w:szCs w:val="14"/>
              </w:rPr>
            </w:pPr>
            <w:r>
              <w:rPr>
                <w:rFonts w:ascii="Calibri"/>
                <w:sz w:val="14"/>
              </w:rPr>
              <w:t>221,138</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0%</w:t>
            </w:r>
          </w:p>
        </w:tc>
      </w:tr>
      <w:tr>
        <w:trPr>
          <w:trHeight w:val="238" w:hRule="exact"/>
        </w:trPr>
        <w:tc>
          <w:tcPr>
            <w:tcW w:w="51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5" w:right="0"/>
              <w:jc w:val="left"/>
              <w:rPr>
                <w:rFonts w:ascii="Calibri" w:hAnsi="Calibri" w:cs="Calibri" w:eastAsia="Calibri" w:hint="default"/>
                <w:sz w:val="14"/>
                <w:szCs w:val="14"/>
              </w:rPr>
            </w:pPr>
            <w:r>
              <w:rPr>
                <w:rFonts w:ascii="Calibri"/>
                <w:sz w:val="14"/>
              </w:rPr>
              <w:t>2006</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2" w:right="0"/>
              <w:jc w:val="left"/>
              <w:rPr>
                <w:rFonts w:ascii="Calibri" w:hAnsi="Calibri" w:cs="Calibri" w:eastAsia="Calibri" w:hint="default"/>
                <w:sz w:val="14"/>
                <w:szCs w:val="14"/>
              </w:rPr>
            </w:pPr>
            <w:r>
              <w:rPr>
                <w:rFonts w:ascii="Calibri"/>
                <w:sz w:val="14"/>
              </w:rPr>
              <w:t>1,970</w:t>
            </w:r>
          </w:p>
        </w:tc>
        <w:tc>
          <w:tcPr>
            <w:tcW w:w="564" w:type="dxa"/>
            <w:tcBorders>
              <w:top w:val="nil" w:sz="6" w:space="0" w:color="auto"/>
              <w:left w:val="nil" w:sz="6" w:space="0" w:color="auto"/>
              <w:bottom w:val="nil" w:sz="6" w:space="0" w:color="auto"/>
              <w:right w:val="nil" w:sz="6" w:space="0" w:color="auto"/>
            </w:tcBorders>
          </w:tcPr>
          <w:p>
            <w:pPr>
              <w:pStyle w:val="TableParagraph"/>
              <w:spacing w:line="240" w:lineRule="auto" w:before="3"/>
              <w:ind w:left="162" w:right="0"/>
              <w:jc w:val="left"/>
              <w:rPr>
                <w:rFonts w:ascii="Calibri" w:hAnsi="Calibri" w:cs="Calibri" w:eastAsia="Calibri" w:hint="default"/>
                <w:sz w:val="14"/>
                <w:szCs w:val="14"/>
              </w:rPr>
            </w:pPr>
            <w:r>
              <w:rPr>
                <w:rFonts w:ascii="Calibri"/>
                <w:sz w:val="14"/>
              </w:rPr>
              <w:t>18%</w:t>
            </w:r>
          </w:p>
        </w:tc>
        <w:tc>
          <w:tcPr>
            <w:tcW w:w="868" w:type="dxa"/>
            <w:tcBorders>
              <w:top w:val="nil" w:sz="6" w:space="0" w:color="auto"/>
              <w:left w:val="nil" w:sz="6" w:space="0" w:color="auto"/>
              <w:bottom w:val="nil" w:sz="6" w:space="0" w:color="auto"/>
              <w:right w:val="nil" w:sz="6" w:space="0" w:color="auto"/>
            </w:tcBorders>
          </w:tcPr>
          <w:p>
            <w:pPr>
              <w:pStyle w:val="TableParagraph"/>
              <w:spacing w:line="240" w:lineRule="auto" w:before="3"/>
              <w:ind w:left="198" w:right="0"/>
              <w:jc w:val="left"/>
              <w:rPr>
                <w:rFonts w:ascii="Calibri" w:hAnsi="Calibri" w:cs="Calibri" w:eastAsia="Calibri" w:hint="default"/>
                <w:sz w:val="14"/>
                <w:szCs w:val="14"/>
              </w:rPr>
            </w:pPr>
            <w:r>
              <w:rPr>
                <w:rFonts w:ascii="Calibri"/>
                <w:sz w:val="14"/>
              </w:rPr>
              <w:t>2,134</w:t>
            </w:r>
          </w:p>
        </w:tc>
        <w:tc>
          <w:tcPr>
            <w:tcW w:w="495" w:type="dxa"/>
            <w:tcBorders>
              <w:top w:val="nil" w:sz="6" w:space="0" w:color="auto"/>
              <w:left w:val="nil" w:sz="6" w:space="0" w:color="auto"/>
              <w:bottom w:val="nil" w:sz="6" w:space="0" w:color="auto"/>
              <w:right w:val="nil" w:sz="6" w:space="0" w:color="auto"/>
            </w:tcBorders>
          </w:tcPr>
          <w:p>
            <w:pPr>
              <w:pStyle w:val="TableParagraph"/>
              <w:spacing w:line="240" w:lineRule="auto" w:before="3"/>
              <w:ind w:left="28" w:right="0"/>
              <w:jc w:val="left"/>
              <w:rPr>
                <w:rFonts w:ascii="Calibri" w:hAnsi="Calibri" w:cs="Calibri" w:eastAsia="Calibri" w:hint="default"/>
                <w:sz w:val="14"/>
                <w:szCs w:val="14"/>
              </w:rPr>
            </w:pPr>
            <w:r>
              <w:rPr>
                <w:rFonts w:ascii="Calibri"/>
                <w:sz w:val="14"/>
              </w:rPr>
              <w:t>-24%</w:t>
            </w:r>
          </w:p>
        </w:tc>
        <w:tc>
          <w:tcPr>
            <w:tcW w:w="713" w:type="dxa"/>
            <w:tcBorders>
              <w:top w:val="nil" w:sz="6" w:space="0" w:color="auto"/>
              <w:left w:val="nil" w:sz="6" w:space="0" w:color="auto"/>
              <w:bottom w:val="nil" w:sz="6" w:space="0" w:color="auto"/>
              <w:right w:val="nil" w:sz="6" w:space="0" w:color="auto"/>
            </w:tcBorders>
          </w:tcPr>
          <w:p>
            <w:pPr>
              <w:pStyle w:val="TableParagraph"/>
              <w:spacing w:line="240" w:lineRule="auto" w:before="3"/>
              <w:ind w:left="203" w:right="0"/>
              <w:jc w:val="left"/>
              <w:rPr>
                <w:rFonts w:ascii="Calibri" w:hAnsi="Calibri" w:cs="Calibri" w:eastAsia="Calibri" w:hint="default"/>
                <w:sz w:val="14"/>
                <w:szCs w:val="14"/>
              </w:rPr>
            </w:pPr>
            <w:r>
              <w:rPr>
                <w:rFonts w:ascii="Calibri"/>
                <w:sz w:val="14"/>
              </w:rPr>
              <w:t>3,707</w:t>
            </w:r>
          </w:p>
        </w:tc>
        <w:tc>
          <w:tcPr>
            <w:tcW w:w="55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14%</w:t>
            </w:r>
          </w:p>
        </w:tc>
        <w:tc>
          <w:tcPr>
            <w:tcW w:w="697"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5" w:right="0"/>
              <w:jc w:val="left"/>
              <w:rPr>
                <w:rFonts w:ascii="Calibri" w:hAnsi="Calibri" w:cs="Calibri" w:eastAsia="Calibri" w:hint="default"/>
                <w:sz w:val="14"/>
                <w:szCs w:val="14"/>
              </w:rPr>
            </w:pPr>
            <w:r>
              <w:rPr>
                <w:rFonts w:ascii="Calibri"/>
                <w:sz w:val="14"/>
              </w:rPr>
              <w:t>27,693</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2" w:right="0"/>
              <w:jc w:val="left"/>
              <w:rPr>
                <w:rFonts w:ascii="Calibri" w:hAnsi="Calibri" w:cs="Calibri" w:eastAsia="Calibri" w:hint="default"/>
                <w:sz w:val="14"/>
                <w:szCs w:val="14"/>
              </w:rPr>
            </w:pPr>
            <w:r>
              <w:rPr>
                <w:rFonts w:ascii="Calibri"/>
                <w:sz w:val="14"/>
              </w:rPr>
              <w:t>9%</w:t>
            </w:r>
          </w:p>
        </w:tc>
        <w:tc>
          <w:tcPr>
            <w:tcW w:w="693"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41,510</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72" w:right="0"/>
              <w:jc w:val="left"/>
              <w:rPr>
                <w:rFonts w:ascii="Calibri" w:hAnsi="Calibri" w:cs="Calibri" w:eastAsia="Calibri" w:hint="default"/>
                <w:sz w:val="14"/>
                <w:szCs w:val="14"/>
              </w:rPr>
            </w:pPr>
            <w:r>
              <w:rPr>
                <w:rFonts w:ascii="Calibri"/>
                <w:sz w:val="14"/>
              </w:rPr>
              <w:t>4%</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66,095</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36" w:right="0"/>
              <w:jc w:val="left"/>
              <w:rPr>
                <w:rFonts w:ascii="Calibri" w:hAnsi="Calibri" w:cs="Calibri" w:eastAsia="Calibri" w:hint="default"/>
                <w:sz w:val="14"/>
                <w:szCs w:val="14"/>
              </w:rPr>
            </w:pPr>
            <w:r>
              <w:rPr>
                <w:rFonts w:ascii="Calibri"/>
                <w:sz w:val="14"/>
              </w:rPr>
              <w:t>11%</w:t>
            </w:r>
          </w:p>
        </w:tc>
        <w:tc>
          <w:tcPr>
            <w:tcW w:w="699"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51" w:right="0"/>
              <w:jc w:val="left"/>
              <w:rPr>
                <w:rFonts w:ascii="Calibri" w:hAnsi="Calibri" w:cs="Calibri" w:eastAsia="Calibri" w:hint="default"/>
                <w:sz w:val="14"/>
                <w:szCs w:val="14"/>
              </w:rPr>
            </w:pPr>
            <w:r>
              <w:rPr>
                <w:rFonts w:ascii="Calibri"/>
                <w:sz w:val="14"/>
              </w:rPr>
              <w:t>90,382</w:t>
            </w:r>
          </w:p>
        </w:tc>
        <w:tc>
          <w:tcPr>
            <w:tcW w:w="53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0" w:right="0"/>
              <w:jc w:val="left"/>
              <w:rPr>
                <w:rFonts w:ascii="Calibri" w:hAnsi="Calibri" w:cs="Calibri" w:eastAsia="Calibri" w:hint="default"/>
                <w:sz w:val="14"/>
                <w:szCs w:val="14"/>
              </w:rPr>
            </w:pPr>
            <w:r>
              <w:rPr>
                <w:rFonts w:ascii="Calibri"/>
                <w:sz w:val="14"/>
              </w:rPr>
              <w:t>2%</w:t>
            </w:r>
          </w:p>
        </w:tc>
        <w:tc>
          <w:tcPr>
            <w:tcW w:w="702"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23" w:right="0"/>
              <w:jc w:val="left"/>
              <w:rPr>
                <w:rFonts w:ascii="Calibri" w:hAnsi="Calibri" w:cs="Calibri" w:eastAsia="Calibri" w:hint="default"/>
                <w:sz w:val="14"/>
                <w:szCs w:val="14"/>
              </w:rPr>
            </w:pPr>
            <w:r>
              <w:rPr>
                <w:rFonts w:ascii="Calibri"/>
                <w:sz w:val="14"/>
              </w:rPr>
              <w:t>233,491</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6%</w:t>
            </w:r>
          </w:p>
        </w:tc>
      </w:tr>
      <w:tr>
        <w:trPr>
          <w:trHeight w:val="238" w:hRule="exact"/>
        </w:trPr>
        <w:tc>
          <w:tcPr>
            <w:tcW w:w="51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5" w:right="0"/>
              <w:jc w:val="left"/>
              <w:rPr>
                <w:rFonts w:ascii="Calibri" w:hAnsi="Calibri" w:cs="Calibri" w:eastAsia="Calibri" w:hint="default"/>
                <w:sz w:val="14"/>
                <w:szCs w:val="14"/>
              </w:rPr>
            </w:pPr>
            <w:r>
              <w:rPr>
                <w:rFonts w:ascii="Calibri"/>
                <w:sz w:val="14"/>
              </w:rPr>
              <w:t>2007</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2" w:right="0"/>
              <w:jc w:val="left"/>
              <w:rPr>
                <w:rFonts w:ascii="Calibri" w:hAnsi="Calibri" w:cs="Calibri" w:eastAsia="Calibri" w:hint="default"/>
                <w:sz w:val="14"/>
                <w:szCs w:val="14"/>
              </w:rPr>
            </w:pPr>
            <w:r>
              <w:rPr>
                <w:rFonts w:ascii="Calibri"/>
                <w:sz w:val="14"/>
              </w:rPr>
              <w:t>3,513</w:t>
            </w:r>
          </w:p>
        </w:tc>
        <w:tc>
          <w:tcPr>
            <w:tcW w:w="564" w:type="dxa"/>
            <w:tcBorders>
              <w:top w:val="nil" w:sz="6" w:space="0" w:color="auto"/>
              <w:left w:val="nil" w:sz="6" w:space="0" w:color="auto"/>
              <w:bottom w:val="nil" w:sz="6" w:space="0" w:color="auto"/>
              <w:right w:val="nil" w:sz="6" w:space="0" w:color="auto"/>
            </w:tcBorders>
          </w:tcPr>
          <w:p>
            <w:pPr>
              <w:pStyle w:val="TableParagraph"/>
              <w:spacing w:line="240" w:lineRule="auto" w:before="3"/>
              <w:ind w:left="162" w:right="0"/>
              <w:jc w:val="left"/>
              <w:rPr>
                <w:rFonts w:ascii="Calibri" w:hAnsi="Calibri" w:cs="Calibri" w:eastAsia="Calibri" w:hint="default"/>
                <w:sz w:val="14"/>
                <w:szCs w:val="14"/>
              </w:rPr>
            </w:pPr>
            <w:r>
              <w:rPr>
                <w:rFonts w:ascii="Calibri"/>
                <w:sz w:val="14"/>
              </w:rPr>
              <w:t>78%</w:t>
            </w:r>
          </w:p>
        </w:tc>
        <w:tc>
          <w:tcPr>
            <w:tcW w:w="868" w:type="dxa"/>
            <w:tcBorders>
              <w:top w:val="nil" w:sz="6" w:space="0" w:color="auto"/>
              <w:left w:val="nil" w:sz="6" w:space="0" w:color="auto"/>
              <w:bottom w:val="nil" w:sz="6" w:space="0" w:color="auto"/>
              <w:right w:val="nil" w:sz="6" w:space="0" w:color="auto"/>
            </w:tcBorders>
          </w:tcPr>
          <w:p>
            <w:pPr>
              <w:pStyle w:val="TableParagraph"/>
              <w:spacing w:line="240" w:lineRule="auto" w:before="3"/>
              <w:ind w:left="198" w:right="0"/>
              <w:jc w:val="left"/>
              <w:rPr>
                <w:rFonts w:ascii="Calibri" w:hAnsi="Calibri" w:cs="Calibri" w:eastAsia="Calibri" w:hint="default"/>
                <w:sz w:val="14"/>
                <w:szCs w:val="14"/>
              </w:rPr>
            </w:pPr>
            <w:r>
              <w:rPr>
                <w:rFonts w:ascii="Calibri"/>
                <w:sz w:val="14"/>
              </w:rPr>
              <w:t>2,157</w:t>
            </w:r>
          </w:p>
        </w:tc>
        <w:tc>
          <w:tcPr>
            <w:tcW w:w="495" w:type="dxa"/>
            <w:tcBorders>
              <w:top w:val="nil" w:sz="6" w:space="0" w:color="auto"/>
              <w:left w:val="nil" w:sz="6" w:space="0" w:color="auto"/>
              <w:bottom w:val="nil" w:sz="6" w:space="0" w:color="auto"/>
              <w:right w:val="nil" w:sz="6" w:space="0" w:color="auto"/>
            </w:tcBorders>
          </w:tcPr>
          <w:p>
            <w:pPr>
              <w:pStyle w:val="TableParagraph"/>
              <w:spacing w:line="240" w:lineRule="auto" w:before="3"/>
              <w:ind w:left="86" w:right="0"/>
              <w:jc w:val="left"/>
              <w:rPr>
                <w:rFonts w:ascii="Calibri" w:hAnsi="Calibri" w:cs="Calibri" w:eastAsia="Calibri" w:hint="default"/>
                <w:sz w:val="14"/>
                <w:szCs w:val="14"/>
              </w:rPr>
            </w:pPr>
            <w:r>
              <w:rPr>
                <w:rFonts w:ascii="Calibri"/>
                <w:sz w:val="14"/>
              </w:rPr>
              <w:t>1%</w:t>
            </w:r>
          </w:p>
        </w:tc>
        <w:tc>
          <w:tcPr>
            <w:tcW w:w="713" w:type="dxa"/>
            <w:tcBorders>
              <w:top w:val="nil" w:sz="6" w:space="0" w:color="auto"/>
              <w:left w:val="nil" w:sz="6" w:space="0" w:color="auto"/>
              <w:bottom w:val="nil" w:sz="6" w:space="0" w:color="auto"/>
              <w:right w:val="nil" w:sz="6" w:space="0" w:color="auto"/>
            </w:tcBorders>
          </w:tcPr>
          <w:p>
            <w:pPr>
              <w:pStyle w:val="TableParagraph"/>
              <w:spacing w:line="240" w:lineRule="auto" w:before="3"/>
              <w:ind w:left="203" w:right="0"/>
              <w:jc w:val="left"/>
              <w:rPr>
                <w:rFonts w:ascii="Calibri" w:hAnsi="Calibri" w:cs="Calibri" w:eastAsia="Calibri" w:hint="default"/>
                <w:sz w:val="14"/>
                <w:szCs w:val="14"/>
              </w:rPr>
            </w:pPr>
            <w:r>
              <w:rPr>
                <w:rFonts w:ascii="Calibri"/>
                <w:sz w:val="14"/>
              </w:rPr>
              <w:t>4,629</w:t>
            </w:r>
          </w:p>
        </w:tc>
        <w:tc>
          <w:tcPr>
            <w:tcW w:w="55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25%</w:t>
            </w:r>
          </w:p>
        </w:tc>
        <w:tc>
          <w:tcPr>
            <w:tcW w:w="697"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5" w:right="0"/>
              <w:jc w:val="left"/>
              <w:rPr>
                <w:rFonts w:ascii="Calibri" w:hAnsi="Calibri" w:cs="Calibri" w:eastAsia="Calibri" w:hint="default"/>
                <w:sz w:val="14"/>
                <w:szCs w:val="14"/>
              </w:rPr>
            </w:pPr>
            <w:r>
              <w:rPr>
                <w:rFonts w:ascii="Calibri"/>
                <w:sz w:val="14"/>
              </w:rPr>
              <w:t>34,025</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6" w:right="0"/>
              <w:jc w:val="left"/>
              <w:rPr>
                <w:rFonts w:ascii="Calibri" w:hAnsi="Calibri" w:cs="Calibri" w:eastAsia="Calibri" w:hint="default"/>
                <w:sz w:val="14"/>
                <w:szCs w:val="14"/>
              </w:rPr>
            </w:pPr>
            <w:r>
              <w:rPr>
                <w:rFonts w:ascii="Calibri"/>
                <w:sz w:val="14"/>
              </w:rPr>
              <w:t>23%</w:t>
            </w:r>
          </w:p>
        </w:tc>
        <w:tc>
          <w:tcPr>
            <w:tcW w:w="693"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64,270</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36" w:right="0"/>
              <w:jc w:val="left"/>
              <w:rPr>
                <w:rFonts w:ascii="Calibri" w:hAnsi="Calibri" w:cs="Calibri" w:eastAsia="Calibri" w:hint="default"/>
                <w:sz w:val="14"/>
                <w:szCs w:val="14"/>
              </w:rPr>
            </w:pPr>
            <w:r>
              <w:rPr>
                <w:rFonts w:ascii="Calibri"/>
                <w:sz w:val="14"/>
              </w:rPr>
              <w:t>55%</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82,483</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36" w:right="0"/>
              <w:jc w:val="left"/>
              <w:rPr>
                <w:rFonts w:ascii="Calibri" w:hAnsi="Calibri" w:cs="Calibri" w:eastAsia="Calibri" w:hint="default"/>
                <w:sz w:val="14"/>
                <w:szCs w:val="14"/>
              </w:rPr>
            </w:pPr>
            <w:r>
              <w:rPr>
                <w:rFonts w:ascii="Calibri"/>
                <w:sz w:val="14"/>
              </w:rPr>
              <w:t>25%</w:t>
            </w:r>
          </w:p>
        </w:tc>
        <w:tc>
          <w:tcPr>
            <w:tcW w:w="699"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15" w:right="0"/>
              <w:jc w:val="left"/>
              <w:rPr>
                <w:rFonts w:ascii="Calibri" w:hAnsi="Calibri" w:cs="Calibri" w:eastAsia="Calibri" w:hint="default"/>
                <w:sz w:val="14"/>
                <w:szCs w:val="14"/>
              </w:rPr>
            </w:pPr>
            <w:r>
              <w:rPr>
                <w:rFonts w:ascii="Calibri"/>
                <w:sz w:val="14"/>
              </w:rPr>
              <w:t>107,995</w:t>
            </w:r>
          </w:p>
        </w:tc>
        <w:tc>
          <w:tcPr>
            <w:tcW w:w="53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44" w:right="0"/>
              <w:jc w:val="left"/>
              <w:rPr>
                <w:rFonts w:ascii="Calibri" w:hAnsi="Calibri" w:cs="Calibri" w:eastAsia="Calibri" w:hint="default"/>
                <w:sz w:val="14"/>
                <w:szCs w:val="14"/>
              </w:rPr>
            </w:pPr>
            <w:r>
              <w:rPr>
                <w:rFonts w:ascii="Calibri"/>
                <w:sz w:val="14"/>
              </w:rPr>
              <w:t>19%</w:t>
            </w:r>
          </w:p>
        </w:tc>
        <w:tc>
          <w:tcPr>
            <w:tcW w:w="702"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23" w:right="0"/>
              <w:jc w:val="left"/>
              <w:rPr>
                <w:rFonts w:ascii="Calibri" w:hAnsi="Calibri" w:cs="Calibri" w:eastAsia="Calibri" w:hint="default"/>
                <w:sz w:val="14"/>
                <w:szCs w:val="14"/>
              </w:rPr>
            </w:pPr>
            <w:r>
              <w:rPr>
                <w:rFonts w:ascii="Calibri"/>
                <w:sz w:val="14"/>
              </w:rPr>
              <w:t>299,072</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7" w:right="0"/>
              <w:jc w:val="left"/>
              <w:rPr>
                <w:rFonts w:ascii="Calibri" w:hAnsi="Calibri" w:cs="Calibri" w:eastAsia="Calibri" w:hint="default"/>
                <w:sz w:val="14"/>
                <w:szCs w:val="14"/>
              </w:rPr>
            </w:pPr>
            <w:r>
              <w:rPr>
                <w:rFonts w:ascii="Calibri"/>
                <w:sz w:val="14"/>
              </w:rPr>
              <w:t>28%</w:t>
            </w:r>
          </w:p>
        </w:tc>
      </w:tr>
      <w:tr>
        <w:trPr>
          <w:trHeight w:val="235" w:hRule="exact"/>
        </w:trPr>
        <w:tc>
          <w:tcPr>
            <w:tcW w:w="51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5" w:right="0"/>
              <w:jc w:val="left"/>
              <w:rPr>
                <w:rFonts w:ascii="Calibri" w:hAnsi="Calibri" w:cs="Calibri" w:eastAsia="Calibri" w:hint="default"/>
                <w:sz w:val="14"/>
                <w:szCs w:val="14"/>
              </w:rPr>
            </w:pPr>
            <w:r>
              <w:rPr>
                <w:rFonts w:ascii="Calibri"/>
                <w:sz w:val="14"/>
              </w:rPr>
              <w:t>2008</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2" w:right="0"/>
              <w:jc w:val="left"/>
              <w:rPr>
                <w:rFonts w:ascii="Calibri" w:hAnsi="Calibri" w:cs="Calibri" w:eastAsia="Calibri" w:hint="default"/>
                <w:sz w:val="14"/>
                <w:szCs w:val="14"/>
              </w:rPr>
            </w:pPr>
            <w:r>
              <w:rPr>
                <w:rFonts w:ascii="Calibri"/>
                <w:sz w:val="14"/>
              </w:rPr>
              <w:t>3,626</w:t>
            </w:r>
          </w:p>
        </w:tc>
        <w:tc>
          <w:tcPr>
            <w:tcW w:w="564" w:type="dxa"/>
            <w:tcBorders>
              <w:top w:val="nil" w:sz="6" w:space="0" w:color="auto"/>
              <w:left w:val="nil" w:sz="6" w:space="0" w:color="auto"/>
              <w:bottom w:val="nil" w:sz="6" w:space="0" w:color="auto"/>
              <w:right w:val="nil" w:sz="6" w:space="0" w:color="auto"/>
            </w:tcBorders>
          </w:tcPr>
          <w:p>
            <w:pPr>
              <w:pStyle w:val="TableParagraph"/>
              <w:spacing w:line="240" w:lineRule="auto" w:before="3"/>
              <w:ind w:left="1" w:right="0"/>
              <w:jc w:val="center"/>
              <w:rPr>
                <w:rFonts w:ascii="Calibri" w:hAnsi="Calibri" w:cs="Calibri" w:eastAsia="Calibri" w:hint="default"/>
                <w:sz w:val="14"/>
                <w:szCs w:val="14"/>
              </w:rPr>
            </w:pPr>
            <w:r>
              <w:rPr>
                <w:rFonts w:ascii="Calibri"/>
                <w:sz w:val="14"/>
              </w:rPr>
              <w:t>3%</w:t>
            </w:r>
          </w:p>
        </w:tc>
        <w:tc>
          <w:tcPr>
            <w:tcW w:w="868" w:type="dxa"/>
            <w:tcBorders>
              <w:top w:val="nil" w:sz="6" w:space="0" w:color="auto"/>
              <w:left w:val="nil" w:sz="6" w:space="0" w:color="auto"/>
              <w:bottom w:val="nil" w:sz="6" w:space="0" w:color="auto"/>
              <w:right w:val="nil" w:sz="6" w:space="0" w:color="auto"/>
            </w:tcBorders>
          </w:tcPr>
          <w:p>
            <w:pPr>
              <w:pStyle w:val="TableParagraph"/>
              <w:spacing w:line="240" w:lineRule="auto" w:before="3"/>
              <w:ind w:left="162" w:right="0"/>
              <w:jc w:val="left"/>
              <w:rPr>
                <w:rFonts w:ascii="Calibri" w:hAnsi="Calibri" w:cs="Calibri" w:eastAsia="Calibri" w:hint="default"/>
                <w:sz w:val="14"/>
                <w:szCs w:val="14"/>
              </w:rPr>
            </w:pPr>
            <w:r>
              <w:rPr>
                <w:rFonts w:ascii="Calibri"/>
                <w:sz w:val="14"/>
              </w:rPr>
              <w:t>87,994</w:t>
            </w:r>
          </w:p>
        </w:tc>
        <w:tc>
          <w:tcPr>
            <w:tcW w:w="495" w:type="dxa"/>
            <w:tcBorders>
              <w:top w:val="nil" w:sz="6" w:space="0" w:color="auto"/>
              <w:left w:val="nil" w:sz="6" w:space="0" w:color="auto"/>
              <w:bottom w:val="nil" w:sz="6" w:space="0" w:color="auto"/>
              <w:right w:val="nil" w:sz="6" w:space="0" w:color="auto"/>
            </w:tcBorders>
          </w:tcPr>
          <w:p>
            <w:pPr>
              <w:pStyle w:val="TableParagraph"/>
              <w:spacing w:line="240" w:lineRule="auto" w:before="3"/>
              <w:ind w:left="-20" w:right="0"/>
              <w:jc w:val="left"/>
              <w:rPr>
                <w:rFonts w:ascii="Calibri" w:hAnsi="Calibri" w:cs="Calibri" w:eastAsia="Calibri" w:hint="default"/>
                <w:sz w:val="14"/>
                <w:szCs w:val="14"/>
              </w:rPr>
            </w:pPr>
            <w:r>
              <w:rPr>
                <w:rFonts w:ascii="Calibri"/>
                <w:sz w:val="14"/>
              </w:rPr>
              <w:t>3979%</w:t>
            </w:r>
          </w:p>
        </w:tc>
        <w:tc>
          <w:tcPr>
            <w:tcW w:w="713" w:type="dxa"/>
            <w:tcBorders>
              <w:top w:val="nil" w:sz="6" w:space="0" w:color="auto"/>
              <w:left w:val="nil" w:sz="6" w:space="0" w:color="auto"/>
              <w:bottom w:val="nil" w:sz="6" w:space="0" w:color="auto"/>
              <w:right w:val="nil" w:sz="6" w:space="0" w:color="auto"/>
            </w:tcBorders>
          </w:tcPr>
          <w:p>
            <w:pPr>
              <w:pStyle w:val="TableParagraph"/>
              <w:spacing w:line="240" w:lineRule="auto" w:before="3"/>
              <w:ind w:left="203" w:right="0"/>
              <w:jc w:val="left"/>
              <w:rPr>
                <w:rFonts w:ascii="Calibri" w:hAnsi="Calibri" w:cs="Calibri" w:eastAsia="Calibri" w:hint="default"/>
                <w:sz w:val="14"/>
                <w:szCs w:val="14"/>
              </w:rPr>
            </w:pPr>
            <w:r>
              <w:rPr>
                <w:rFonts w:ascii="Calibri"/>
                <w:sz w:val="14"/>
              </w:rPr>
              <w:t>6,307</w:t>
            </w:r>
          </w:p>
        </w:tc>
        <w:tc>
          <w:tcPr>
            <w:tcW w:w="55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36%</w:t>
            </w:r>
          </w:p>
        </w:tc>
        <w:tc>
          <w:tcPr>
            <w:tcW w:w="697"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5" w:right="0"/>
              <w:jc w:val="left"/>
              <w:rPr>
                <w:rFonts w:ascii="Calibri" w:hAnsi="Calibri" w:cs="Calibri" w:eastAsia="Calibri" w:hint="default"/>
                <w:sz w:val="14"/>
                <w:szCs w:val="14"/>
              </w:rPr>
            </w:pPr>
            <w:r>
              <w:rPr>
                <w:rFonts w:ascii="Calibri"/>
                <w:sz w:val="14"/>
              </w:rPr>
              <w:t>35,339</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2" w:right="0"/>
              <w:jc w:val="left"/>
              <w:rPr>
                <w:rFonts w:ascii="Calibri" w:hAnsi="Calibri" w:cs="Calibri" w:eastAsia="Calibri" w:hint="default"/>
                <w:sz w:val="14"/>
                <w:szCs w:val="14"/>
              </w:rPr>
            </w:pPr>
            <w:r>
              <w:rPr>
                <w:rFonts w:ascii="Calibri"/>
                <w:sz w:val="14"/>
              </w:rPr>
              <w:t>4%</w:t>
            </w:r>
          </w:p>
        </w:tc>
        <w:tc>
          <w:tcPr>
            <w:tcW w:w="693"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86,383</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36" w:right="0"/>
              <w:jc w:val="left"/>
              <w:rPr>
                <w:rFonts w:ascii="Calibri" w:hAnsi="Calibri" w:cs="Calibri" w:eastAsia="Calibri" w:hint="default"/>
                <w:sz w:val="14"/>
                <w:szCs w:val="14"/>
              </w:rPr>
            </w:pPr>
            <w:r>
              <w:rPr>
                <w:rFonts w:ascii="Calibri"/>
                <w:sz w:val="14"/>
              </w:rPr>
              <w:t>34%</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80,400</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-3%</w:t>
            </w:r>
          </w:p>
        </w:tc>
        <w:tc>
          <w:tcPr>
            <w:tcW w:w="699" w:type="dxa"/>
            <w:tcBorders>
              <w:top w:val="nil" w:sz="6" w:space="0" w:color="auto"/>
              <w:left w:val="nil" w:sz="6" w:space="0" w:color="auto"/>
              <w:bottom w:val="nil" w:sz="6" w:space="0" w:color="auto"/>
              <w:right w:val="nil" w:sz="6" w:space="0" w:color="auto"/>
            </w:tcBorders>
          </w:tcPr>
          <w:p>
            <w:pPr>
              <w:pStyle w:val="TableParagraph"/>
              <w:spacing w:line="240" w:lineRule="auto" w:before="34"/>
              <w:ind w:left="115" w:right="0"/>
              <w:jc w:val="left"/>
              <w:rPr>
                <w:rFonts w:ascii="Calibri" w:hAnsi="Calibri" w:cs="Calibri" w:eastAsia="Calibri" w:hint="default"/>
                <w:sz w:val="14"/>
                <w:szCs w:val="14"/>
              </w:rPr>
            </w:pPr>
            <w:r>
              <w:rPr>
                <w:rFonts w:ascii="Calibri"/>
                <w:sz w:val="14"/>
              </w:rPr>
              <w:t>103,763</w:t>
            </w:r>
          </w:p>
        </w:tc>
        <w:tc>
          <w:tcPr>
            <w:tcW w:w="53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8" w:right="0"/>
              <w:jc w:val="left"/>
              <w:rPr>
                <w:rFonts w:ascii="Calibri" w:hAnsi="Calibri" w:cs="Calibri" w:eastAsia="Calibri" w:hint="default"/>
                <w:sz w:val="14"/>
                <w:szCs w:val="14"/>
              </w:rPr>
            </w:pPr>
            <w:r>
              <w:rPr>
                <w:rFonts w:ascii="Calibri"/>
                <w:sz w:val="14"/>
              </w:rPr>
              <w:t>-4%</w:t>
            </w:r>
          </w:p>
        </w:tc>
        <w:tc>
          <w:tcPr>
            <w:tcW w:w="702" w:type="dxa"/>
            <w:tcBorders>
              <w:top w:val="nil" w:sz="6" w:space="0" w:color="auto"/>
              <w:left w:val="nil" w:sz="6" w:space="0" w:color="auto"/>
              <w:bottom w:val="nil" w:sz="6" w:space="0" w:color="auto"/>
              <w:right w:val="nil" w:sz="6" w:space="0" w:color="auto"/>
            </w:tcBorders>
          </w:tcPr>
          <w:p>
            <w:pPr>
              <w:pStyle w:val="TableParagraph"/>
              <w:spacing w:line="240" w:lineRule="auto" w:before="34"/>
              <w:ind w:left="123" w:right="0"/>
              <w:jc w:val="left"/>
              <w:rPr>
                <w:rFonts w:ascii="Calibri" w:hAnsi="Calibri" w:cs="Calibri" w:eastAsia="Calibri" w:hint="default"/>
                <w:sz w:val="14"/>
                <w:szCs w:val="14"/>
              </w:rPr>
            </w:pPr>
            <w:r>
              <w:rPr>
                <w:rFonts w:ascii="Calibri"/>
                <w:sz w:val="14"/>
              </w:rPr>
              <w:t>403,812</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7" w:right="0"/>
              <w:jc w:val="left"/>
              <w:rPr>
                <w:rFonts w:ascii="Calibri" w:hAnsi="Calibri" w:cs="Calibri" w:eastAsia="Calibri" w:hint="default"/>
                <w:sz w:val="14"/>
                <w:szCs w:val="14"/>
              </w:rPr>
            </w:pPr>
            <w:r>
              <w:rPr>
                <w:rFonts w:ascii="Calibri"/>
                <w:sz w:val="14"/>
              </w:rPr>
              <w:t>35%</w:t>
            </w:r>
          </w:p>
        </w:tc>
      </w:tr>
      <w:tr>
        <w:trPr>
          <w:trHeight w:val="238" w:hRule="exact"/>
        </w:trPr>
        <w:tc>
          <w:tcPr>
            <w:tcW w:w="51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5" w:right="0"/>
              <w:jc w:val="left"/>
              <w:rPr>
                <w:rFonts w:ascii="Calibri" w:hAnsi="Calibri" w:cs="Calibri" w:eastAsia="Calibri" w:hint="default"/>
                <w:sz w:val="14"/>
                <w:szCs w:val="14"/>
              </w:rPr>
            </w:pPr>
            <w:r>
              <w:rPr>
                <w:rFonts w:ascii="Calibri"/>
                <w:sz w:val="14"/>
              </w:rPr>
              <w:t>2009</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2" w:right="0"/>
              <w:jc w:val="left"/>
              <w:rPr>
                <w:rFonts w:ascii="Calibri" w:hAnsi="Calibri" w:cs="Calibri" w:eastAsia="Calibri" w:hint="default"/>
                <w:sz w:val="14"/>
                <w:szCs w:val="14"/>
              </w:rPr>
            </w:pPr>
            <w:r>
              <w:rPr>
                <w:rFonts w:ascii="Calibri"/>
                <w:sz w:val="14"/>
              </w:rPr>
              <w:t>3,589</w:t>
            </w:r>
          </w:p>
        </w:tc>
        <w:tc>
          <w:tcPr>
            <w:tcW w:w="564" w:type="dxa"/>
            <w:tcBorders>
              <w:top w:val="nil" w:sz="6" w:space="0" w:color="auto"/>
              <w:left w:val="nil" w:sz="6" w:space="0" w:color="auto"/>
              <w:bottom w:val="nil" w:sz="6" w:space="0" w:color="auto"/>
              <w:right w:val="nil" w:sz="6" w:space="0" w:color="auto"/>
            </w:tcBorders>
          </w:tcPr>
          <w:p>
            <w:pPr>
              <w:pStyle w:val="TableParagraph"/>
              <w:spacing w:line="240" w:lineRule="auto" w:before="3"/>
              <w:ind w:left="176" w:right="0"/>
              <w:jc w:val="left"/>
              <w:rPr>
                <w:rFonts w:ascii="Calibri" w:hAnsi="Calibri" w:cs="Calibri" w:eastAsia="Calibri" w:hint="default"/>
                <w:sz w:val="14"/>
                <w:szCs w:val="14"/>
              </w:rPr>
            </w:pPr>
            <w:r>
              <w:rPr>
                <w:rFonts w:ascii="Calibri"/>
                <w:sz w:val="14"/>
              </w:rPr>
              <w:t>-1%</w:t>
            </w:r>
          </w:p>
        </w:tc>
        <w:tc>
          <w:tcPr>
            <w:tcW w:w="868" w:type="dxa"/>
            <w:tcBorders>
              <w:top w:val="nil" w:sz="6" w:space="0" w:color="auto"/>
              <w:left w:val="nil" w:sz="6" w:space="0" w:color="auto"/>
              <w:bottom w:val="nil" w:sz="6" w:space="0" w:color="auto"/>
              <w:right w:val="nil" w:sz="6" w:space="0" w:color="auto"/>
            </w:tcBorders>
          </w:tcPr>
          <w:p>
            <w:pPr>
              <w:pStyle w:val="TableParagraph"/>
              <w:spacing w:line="240" w:lineRule="auto" w:before="3"/>
              <w:ind w:left="162" w:right="0"/>
              <w:jc w:val="left"/>
              <w:rPr>
                <w:rFonts w:ascii="Calibri" w:hAnsi="Calibri" w:cs="Calibri" w:eastAsia="Calibri" w:hint="default"/>
                <w:sz w:val="14"/>
                <w:szCs w:val="14"/>
              </w:rPr>
            </w:pPr>
            <w:r>
              <w:rPr>
                <w:rFonts w:ascii="Calibri"/>
                <w:sz w:val="14"/>
              </w:rPr>
              <w:t>80,434</w:t>
            </w:r>
          </w:p>
        </w:tc>
        <w:tc>
          <w:tcPr>
            <w:tcW w:w="495" w:type="dxa"/>
            <w:tcBorders>
              <w:top w:val="nil" w:sz="6" w:space="0" w:color="auto"/>
              <w:left w:val="nil" w:sz="6" w:space="0" w:color="auto"/>
              <w:bottom w:val="nil" w:sz="6" w:space="0" w:color="auto"/>
              <w:right w:val="nil" w:sz="6" w:space="0" w:color="auto"/>
            </w:tcBorders>
          </w:tcPr>
          <w:p>
            <w:pPr>
              <w:pStyle w:val="TableParagraph"/>
              <w:spacing w:line="240" w:lineRule="auto" w:before="3"/>
              <w:ind w:left="64" w:right="0"/>
              <w:jc w:val="left"/>
              <w:rPr>
                <w:rFonts w:ascii="Calibri" w:hAnsi="Calibri" w:cs="Calibri" w:eastAsia="Calibri" w:hint="default"/>
                <w:sz w:val="14"/>
                <w:szCs w:val="14"/>
              </w:rPr>
            </w:pPr>
            <w:r>
              <w:rPr>
                <w:rFonts w:ascii="Calibri"/>
                <w:sz w:val="14"/>
              </w:rPr>
              <w:t>-9%</w:t>
            </w:r>
          </w:p>
        </w:tc>
        <w:tc>
          <w:tcPr>
            <w:tcW w:w="713" w:type="dxa"/>
            <w:tcBorders>
              <w:top w:val="nil" w:sz="6" w:space="0" w:color="auto"/>
              <w:left w:val="nil" w:sz="6" w:space="0" w:color="auto"/>
              <w:bottom w:val="nil" w:sz="6" w:space="0" w:color="auto"/>
              <w:right w:val="nil" w:sz="6" w:space="0" w:color="auto"/>
            </w:tcBorders>
          </w:tcPr>
          <w:p>
            <w:pPr>
              <w:pStyle w:val="TableParagraph"/>
              <w:spacing w:line="240" w:lineRule="auto" w:before="3"/>
              <w:ind w:left="167" w:right="0"/>
              <w:jc w:val="left"/>
              <w:rPr>
                <w:rFonts w:ascii="Calibri" w:hAnsi="Calibri" w:cs="Calibri" w:eastAsia="Calibri" w:hint="default"/>
                <w:sz w:val="14"/>
                <w:szCs w:val="14"/>
              </w:rPr>
            </w:pPr>
            <w:r>
              <w:rPr>
                <w:rFonts w:ascii="Calibri"/>
                <w:sz w:val="14"/>
              </w:rPr>
              <w:t>11,864</w:t>
            </w:r>
          </w:p>
        </w:tc>
        <w:tc>
          <w:tcPr>
            <w:tcW w:w="55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88%</w:t>
            </w:r>
          </w:p>
        </w:tc>
        <w:tc>
          <w:tcPr>
            <w:tcW w:w="697"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5" w:right="0"/>
              <w:jc w:val="left"/>
              <w:rPr>
                <w:rFonts w:ascii="Calibri" w:hAnsi="Calibri" w:cs="Calibri" w:eastAsia="Calibri" w:hint="default"/>
                <w:sz w:val="14"/>
                <w:szCs w:val="14"/>
              </w:rPr>
            </w:pPr>
            <w:r>
              <w:rPr>
                <w:rFonts w:ascii="Calibri"/>
                <w:sz w:val="14"/>
              </w:rPr>
              <w:t>43,658</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6" w:right="0"/>
              <w:jc w:val="left"/>
              <w:rPr>
                <w:rFonts w:ascii="Calibri" w:hAnsi="Calibri" w:cs="Calibri" w:eastAsia="Calibri" w:hint="default"/>
                <w:sz w:val="14"/>
                <w:szCs w:val="14"/>
              </w:rPr>
            </w:pPr>
            <w:r>
              <w:rPr>
                <w:rFonts w:ascii="Calibri"/>
                <w:sz w:val="14"/>
              </w:rPr>
              <w:t>24%</w:t>
            </w:r>
          </w:p>
        </w:tc>
        <w:tc>
          <w:tcPr>
            <w:tcW w:w="693"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69,104</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5" w:right="0"/>
              <w:jc w:val="left"/>
              <w:rPr>
                <w:rFonts w:ascii="Calibri" w:hAnsi="Calibri" w:cs="Calibri" w:eastAsia="Calibri" w:hint="default"/>
                <w:sz w:val="14"/>
                <w:szCs w:val="14"/>
              </w:rPr>
            </w:pPr>
            <w:r>
              <w:rPr>
                <w:rFonts w:ascii="Calibri"/>
                <w:sz w:val="14"/>
              </w:rPr>
              <w:t>-20%</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40,960</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5" w:right="0"/>
              <w:jc w:val="left"/>
              <w:rPr>
                <w:rFonts w:ascii="Calibri" w:hAnsi="Calibri" w:cs="Calibri" w:eastAsia="Calibri" w:hint="default"/>
                <w:sz w:val="14"/>
                <w:szCs w:val="14"/>
              </w:rPr>
            </w:pPr>
            <w:r>
              <w:rPr>
                <w:rFonts w:ascii="Calibri"/>
                <w:sz w:val="14"/>
              </w:rPr>
              <w:t>-49%</w:t>
            </w:r>
          </w:p>
        </w:tc>
        <w:tc>
          <w:tcPr>
            <w:tcW w:w="699"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15" w:right="0"/>
              <w:jc w:val="left"/>
              <w:rPr>
                <w:rFonts w:ascii="Calibri" w:hAnsi="Calibri" w:cs="Calibri" w:eastAsia="Calibri" w:hint="default"/>
                <w:sz w:val="14"/>
                <w:szCs w:val="14"/>
              </w:rPr>
            </w:pPr>
            <w:r>
              <w:rPr>
                <w:rFonts w:ascii="Calibri"/>
                <w:sz w:val="14"/>
              </w:rPr>
              <w:t>117,070</w:t>
            </w:r>
          </w:p>
        </w:tc>
        <w:tc>
          <w:tcPr>
            <w:tcW w:w="53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44" w:right="0"/>
              <w:jc w:val="left"/>
              <w:rPr>
                <w:rFonts w:ascii="Calibri" w:hAnsi="Calibri" w:cs="Calibri" w:eastAsia="Calibri" w:hint="default"/>
                <w:sz w:val="14"/>
                <w:szCs w:val="14"/>
              </w:rPr>
            </w:pPr>
            <w:r>
              <w:rPr>
                <w:rFonts w:ascii="Calibri"/>
                <w:sz w:val="14"/>
              </w:rPr>
              <w:t>13%</w:t>
            </w:r>
          </w:p>
        </w:tc>
        <w:tc>
          <w:tcPr>
            <w:tcW w:w="702"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23" w:right="0"/>
              <w:jc w:val="left"/>
              <w:rPr>
                <w:rFonts w:ascii="Calibri" w:hAnsi="Calibri" w:cs="Calibri" w:eastAsia="Calibri" w:hint="default"/>
                <w:sz w:val="14"/>
                <w:szCs w:val="14"/>
              </w:rPr>
            </w:pPr>
            <w:r>
              <w:rPr>
                <w:rFonts w:ascii="Calibri"/>
                <w:sz w:val="14"/>
              </w:rPr>
              <w:t>366,679</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32" w:right="0"/>
              <w:jc w:val="left"/>
              <w:rPr>
                <w:rFonts w:ascii="Calibri" w:hAnsi="Calibri" w:cs="Calibri" w:eastAsia="Calibri" w:hint="default"/>
                <w:sz w:val="14"/>
                <w:szCs w:val="14"/>
              </w:rPr>
            </w:pPr>
            <w:r>
              <w:rPr>
                <w:rFonts w:ascii="Calibri"/>
                <w:sz w:val="14"/>
              </w:rPr>
              <w:t>-9%</w:t>
            </w:r>
          </w:p>
        </w:tc>
      </w:tr>
      <w:tr>
        <w:trPr>
          <w:trHeight w:val="238" w:hRule="exact"/>
        </w:trPr>
        <w:tc>
          <w:tcPr>
            <w:tcW w:w="51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5" w:right="0"/>
              <w:jc w:val="left"/>
              <w:rPr>
                <w:rFonts w:ascii="Calibri" w:hAnsi="Calibri" w:cs="Calibri" w:eastAsia="Calibri" w:hint="default"/>
                <w:sz w:val="14"/>
                <w:szCs w:val="14"/>
              </w:rPr>
            </w:pPr>
            <w:r>
              <w:rPr>
                <w:rFonts w:ascii="Calibri"/>
                <w:sz w:val="14"/>
              </w:rPr>
              <w:t>2010</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2" w:right="0"/>
              <w:jc w:val="left"/>
              <w:rPr>
                <w:rFonts w:ascii="Calibri" w:hAnsi="Calibri" w:cs="Calibri" w:eastAsia="Calibri" w:hint="default"/>
                <w:sz w:val="14"/>
                <w:szCs w:val="14"/>
              </w:rPr>
            </w:pPr>
            <w:r>
              <w:rPr>
                <w:rFonts w:ascii="Calibri"/>
                <w:sz w:val="14"/>
              </w:rPr>
              <w:t>3,290</w:t>
            </w:r>
          </w:p>
        </w:tc>
        <w:tc>
          <w:tcPr>
            <w:tcW w:w="564" w:type="dxa"/>
            <w:tcBorders>
              <w:top w:val="nil" w:sz="6" w:space="0" w:color="auto"/>
              <w:left w:val="nil" w:sz="6" w:space="0" w:color="auto"/>
              <w:bottom w:val="nil" w:sz="6" w:space="0" w:color="auto"/>
              <w:right w:val="nil" w:sz="6" w:space="0" w:color="auto"/>
            </w:tcBorders>
          </w:tcPr>
          <w:p>
            <w:pPr>
              <w:pStyle w:val="TableParagraph"/>
              <w:spacing w:line="240" w:lineRule="auto" w:before="3"/>
              <w:ind w:left="176" w:right="0"/>
              <w:jc w:val="left"/>
              <w:rPr>
                <w:rFonts w:ascii="Calibri" w:hAnsi="Calibri" w:cs="Calibri" w:eastAsia="Calibri" w:hint="default"/>
                <w:sz w:val="14"/>
                <w:szCs w:val="14"/>
              </w:rPr>
            </w:pPr>
            <w:r>
              <w:rPr>
                <w:rFonts w:ascii="Calibri"/>
                <w:sz w:val="14"/>
              </w:rPr>
              <w:t>-8%</w:t>
            </w:r>
          </w:p>
        </w:tc>
        <w:tc>
          <w:tcPr>
            <w:tcW w:w="868" w:type="dxa"/>
            <w:tcBorders>
              <w:top w:val="nil" w:sz="6" w:space="0" w:color="auto"/>
              <w:left w:val="nil" w:sz="6" w:space="0" w:color="auto"/>
              <w:bottom w:val="nil" w:sz="6" w:space="0" w:color="auto"/>
              <w:right w:val="nil" w:sz="6" w:space="0" w:color="auto"/>
            </w:tcBorders>
          </w:tcPr>
          <w:p>
            <w:pPr>
              <w:pStyle w:val="TableParagraph"/>
              <w:spacing w:line="240" w:lineRule="auto" w:before="3"/>
              <w:ind w:left="162" w:right="0"/>
              <w:jc w:val="left"/>
              <w:rPr>
                <w:rFonts w:ascii="Calibri" w:hAnsi="Calibri" w:cs="Calibri" w:eastAsia="Calibri" w:hint="default"/>
                <w:sz w:val="14"/>
                <w:szCs w:val="14"/>
              </w:rPr>
            </w:pPr>
            <w:r>
              <w:rPr>
                <w:rFonts w:ascii="Calibri"/>
                <w:sz w:val="14"/>
              </w:rPr>
              <w:t>75,207</w:t>
            </w:r>
          </w:p>
        </w:tc>
        <w:tc>
          <w:tcPr>
            <w:tcW w:w="495" w:type="dxa"/>
            <w:tcBorders>
              <w:top w:val="nil" w:sz="6" w:space="0" w:color="auto"/>
              <w:left w:val="nil" w:sz="6" w:space="0" w:color="auto"/>
              <w:bottom w:val="nil" w:sz="6" w:space="0" w:color="auto"/>
              <w:right w:val="nil" w:sz="6" w:space="0" w:color="auto"/>
            </w:tcBorders>
          </w:tcPr>
          <w:p>
            <w:pPr>
              <w:pStyle w:val="TableParagraph"/>
              <w:spacing w:line="240" w:lineRule="auto" w:before="3"/>
              <w:ind w:left="64" w:right="0"/>
              <w:jc w:val="left"/>
              <w:rPr>
                <w:rFonts w:ascii="Calibri" w:hAnsi="Calibri" w:cs="Calibri" w:eastAsia="Calibri" w:hint="default"/>
                <w:sz w:val="14"/>
                <w:szCs w:val="14"/>
              </w:rPr>
            </w:pPr>
            <w:r>
              <w:rPr>
                <w:rFonts w:ascii="Calibri"/>
                <w:sz w:val="14"/>
              </w:rPr>
              <w:t>-6%</w:t>
            </w:r>
          </w:p>
        </w:tc>
        <w:tc>
          <w:tcPr>
            <w:tcW w:w="713" w:type="dxa"/>
            <w:tcBorders>
              <w:top w:val="nil" w:sz="6" w:space="0" w:color="auto"/>
              <w:left w:val="nil" w:sz="6" w:space="0" w:color="auto"/>
              <w:bottom w:val="nil" w:sz="6" w:space="0" w:color="auto"/>
              <w:right w:val="nil" w:sz="6" w:space="0" w:color="auto"/>
            </w:tcBorders>
          </w:tcPr>
          <w:p>
            <w:pPr>
              <w:pStyle w:val="TableParagraph"/>
              <w:spacing w:line="240" w:lineRule="auto" w:before="3"/>
              <w:ind w:left="203" w:right="0"/>
              <w:jc w:val="left"/>
              <w:rPr>
                <w:rFonts w:ascii="Calibri" w:hAnsi="Calibri" w:cs="Calibri" w:eastAsia="Calibri" w:hint="default"/>
                <w:sz w:val="14"/>
                <w:szCs w:val="14"/>
              </w:rPr>
            </w:pPr>
            <w:r>
              <w:rPr>
                <w:rFonts w:ascii="Calibri"/>
                <w:sz w:val="14"/>
              </w:rPr>
              <w:t>9,192</w:t>
            </w:r>
          </w:p>
        </w:tc>
        <w:tc>
          <w:tcPr>
            <w:tcW w:w="55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32" w:right="0"/>
              <w:jc w:val="left"/>
              <w:rPr>
                <w:rFonts w:ascii="Calibri" w:hAnsi="Calibri" w:cs="Calibri" w:eastAsia="Calibri" w:hint="default"/>
                <w:sz w:val="14"/>
                <w:szCs w:val="14"/>
              </w:rPr>
            </w:pPr>
            <w:r>
              <w:rPr>
                <w:rFonts w:ascii="Calibri"/>
                <w:sz w:val="14"/>
              </w:rPr>
              <w:t>-23%</w:t>
            </w:r>
          </w:p>
        </w:tc>
        <w:tc>
          <w:tcPr>
            <w:tcW w:w="697"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5" w:right="0"/>
              <w:jc w:val="left"/>
              <w:rPr>
                <w:rFonts w:ascii="Calibri" w:hAnsi="Calibri" w:cs="Calibri" w:eastAsia="Calibri" w:hint="default"/>
                <w:sz w:val="14"/>
                <w:szCs w:val="14"/>
              </w:rPr>
            </w:pPr>
            <w:r>
              <w:rPr>
                <w:rFonts w:ascii="Calibri"/>
                <w:sz w:val="14"/>
              </w:rPr>
              <w:t>45,688</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2" w:right="0"/>
              <w:jc w:val="left"/>
              <w:rPr>
                <w:rFonts w:ascii="Calibri" w:hAnsi="Calibri" w:cs="Calibri" w:eastAsia="Calibri" w:hint="default"/>
                <w:sz w:val="14"/>
                <w:szCs w:val="14"/>
              </w:rPr>
            </w:pPr>
            <w:r>
              <w:rPr>
                <w:rFonts w:ascii="Calibri"/>
                <w:sz w:val="14"/>
              </w:rPr>
              <w:t>5%</w:t>
            </w:r>
          </w:p>
        </w:tc>
        <w:tc>
          <w:tcPr>
            <w:tcW w:w="693"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39,103</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5" w:right="0"/>
              <w:jc w:val="left"/>
              <w:rPr>
                <w:rFonts w:ascii="Calibri" w:hAnsi="Calibri" w:cs="Calibri" w:eastAsia="Calibri" w:hint="default"/>
                <w:sz w:val="14"/>
                <w:szCs w:val="14"/>
              </w:rPr>
            </w:pPr>
            <w:r>
              <w:rPr>
                <w:rFonts w:ascii="Calibri"/>
                <w:sz w:val="14"/>
              </w:rPr>
              <w:t>-43%</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46,050</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36" w:right="0"/>
              <w:jc w:val="left"/>
              <w:rPr>
                <w:rFonts w:ascii="Calibri" w:hAnsi="Calibri" w:cs="Calibri" w:eastAsia="Calibri" w:hint="default"/>
                <w:sz w:val="14"/>
                <w:szCs w:val="14"/>
              </w:rPr>
            </w:pPr>
            <w:r>
              <w:rPr>
                <w:rFonts w:ascii="Calibri"/>
                <w:sz w:val="14"/>
              </w:rPr>
              <w:t>12%</w:t>
            </w:r>
          </w:p>
        </w:tc>
        <w:tc>
          <w:tcPr>
            <w:tcW w:w="699"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15" w:right="0"/>
              <w:jc w:val="left"/>
              <w:rPr>
                <w:rFonts w:ascii="Calibri" w:hAnsi="Calibri" w:cs="Calibri" w:eastAsia="Calibri" w:hint="default"/>
                <w:sz w:val="14"/>
                <w:szCs w:val="14"/>
              </w:rPr>
            </w:pPr>
            <w:r>
              <w:rPr>
                <w:rFonts w:ascii="Calibri"/>
                <w:sz w:val="14"/>
              </w:rPr>
              <w:t>125,766</w:t>
            </w:r>
          </w:p>
        </w:tc>
        <w:tc>
          <w:tcPr>
            <w:tcW w:w="53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0" w:right="0"/>
              <w:jc w:val="left"/>
              <w:rPr>
                <w:rFonts w:ascii="Calibri" w:hAnsi="Calibri" w:cs="Calibri" w:eastAsia="Calibri" w:hint="default"/>
                <w:sz w:val="14"/>
                <w:szCs w:val="14"/>
              </w:rPr>
            </w:pPr>
            <w:r>
              <w:rPr>
                <w:rFonts w:ascii="Calibri"/>
                <w:sz w:val="14"/>
              </w:rPr>
              <w:t>7%</w:t>
            </w:r>
          </w:p>
        </w:tc>
        <w:tc>
          <w:tcPr>
            <w:tcW w:w="702"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23" w:right="0"/>
              <w:jc w:val="left"/>
              <w:rPr>
                <w:rFonts w:ascii="Calibri" w:hAnsi="Calibri" w:cs="Calibri" w:eastAsia="Calibri" w:hint="default"/>
                <w:sz w:val="14"/>
                <w:szCs w:val="14"/>
              </w:rPr>
            </w:pPr>
            <w:r>
              <w:rPr>
                <w:rFonts w:ascii="Calibri"/>
                <w:sz w:val="14"/>
              </w:rPr>
              <w:t>344,296</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32" w:right="0"/>
              <w:jc w:val="left"/>
              <w:rPr>
                <w:rFonts w:ascii="Calibri" w:hAnsi="Calibri" w:cs="Calibri" w:eastAsia="Calibri" w:hint="default"/>
                <w:sz w:val="14"/>
                <w:szCs w:val="14"/>
              </w:rPr>
            </w:pPr>
            <w:r>
              <w:rPr>
                <w:rFonts w:ascii="Calibri"/>
                <w:sz w:val="14"/>
              </w:rPr>
              <w:t>-6%</w:t>
            </w:r>
          </w:p>
        </w:tc>
      </w:tr>
      <w:tr>
        <w:trPr>
          <w:trHeight w:val="238" w:hRule="exact"/>
        </w:trPr>
        <w:tc>
          <w:tcPr>
            <w:tcW w:w="51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5" w:right="0"/>
              <w:jc w:val="left"/>
              <w:rPr>
                <w:rFonts w:ascii="Calibri" w:hAnsi="Calibri" w:cs="Calibri" w:eastAsia="Calibri" w:hint="default"/>
                <w:sz w:val="14"/>
                <w:szCs w:val="14"/>
              </w:rPr>
            </w:pPr>
            <w:r>
              <w:rPr>
                <w:rFonts w:ascii="Calibri"/>
                <w:sz w:val="14"/>
              </w:rPr>
              <w:t>2011</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2" w:right="0"/>
              <w:jc w:val="left"/>
              <w:rPr>
                <w:rFonts w:ascii="Calibri" w:hAnsi="Calibri" w:cs="Calibri" w:eastAsia="Calibri" w:hint="default"/>
                <w:sz w:val="14"/>
                <w:szCs w:val="14"/>
              </w:rPr>
            </w:pPr>
            <w:r>
              <w:rPr>
                <w:rFonts w:ascii="Calibri"/>
                <w:sz w:val="14"/>
              </w:rPr>
              <w:t>2,010</w:t>
            </w:r>
          </w:p>
        </w:tc>
        <w:tc>
          <w:tcPr>
            <w:tcW w:w="564" w:type="dxa"/>
            <w:tcBorders>
              <w:top w:val="nil" w:sz="6" w:space="0" w:color="auto"/>
              <w:left w:val="nil" w:sz="6" w:space="0" w:color="auto"/>
              <w:bottom w:val="nil" w:sz="6" w:space="0" w:color="auto"/>
              <w:right w:val="nil" w:sz="6" w:space="0" w:color="auto"/>
            </w:tcBorders>
          </w:tcPr>
          <w:p>
            <w:pPr>
              <w:pStyle w:val="TableParagraph"/>
              <w:spacing w:line="240" w:lineRule="auto" w:before="3"/>
              <w:ind w:left="140" w:right="0"/>
              <w:jc w:val="left"/>
              <w:rPr>
                <w:rFonts w:ascii="Calibri" w:hAnsi="Calibri" w:cs="Calibri" w:eastAsia="Calibri" w:hint="default"/>
                <w:sz w:val="14"/>
                <w:szCs w:val="14"/>
              </w:rPr>
            </w:pPr>
            <w:r>
              <w:rPr>
                <w:rFonts w:ascii="Calibri"/>
                <w:sz w:val="14"/>
              </w:rPr>
              <w:t>-39%</w:t>
            </w:r>
          </w:p>
        </w:tc>
        <w:tc>
          <w:tcPr>
            <w:tcW w:w="868" w:type="dxa"/>
            <w:tcBorders>
              <w:top w:val="nil" w:sz="6" w:space="0" w:color="auto"/>
              <w:left w:val="nil" w:sz="6" w:space="0" w:color="auto"/>
              <w:bottom w:val="nil" w:sz="6" w:space="0" w:color="auto"/>
              <w:right w:val="nil" w:sz="6" w:space="0" w:color="auto"/>
            </w:tcBorders>
          </w:tcPr>
          <w:p>
            <w:pPr>
              <w:pStyle w:val="TableParagraph"/>
              <w:spacing w:line="240" w:lineRule="auto" w:before="3"/>
              <w:ind w:left="162" w:right="0"/>
              <w:jc w:val="left"/>
              <w:rPr>
                <w:rFonts w:ascii="Calibri" w:hAnsi="Calibri" w:cs="Calibri" w:eastAsia="Calibri" w:hint="default"/>
                <w:sz w:val="14"/>
                <w:szCs w:val="14"/>
              </w:rPr>
            </w:pPr>
            <w:r>
              <w:rPr>
                <w:rFonts w:ascii="Calibri"/>
                <w:sz w:val="14"/>
              </w:rPr>
              <w:t>88,338</w:t>
            </w:r>
          </w:p>
        </w:tc>
        <w:tc>
          <w:tcPr>
            <w:tcW w:w="495" w:type="dxa"/>
            <w:tcBorders>
              <w:top w:val="nil" w:sz="6" w:space="0" w:color="auto"/>
              <w:left w:val="nil" w:sz="6" w:space="0" w:color="auto"/>
              <w:bottom w:val="nil" w:sz="6" w:space="0" w:color="auto"/>
              <w:right w:val="nil" w:sz="6" w:space="0" w:color="auto"/>
            </w:tcBorders>
          </w:tcPr>
          <w:p>
            <w:pPr>
              <w:pStyle w:val="TableParagraph"/>
              <w:spacing w:line="240" w:lineRule="auto" w:before="3"/>
              <w:ind w:left="50" w:right="0"/>
              <w:jc w:val="left"/>
              <w:rPr>
                <w:rFonts w:ascii="Calibri" w:hAnsi="Calibri" w:cs="Calibri" w:eastAsia="Calibri" w:hint="default"/>
                <w:sz w:val="14"/>
                <w:szCs w:val="14"/>
              </w:rPr>
            </w:pPr>
            <w:r>
              <w:rPr>
                <w:rFonts w:ascii="Calibri"/>
                <w:sz w:val="14"/>
              </w:rPr>
              <w:t>17%</w:t>
            </w:r>
          </w:p>
        </w:tc>
        <w:tc>
          <w:tcPr>
            <w:tcW w:w="713" w:type="dxa"/>
            <w:tcBorders>
              <w:top w:val="nil" w:sz="6" w:space="0" w:color="auto"/>
              <w:left w:val="nil" w:sz="6" w:space="0" w:color="auto"/>
              <w:bottom w:val="nil" w:sz="6" w:space="0" w:color="auto"/>
              <w:right w:val="nil" w:sz="6" w:space="0" w:color="auto"/>
            </w:tcBorders>
          </w:tcPr>
          <w:p>
            <w:pPr>
              <w:pStyle w:val="TableParagraph"/>
              <w:spacing w:line="240" w:lineRule="auto" w:before="3"/>
              <w:ind w:left="203" w:right="0"/>
              <w:jc w:val="left"/>
              <w:rPr>
                <w:rFonts w:ascii="Calibri" w:hAnsi="Calibri" w:cs="Calibri" w:eastAsia="Calibri" w:hint="default"/>
                <w:sz w:val="14"/>
                <w:szCs w:val="14"/>
              </w:rPr>
            </w:pPr>
            <w:r>
              <w:rPr>
                <w:rFonts w:ascii="Calibri"/>
                <w:sz w:val="14"/>
              </w:rPr>
              <w:t>9,161</w:t>
            </w:r>
          </w:p>
        </w:tc>
        <w:tc>
          <w:tcPr>
            <w:tcW w:w="550" w:type="dxa"/>
            <w:tcBorders>
              <w:top w:val="nil" w:sz="6" w:space="0" w:color="auto"/>
              <w:left w:val="nil" w:sz="6" w:space="0" w:color="auto"/>
              <w:bottom w:val="nil" w:sz="6" w:space="0" w:color="auto"/>
              <w:right w:val="nil" w:sz="6" w:space="0" w:color="auto"/>
            </w:tcBorders>
          </w:tcPr>
          <w:p>
            <w:pPr>
              <w:pStyle w:val="TableParagraph"/>
              <w:spacing w:line="240" w:lineRule="auto" w:before="3"/>
              <w:ind w:right="0"/>
              <w:jc w:val="center"/>
              <w:rPr>
                <w:rFonts w:ascii="Calibri" w:hAnsi="Calibri" w:cs="Calibri" w:eastAsia="Calibri" w:hint="default"/>
                <w:sz w:val="14"/>
                <w:szCs w:val="14"/>
              </w:rPr>
            </w:pPr>
            <w:r>
              <w:rPr>
                <w:rFonts w:ascii="Calibri"/>
                <w:sz w:val="14"/>
              </w:rPr>
              <w:t>0%</w:t>
            </w:r>
          </w:p>
        </w:tc>
        <w:tc>
          <w:tcPr>
            <w:tcW w:w="697"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5" w:right="0"/>
              <w:jc w:val="left"/>
              <w:rPr>
                <w:rFonts w:ascii="Calibri" w:hAnsi="Calibri" w:cs="Calibri" w:eastAsia="Calibri" w:hint="default"/>
                <w:sz w:val="14"/>
                <w:szCs w:val="14"/>
              </w:rPr>
            </w:pPr>
            <w:r>
              <w:rPr>
                <w:rFonts w:ascii="Calibri"/>
                <w:sz w:val="14"/>
              </w:rPr>
              <w:t>49,100</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2" w:right="0"/>
              <w:jc w:val="left"/>
              <w:rPr>
                <w:rFonts w:ascii="Calibri" w:hAnsi="Calibri" w:cs="Calibri" w:eastAsia="Calibri" w:hint="default"/>
                <w:sz w:val="14"/>
                <w:szCs w:val="14"/>
              </w:rPr>
            </w:pPr>
            <w:r>
              <w:rPr>
                <w:rFonts w:ascii="Calibri"/>
                <w:sz w:val="14"/>
              </w:rPr>
              <w:t>7%</w:t>
            </w:r>
          </w:p>
        </w:tc>
        <w:tc>
          <w:tcPr>
            <w:tcW w:w="693"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46,439</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36" w:right="0"/>
              <w:jc w:val="left"/>
              <w:rPr>
                <w:rFonts w:ascii="Calibri" w:hAnsi="Calibri" w:cs="Calibri" w:eastAsia="Calibri" w:hint="default"/>
                <w:sz w:val="14"/>
                <w:szCs w:val="14"/>
              </w:rPr>
            </w:pPr>
            <w:r>
              <w:rPr>
                <w:rFonts w:ascii="Calibri"/>
                <w:sz w:val="14"/>
              </w:rPr>
              <w:t>19%</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52,866</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36" w:right="0"/>
              <w:jc w:val="left"/>
              <w:rPr>
                <w:rFonts w:ascii="Calibri" w:hAnsi="Calibri" w:cs="Calibri" w:eastAsia="Calibri" w:hint="default"/>
                <w:sz w:val="14"/>
                <w:szCs w:val="14"/>
              </w:rPr>
            </w:pPr>
            <w:r>
              <w:rPr>
                <w:rFonts w:ascii="Calibri"/>
                <w:sz w:val="14"/>
              </w:rPr>
              <w:t>15%</w:t>
            </w:r>
          </w:p>
        </w:tc>
        <w:tc>
          <w:tcPr>
            <w:tcW w:w="699"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15" w:right="0"/>
              <w:jc w:val="left"/>
              <w:rPr>
                <w:rFonts w:ascii="Calibri" w:hAnsi="Calibri" w:cs="Calibri" w:eastAsia="Calibri" w:hint="default"/>
                <w:sz w:val="14"/>
                <w:szCs w:val="14"/>
              </w:rPr>
            </w:pPr>
            <w:r>
              <w:rPr>
                <w:rFonts w:ascii="Calibri"/>
                <w:sz w:val="14"/>
              </w:rPr>
              <w:t>142,117</w:t>
            </w:r>
          </w:p>
        </w:tc>
        <w:tc>
          <w:tcPr>
            <w:tcW w:w="53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44" w:right="0"/>
              <w:jc w:val="left"/>
              <w:rPr>
                <w:rFonts w:ascii="Calibri" w:hAnsi="Calibri" w:cs="Calibri" w:eastAsia="Calibri" w:hint="default"/>
                <w:sz w:val="14"/>
                <w:szCs w:val="14"/>
              </w:rPr>
            </w:pPr>
            <w:r>
              <w:rPr>
                <w:rFonts w:ascii="Calibri"/>
                <w:sz w:val="14"/>
              </w:rPr>
              <w:t>13%</w:t>
            </w:r>
          </w:p>
        </w:tc>
        <w:tc>
          <w:tcPr>
            <w:tcW w:w="702"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23" w:right="0"/>
              <w:jc w:val="left"/>
              <w:rPr>
                <w:rFonts w:ascii="Calibri" w:hAnsi="Calibri" w:cs="Calibri" w:eastAsia="Calibri" w:hint="default"/>
                <w:sz w:val="14"/>
                <w:szCs w:val="14"/>
              </w:rPr>
            </w:pPr>
            <w:r>
              <w:rPr>
                <w:rFonts w:ascii="Calibri"/>
                <w:sz w:val="14"/>
              </w:rPr>
              <w:t>390,031</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7" w:right="0"/>
              <w:jc w:val="left"/>
              <w:rPr>
                <w:rFonts w:ascii="Calibri" w:hAnsi="Calibri" w:cs="Calibri" w:eastAsia="Calibri" w:hint="default"/>
                <w:sz w:val="14"/>
                <w:szCs w:val="14"/>
              </w:rPr>
            </w:pPr>
            <w:r>
              <w:rPr>
                <w:rFonts w:ascii="Calibri"/>
                <w:sz w:val="14"/>
              </w:rPr>
              <w:t>13%</w:t>
            </w:r>
          </w:p>
        </w:tc>
      </w:tr>
      <w:tr>
        <w:trPr>
          <w:trHeight w:val="235" w:hRule="exact"/>
        </w:trPr>
        <w:tc>
          <w:tcPr>
            <w:tcW w:w="51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5" w:right="0"/>
              <w:jc w:val="left"/>
              <w:rPr>
                <w:rFonts w:ascii="Calibri" w:hAnsi="Calibri" w:cs="Calibri" w:eastAsia="Calibri" w:hint="default"/>
                <w:sz w:val="14"/>
                <w:szCs w:val="14"/>
              </w:rPr>
            </w:pPr>
            <w:r>
              <w:rPr>
                <w:rFonts w:ascii="Calibri"/>
                <w:sz w:val="14"/>
              </w:rPr>
              <w:t>2012</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82" w:right="0"/>
              <w:jc w:val="left"/>
              <w:rPr>
                <w:rFonts w:ascii="Calibri" w:hAnsi="Calibri" w:cs="Calibri" w:eastAsia="Calibri" w:hint="default"/>
                <w:sz w:val="14"/>
                <w:szCs w:val="14"/>
              </w:rPr>
            </w:pPr>
            <w:r>
              <w:rPr>
                <w:rFonts w:ascii="Calibri"/>
                <w:sz w:val="14"/>
              </w:rPr>
              <w:t>1,990</w:t>
            </w:r>
          </w:p>
        </w:tc>
        <w:tc>
          <w:tcPr>
            <w:tcW w:w="564" w:type="dxa"/>
            <w:tcBorders>
              <w:top w:val="nil" w:sz="6" w:space="0" w:color="auto"/>
              <w:left w:val="nil" w:sz="6" w:space="0" w:color="auto"/>
              <w:bottom w:val="nil" w:sz="6" w:space="0" w:color="auto"/>
              <w:right w:val="nil" w:sz="6" w:space="0" w:color="auto"/>
            </w:tcBorders>
          </w:tcPr>
          <w:p>
            <w:pPr>
              <w:pStyle w:val="TableParagraph"/>
              <w:spacing w:line="240" w:lineRule="auto" w:before="3"/>
              <w:ind w:left="176" w:right="0"/>
              <w:jc w:val="left"/>
              <w:rPr>
                <w:rFonts w:ascii="Calibri" w:hAnsi="Calibri" w:cs="Calibri" w:eastAsia="Calibri" w:hint="default"/>
                <w:sz w:val="14"/>
                <w:szCs w:val="14"/>
              </w:rPr>
            </w:pPr>
            <w:r>
              <w:rPr>
                <w:rFonts w:ascii="Calibri"/>
                <w:sz w:val="14"/>
              </w:rPr>
              <w:t>-1%</w:t>
            </w:r>
          </w:p>
        </w:tc>
        <w:tc>
          <w:tcPr>
            <w:tcW w:w="868" w:type="dxa"/>
            <w:tcBorders>
              <w:top w:val="nil" w:sz="6" w:space="0" w:color="auto"/>
              <w:left w:val="nil" w:sz="6" w:space="0" w:color="auto"/>
              <w:bottom w:val="nil" w:sz="6" w:space="0" w:color="auto"/>
              <w:right w:val="nil" w:sz="6" w:space="0" w:color="auto"/>
            </w:tcBorders>
          </w:tcPr>
          <w:p>
            <w:pPr>
              <w:pStyle w:val="TableParagraph"/>
              <w:spacing w:line="240" w:lineRule="auto" w:before="3"/>
              <w:ind w:left="126" w:right="0"/>
              <w:jc w:val="left"/>
              <w:rPr>
                <w:rFonts w:ascii="Calibri" w:hAnsi="Calibri" w:cs="Calibri" w:eastAsia="Calibri" w:hint="default"/>
                <w:sz w:val="14"/>
                <w:szCs w:val="14"/>
              </w:rPr>
            </w:pPr>
            <w:r>
              <w:rPr>
                <w:rFonts w:ascii="Calibri"/>
                <w:sz w:val="14"/>
              </w:rPr>
              <w:t>167,168</w:t>
            </w:r>
          </w:p>
        </w:tc>
        <w:tc>
          <w:tcPr>
            <w:tcW w:w="495" w:type="dxa"/>
            <w:tcBorders>
              <w:top w:val="nil" w:sz="6" w:space="0" w:color="auto"/>
              <w:left w:val="nil" w:sz="6" w:space="0" w:color="auto"/>
              <w:bottom w:val="nil" w:sz="6" w:space="0" w:color="auto"/>
              <w:right w:val="nil" w:sz="6" w:space="0" w:color="auto"/>
            </w:tcBorders>
          </w:tcPr>
          <w:p>
            <w:pPr>
              <w:pStyle w:val="TableParagraph"/>
              <w:spacing w:line="240" w:lineRule="auto" w:before="3"/>
              <w:ind w:left="50" w:right="0"/>
              <w:jc w:val="left"/>
              <w:rPr>
                <w:rFonts w:ascii="Calibri" w:hAnsi="Calibri" w:cs="Calibri" w:eastAsia="Calibri" w:hint="default"/>
                <w:sz w:val="14"/>
                <w:szCs w:val="14"/>
              </w:rPr>
            </w:pPr>
            <w:r>
              <w:rPr>
                <w:rFonts w:ascii="Calibri"/>
                <w:sz w:val="14"/>
              </w:rPr>
              <w:t>89%</w:t>
            </w:r>
          </w:p>
        </w:tc>
        <w:tc>
          <w:tcPr>
            <w:tcW w:w="713" w:type="dxa"/>
            <w:tcBorders>
              <w:top w:val="nil" w:sz="6" w:space="0" w:color="auto"/>
              <w:left w:val="nil" w:sz="6" w:space="0" w:color="auto"/>
              <w:bottom w:val="nil" w:sz="6" w:space="0" w:color="auto"/>
              <w:right w:val="nil" w:sz="6" w:space="0" w:color="auto"/>
            </w:tcBorders>
          </w:tcPr>
          <w:p>
            <w:pPr>
              <w:pStyle w:val="TableParagraph"/>
              <w:spacing w:line="240" w:lineRule="auto" w:before="3"/>
              <w:ind w:left="167" w:right="0"/>
              <w:jc w:val="left"/>
              <w:rPr>
                <w:rFonts w:ascii="Calibri" w:hAnsi="Calibri" w:cs="Calibri" w:eastAsia="Calibri" w:hint="default"/>
                <w:sz w:val="14"/>
                <w:szCs w:val="14"/>
              </w:rPr>
            </w:pPr>
            <w:r>
              <w:rPr>
                <w:rFonts w:ascii="Calibri"/>
                <w:sz w:val="14"/>
              </w:rPr>
              <w:t>11,512</w:t>
            </w:r>
          </w:p>
        </w:tc>
        <w:tc>
          <w:tcPr>
            <w:tcW w:w="55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26%</w:t>
            </w:r>
          </w:p>
        </w:tc>
        <w:tc>
          <w:tcPr>
            <w:tcW w:w="697"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5" w:right="0"/>
              <w:jc w:val="left"/>
              <w:rPr>
                <w:rFonts w:ascii="Calibri" w:hAnsi="Calibri" w:cs="Calibri" w:eastAsia="Calibri" w:hint="default"/>
                <w:sz w:val="14"/>
                <w:szCs w:val="14"/>
              </w:rPr>
            </w:pPr>
            <w:r>
              <w:rPr>
                <w:rFonts w:ascii="Calibri"/>
                <w:sz w:val="14"/>
              </w:rPr>
              <w:t>47,556</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30" w:right="0"/>
              <w:jc w:val="left"/>
              <w:rPr>
                <w:rFonts w:ascii="Calibri" w:hAnsi="Calibri" w:cs="Calibri" w:eastAsia="Calibri" w:hint="default"/>
                <w:sz w:val="14"/>
                <w:szCs w:val="14"/>
              </w:rPr>
            </w:pPr>
            <w:r>
              <w:rPr>
                <w:rFonts w:ascii="Calibri"/>
                <w:sz w:val="14"/>
              </w:rPr>
              <w:t>-3%</w:t>
            </w:r>
          </w:p>
        </w:tc>
        <w:tc>
          <w:tcPr>
            <w:tcW w:w="693"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47,784</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72" w:right="0"/>
              <w:jc w:val="left"/>
              <w:rPr>
                <w:rFonts w:ascii="Calibri" w:hAnsi="Calibri" w:cs="Calibri" w:eastAsia="Calibri" w:hint="default"/>
                <w:sz w:val="14"/>
                <w:szCs w:val="14"/>
              </w:rPr>
            </w:pPr>
            <w:r>
              <w:rPr>
                <w:rFonts w:ascii="Calibri"/>
                <w:sz w:val="14"/>
              </w:rPr>
              <w:t>3%</w:t>
            </w:r>
          </w:p>
        </w:tc>
        <w:tc>
          <w:tcPr>
            <w:tcW w:w="692"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1" w:right="0"/>
              <w:jc w:val="left"/>
              <w:rPr>
                <w:rFonts w:ascii="Calibri" w:hAnsi="Calibri" w:cs="Calibri" w:eastAsia="Calibri" w:hint="default"/>
                <w:sz w:val="14"/>
                <w:szCs w:val="14"/>
              </w:rPr>
            </w:pPr>
            <w:r>
              <w:rPr>
                <w:rFonts w:ascii="Calibri"/>
                <w:sz w:val="14"/>
              </w:rPr>
              <w:t>23,145</w:t>
            </w:r>
          </w:p>
        </w:tc>
        <w:tc>
          <w:tcPr>
            <w:tcW w:w="51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15" w:right="0"/>
              <w:jc w:val="left"/>
              <w:rPr>
                <w:rFonts w:ascii="Calibri" w:hAnsi="Calibri" w:cs="Calibri" w:eastAsia="Calibri" w:hint="default"/>
                <w:sz w:val="14"/>
                <w:szCs w:val="14"/>
              </w:rPr>
            </w:pPr>
            <w:r>
              <w:rPr>
                <w:rFonts w:ascii="Calibri"/>
                <w:sz w:val="14"/>
              </w:rPr>
              <w:t>-56%</w:t>
            </w:r>
          </w:p>
        </w:tc>
        <w:tc>
          <w:tcPr>
            <w:tcW w:w="699" w:type="dxa"/>
            <w:tcBorders>
              <w:top w:val="nil" w:sz="6" w:space="0" w:color="auto"/>
              <w:left w:val="nil" w:sz="6" w:space="0" w:color="auto"/>
              <w:bottom w:val="nil" w:sz="6" w:space="0" w:color="auto"/>
              <w:right w:val="nil" w:sz="6" w:space="0" w:color="auto"/>
            </w:tcBorders>
          </w:tcPr>
          <w:p>
            <w:pPr>
              <w:pStyle w:val="TableParagraph"/>
              <w:spacing w:line="240" w:lineRule="auto" w:before="34"/>
              <w:ind w:left="115" w:right="0"/>
              <w:jc w:val="left"/>
              <w:rPr>
                <w:rFonts w:ascii="Calibri" w:hAnsi="Calibri" w:cs="Calibri" w:eastAsia="Calibri" w:hint="default"/>
                <w:sz w:val="14"/>
                <w:szCs w:val="14"/>
              </w:rPr>
            </w:pPr>
            <w:r>
              <w:rPr>
                <w:rFonts w:ascii="Calibri"/>
                <w:sz w:val="14"/>
              </w:rPr>
              <w:t>121,158</w:t>
            </w:r>
          </w:p>
        </w:tc>
        <w:tc>
          <w:tcPr>
            <w:tcW w:w="530" w:type="dxa"/>
            <w:tcBorders>
              <w:top w:val="nil" w:sz="6" w:space="0" w:color="auto"/>
              <w:left w:val="nil" w:sz="6" w:space="0" w:color="auto"/>
              <w:bottom w:val="nil" w:sz="6" w:space="0" w:color="auto"/>
              <w:right w:val="nil" w:sz="6" w:space="0" w:color="auto"/>
            </w:tcBorders>
          </w:tcPr>
          <w:p>
            <w:pPr>
              <w:pStyle w:val="TableParagraph"/>
              <w:spacing w:line="240" w:lineRule="auto" w:before="3"/>
              <w:ind w:left="122" w:right="0"/>
              <w:jc w:val="left"/>
              <w:rPr>
                <w:rFonts w:ascii="Calibri" w:hAnsi="Calibri" w:cs="Calibri" w:eastAsia="Calibri" w:hint="default"/>
                <w:sz w:val="14"/>
                <w:szCs w:val="14"/>
              </w:rPr>
            </w:pPr>
            <w:r>
              <w:rPr>
                <w:rFonts w:ascii="Calibri"/>
                <w:sz w:val="14"/>
              </w:rPr>
              <w:t>-15%</w:t>
            </w:r>
          </w:p>
        </w:tc>
        <w:tc>
          <w:tcPr>
            <w:tcW w:w="702" w:type="dxa"/>
            <w:tcBorders>
              <w:top w:val="nil" w:sz="6" w:space="0" w:color="auto"/>
              <w:left w:val="nil" w:sz="6" w:space="0" w:color="auto"/>
              <w:bottom w:val="nil" w:sz="6" w:space="0" w:color="auto"/>
              <w:right w:val="nil" w:sz="6" w:space="0" w:color="auto"/>
            </w:tcBorders>
          </w:tcPr>
          <w:p>
            <w:pPr>
              <w:pStyle w:val="TableParagraph"/>
              <w:spacing w:line="240" w:lineRule="auto" w:before="34"/>
              <w:ind w:left="123" w:right="0"/>
              <w:jc w:val="left"/>
              <w:rPr>
                <w:rFonts w:ascii="Calibri" w:hAnsi="Calibri" w:cs="Calibri" w:eastAsia="Calibri" w:hint="default"/>
                <w:sz w:val="14"/>
                <w:szCs w:val="14"/>
              </w:rPr>
            </w:pPr>
            <w:r>
              <w:rPr>
                <w:rFonts w:ascii="Calibri"/>
                <w:sz w:val="14"/>
              </w:rPr>
              <w:t>420,313</w:t>
            </w:r>
          </w:p>
        </w:tc>
        <w:tc>
          <w:tcPr>
            <w:tcW w:w="475" w:type="dxa"/>
            <w:tcBorders>
              <w:top w:val="nil" w:sz="6" w:space="0" w:color="auto"/>
              <w:left w:val="nil" w:sz="6" w:space="0" w:color="auto"/>
              <w:bottom w:val="nil" w:sz="6" w:space="0" w:color="auto"/>
              <w:right w:val="nil" w:sz="6" w:space="0" w:color="auto"/>
            </w:tcBorders>
          </w:tcPr>
          <w:p>
            <w:pPr>
              <w:pStyle w:val="TableParagraph"/>
              <w:spacing w:line="240" w:lineRule="auto" w:before="3"/>
              <w:ind w:left="153" w:right="0"/>
              <w:jc w:val="left"/>
              <w:rPr>
                <w:rFonts w:ascii="Calibri" w:hAnsi="Calibri" w:cs="Calibri" w:eastAsia="Calibri" w:hint="default"/>
                <w:sz w:val="14"/>
                <w:szCs w:val="14"/>
              </w:rPr>
            </w:pPr>
            <w:r>
              <w:rPr>
                <w:rFonts w:ascii="Calibri"/>
                <w:sz w:val="14"/>
              </w:rPr>
              <w:t>8%</w:t>
            </w:r>
          </w:p>
        </w:tc>
      </w:tr>
      <w:tr>
        <w:trPr>
          <w:trHeight w:val="205" w:hRule="exact"/>
        </w:trPr>
        <w:tc>
          <w:tcPr>
            <w:tcW w:w="512" w:type="dxa"/>
            <w:tcBorders>
              <w:top w:val="nil" w:sz="6" w:space="0" w:color="auto"/>
              <w:left w:val="nil" w:sz="6" w:space="0" w:color="auto"/>
              <w:bottom w:val="nil" w:sz="6" w:space="0" w:color="auto"/>
              <w:right w:val="nil" w:sz="6" w:space="0" w:color="auto"/>
            </w:tcBorders>
          </w:tcPr>
          <w:p>
            <w:pPr>
              <w:pStyle w:val="TableParagraph"/>
              <w:tabs>
                <w:tab w:pos="694" w:val="left" w:leader="none"/>
              </w:tabs>
              <w:spacing w:line="240" w:lineRule="auto" w:before="3"/>
              <w:ind w:left="-15" w:right="-183"/>
              <w:jc w:val="left"/>
              <w:rPr>
                <w:rFonts w:ascii="Calibri" w:hAnsi="Calibri" w:cs="Calibri" w:eastAsia="Calibri" w:hint="default"/>
                <w:sz w:val="14"/>
                <w:szCs w:val="14"/>
              </w:rPr>
            </w:pPr>
            <w:r>
              <w:rPr>
                <w:rFonts w:ascii="Calibri"/>
                <w:w w:val="99"/>
                <w:sz w:val="14"/>
              </w:rPr>
            </w:r>
            <w:r>
              <w:rPr>
                <w:rFonts w:ascii="Calibri"/>
                <w:w w:val="99"/>
                <w:sz w:val="14"/>
                <w:u w:val="single" w:color="000000"/>
              </w:rPr>
              <w:t> </w:t>
            </w:r>
            <w:r>
              <w:rPr>
                <w:rFonts w:ascii="Calibri"/>
                <w:sz w:val="14"/>
                <w:u w:val="single" w:color="000000"/>
              </w:rPr>
              <w:t>  </w:t>
            </w:r>
            <w:r>
              <w:rPr>
                <w:rFonts w:ascii="Calibri"/>
                <w:spacing w:val="3"/>
                <w:sz w:val="14"/>
                <w:u w:val="single" w:color="000000"/>
              </w:rPr>
              <w:t> </w:t>
            </w:r>
            <w:r>
              <w:rPr>
                <w:rFonts w:ascii="Calibri"/>
                <w:sz w:val="14"/>
                <w:u w:val="single" w:color="000000"/>
              </w:rPr>
              <w:t>2013</w:t>
              <w:tab/>
            </w:r>
            <w:r>
              <w:rPr>
                <w:rFonts w:ascii="Calibri"/>
                <w:sz w:val="14"/>
              </w:rPr>
            </w:r>
          </w:p>
        </w:tc>
        <w:tc>
          <w:tcPr>
            <w:tcW w:w="692" w:type="dxa"/>
            <w:tcBorders>
              <w:top w:val="nil" w:sz="6" w:space="0" w:color="auto"/>
              <w:left w:val="nil" w:sz="6" w:space="0" w:color="auto"/>
              <w:bottom w:val="nil" w:sz="6" w:space="0" w:color="auto"/>
              <w:right w:val="nil" w:sz="6" w:space="0" w:color="auto"/>
            </w:tcBorders>
          </w:tcPr>
          <w:p>
            <w:pPr>
              <w:pStyle w:val="TableParagraph"/>
              <w:tabs>
                <w:tab w:pos="818" w:val="left" w:leader="none"/>
              </w:tabs>
              <w:spacing w:line="240" w:lineRule="auto" w:before="3"/>
              <w:ind w:left="182" w:right="-127"/>
              <w:jc w:val="left"/>
              <w:rPr>
                <w:rFonts w:ascii="Calibri" w:hAnsi="Calibri" w:cs="Calibri" w:eastAsia="Calibri" w:hint="default"/>
                <w:sz w:val="14"/>
                <w:szCs w:val="14"/>
              </w:rPr>
            </w:pPr>
            <w:r>
              <w:rPr>
                <w:rFonts w:ascii="Calibri"/>
                <w:w w:val="99"/>
                <w:sz w:val="14"/>
              </w:rPr>
            </w:r>
            <w:r>
              <w:rPr>
                <w:rFonts w:ascii="Calibri"/>
                <w:sz w:val="14"/>
                <w:u w:val="single" w:color="000000"/>
              </w:rPr>
              <w:t>4,037</w:t>
              <w:tab/>
            </w:r>
            <w:r>
              <w:rPr>
                <w:rFonts w:ascii="Calibri"/>
                <w:sz w:val="14"/>
              </w:rPr>
            </w:r>
          </w:p>
        </w:tc>
        <w:tc>
          <w:tcPr>
            <w:tcW w:w="564" w:type="dxa"/>
            <w:tcBorders>
              <w:top w:val="nil" w:sz="6" w:space="0" w:color="auto"/>
              <w:left w:val="nil" w:sz="6" w:space="0" w:color="auto"/>
              <w:bottom w:val="nil" w:sz="6" w:space="0" w:color="auto"/>
              <w:right w:val="nil" w:sz="6" w:space="0" w:color="auto"/>
            </w:tcBorders>
          </w:tcPr>
          <w:p>
            <w:pPr>
              <w:pStyle w:val="TableParagraph"/>
              <w:tabs>
                <w:tab w:pos="690" w:val="left" w:leader="none"/>
              </w:tabs>
              <w:spacing w:line="240" w:lineRule="auto" w:before="3"/>
              <w:ind w:left="126" w:right="-127"/>
              <w:jc w:val="left"/>
              <w:rPr>
                <w:rFonts w:ascii="Calibri" w:hAnsi="Calibri" w:cs="Calibri" w:eastAsia="Calibri" w:hint="default"/>
                <w:sz w:val="14"/>
                <w:szCs w:val="14"/>
              </w:rPr>
            </w:pPr>
            <w:r>
              <w:rPr>
                <w:rFonts w:ascii="Calibri"/>
                <w:w w:val="99"/>
                <w:sz w:val="14"/>
              </w:rPr>
            </w:r>
            <w:r>
              <w:rPr>
                <w:rFonts w:ascii="Calibri"/>
                <w:sz w:val="14"/>
                <w:u w:val="single" w:color="000000"/>
              </w:rPr>
              <w:t>103%</w:t>
              <w:tab/>
            </w:r>
            <w:r>
              <w:rPr>
                <w:rFonts w:ascii="Calibri"/>
                <w:sz w:val="14"/>
              </w:rPr>
            </w:r>
          </w:p>
        </w:tc>
        <w:tc>
          <w:tcPr>
            <w:tcW w:w="868" w:type="dxa"/>
            <w:tcBorders>
              <w:top w:val="nil" w:sz="6" w:space="0" w:color="auto"/>
              <w:left w:val="nil" w:sz="6" w:space="0" w:color="auto"/>
              <w:bottom w:val="nil" w:sz="6" w:space="0" w:color="auto"/>
              <w:right w:val="nil" w:sz="6" w:space="0" w:color="auto"/>
            </w:tcBorders>
          </w:tcPr>
          <w:p>
            <w:pPr>
              <w:pStyle w:val="TableParagraph"/>
              <w:tabs>
                <w:tab w:pos="770" w:val="left" w:leader="none"/>
              </w:tabs>
              <w:spacing w:line="240" w:lineRule="auto" w:before="3"/>
              <w:ind w:right="-29"/>
              <w:jc w:val="right"/>
              <w:rPr>
                <w:rFonts w:ascii="Calibri" w:hAnsi="Calibri" w:cs="Calibri" w:eastAsia="Calibri" w:hint="default"/>
                <w:sz w:val="14"/>
                <w:szCs w:val="14"/>
              </w:rPr>
            </w:pPr>
            <w:r>
              <w:rPr>
                <w:rFonts w:ascii="Calibri"/>
                <w:w w:val="99"/>
                <w:sz w:val="14"/>
              </w:rPr>
            </w:r>
            <w:r>
              <w:rPr>
                <w:rFonts w:ascii="Calibri"/>
                <w:w w:val="95"/>
                <w:sz w:val="14"/>
                <w:u w:val="single" w:color="000000"/>
              </w:rPr>
              <w:t>119,606</w:t>
            </w:r>
            <w:r>
              <w:rPr>
                <w:rFonts w:ascii="Calibri"/>
                <w:sz w:val="14"/>
                <w:u w:val="single" w:color="000000"/>
              </w:rPr>
              <w:tab/>
            </w:r>
            <w:r>
              <w:rPr>
                <w:rFonts w:ascii="Calibri"/>
                <w:sz w:val="14"/>
              </w:rPr>
            </w:r>
          </w:p>
        </w:tc>
        <w:tc>
          <w:tcPr>
            <w:tcW w:w="495" w:type="dxa"/>
            <w:tcBorders>
              <w:top w:val="nil" w:sz="6" w:space="0" w:color="auto"/>
              <w:left w:val="nil" w:sz="6" w:space="0" w:color="auto"/>
              <w:bottom w:val="nil" w:sz="6" w:space="0" w:color="auto"/>
              <w:right w:val="nil" w:sz="6" w:space="0" w:color="auto"/>
            </w:tcBorders>
          </w:tcPr>
          <w:p>
            <w:pPr>
              <w:pStyle w:val="TableParagraph"/>
              <w:tabs>
                <w:tab w:pos="662" w:val="left" w:leader="none"/>
              </w:tabs>
              <w:spacing w:line="240" w:lineRule="auto" w:before="3"/>
              <w:ind w:left="28" w:right="-168"/>
              <w:jc w:val="left"/>
              <w:rPr>
                <w:rFonts w:ascii="Calibri" w:hAnsi="Calibri" w:cs="Calibri" w:eastAsia="Calibri" w:hint="default"/>
                <w:sz w:val="14"/>
                <w:szCs w:val="14"/>
              </w:rPr>
            </w:pPr>
            <w:r>
              <w:rPr>
                <w:rFonts w:ascii="Calibri"/>
                <w:w w:val="99"/>
                <w:sz w:val="14"/>
              </w:rPr>
            </w:r>
            <w:r>
              <w:rPr>
                <w:rFonts w:ascii="Calibri"/>
                <w:sz w:val="14"/>
                <w:u w:val="single" w:color="000000"/>
              </w:rPr>
              <w:t>-28%</w:t>
              <w:tab/>
            </w:r>
            <w:r>
              <w:rPr>
                <w:rFonts w:ascii="Calibri"/>
                <w:sz w:val="14"/>
              </w:rPr>
            </w:r>
          </w:p>
        </w:tc>
        <w:tc>
          <w:tcPr>
            <w:tcW w:w="713" w:type="dxa"/>
            <w:tcBorders>
              <w:top w:val="nil" w:sz="6" w:space="0" w:color="auto"/>
              <w:left w:val="nil" w:sz="6" w:space="0" w:color="auto"/>
              <w:bottom w:val="nil" w:sz="6" w:space="0" w:color="auto"/>
              <w:right w:val="nil" w:sz="6" w:space="0" w:color="auto"/>
            </w:tcBorders>
          </w:tcPr>
          <w:p>
            <w:pPr>
              <w:pStyle w:val="TableParagraph"/>
              <w:tabs>
                <w:tab w:pos="832" w:val="left" w:leader="none"/>
              </w:tabs>
              <w:spacing w:line="240" w:lineRule="auto" w:before="3"/>
              <w:ind w:left="167" w:right="-121"/>
              <w:jc w:val="left"/>
              <w:rPr>
                <w:rFonts w:ascii="Calibri" w:hAnsi="Calibri" w:cs="Calibri" w:eastAsia="Calibri" w:hint="default"/>
                <w:sz w:val="14"/>
                <w:szCs w:val="14"/>
              </w:rPr>
            </w:pPr>
            <w:r>
              <w:rPr>
                <w:rFonts w:ascii="Calibri"/>
                <w:w w:val="99"/>
                <w:sz w:val="14"/>
              </w:rPr>
            </w:r>
            <w:r>
              <w:rPr>
                <w:rFonts w:ascii="Calibri"/>
                <w:sz w:val="14"/>
                <w:u w:val="single" w:color="000000"/>
              </w:rPr>
              <w:t>23,703</w:t>
              <w:tab/>
            </w:r>
            <w:r>
              <w:rPr>
                <w:rFonts w:ascii="Calibri"/>
                <w:sz w:val="14"/>
              </w:rPr>
            </w:r>
          </w:p>
        </w:tc>
        <w:tc>
          <w:tcPr>
            <w:tcW w:w="550" w:type="dxa"/>
            <w:tcBorders>
              <w:top w:val="nil" w:sz="6" w:space="0" w:color="auto"/>
              <w:left w:val="nil" w:sz="6" w:space="0" w:color="auto"/>
              <w:bottom w:val="nil" w:sz="6" w:space="0" w:color="auto"/>
              <w:right w:val="nil" w:sz="6" w:space="0" w:color="auto"/>
            </w:tcBorders>
          </w:tcPr>
          <w:p>
            <w:pPr>
              <w:pStyle w:val="TableParagraph"/>
              <w:tabs>
                <w:tab w:pos="705" w:val="left" w:leader="none"/>
              </w:tabs>
              <w:spacing w:line="240" w:lineRule="auto" w:before="3"/>
              <w:ind w:left="120" w:right="-156"/>
              <w:jc w:val="left"/>
              <w:rPr>
                <w:rFonts w:ascii="Calibri" w:hAnsi="Calibri" w:cs="Calibri" w:eastAsia="Calibri" w:hint="default"/>
                <w:sz w:val="14"/>
                <w:szCs w:val="14"/>
              </w:rPr>
            </w:pPr>
            <w:r>
              <w:rPr>
                <w:rFonts w:ascii="Calibri"/>
                <w:w w:val="99"/>
                <w:sz w:val="14"/>
              </w:rPr>
            </w:r>
            <w:r>
              <w:rPr>
                <w:rFonts w:ascii="Calibri"/>
                <w:sz w:val="14"/>
                <w:u w:val="single" w:color="000000"/>
              </w:rPr>
              <w:t>106%</w:t>
              <w:tab/>
            </w:r>
            <w:r>
              <w:rPr>
                <w:rFonts w:ascii="Calibri"/>
                <w:sz w:val="14"/>
              </w:rPr>
            </w:r>
          </w:p>
        </w:tc>
        <w:tc>
          <w:tcPr>
            <w:tcW w:w="697" w:type="dxa"/>
            <w:tcBorders>
              <w:top w:val="nil" w:sz="6" w:space="0" w:color="auto"/>
              <w:left w:val="nil" w:sz="6" w:space="0" w:color="auto"/>
              <w:bottom w:val="nil" w:sz="6" w:space="0" w:color="auto"/>
              <w:right w:val="nil" w:sz="6" w:space="0" w:color="auto"/>
            </w:tcBorders>
          </w:tcPr>
          <w:p>
            <w:pPr>
              <w:pStyle w:val="TableParagraph"/>
              <w:tabs>
                <w:tab w:pos="813" w:val="left" w:leader="none"/>
              </w:tabs>
              <w:spacing w:line="240" w:lineRule="auto" w:before="3"/>
              <w:ind w:left="155" w:right="-117"/>
              <w:jc w:val="left"/>
              <w:rPr>
                <w:rFonts w:ascii="Calibri" w:hAnsi="Calibri" w:cs="Calibri" w:eastAsia="Calibri" w:hint="default"/>
                <w:sz w:val="14"/>
                <w:szCs w:val="14"/>
              </w:rPr>
            </w:pPr>
            <w:r>
              <w:rPr>
                <w:rFonts w:ascii="Calibri"/>
                <w:w w:val="99"/>
                <w:sz w:val="14"/>
              </w:rPr>
            </w:r>
            <w:r>
              <w:rPr>
                <w:rFonts w:ascii="Calibri"/>
                <w:sz w:val="14"/>
                <w:u w:val="single" w:color="000000"/>
              </w:rPr>
              <w:t>61,033</w:t>
              <w:tab/>
            </w:r>
            <w:r>
              <w:rPr>
                <w:rFonts w:ascii="Calibri"/>
                <w:sz w:val="14"/>
              </w:rPr>
            </w:r>
          </w:p>
        </w:tc>
        <w:tc>
          <w:tcPr>
            <w:tcW w:w="475" w:type="dxa"/>
            <w:tcBorders>
              <w:top w:val="nil" w:sz="6" w:space="0" w:color="auto"/>
              <w:left w:val="nil" w:sz="6" w:space="0" w:color="auto"/>
              <w:bottom w:val="nil" w:sz="6" w:space="0" w:color="auto"/>
              <w:right w:val="nil" w:sz="6" w:space="0" w:color="auto"/>
            </w:tcBorders>
          </w:tcPr>
          <w:p>
            <w:pPr>
              <w:pStyle w:val="TableParagraph"/>
              <w:tabs>
                <w:tab w:pos="627" w:val="left" w:leader="none"/>
              </w:tabs>
              <w:spacing w:line="240" w:lineRule="auto" w:before="3"/>
              <w:ind w:left="116" w:right="-154"/>
              <w:jc w:val="left"/>
              <w:rPr>
                <w:rFonts w:ascii="Calibri" w:hAnsi="Calibri" w:cs="Calibri" w:eastAsia="Calibri" w:hint="default"/>
                <w:sz w:val="14"/>
                <w:szCs w:val="14"/>
              </w:rPr>
            </w:pPr>
            <w:r>
              <w:rPr>
                <w:rFonts w:ascii="Calibri"/>
                <w:w w:val="99"/>
                <w:sz w:val="14"/>
              </w:rPr>
            </w:r>
            <w:r>
              <w:rPr>
                <w:rFonts w:ascii="Calibri"/>
                <w:sz w:val="14"/>
                <w:u w:val="single" w:color="000000"/>
              </w:rPr>
              <w:t>28%</w:t>
              <w:tab/>
            </w:r>
            <w:r>
              <w:rPr>
                <w:rFonts w:ascii="Calibri"/>
                <w:sz w:val="14"/>
              </w:rPr>
            </w:r>
          </w:p>
        </w:tc>
        <w:tc>
          <w:tcPr>
            <w:tcW w:w="693" w:type="dxa"/>
            <w:tcBorders>
              <w:top w:val="nil" w:sz="6" w:space="0" w:color="auto"/>
              <w:left w:val="nil" w:sz="6" w:space="0" w:color="auto"/>
              <w:bottom w:val="nil" w:sz="6" w:space="0" w:color="auto"/>
              <w:right w:val="nil" w:sz="6" w:space="0" w:color="auto"/>
            </w:tcBorders>
          </w:tcPr>
          <w:p>
            <w:pPr>
              <w:pStyle w:val="TableParagraph"/>
              <w:tabs>
                <w:tab w:pos="830" w:val="left" w:leader="none"/>
              </w:tabs>
              <w:spacing w:line="240" w:lineRule="auto" w:before="3"/>
              <w:ind w:left="153" w:right="-137"/>
              <w:jc w:val="left"/>
              <w:rPr>
                <w:rFonts w:ascii="Calibri" w:hAnsi="Calibri" w:cs="Calibri" w:eastAsia="Calibri" w:hint="default"/>
                <w:sz w:val="14"/>
                <w:szCs w:val="14"/>
              </w:rPr>
            </w:pPr>
            <w:r>
              <w:rPr>
                <w:rFonts w:ascii="Calibri"/>
                <w:w w:val="99"/>
                <w:sz w:val="14"/>
              </w:rPr>
            </w:r>
            <w:r>
              <w:rPr>
                <w:rFonts w:ascii="Calibri"/>
                <w:sz w:val="14"/>
                <w:u w:val="single" w:color="000000"/>
              </w:rPr>
              <w:t>62,155</w:t>
              <w:tab/>
            </w:r>
            <w:r>
              <w:rPr>
                <w:rFonts w:ascii="Calibri"/>
                <w:sz w:val="14"/>
              </w:rPr>
            </w:r>
          </w:p>
        </w:tc>
        <w:tc>
          <w:tcPr>
            <w:tcW w:w="515" w:type="dxa"/>
            <w:tcBorders>
              <w:top w:val="nil" w:sz="6" w:space="0" w:color="auto"/>
              <w:left w:val="nil" w:sz="6" w:space="0" w:color="auto"/>
              <w:bottom w:val="nil" w:sz="6" w:space="0" w:color="auto"/>
              <w:right w:val="nil" w:sz="6" w:space="0" w:color="auto"/>
            </w:tcBorders>
          </w:tcPr>
          <w:p>
            <w:pPr>
              <w:pStyle w:val="TableParagraph"/>
              <w:tabs>
                <w:tab w:pos="667" w:val="left" w:leader="none"/>
              </w:tabs>
              <w:spacing w:line="240" w:lineRule="auto" w:before="3"/>
              <w:ind w:left="136" w:right="-152"/>
              <w:jc w:val="left"/>
              <w:rPr>
                <w:rFonts w:ascii="Calibri" w:hAnsi="Calibri" w:cs="Calibri" w:eastAsia="Calibri" w:hint="default"/>
                <w:sz w:val="14"/>
                <w:szCs w:val="14"/>
              </w:rPr>
            </w:pPr>
            <w:r>
              <w:rPr>
                <w:rFonts w:ascii="Calibri"/>
                <w:w w:val="99"/>
                <w:sz w:val="14"/>
              </w:rPr>
            </w:r>
            <w:r>
              <w:rPr>
                <w:rFonts w:ascii="Calibri"/>
                <w:sz w:val="14"/>
                <w:u w:val="single" w:color="000000"/>
              </w:rPr>
              <w:t>30%</w:t>
              <w:tab/>
            </w:r>
            <w:r>
              <w:rPr>
                <w:rFonts w:ascii="Calibri"/>
                <w:sz w:val="14"/>
              </w:rPr>
            </w:r>
          </w:p>
        </w:tc>
        <w:tc>
          <w:tcPr>
            <w:tcW w:w="692" w:type="dxa"/>
            <w:tcBorders>
              <w:top w:val="nil" w:sz="6" w:space="0" w:color="auto"/>
              <w:left w:val="nil" w:sz="6" w:space="0" w:color="auto"/>
              <w:bottom w:val="nil" w:sz="6" w:space="0" w:color="auto"/>
              <w:right w:val="nil" w:sz="6" w:space="0" w:color="auto"/>
            </w:tcBorders>
          </w:tcPr>
          <w:p>
            <w:pPr>
              <w:pStyle w:val="TableParagraph"/>
              <w:tabs>
                <w:tab w:pos="828" w:val="left" w:leader="none"/>
              </w:tabs>
              <w:spacing w:line="240" w:lineRule="auto" w:before="3"/>
              <w:ind w:left="151" w:right="-137"/>
              <w:jc w:val="left"/>
              <w:rPr>
                <w:rFonts w:ascii="Calibri" w:hAnsi="Calibri" w:cs="Calibri" w:eastAsia="Calibri" w:hint="default"/>
                <w:sz w:val="14"/>
                <w:szCs w:val="14"/>
              </w:rPr>
            </w:pPr>
            <w:r>
              <w:rPr>
                <w:rFonts w:ascii="Calibri"/>
                <w:w w:val="99"/>
                <w:sz w:val="14"/>
              </w:rPr>
            </w:r>
            <w:r>
              <w:rPr>
                <w:rFonts w:ascii="Calibri"/>
                <w:sz w:val="14"/>
                <w:u w:val="single" w:color="000000"/>
              </w:rPr>
              <w:t>27,230</w:t>
              <w:tab/>
            </w:r>
            <w:r>
              <w:rPr>
                <w:rFonts w:ascii="Calibri"/>
                <w:sz w:val="14"/>
              </w:rPr>
            </w:r>
          </w:p>
        </w:tc>
        <w:tc>
          <w:tcPr>
            <w:tcW w:w="515" w:type="dxa"/>
            <w:tcBorders>
              <w:top w:val="nil" w:sz="6" w:space="0" w:color="auto"/>
              <w:left w:val="nil" w:sz="6" w:space="0" w:color="auto"/>
              <w:bottom w:val="nil" w:sz="6" w:space="0" w:color="auto"/>
              <w:right w:val="nil" w:sz="6" w:space="0" w:color="auto"/>
            </w:tcBorders>
          </w:tcPr>
          <w:p>
            <w:pPr>
              <w:pStyle w:val="TableParagraph"/>
              <w:tabs>
                <w:tab w:pos="631" w:val="left" w:leader="none"/>
              </w:tabs>
              <w:spacing w:line="240" w:lineRule="auto" w:before="3"/>
              <w:ind w:left="136" w:right="-116"/>
              <w:jc w:val="left"/>
              <w:rPr>
                <w:rFonts w:ascii="Calibri" w:hAnsi="Calibri" w:cs="Calibri" w:eastAsia="Calibri" w:hint="default"/>
                <w:sz w:val="14"/>
                <w:szCs w:val="14"/>
              </w:rPr>
            </w:pPr>
            <w:r>
              <w:rPr>
                <w:rFonts w:ascii="Calibri"/>
                <w:w w:val="99"/>
                <w:sz w:val="14"/>
              </w:rPr>
            </w:r>
            <w:r>
              <w:rPr>
                <w:rFonts w:ascii="Calibri"/>
                <w:sz w:val="14"/>
                <w:u w:val="single" w:color="000000"/>
              </w:rPr>
              <w:t>18%</w:t>
              <w:tab/>
            </w:r>
            <w:r>
              <w:rPr>
                <w:rFonts w:ascii="Calibri"/>
                <w:sz w:val="14"/>
              </w:rPr>
            </w:r>
          </w:p>
        </w:tc>
        <w:tc>
          <w:tcPr>
            <w:tcW w:w="699" w:type="dxa"/>
            <w:tcBorders>
              <w:top w:val="nil" w:sz="6" w:space="0" w:color="auto"/>
              <w:left w:val="nil" w:sz="6" w:space="0" w:color="auto"/>
              <w:bottom w:val="nil" w:sz="6" w:space="0" w:color="auto"/>
              <w:right w:val="nil" w:sz="6" w:space="0" w:color="auto"/>
            </w:tcBorders>
          </w:tcPr>
          <w:p>
            <w:pPr>
              <w:pStyle w:val="TableParagraph"/>
              <w:tabs>
                <w:tab w:pos="843" w:val="left" w:leader="none"/>
              </w:tabs>
              <w:spacing w:line="240" w:lineRule="auto" w:before="37"/>
              <w:ind w:left="115" w:right="-145"/>
              <w:jc w:val="left"/>
              <w:rPr>
                <w:rFonts w:ascii="Calibri" w:hAnsi="Calibri" w:cs="Calibri" w:eastAsia="Calibri" w:hint="default"/>
                <w:sz w:val="14"/>
                <w:szCs w:val="14"/>
              </w:rPr>
            </w:pPr>
            <w:r>
              <w:rPr>
                <w:rFonts w:ascii="Calibri"/>
                <w:w w:val="99"/>
                <w:sz w:val="14"/>
              </w:rPr>
            </w:r>
            <w:r>
              <w:rPr>
                <w:rFonts w:ascii="Calibri"/>
                <w:sz w:val="14"/>
                <w:u w:val="single" w:color="000000"/>
              </w:rPr>
              <w:t>142,329</w:t>
              <w:tab/>
            </w:r>
            <w:r>
              <w:rPr>
                <w:rFonts w:ascii="Calibri"/>
                <w:sz w:val="14"/>
              </w:rPr>
            </w:r>
          </w:p>
        </w:tc>
        <w:tc>
          <w:tcPr>
            <w:tcW w:w="530" w:type="dxa"/>
            <w:tcBorders>
              <w:top w:val="nil" w:sz="6" w:space="0" w:color="auto"/>
              <w:left w:val="nil" w:sz="6" w:space="0" w:color="auto"/>
              <w:bottom w:val="nil" w:sz="6" w:space="0" w:color="auto"/>
              <w:right w:val="nil" w:sz="6" w:space="0" w:color="auto"/>
            </w:tcBorders>
          </w:tcPr>
          <w:p>
            <w:pPr>
              <w:pStyle w:val="TableParagraph"/>
              <w:tabs>
                <w:tab w:pos="653" w:val="left" w:leader="none"/>
              </w:tabs>
              <w:spacing w:line="240" w:lineRule="auto" w:before="3"/>
              <w:ind w:left="144" w:right="-124"/>
              <w:jc w:val="left"/>
              <w:rPr>
                <w:rFonts w:ascii="Calibri" w:hAnsi="Calibri" w:cs="Calibri" w:eastAsia="Calibri" w:hint="default"/>
                <w:sz w:val="14"/>
                <w:szCs w:val="14"/>
              </w:rPr>
            </w:pPr>
            <w:r>
              <w:rPr>
                <w:rFonts w:ascii="Calibri"/>
                <w:w w:val="99"/>
                <w:sz w:val="14"/>
              </w:rPr>
            </w:r>
            <w:r>
              <w:rPr>
                <w:rFonts w:ascii="Calibri"/>
                <w:sz w:val="14"/>
                <w:u w:val="single" w:color="000000"/>
              </w:rPr>
              <w:t>17%</w:t>
              <w:tab/>
            </w:r>
            <w:r>
              <w:rPr>
                <w:rFonts w:ascii="Calibri"/>
                <w:sz w:val="14"/>
              </w:rPr>
            </w:r>
          </w:p>
        </w:tc>
        <w:tc>
          <w:tcPr>
            <w:tcW w:w="702" w:type="dxa"/>
            <w:tcBorders>
              <w:top w:val="nil" w:sz="6" w:space="0" w:color="auto"/>
              <w:left w:val="nil" w:sz="6" w:space="0" w:color="auto"/>
              <w:bottom w:val="nil" w:sz="6" w:space="0" w:color="auto"/>
              <w:right w:val="nil" w:sz="6" w:space="0" w:color="auto"/>
            </w:tcBorders>
          </w:tcPr>
          <w:p>
            <w:pPr>
              <w:pStyle w:val="TableParagraph"/>
              <w:tabs>
                <w:tab w:pos="855" w:val="left" w:leader="none"/>
              </w:tabs>
              <w:spacing w:line="240" w:lineRule="auto" w:before="37"/>
              <w:ind w:left="123" w:right="-154"/>
              <w:jc w:val="left"/>
              <w:rPr>
                <w:rFonts w:ascii="Calibri" w:hAnsi="Calibri" w:cs="Calibri" w:eastAsia="Calibri" w:hint="default"/>
                <w:sz w:val="14"/>
                <w:szCs w:val="14"/>
              </w:rPr>
            </w:pPr>
            <w:r>
              <w:rPr>
                <w:rFonts w:ascii="Calibri"/>
                <w:w w:val="99"/>
                <w:sz w:val="14"/>
              </w:rPr>
            </w:r>
            <w:r>
              <w:rPr>
                <w:rFonts w:ascii="Calibri"/>
                <w:sz w:val="14"/>
                <w:u w:val="single" w:color="000000"/>
              </w:rPr>
              <w:t>440,093</w:t>
              <w:tab/>
            </w:r>
            <w:r>
              <w:rPr>
                <w:rFonts w:ascii="Calibri"/>
                <w:sz w:val="14"/>
              </w:rPr>
            </w:r>
          </w:p>
        </w:tc>
        <w:tc>
          <w:tcPr>
            <w:tcW w:w="475" w:type="dxa"/>
            <w:tcBorders>
              <w:top w:val="nil" w:sz="6" w:space="0" w:color="auto"/>
              <w:left w:val="nil" w:sz="6" w:space="0" w:color="auto"/>
              <w:bottom w:val="nil" w:sz="6" w:space="0" w:color="auto"/>
              <w:right w:val="nil" w:sz="6" w:space="0" w:color="auto"/>
            </w:tcBorders>
          </w:tcPr>
          <w:p>
            <w:pPr>
              <w:pStyle w:val="TableParagraph"/>
              <w:tabs>
                <w:tab w:pos="475" w:val="left" w:leader="none"/>
              </w:tabs>
              <w:spacing w:line="240" w:lineRule="auto" w:before="3"/>
              <w:ind w:left="153" w:right="-1"/>
              <w:jc w:val="left"/>
              <w:rPr>
                <w:rFonts w:ascii="Calibri" w:hAnsi="Calibri" w:cs="Calibri" w:eastAsia="Calibri" w:hint="default"/>
                <w:sz w:val="14"/>
                <w:szCs w:val="14"/>
              </w:rPr>
            </w:pPr>
            <w:r>
              <w:rPr>
                <w:rFonts w:ascii="Calibri"/>
                <w:w w:val="99"/>
                <w:sz w:val="14"/>
              </w:rPr>
            </w:r>
            <w:r>
              <w:rPr>
                <w:rFonts w:ascii="Calibri"/>
                <w:sz w:val="14"/>
                <w:u w:val="single" w:color="000000"/>
              </w:rPr>
              <w:t>5%</w:t>
              <w:tab/>
            </w:r>
            <w:r>
              <w:rPr>
                <w:rFonts w:ascii="Calibri"/>
                <w:sz w:val="14"/>
              </w:rPr>
            </w:r>
          </w:p>
        </w:tc>
      </w:tr>
    </w:tbl>
    <w:p>
      <w:pPr>
        <w:spacing w:line="240" w:lineRule="auto" w:before="3"/>
        <w:ind w:right="0"/>
        <w:rPr>
          <w:rFonts w:ascii="Calibri" w:hAnsi="Calibri" w:cs="Calibri" w:eastAsia="Calibri" w:hint="default"/>
          <w:b/>
          <w:bCs/>
          <w:sz w:val="16"/>
          <w:szCs w:val="16"/>
        </w:rPr>
      </w:pPr>
    </w:p>
    <w:p>
      <w:pPr>
        <w:pStyle w:val="BodyText"/>
        <w:spacing w:line="240" w:lineRule="auto" w:before="59"/>
        <w:ind w:right="1435"/>
        <w:jc w:val="left"/>
        <w:rPr>
          <w:sz w:val="12"/>
          <w:szCs w:val="12"/>
        </w:rPr>
      </w:pPr>
      <w:r>
        <w:rPr/>
        <w:t>The DPITS conducted an exit survey during the months of January </w:t>
      </w:r>
      <w:r>
        <w:rPr>
          <w:rFonts w:ascii="Calibri" w:hAnsi="Calibri" w:cs="Calibri" w:eastAsia="Calibri" w:hint="default"/>
        </w:rPr>
        <w:t>– </w:t>
      </w:r>
      <w:r>
        <w:rPr/>
        <w:t>April, 2015 at the Hato Airport in Curaçao. A total</w:t>
      </w:r>
      <w:r>
        <w:rPr>
          <w:spacing w:val="-6"/>
        </w:rPr>
        <w:t> </w:t>
      </w:r>
      <w:r>
        <w:rPr/>
        <w:t>of</w:t>
      </w:r>
      <w:r>
        <w:rPr>
          <w:spacing w:val="-6"/>
        </w:rPr>
        <w:t> </w:t>
      </w:r>
      <w:r>
        <w:rPr/>
        <w:t>1,701</w:t>
      </w:r>
      <w:r>
        <w:rPr>
          <w:spacing w:val="-4"/>
        </w:rPr>
        <w:t> </w:t>
      </w:r>
      <w:r>
        <w:rPr/>
        <w:t>exit</w:t>
      </w:r>
      <w:r>
        <w:rPr>
          <w:spacing w:val="-4"/>
        </w:rPr>
        <w:t> </w:t>
      </w:r>
      <w:r>
        <w:rPr/>
        <w:t>surveys</w:t>
      </w:r>
      <w:r>
        <w:rPr>
          <w:spacing w:val="-6"/>
        </w:rPr>
        <w:t> </w:t>
      </w:r>
      <w:r>
        <w:rPr/>
        <w:t>were</w:t>
      </w:r>
      <w:r>
        <w:rPr>
          <w:spacing w:val="-6"/>
        </w:rPr>
        <w:t> </w:t>
      </w:r>
      <w:r>
        <w:rPr/>
        <w:t>collected.</w:t>
      </w:r>
      <w:r>
        <w:rPr>
          <w:spacing w:val="-3"/>
        </w:rPr>
        <w:t> </w:t>
      </w:r>
      <w:r>
        <w:rPr/>
        <w:t>The</w:t>
      </w:r>
      <w:r>
        <w:rPr>
          <w:spacing w:val="-5"/>
        </w:rPr>
        <w:t> </w:t>
      </w:r>
      <w:r>
        <w:rPr/>
        <w:t>respondents</w:t>
      </w:r>
      <w:r>
        <w:rPr>
          <w:spacing w:val="-6"/>
        </w:rPr>
        <w:t> </w:t>
      </w:r>
      <w:r>
        <w:rPr/>
        <w:t>indicated</w:t>
      </w:r>
      <w:r>
        <w:rPr>
          <w:spacing w:val="-5"/>
        </w:rPr>
        <w:t> </w:t>
      </w:r>
      <w:r>
        <w:rPr/>
        <w:t>that</w:t>
      </w:r>
      <w:r>
        <w:rPr>
          <w:spacing w:val="-5"/>
        </w:rPr>
        <w:t> </w:t>
      </w:r>
      <w:r>
        <w:rPr/>
        <w:t>58%</w:t>
      </w:r>
      <w:r>
        <w:rPr>
          <w:spacing w:val="-5"/>
        </w:rPr>
        <w:t> </w:t>
      </w:r>
      <w:r>
        <w:rPr/>
        <w:t>stayed</w:t>
      </w:r>
      <w:r>
        <w:rPr>
          <w:spacing w:val="-5"/>
        </w:rPr>
        <w:t> </w:t>
      </w:r>
      <w:r>
        <w:rPr/>
        <w:t>in</w:t>
      </w:r>
      <w:r>
        <w:rPr>
          <w:spacing w:val="-5"/>
        </w:rPr>
        <w:t> </w:t>
      </w:r>
      <w:r>
        <w:rPr/>
        <w:t>hotels,</w:t>
      </w:r>
      <w:r>
        <w:rPr>
          <w:spacing w:val="-3"/>
        </w:rPr>
        <w:t> </w:t>
      </w:r>
      <w:r>
        <w:rPr/>
        <w:t>while</w:t>
      </w:r>
      <w:r>
        <w:rPr>
          <w:spacing w:val="-6"/>
        </w:rPr>
        <w:t> </w:t>
      </w:r>
      <w:r>
        <w:rPr/>
        <w:t>42%</w:t>
      </w:r>
      <w:r>
        <w:rPr>
          <w:spacing w:val="-5"/>
        </w:rPr>
        <w:t> </w:t>
      </w:r>
      <w:r>
        <w:rPr/>
        <w:t>stayed</w:t>
      </w:r>
      <w:r>
        <w:rPr>
          <w:spacing w:val="-5"/>
        </w:rPr>
        <w:t> </w:t>
      </w:r>
      <w:r>
        <w:rPr/>
        <w:t>in </w:t>
      </w:r>
      <w:r>
        <w:rPr/>
        <w:t>non-hotels (i.e., with friends and relatives, in apartments, or in private homes). Table 10 displays the distribution of hotel stays versus non-hotel stays for each primary market segment (Netherlands, Venezuela/Colombia, and USA). According</w:t>
      </w:r>
      <w:r>
        <w:rPr>
          <w:spacing w:val="-7"/>
        </w:rPr>
        <w:t> </w:t>
      </w:r>
      <w:r>
        <w:rPr/>
        <w:t>to</w:t>
      </w:r>
      <w:r>
        <w:rPr>
          <w:spacing w:val="-6"/>
        </w:rPr>
        <w:t> </w:t>
      </w:r>
      <w:r>
        <w:rPr/>
        <w:t>the</w:t>
      </w:r>
      <w:r>
        <w:rPr>
          <w:spacing w:val="-5"/>
        </w:rPr>
        <w:t> </w:t>
      </w:r>
      <w:r>
        <w:rPr/>
        <w:t>distribution</w:t>
      </w:r>
      <w:r>
        <w:rPr>
          <w:spacing w:val="-6"/>
        </w:rPr>
        <w:t> </w:t>
      </w:r>
      <w:r>
        <w:rPr/>
        <w:t>in</w:t>
      </w:r>
      <w:r>
        <w:rPr>
          <w:spacing w:val="-6"/>
        </w:rPr>
        <w:t> </w:t>
      </w:r>
      <w:r>
        <w:rPr/>
        <w:t>Table</w:t>
      </w:r>
      <w:r>
        <w:rPr>
          <w:spacing w:val="-5"/>
        </w:rPr>
        <w:t> </w:t>
      </w:r>
      <w:r>
        <w:rPr/>
        <w:t>10,</w:t>
      </w:r>
      <w:r>
        <w:rPr>
          <w:spacing w:val="32"/>
        </w:rPr>
        <w:t> </w:t>
      </w:r>
      <w:r>
        <w:rPr/>
        <w:t>the</w:t>
      </w:r>
      <w:r>
        <w:rPr>
          <w:spacing w:val="-5"/>
        </w:rPr>
        <w:t> </w:t>
      </w:r>
      <w:r>
        <w:rPr/>
        <w:t>American</w:t>
      </w:r>
      <w:r>
        <w:rPr>
          <w:spacing w:val="-6"/>
        </w:rPr>
        <w:t> </w:t>
      </w:r>
      <w:r>
        <w:rPr/>
        <w:t>tourists</w:t>
      </w:r>
      <w:r>
        <w:rPr>
          <w:spacing w:val="-5"/>
        </w:rPr>
        <w:t> </w:t>
      </w:r>
      <w:r>
        <w:rPr/>
        <w:t>demonstrate</w:t>
      </w:r>
      <w:r>
        <w:rPr>
          <w:spacing w:val="-7"/>
        </w:rPr>
        <w:t> </w:t>
      </w:r>
      <w:r>
        <w:rPr/>
        <w:t>a</w:t>
      </w:r>
      <w:r>
        <w:rPr>
          <w:spacing w:val="-4"/>
        </w:rPr>
        <w:t> </w:t>
      </w:r>
      <w:r>
        <w:rPr/>
        <w:t>clear</w:t>
      </w:r>
      <w:r>
        <w:rPr>
          <w:spacing w:val="-4"/>
        </w:rPr>
        <w:t> </w:t>
      </w:r>
      <w:r>
        <w:rPr/>
        <w:t>preference</w:t>
      </w:r>
      <w:r>
        <w:rPr>
          <w:spacing w:val="-5"/>
        </w:rPr>
        <w:t> </w:t>
      </w:r>
      <w:r>
        <w:rPr/>
        <w:t>for</w:t>
      </w:r>
      <w:r>
        <w:rPr>
          <w:spacing w:val="-4"/>
        </w:rPr>
        <w:t> </w:t>
      </w:r>
      <w:r>
        <w:rPr/>
        <w:t>staying</w:t>
      </w:r>
      <w:r>
        <w:rPr>
          <w:spacing w:val="-7"/>
        </w:rPr>
        <w:t> </w:t>
      </w:r>
      <w:r>
        <w:rPr/>
        <w:t>in</w:t>
      </w:r>
      <w:r>
        <w:rPr>
          <w:spacing w:val="-6"/>
        </w:rPr>
        <w:t> </w:t>
      </w:r>
      <w:r>
        <w:rPr/>
        <w:t>hotels </w:t>
      </w:r>
      <w:r>
        <w:rPr/>
        <w:t>(i.e., approximately eight of every ten American tourists) compared to, for example, less than five out of ten Dutch tourists who stay in hotels. This result is similar to what the DPITS found in a study conducted in 2010 for Curaçao, where nearly nine out of ten American tourists stayed in</w:t>
      </w:r>
      <w:r>
        <w:rPr>
          <w:spacing w:val="-21"/>
        </w:rPr>
        <w:t> </w:t>
      </w:r>
      <w:r>
        <w:rPr/>
        <w:t>hotels.</w:t>
      </w:r>
      <w:r>
        <w:rPr>
          <w:position w:val="5"/>
          <w:sz w:val="12"/>
          <w:szCs w:val="12"/>
        </w:rPr>
        <w:t>21</w:t>
      </w:r>
      <w:r>
        <w:rPr>
          <w:sz w:val="12"/>
          <w:szCs w:val="12"/>
        </w:rPr>
      </w:r>
    </w:p>
    <w:p>
      <w:pPr>
        <w:spacing w:line="240" w:lineRule="auto" w:before="1"/>
        <w:ind w:right="0"/>
        <w:rPr>
          <w:rFonts w:ascii="Calibri" w:hAnsi="Calibri" w:cs="Calibri" w:eastAsia="Calibri" w:hint="default"/>
          <w:sz w:val="20"/>
          <w:szCs w:val="20"/>
        </w:rPr>
      </w:pPr>
    </w:p>
    <w:p>
      <w:pPr>
        <w:pStyle w:val="Heading9"/>
        <w:tabs>
          <w:tab w:pos="4618" w:val="left" w:leader="none"/>
          <w:tab w:pos="10727" w:val="left" w:leader="none"/>
        </w:tabs>
        <w:spacing w:line="240" w:lineRule="auto" w:after="51"/>
        <w:ind w:left="1514" w:right="0"/>
        <w:jc w:val="left"/>
        <w:rPr>
          <w:b w:val="0"/>
          <w:bCs w:val="0"/>
        </w:rPr>
      </w:pPr>
      <w:bookmarkStart w:name="_bookmark48" w:id="49"/>
      <w:bookmarkEnd w:id="49"/>
      <w:r>
        <w:rPr>
          <w:b w:val="0"/>
        </w:rPr>
      </w:r>
      <w:r>
        <w:rPr>
          <w:w w:val="99"/>
        </w:rPr>
      </w:r>
      <w:r>
        <w:rPr>
          <w:w w:val="99"/>
          <w:u w:val="single" w:color="000000"/>
        </w:rPr>
        <w:t> </w:t>
      </w:r>
      <w:r>
        <w:rPr>
          <w:u w:val="single" w:color="000000"/>
        </w:rPr>
        <w:tab/>
        <w:t>Table 10:  Distribution of hotel</w:t>
      </w:r>
      <w:r>
        <w:rPr>
          <w:spacing w:val="-18"/>
          <w:u w:val="single" w:color="000000"/>
        </w:rPr>
        <w:t> </w:t>
      </w:r>
      <w:r>
        <w:rPr>
          <w:u w:val="single" w:color="000000"/>
        </w:rPr>
        <w:t>stays</w:t>
        <w:tab/>
      </w:r>
      <w:r>
        <w:rPr/>
      </w:r>
      <w:r>
        <w:rPr>
          <w:b w:val="0"/>
        </w:rPr>
      </w:r>
    </w:p>
    <w:tbl>
      <w:tblPr>
        <w:tblW w:w="0" w:type="auto"/>
        <w:jc w:val="left"/>
        <w:tblInd w:w="1514" w:type="dxa"/>
        <w:tblLayout w:type="fixed"/>
        <w:tblCellMar>
          <w:top w:w="0" w:type="dxa"/>
          <w:left w:w="0" w:type="dxa"/>
          <w:bottom w:w="0" w:type="dxa"/>
          <w:right w:w="0" w:type="dxa"/>
        </w:tblCellMar>
        <w:tblLook w:val="01E0"/>
      </w:tblPr>
      <w:tblGrid>
        <w:gridCol w:w="4099"/>
        <w:gridCol w:w="5113"/>
      </w:tblGrid>
      <w:tr>
        <w:trPr>
          <w:trHeight w:val="207" w:hRule="exact"/>
        </w:trPr>
        <w:tc>
          <w:tcPr>
            <w:tcW w:w="4099" w:type="dxa"/>
            <w:tcBorders>
              <w:top w:val="nil" w:sz="6" w:space="0" w:color="auto"/>
              <w:left w:val="nil" w:sz="6" w:space="0" w:color="auto"/>
              <w:bottom w:val="single" w:sz="4" w:space="0" w:color="000000"/>
              <w:right w:val="nil" w:sz="6" w:space="0" w:color="auto"/>
            </w:tcBorders>
          </w:tcPr>
          <w:p>
            <w:pPr>
              <w:pStyle w:val="TableParagraph"/>
              <w:spacing w:line="203" w:lineRule="exact"/>
              <w:ind w:left="388" w:right="0"/>
              <w:jc w:val="left"/>
              <w:rPr>
                <w:rFonts w:ascii="Calibri" w:hAnsi="Calibri" w:cs="Calibri" w:eastAsia="Calibri" w:hint="default"/>
                <w:sz w:val="20"/>
                <w:szCs w:val="20"/>
              </w:rPr>
            </w:pPr>
            <w:r>
              <w:rPr>
                <w:rFonts w:ascii="Calibri"/>
                <w:b/>
                <w:sz w:val="20"/>
              </w:rPr>
              <w:t>Country</w:t>
            </w:r>
            <w:r>
              <w:rPr>
                <w:rFonts w:ascii="Calibri"/>
                <w:sz w:val="20"/>
              </w:rPr>
            </w:r>
          </w:p>
        </w:tc>
        <w:tc>
          <w:tcPr>
            <w:tcW w:w="5113" w:type="dxa"/>
            <w:tcBorders>
              <w:top w:val="nil" w:sz="6" w:space="0" w:color="auto"/>
              <w:left w:val="nil" w:sz="6" w:space="0" w:color="auto"/>
              <w:bottom w:val="single" w:sz="4" w:space="0" w:color="000000"/>
              <w:right w:val="nil" w:sz="6" w:space="0" w:color="auto"/>
            </w:tcBorders>
          </w:tcPr>
          <w:p>
            <w:pPr>
              <w:pStyle w:val="TableParagraph"/>
              <w:spacing w:line="203" w:lineRule="exact"/>
              <w:ind w:left="707" w:right="0"/>
              <w:jc w:val="center"/>
              <w:rPr>
                <w:rFonts w:ascii="Calibri" w:hAnsi="Calibri" w:cs="Calibri" w:eastAsia="Calibri" w:hint="default"/>
                <w:sz w:val="20"/>
                <w:szCs w:val="20"/>
              </w:rPr>
            </w:pPr>
            <w:r>
              <w:rPr>
                <w:rFonts w:ascii="Calibri"/>
                <w:b/>
                <w:sz w:val="20"/>
              </w:rPr>
              <w:t>Stay in</w:t>
            </w:r>
            <w:r>
              <w:rPr>
                <w:rFonts w:ascii="Calibri"/>
                <w:b/>
                <w:spacing w:val="-7"/>
                <w:sz w:val="20"/>
              </w:rPr>
              <w:t> </w:t>
            </w:r>
            <w:r>
              <w:rPr>
                <w:rFonts w:ascii="Calibri"/>
                <w:b/>
                <w:sz w:val="20"/>
              </w:rPr>
              <w:t>Hotels</w:t>
            </w:r>
            <w:r>
              <w:rPr>
                <w:rFonts w:ascii="Calibri"/>
                <w:sz w:val="20"/>
              </w:rPr>
            </w:r>
          </w:p>
        </w:tc>
      </w:tr>
      <w:tr>
        <w:trPr>
          <w:trHeight w:val="268" w:hRule="exact"/>
        </w:trPr>
        <w:tc>
          <w:tcPr>
            <w:tcW w:w="4099"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69" w:right="0"/>
              <w:jc w:val="left"/>
              <w:rPr>
                <w:rFonts w:ascii="Calibri" w:hAnsi="Calibri" w:cs="Calibri" w:eastAsia="Calibri" w:hint="default"/>
                <w:sz w:val="20"/>
                <w:szCs w:val="20"/>
              </w:rPr>
            </w:pPr>
            <w:r>
              <w:rPr>
                <w:rFonts w:ascii="Calibri"/>
                <w:sz w:val="20"/>
              </w:rPr>
              <w:t>Netherlands</w:t>
            </w:r>
          </w:p>
        </w:tc>
        <w:tc>
          <w:tcPr>
            <w:tcW w:w="5113"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708" w:right="0"/>
              <w:jc w:val="center"/>
              <w:rPr>
                <w:rFonts w:ascii="Calibri" w:hAnsi="Calibri" w:cs="Calibri" w:eastAsia="Calibri" w:hint="default"/>
                <w:sz w:val="20"/>
                <w:szCs w:val="20"/>
              </w:rPr>
            </w:pPr>
            <w:r>
              <w:rPr>
                <w:rFonts w:ascii="Calibri"/>
                <w:sz w:val="20"/>
              </w:rPr>
              <w:t>46%</w:t>
            </w:r>
          </w:p>
        </w:tc>
      </w:tr>
      <w:tr>
        <w:trPr>
          <w:trHeight w:val="244" w:hRule="exact"/>
        </w:trPr>
        <w:tc>
          <w:tcPr>
            <w:tcW w:w="4099" w:type="dxa"/>
            <w:tcBorders>
              <w:top w:val="nil" w:sz="6" w:space="0" w:color="auto"/>
              <w:left w:val="nil" w:sz="6" w:space="0" w:color="auto"/>
              <w:bottom w:val="nil" w:sz="6" w:space="0" w:color="auto"/>
              <w:right w:val="nil" w:sz="6" w:space="0" w:color="auto"/>
            </w:tcBorders>
          </w:tcPr>
          <w:p>
            <w:pPr>
              <w:pStyle w:val="TableParagraph"/>
              <w:spacing w:line="225" w:lineRule="exact"/>
              <w:ind w:left="69" w:right="0"/>
              <w:jc w:val="left"/>
              <w:rPr>
                <w:rFonts w:ascii="Calibri" w:hAnsi="Calibri" w:cs="Calibri" w:eastAsia="Calibri" w:hint="default"/>
                <w:sz w:val="20"/>
                <w:szCs w:val="20"/>
              </w:rPr>
            </w:pPr>
            <w:r>
              <w:rPr>
                <w:rFonts w:ascii="Calibri"/>
                <w:sz w:val="20"/>
              </w:rPr>
              <w:t>Venezuela/Colombia</w:t>
            </w:r>
          </w:p>
        </w:tc>
        <w:tc>
          <w:tcPr>
            <w:tcW w:w="5113" w:type="dxa"/>
            <w:tcBorders>
              <w:top w:val="nil" w:sz="6" w:space="0" w:color="auto"/>
              <w:left w:val="nil" w:sz="6" w:space="0" w:color="auto"/>
              <w:bottom w:val="nil" w:sz="6" w:space="0" w:color="auto"/>
              <w:right w:val="nil" w:sz="6" w:space="0" w:color="auto"/>
            </w:tcBorders>
          </w:tcPr>
          <w:p>
            <w:pPr>
              <w:pStyle w:val="TableParagraph"/>
              <w:spacing w:line="225" w:lineRule="exact"/>
              <w:ind w:left="708" w:right="0"/>
              <w:jc w:val="center"/>
              <w:rPr>
                <w:rFonts w:ascii="Calibri" w:hAnsi="Calibri" w:cs="Calibri" w:eastAsia="Calibri" w:hint="default"/>
                <w:sz w:val="20"/>
                <w:szCs w:val="20"/>
              </w:rPr>
            </w:pPr>
            <w:r>
              <w:rPr>
                <w:rFonts w:ascii="Calibri"/>
                <w:sz w:val="20"/>
              </w:rPr>
              <w:t>52%</w:t>
            </w:r>
          </w:p>
        </w:tc>
      </w:tr>
      <w:tr>
        <w:trPr>
          <w:trHeight w:val="245" w:hRule="exact"/>
        </w:trPr>
        <w:tc>
          <w:tcPr>
            <w:tcW w:w="4099"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USA</w:t>
            </w:r>
          </w:p>
        </w:tc>
        <w:tc>
          <w:tcPr>
            <w:tcW w:w="5113" w:type="dxa"/>
            <w:tcBorders>
              <w:top w:val="nil" w:sz="6" w:space="0" w:color="auto"/>
              <w:left w:val="nil" w:sz="6" w:space="0" w:color="auto"/>
              <w:bottom w:val="nil" w:sz="6" w:space="0" w:color="auto"/>
              <w:right w:val="nil" w:sz="6" w:space="0" w:color="auto"/>
            </w:tcBorders>
          </w:tcPr>
          <w:p>
            <w:pPr>
              <w:pStyle w:val="TableParagraph"/>
              <w:spacing w:line="226" w:lineRule="exact"/>
              <w:ind w:left="708" w:right="0"/>
              <w:jc w:val="center"/>
              <w:rPr>
                <w:rFonts w:ascii="Calibri" w:hAnsi="Calibri" w:cs="Calibri" w:eastAsia="Calibri" w:hint="default"/>
                <w:sz w:val="20"/>
                <w:szCs w:val="20"/>
              </w:rPr>
            </w:pPr>
            <w:r>
              <w:rPr>
                <w:rFonts w:ascii="Calibri"/>
                <w:sz w:val="20"/>
              </w:rPr>
              <w:t>79%</w:t>
            </w:r>
          </w:p>
        </w:tc>
      </w:tr>
      <w:tr>
        <w:trPr>
          <w:trHeight w:val="232" w:hRule="exact"/>
        </w:trPr>
        <w:tc>
          <w:tcPr>
            <w:tcW w:w="4099" w:type="dxa"/>
            <w:tcBorders>
              <w:top w:val="nil" w:sz="6" w:space="0" w:color="auto"/>
              <w:left w:val="nil" w:sz="6" w:space="0" w:color="auto"/>
              <w:bottom w:val="single" w:sz="4" w:space="0" w:color="000000"/>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Others</w:t>
            </w:r>
          </w:p>
        </w:tc>
        <w:tc>
          <w:tcPr>
            <w:tcW w:w="5113" w:type="dxa"/>
            <w:tcBorders>
              <w:top w:val="nil" w:sz="6" w:space="0" w:color="auto"/>
              <w:left w:val="nil" w:sz="6" w:space="0" w:color="auto"/>
              <w:bottom w:val="single" w:sz="4" w:space="0" w:color="000000"/>
              <w:right w:val="nil" w:sz="6" w:space="0" w:color="auto"/>
            </w:tcBorders>
          </w:tcPr>
          <w:p>
            <w:pPr>
              <w:pStyle w:val="TableParagraph"/>
              <w:spacing w:line="226" w:lineRule="exact"/>
              <w:ind w:left="708" w:right="0"/>
              <w:jc w:val="center"/>
              <w:rPr>
                <w:rFonts w:ascii="Calibri" w:hAnsi="Calibri" w:cs="Calibri" w:eastAsia="Calibri" w:hint="default"/>
                <w:sz w:val="20"/>
                <w:szCs w:val="20"/>
              </w:rPr>
            </w:pPr>
            <w:r>
              <w:rPr>
                <w:rFonts w:ascii="Calibri"/>
                <w:sz w:val="20"/>
              </w:rPr>
              <w:t>81%</w:t>
            </w:r>
          </w:p>
        </w:tc>
      </w:tr>
    </w:tbl>
    <w:p>
      <w:pPr>
        <w:spacing w:line="240" w:lineRule="auto" w:before="0"/>
        <w:ind w:right="0"/>
        <w:rPr>
          <w:rFonts w:ascii="Calibri" w:hAnsi="Calibri" w:cs="Calibri" w:eastAsia="Calibri" w:hint="default"/>
          <w:b/>
          <w:bCs/>
          <w:sz w:val="15"/>
          <w:szCs w:val="15"/>
        </w:rPr>
      </w:pPr>
    </w:p>
    <w:p>
      <w:pPr>
        <w:pStyle w:val="BodyText"/>
        <w:spacing w:line="240" w:lineRule="auto" w:before="59"/>
        <w:ind w:right="1437"/>
        <w:jc w:val="both"/>
      </w:pPr>
      <w:r>
        <w:rPr/>
        <w:t>An important observation needs to be made from the information displayed in Tables 11 and 12. That is, tourists staying in hotels are likely to spend more money per day when compared to tourists who stay in non-hotels. This spending</w:t>
      </w:r>
      <w:r>
        <w:rPr>
          <w:spacing w:val="23"/>
        </w:rPr>
        <w:t> </w:t>
      </w:r>
      <w:r>
        <w:rPr/>
        <w:t>behavior</w:t>
      </w:r>
      <w:r>
        <w:rPr>
          <w:spacing w:val="25"/>
        </w:rPr>
        <w:t> </w:t>
      </w:r>
      <w:r>
        <w:rPr/>
        <w:t>was</w:t>
      </w:r>
      <w:r>
        <w:rPr>
          <w:spacing w:val="24"/>
        </w:rPr>
        <w:t> </w:t>
      </w:r>
      <w:r>
        <w:rPr/>
        <w:t>also</w:t>
      </w:r>
      <w:r>
        <w:rPr>
          <w:spacing w:val="24"/>
        </w:rPr>
        <w:t> </w:t>
      </w:r>
      <w:r>
        <w:rPr/>
        <w:t>revealed</w:t>
      </w:r>
      <w:r>
        <w:rPr>
          <w:spacing w:val="24"/>
        </w:rPr>
        <w:t> </w:t>
      </w:r>
      <w:r>
        <w:rPr/>
        <w:t>in</w:t>
      </w:r>
      <w:r>
        <w:rPr>
          <w:spacing w:val="23"/>
        </w:rPr>
        <w:t> </w:t>
      </w:r>
      <w:r>
        <w:rPr/>
        <w:t>the</w:t>
      </w:r>
      <w:r>
        <w:rPr>
          <w:spacing w:val="22"/>
        </w:rPr>
        <w:t> </w:t>
      </w:r>
      <w:r>
        <w:rPr/>
        <w:t>DPITS</w:t>
      </w:r>
      <w:r>
        <w:rPr>
          <w:spacing w:val="23"/>
        </w:rPr>
        <w:t> </w:t>
      </w:r>
      <w:r>
        <w:rPr/>
        <w:t>study</w:t>
      </w:r>
      <w:r>
        <w:rPr>
          <w:spacing w:val="27"/>
        </w:rPr>
        <w:t> </w:t>
      </w:r>
      <w:r>
        <w:rPr/>
        <w:t>for</w:t>
      </w:r>
      <w:r>
        <w:rPr>
          <w:spacing w:val="23"/>
        </w:rPr>
        <w:t> </w:t>
      </w:r>
      <w:r>
        <w:rPr/>
        <w:t>Curaçao</w:t>
      </w:r>
      <w:r>
        <w:rPr>
          <w:spacing w:val="25"/>
        </w:rPr>
        <w:t> </w:t>
      </w:r>
      <w:r>
        <w:rPr/>
        <w:t>in</w:t>
      </w:r>
      <w:r>
        <w:rPr>
          <w:spacing w:val="23"/>
        </w:rPr>
        <w:t> </w:t>
      </w:r>
      <w:r>
        <w:rPr/>
        <w:t>2010.</w:t>
      </w:r>
      <w:r>
        <w:rPr>
          <w:position w:val="5"/>
          <w:sz w:val="12"/>
        </w:rPr>
        <w:t>22    </w:t>
      </w:r>
      <w:r>
        <w:rPr>
          <w:spacing w:val="2"/>
          <w:position w:val="5"/>
          <w:sz w:val="12"/>
        </w:rPr>
        <w:t> </w:t>
      </w:r>
      <w:r>
        <w:rPr/>
        <w:t>This</w:t>
      </w:r>
      <w:r>
        <w:rPr>
          <w:spacing w:val="21"/>
        </w:rPr>
        <w:t> </w:t>
      </w:r>
      <w:r>
        <w:rPr/>
        <w:t>information</w:t>
      </w:r>
      <w:r>
        <w:rPr>
          <w:spacing w:val="24"/>
        </w:rPr>
        <w:t> </w:t>
      </w:r>
      <w:r>
        <w:rPr/>
        <w:t>has</w:t>
      </w:r>
      <w:r>
        <w:rPr>
          <w:spacing w:val="22"/>
        </w:rPr>
        <w:t> </w:t>
      </w:r>
      <w:r>
        <w:rPr/>
        <w:t>also</w:t>
      </w:r>
      <w:r>
        <w:rPr>
          <w:spacing w:val="23"/>
        </w:rPr>
        <w:t> </w:t>
      </w:r>
      <w:r>
        <w:rPr/>
        <w:t>been</w:t>
      </w:r>
    </w:p>
    <w:p>
      <w:pPr>
        <w:spacing w:line="240" w:lineRule="auto" w:before="1" w:after="0"/>
        <w:ind w:right="0"/>
        <w:rPr>
          <w:rFonts w:ascii="Calibri" w:hAnsi="Calibri" w:cs="Calibri" w:eastAsia="Calibri" w:hint="default"/>
          <w:sz w:val="26"/>
          <w:szCs w:val="26"/>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2" w:lineRule="auto" w:before="91"/>
        <w:ind w:left="1440" w:right="1510" w:firstLine="0"/>
        <w:jc w:val="left"/>
        <w:rPr>
          <w:rFonts w:ascii="Calibri" w:hAnsi="Calibri" w:cs="Calibri" w:eastAsia="Calibri" w:hint="default"/>
          <w:sz w:val="16"/>
          <w:szCs w:val="16"/>
        </w:rPr>
      </w:pPr>
      <w:r>
        <w:rPr>
          <w:rFonts w:ascii="Calibri" w:hAnsi="Calibri" w:cs="Calibri" w:eastAsia="Calibri" w:hint="default"/>
          <w:position w:val="5"/>
          <w:sz w:val="12"/>
          <w:szCs w:val="12"/>
        </w:rPr>
        <w:t>20 </w:t>
      </w:r>
      <w:r>
        <w:rPr>
          <w:rFonts w:ascii="Calibri" w:hAnsi="Calibri" w:cs="Calibri" w:eastAsia="Calibri" w:hint="default"/>
          <w:sz w:val="16"/>
          <w:szCs w:val="16"/>
        </w:rPr>
        <w:t>In our conversations with multiple stakeholders it b</w:t>
      </w:r>
      <w:r>
        <w:rPr>
          <w:rFonts w:ascii="Calibri" w:hAnsi="Calibri" w:cs="Calibri" w:eastAsia="Calibri" w:hint="default"/>
          <w:sz w:val="16"/>
          <w:szCs w:val="16"/>
        </w:rPr>
        <w:t>ecame clear that “others” should be defined as private homes. Anecdotal evidence </w:t>
      </w:r>
      <w:r>
        <w:rPr>
          <w:rFonts w:ascii="Calibri" w:hAnsi="Calibri" w:cs="Calibri" w:eastAsia="Calibri" w:hint="default"/>
          <w:sz w:val="16"/>
          <w:szCs w:val="16"/>
        </w:rPr>
        <w:t>suggests that 30% of arrivals find accommodation in private homes and apartments. We found 239 offerings on only one website, retrieved on August 13, 2015. https</w:t>
      </w:r>
      <w:hyperlink r:id="rId27">
        <w:r>
          <w:rPr>
            <w:rFonts w:ascii="Calibri" w:hAnsi="Calibri" w:cs="Calibri" w:eastAsia="Calibri" w:hint="default"/>
            <w:sz w:val="16"/>
            <w:szCs w:val="16"/>
          </w:rPr>
          <w:t>://www.airbnb.com/s/curacao?guests=2&amp;checkin=08%2F13%2F2015&amp;checkout=08%2F20%2F2015&amp;ss_id=et7nkwmb&amp;source=bb.</w:t>
        </w:r>
      </w:hyperlink>
    </w:p>
    <w:p>
      <w:pPr>
        <w:spacing w:before="4"/>
        <w:ind w:left="1440" w:right="0" w:firstLine="0"/>
        <w:jc w:val="left"/>
        <w:rPr>
          <w:rFonts w:ascii="Calibri" w:hAnsi="Calibri" w:cs="Calibri" w:eastAsia="Calibri" w:hint="default"/>
          <w:sz w:val="16"/>
          <w:szCs w:val="16"/>
        </w:rPr>
      </w:pPr>
      <w:r>
        <w:rPr>
          <w:rFonts w:ascii="Calibri" w:hAnsi="Calibri"/>
          <w:position w:val="5"/>
          <w:sz w:val="12"/>
        </w:rPr>
        <w:t>21 </w:t>
      </w:r>
      <w:r>
        <w:rPr>
          <w:rFonts w:ascii="Calibri" w:hAnsi="Calibri"/>
          <w:sz w:val="16"/>
        </w:rPr>
        <w:t>See Croes, R., Rivera, M. &amp; Semrad, K. (2010). Economic Impact Study, Curaçao Tourist</w:t>
      </w:r>
      <w:r>
        <w:rPr>
          <w:rFonts w:ascii="Calibri" w:hAnsi="Calibri"/>
          <w:spacing w:val="-20"/>
          <w:sz w:val="16"/>
        </w:rPr>
        <w:t> </w:t>
      </w:r>
      <w:r>
        <w:rPr>
          <w:rFonts w:ascii="Calibri" w:hAnsi="Calibri"/>
          <w:sz w:val="16"/>
        </w:rPr>
        <w:t>Board.</w:t>
      </w:r>
    </w:p>
    <w:p>
      <w:pPr>
        <w:spacing w:before="11"/>
        <w:ind w:left="1440" w:right="0" w:firstLine="0"/>
        <w:jc w:val="left"/>
        <w:rPr>
          <w:rFonts w:ascii="Calibri" w:hAnsi="Calibri" w:cs="Calibri" w:eastAsia="Calibri" w:hint="default"/>
          <w:sz w:val="16"/>
          <w:szCs w:val="16"/>
        </w:rPr>
      </w:pPr>
      <w:r>
        <w:rPr>
          <w:rFonts w:ascii="Calibri" w:hAnsi="Calibri"/>
          <w:position w:val="5"/>
          <w:sz w:val="12"/>
        </w:rPr>
        <w:t>22 </w:t>
      </w:r>
      <w:r>
        <w:rPr>
          <w:rFonts w:ascii="Calibri" w:hAnsi="Calibri"/>
          <w:sz w:val="16"/>
        </w:rPr>
        <w:t>See Croes, R., Rivera, M. &amp; Semrad, K. (2010). Economic Impact Study, Curaçao Tourist</w:t>
      </w:r>
      <w:r>
        <w:rPr>
          <w:rFonts w:ascii="Calibri" w:hAnsi="Calibri"/>
          <w:spacing w:val="-22"/>
          <w:sz w:val="16"/>
        </w:rPr>
        <w:t> </w:t>
      </w:r>
      <w:r>
        <w:rPr>
          <w:rFonts w:ascii="Calibri" w:hAnsi="Calibri"/>
          <w:sz w:val="16"/>
        </w:rPr>
        <w:t>Board.</w:t>
      </w:r>
    </w:p>
    <w:p>
      <w:pPr>
        <w:spacing w:after="0"/>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7"/>
        <w:jc w:val="both"/>
      </w:pPr>
      <w:r>
        <w:rPr/>
        <w:t>revealed time and time again in multiple studies covering The Curaçao North Sea Jazz Festival.</w:t>
      </w:r>
      <w:r>
        <w:rPr>
          <w:position w:val="5"/>
          <w:sz w:val="12"/>
        </w:rPr>
        <w:t>23 </w:t>
      </w:r>
      <w:r>
        <w:rPr/>
        <w:t>Tourists staying in </w:t>
      </w:r>
      <w:r>
        <w:rPr/>
        <w:t>hotels spend US$99.00 per day per person compared to US$74.00 for those who stay in non-hotels, which is nearly 34% more spending. The difference in spending potential between those tourists that stay in hotels and those who do not is a significant opportunity cost for the</w:t>
      </w:r>
      <w:r>
        <w:rPr>
          <w:spacing w:val="-23"/>
        </w:rPr>
        <w:t> </w:t>
      </w:r>
      <w:r>
        <w:rPr/>
        <w:t>destination.</w:t>
      </w:r>
    </w:p>
    <w:p>
      <w:pPr>
        <w:spacing w:line="240" w:lineRule="auto" w:before="1"/>
        <w:ind w:right="0"/>
        <w:rPr>
          <w:rFonts w:ascii="Calibri" w:hAnsi="Calibri" w:cs="Calibri" w:eastAsia="Calibri" w:hint="default"/>
          <w:sz w:val="20"/>
          <w:szCs w:val="20"/>
        </w:rPr>
      </w:pPr>
    </w:p>
    <w:p>
      <w:pPr>
        <w:pStyle w:val="Heading9"/>
        <w:tabs>
          <w:tab w:pos="4138" w:val="left" w:leader="none"/>
          <w:tab w:pos="10852" w:val="left" w:leader="none"/>
        </w:tabs>
        <w:spacing w:line="240" w:lineRule="auto" w:after="51"/>
        <w:ind w:left="1387" w:right="0"/>
        <w:jc w:val="both"/>
        <w:rPr>
          <w:rFonts w:ascii="Calibri" w:hAnsi="Calibri" w:cs="Calibri" w:eastAsia="Calibri" w:hint="default"/>
          <w:b w:val="0"/>
          <w:bCs w:val="0"/>
        </w:rPr>
      </w:pPr>
      <w:bookmarkStart w:name="_bookmark49" w:id="50"/>
      <w:bookmarkEnd w:id="50"/>
      <w:r>
        <w:rPr>
          <w:b w:val="0"/>
          <w:bCs w:val="0"/>
        </w:rPr>
      </w:r>
      <w:r>
        <w:rPr>
          <w:w w:val="99"/>
        </w:rPr>
      </w:r>
      <w:r>
        <w:rPr>
          <w:w w:val="99"/>
          <w:u w:val="single" w:color="000000"/>
        </w:rPr>
        <w:t> </w:t>
      </w:r>
      <w:r>
        <w:rPr>
          <w:u w:val="single" w:color="000000"/>
        </w:rPr>
        <w:tab/>
        <w:t>Table 11:  Hotel vs. non-hotel tourists</w:t>
      </w:r>
      <w:r>
        <w:rPr>
          <w:rFonts w:ascii="Calibri" w:hAnsi="Calibri" w:cs="Calibri" w:eastAsia="Calibri" w:hint="default"/>
          <w:u w:val="single" w:color="000000"/>
        </w:rPr>
        <w:t>’</w:t>
      </w:r>
      <w:r>
        <w:rPr>
          <w:rFonts w:ascii="Calibri" w:hAnsi="Calibri" w:cs="Calibri" w:eastAsia="Calibri" w:hint="default"/>
          <w:spacing w:val="-21"/>
          <w:u w:val="single" w:color="000000"/>
        </w:rPr>
        <w:t> </w:t>
      </w:r>
      <w:r>
        <w:rPr>
          <w:rFonts w:ascii="Calibri" w:hAnsi="Calibri" w:cs="Calibri" w:eastAsia="Calibri" w:hint="default"/>
          <w:u w:val="single" w:color="000000"/>
        </w:rPr>
        <w:t>spending</w:t>
        <w:tab/>
      </w:r>
      <w:r>
        <w:rPr>
          <w:rFonts w:ascii="Calibri" w:hAnsi="Calibri" w:cs="Calibri" w:eastAsia="Calibri" w:hint="default"/>
        </w:rPr>
      </w:r>
      <w:r>
        <w:rPr>
          <w:rFonts w:ascii="Calibri" w:hAnsi="Calibri" w:cs="Calibri" w:eastAsia="Calibri" w:hint="default"/>
          <w:b w:val="0"/>
          <w:bCs w:val="0"/>
        </w:rPr>
      </w:r>
    </w:p>
    <w:tbl>
      <w:tblPr>
        <w:tblW w:w="0" w:type="auto"/>
        <w:jc w:val="left"/>
        <w:tblInd w:w="1387" w:type="dxa"/>
        <w:tblLayout w:type="fixed"/>
        <w:tblCellMar>
          <w:top w:w="0" w:type="dxa"/>
          <w:left w:w="0" w:type="dxa"/>
          <w:bottom w:w="0" w:type="dxa"/>
          <w:right w:w="0" w:type="dxa"/>
        </w:tblCellMar>
        <w:tblLook w:val="01E0"/>
      </w:tblPr>
      <w:tblGrid>
        <w:gridCol w:w="6810"/>
        <w:gridCol w:w="1121"/>
        <w:gridCol w:w="1534"/>
      </w:tblGrid>
      <w:tr>
        <w:trPr>
          <w:trHeight w:val="207" w:hRule="exact"/>
        </w:trPr>
        <w:tc>
          <w:tcPr>
            <w:tcW w:w="6810" w:type="dxa"/>
            <w:tcBorders>
              <w:top w:val="nil" w:sz="6" w:space="0" w:color="auto"/>
              <w:left w:val="nil" w:sz="6" w:space="0" w:color="auto"/>
              <w:bottom w:val="single" w:sz="4" w:space="0" w:color="000000"/>
              <w:right w:val="nil" w:sz="6" w:space="0" w:color="auto"/>
            </w:tcBorders>
          </w:tcPr>
          <w:p>
            <w:pPr>
              <w:pStyle w:val="TableParagraph"/>
              <w:spacing w:line="203" w:lineRule="exact"/>
              <w:ind w:right="207"/>
              <w:jc w:val="center"/>
              <w:rPr>
                <w:rFonts w:ascii="Calibri" w:hAnsi="Calibri" w:cs="Calibri" w:eastAsia="Calibri" w:hint="default"/>
                <w:sz w:val="20"/>
                <w:szCs w:val="20"/>
              </w:rPr>
            </w:pPr>
            <w:r>
              <w:rPr>
                <w:rFonts w:ascii="Calibri"/>
                <w:b/>
                <w:sz w:val="20"/>
              </w:rPr>
              <w:t>Spending</w:t>
            </w:r>
            <w:r>
              <w:rPr>
                <w:rFonts w:ascii="Calibri"/>
                <w:sz w:val="20"/>
              </w:rPr>
            </w:r>
          </w:p>
        </w:tc>
        <w:tc>
          <w:tcPr>
            <w:tcW w:w="1121" w:type="dxa"/>
            <w:tcBorders>
              <w:top w:val="nil" w:sz="6" w:space="0" w:color="auto"/>
              <w:left w:val="nil" w:sz="6" w:space="0" w:color="auto"/>
              <w:bottom w:val="single" w:sz="4" w:space="0" w:color="000000"/>
              <w:right w:val="nil" w:sz="6" w:space="0" w:color="auto"/>
            </w:tcBorders>
          </w:tcPr>
          <w:p>
            <w:pPr>
              <w:pStyle w:val="TableParagraph"/>
              <w:spacing w:line="203" w:lineRule="exact"/>
              <w:ind w:right="106"/>
              <w:jc w:val="center"/>
              <w:rPr>
                <w:rFonts w:ascii="Calibri" w:hAnsi="Calibri" w:cs="Calibri" w:eastAsia="Calibri" w:hint="default"/>
                <w:sz w:val="20"/>
                <w:szCs w:val="20"/>
              </w:rPr>
            </w:pPr>
            <w:r>
              <w:rPr>
                <w:rFonts w:ascii="Calibri"/>
                <w:b/>
                <w:sz w:val="20"/>
              </w:rPr>
              <w:t>Hotel</w:t>
            </w:r>
            <w:r>
              <w:rPr>
                <w:rFonts w:ascii="Calibri"/>
                <w:sz w:val="20"/>
              </w:rPr>
            </w:r>
          </w:p>
        </w:tc>
        <w:tc>
          <w:tcPr>
            <w:tcW w:w="1534" w:type="dxa"/>
            <w:tcBorders>
              <w:top w:val="nil" w:sz="6" w:space="0" w:color="auto"/>
              <w:left w:val="nil" w:sz="6" w:space="0" w:color="auto"/>
              <w:bottom w:val="single" w:sz="4" w:space="0" w:color="000000"/>
              <w:right w:val="nil" w:sz="6" w:space="0" w:color="auto"/>
            </w:tcBorders>
          </w:tcPr>
          <w:p>
            <w:pPr>
              <w:pStyle w:val="TableParagraph"/>
              <w:spacing w:line="203" w:lineRule="exact"/>
              <w:ind w:left="103" w:right="0"/>
              <w:jc w:val="center"/>
              <w:rPr>
                <w:rFonts w:ascii="Calibri" w:hAnsi="Calibri" w:cs="Calibri" w:eastAsia="Calibri" w:hint="default"/>
                <w:sz w:val="20"/>
                <w:szCs w:val="20"/>
              </w:rPr>
            </w:pPr>
            <w:r>
              <w:rPr>
                <w:rFonts w:ascii="Calibri"/>
                <w:b/>
                <w:sz w:val="20"/>
              </w:rPr>
              <w:t>Non-Hotel</w:t>
            </w:r>
            <w:r>
              <w:rPr>
                <w:rFonts w:ascii="Calibri"/>
                <w:sz w:val="20"/>
              </w:rPr>
            </w:r>
          </w:p>
        </w:tc>
      </w:tr>
      <w:tr>
        <w:trPr>
          <w:trHeight w:val="267" w:hRule="exact"/>
        </w:trPr>
        <w:tc>
          <w:tcPr>
            <w:tcW w:w="6810" w:type="dxa"/>
            <w:tcBorders>
              <w:top w:val="single" w:sz="4" w:space="0" w:color="000000"/>
              <w:left w:val="nil" w:sz="6" w:space="0" w:color="auto"/>
              <w:bottom w:val="nil" w:sz="6" w:space="0" w:color="auto"/>
              <w:right w:val="nil" w:sz="6" w:space="0" w:color="auto"/>
            </w:tcBorders>
          </w:tcPr>
          <w:p>
            <w:pPr>
              <w:pStyle w:val="TableParagraph"/>
              <w:spacing w:line="243" w:lineRule="exact"/>
              <w:ind w:left="71" w:right="0"/>
              <w:jc w:val="left"/>
              <w:rPr>
                <w:rFonts w:ascii="Calibri" w:hAnsi="Calibri" w:cs="Calibri" w:eastAsia="Calibri" w:hint="default"/>
                <w:sz w:val="20"/>
                <w:szCs w:val="20"/>
              </w:rPr>
            </w:pPr>
            <w:r>
              <w:rPr>
                <w:rFonts w:ascii="Calibri"/>
                <w:sz w:val="20"/>
              </w:rPr>
              <w:t>Spending US$-Lodging (only room</w:t>
            </w:r>
            <w:r>
              <w:rPr>
                <w:rFonts w:ascii="Calibri"/>
                <w:spacing w:val="-19"/>
                <w:sz w:val="20"/>
              </w:rPr>
              <w:t> </w:t>
            </w:r>
            <w:r>
              <w:rPr>
                <w:rFonts w:ascii="Calibri"/>
                <w:sz w:val="20"/>
              </w:rPr>
              <w:t>expenses)</w:t>
            </w:r>
          </w:p>
        </w:tc>
        <w:tc>
          <w:tcPr>
            <w:tcW w:w="1121" w:type="dxa"/>
            <w:tcBorders>
              <w:top w:val="single" w:sz="4" w:space="0" w:color="000000"/>
              <w:left w:val="nil" w:sz="6" w:space="0" w:color="auto"/>
              <w:bottom w:val="nil" w:sz="6" w:space="0" w:color="auto"/>
              <w:right w:val="nil" w:sz="6" w:space="0" w:color="auto"/>
            </w:tcBorders>
          </w:tcPr>
          <w:p>
            <w:pPr>
              <w:pStyle w:val="TableParagraph"/>
              <w:spacing w:line="243" w:lineRule="exact"/>
              <w:ind w:right="107"/>
              <w:jc w:val="center"/>
              <w:rPr>
                <w:rFonts w:ascii="Calibri" w:hAnsi="Calibri" w:cs="Calibri" w:eastAsia="Calibri" w:hint="default"/>
                <w:sz w:val="20"/>
                <w:szCs w:val="20"/>
              </w:rPr>
            </w:pPr>
            <w:r>
              <w:rPr>
                <w:rFonts w:ascii="Calibri"/>
                <w:sz w:val="20"/>
              </w:rPr>
              <w:t>$286</w:t>
            </w:r>
          </w:p>
        </w:tc>
        <w:tc>
          <w:tcPr>
            <w:tcW w:w="1534" w:type="dxa"/>
            <w:tcBorders>
              <w:top w:val="single" w:sz="4" w:space="0" w:color="000000"/>
              <w:left w:val="nil" w:sz="6" w:space="0" w:color="auto"/>
              <w:bottom w:val="nil" w:sz="6" w:space="0" w:color="auto"/>
              <w:right w:val="nil" w:sz="6" w:space="0" w:color="auto"/>
            </w:tcBorders>
          </w:tcPr>
          <w:p>
            <w:pPr>
              <w:pStyle w:val="TableParagraph"/>
              <w:spacing w:line="243" w:lineRule="exact"/>
              <w:ind w:left="103" w:right="0"/>
              <w:jc w:val="center"/>
              <w:rPr>
                <w:rFonts w:ascii="Calibri" w:hAnsi="Calibri" w:cs="Calibri" w:eastAsia="Calibri" w:hint="default"/>
                <w:sz w:val="20"/>
                <w:szCs w:val="20"/>
              </w:rPr>
            </w:pPr>
            <w:r>
              <w:rPr>
                <w:rFonts w:ascii="Calibri"/>
                <w:sz w:val="20"/>
              </w:rPr>
              <w:t>$262</w:t>
            </w:r>
          </w:p>
        </w:tc>
      </w:tr>
      <w:tr>
        <w:trPr>
          <w:trHeight w:val="245" w:hRule="exact"/>
        </w:trPr>
        <w:tc>
          <w:tcPr>
            <w:tcW w:w="6810" w:type="dxa"/>
            <w:tcBorders>
              <w:top w:val="nil" w:sz="6" w:space="0" w:color="auto"/>
              <w:left w:val="nil" w:sz="6" w:space="0" w:color="auto"/>
              <w:bottom w:val="nil" w:sz="6" w:space="0" w:color="auto"/>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Spending US$-Food/beverage (inside</w:t>
            </w:r>
            <w:r>
              <w:rPr>
                <w:rFonts w:ascii="Calibri"/>
                <w:spacing w:val="-21"/>
                <w:sz w:val="20"/>
              </w:rPr>
              <w:t> </w:t>
            </w:r>
            <w:r>
              <w:rPr>
                <w:rFonts w:ascii="Calibri"/>
                <w:sz w:val="20"/>
              </w:rPr>
              <w:t>hotel)</w:t>
            </w:r>
          </w:p>
        </w:tc>
        <w:tc>
          <w:tcPr>
            <w:tcW w:w="1121" w:type="dxa"/>
            <w:tcBorders>
              <w:top w:val="nil" w:sz="6" w:space="0" w:color="auto"/>
              <w:left w:val="nil" w:sz="6" w:space="0" w:color="auto"/>
              <w:bottom w:val="nil" w:sz="6" w:space="0" w:color="auto"/>
              <w:right w:val="nil" w:sz="6" w:space="0" w:color="auto"/>
            </w:tcBorders>
          </w:tcPr>
          <w:p>
            <w:pPr>
              <w:pStyle w:val="TableParagraph"/>
              <w:spacing w:line="226" w:lineRule="exact"/>
              <w:ind w:right="107"/>
              <w:jc w:val="center"/>
              <w:rPr>
                <w:rFonts w:ascii="Calibri" w:hAnsi="Calibri" w:cs="Calibri" w:eastAsia="Calibri" w:hint="default"/>
                <w:sz w:val="20"/>
                <w:szCs w:val="20"/>
              </w:rPr>
            </w:pPr>
            <w:r>
              <w:rPr>
                <w:rFonts w:ascii="Calibri"/>
                <w:sz w:val="20"/>
              </w:rPr>
              <w:t>$72</w:t>
            </w:r>
          </w:p>
        </w:tc>
        <w:tc>
          <w:tcPr>
            <w:tcW w:w="1534" w:type="dxa"/>
            <w:tcBorders>
              <w:top w:val="nil" w:sz="6" w:space="0" w:color="auto"/>
              <w:left w:val="nil" w:sz="6" w:space="0" w:color="auto"/>
              <w:bottom w:val="nil" w:sz="6" w:space="0" w:color="auto"/>
              <w:right w:val="nil" w:sz="6" w:space="0" w:color="auto"/>
            </w:tcBorders>
          </w:tcPr>
          <w:p>
            <w:pPr>
              <w:pStyle w:val="TableParagraph"/>
              <w:spacing w:line="226" w:lineRule="exact"/>
              <w:ind w:left="103" w:right="0"/>
              <w:jc w:val="center"/>
              <w:rPr>
                <w:rFonts w:ascii="Calibri" w:hAnsi="Calibri" w:cs="Calibri" w:eastAsia="Calibri" w:hint="default"/>
                <w:sz w:val="20"/>
                <w:szCs w:val="20"/>
              </w:rPr>
            </w:pPr>
            <w:r>
              <w:rPr>
                <w:rFonts w:ascii="Calibri"/>
                <w:sz w:val="20"/>
              </w:rPr>
              <w:t>$30</w:t>
            </w:r>
          </w:p>
        </w:tc>
      </w:tr>
      <w:tr>
        <w:trPr>
          <w:trHeight w:val="245" w:hRule="exact"/>
        </w:trPr>
        <w:tc>
          <w:tcPr>
            <w:tcW w:w="6810" w:type="dxa"/>
            <w:tcBorders>
              <w:top w:val="nil" w:sz="6" w:space="0" w:color="auto"/>
              <w:left w:val="nil" w:sz="6" w:space="0" w:color="auto"/>
              <w:bottom w:val="nil" w:sz="6" w:space="0" w:color="auto"/>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Spending US$-Food/beverage (outside</w:t>
            </w:r>
            <w:r>
              <w:rPr>
                <w:rFonts w:ascii="Calibri"/>
                <w:spacing w:val="-21"/>
                <w:sz w:val="20"/>
              </w:rPr>
              <w:t> </w:t>
            </w:r>
            <w:r>
              <w:rPr>
                <w:rFonts w:ascii="Calibri"/>
                <w:sz w:val="20"/>
              </w:rPr>
              <w:t>hotel)</w:t>
            </w:r>
          </w:p>
        </w:tc>
        <w:tc>
          <w:tcPr>
            <w:tcW w:w="1121" w:type="dxa"/>
            <w:tcBorders>
              <w:top w:val="nil" w:sz="6" w:space="0" w:color="auto"/>
              <w:left w:val="nil" w:sz="6" w:space="0" w:color="auto"/>
              <w:bottom w:val="nil" w:sz="6" w:space="0" w:color="auto"/>
              <w:right w:val="nil" w:sz="6" w:space="0" w:color="auto"/>
            </w:tcBorders>
          </w:tcPr>
          <w:p>
            <w:pPr>
              <w:pStyle w:val="TableParagraph"/>
              <w:spacing w:line="226" w:lineRule="exact"/>
              <w:ind w:right="107"/>
              <w:jc w:val="center"/>
              <w:rPr>
                <w:rFonts w:ascii="Calibri" w:hAnsi="Calibri" w:cs="Calibri" w:eastAsia="Calibri" w:hint="default"/>
                <w:sz w:val="20"/>
                <w:szCs w:val="20"/>
              </w:rPr>
            </w:pPr>
            <w:r>
              <w:rPr>
                <w:rFonts w:ascii="Calibri"/>
                <w:sz w:val="20"/>
              </w:rPr>
              <w:t>$112</w:t>
            </w:r>
          </w:p>
        </w:tc>
        <w:tc>
          <w:tcPr>
            <w:tcW w:w="1534" w:type="dxa"/>
            <w:tcBorders>
              <w:top w:val="nil" w:sz="6" w:space="0" w:color="auto"/>
              <w:left w:val="nil" w:sz="6" w:space="0" w:color="auto"/>
              <w:bottom w:val="nil" w:sz="6" w:space="0" w:color="auto"/>
              <w:right w:val="nil" w:sz="6" w:space="0" w:color="auto"/>
            </w:tcBorders>
          </w:tcPr>
          <w:p>
            <w:pPr>
              <w:pStyle w:val="TableParagraph"/>
              <w:spacing w:line="226" w:lineRule="exact"/>
              <w:ind w:left="103" w:right="0"/>
              <w:jc w:val="center"/>
              <w:rPr>
                <w:rFonts w:ascii="Calibri" w:hAnsi="Calibri" w:cs="Calibri" w:eastAsia="Calibri" w:hint="default"/>
                <w:sz w:val="20"/>
                <w:szCs w:val="20"/>
              </w:rPr>
            </w:pPr>
            <w:r>
              <w:rPr>
                <w:rFonts w:ascii="Calibri"/>
                <w:sz w:val="20"/>
              </w:rPr>
              <w:t>$150</w:t>
            </w:r>
          </w:p>
        </w:tc>
      </w:tr>
      <w:tr>
        <w:trPr>
          <w:trHeight w:val="244" w:hRule="exact"/>
        </w:trPr>
        <w:tc>
          <w:tcPr>
            <w:tcW w:w="6810" w:type="dxa"/>
            <w:tcBorders>
              <w:top w:val="nil" w:sz="6" w:space="0" w:color="auto"/>
              <w:left w:val="nil" w:sz="6" w:space="0" w:color="auto"/>
              <w:bottom w:val="nil" w:sz="6" w:space="0" w:color="auto"/>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Spending US$-Car</w:t>
            </w:r>
            <w:r>
              <w:rPr>
                <w:rFonts w:ascii="Calibri"/>
                <w:spacing w:val="-12"/>
                <w:sz w:val="20"/>
              </w:rPr>
              <w:t> </w:t>
            </w:r>
            <w:r>
              <w:rPr>
                <w:rFonts w:ascii="Calibri"/>
                <w:sz w:val="20"/>
              </w:rPr>
              <w:t>rental</w:t>
            </w:r>
          </w:p>
        </w:tc>
        <w:tc>
          <w:tcPr>
            <w:tcW w:w="1121" w:type="dxa"/>
            <w:tcBorders>
              <w:top w:val="nil" w:sz="6" w:space="0" w:color="auto"/>
              <w:left w:val="nil" w:sz="6" w:space="0" w:color="auto"/>
              <w:bottom w:val="nil" w:sz="6" w:space="0" w:color="auto"/>
              <w:right w:val="nil" w:sz="6" w:space="0" w:color="auto"/>
            </w:tcBorders>
          </w:tcPr>
          <w:p>
            <w:pPr>
              <w:pStyle w:val="TableParagraph"/>
              <w:spacing w:line="226" w:lineRule="exact"/>
              <w:ind w:right="107"/>
              <w:jc w:val="center"/>
              <w:rPr>
                <w:rFonts w:ascii="Calibri" w:hAnsi="Calibri" w:cs="Calibri" w:eastAsia="Calibri" w:hint="default"/>
                <w:sz w:val="20"/>
                <w:szCs w:val="20"/>
              </w:rPr>
            </w:pPr>
            <w:r>
              <w:rPr>
                <w:rFonts w:ascii="Calibri"/>
                <w:sz w:val="20"/>
              </w:rPr>
              <w:t>$52</w:t>
            </w:r>
          </w:p>
        </w:tc>
        <w:tc>
          <w:tcPr>
            <w:tcW w:w="1534" w:type="dxa"/>
            <w:tcBorders>
              <w:top w:val="nil" w:sz="6" w:space="0" w:color="auto"/>
              <w:left w:val="nil" w:sz="6" w:space="0" w:color="auto"/>
              <w:bottom w:val="nil" w:sz="6" w:space="0" w:color="auto"/>
              <w:right w:val="nil" w:sz="6" w:space="0" w:color="auto"/>
            </w:tcBorders>
          </w:tcPr>
          <w:p>
            <w:pPr>
              <w:pStyle w:val="TableParagraph"/>
              <w:spacing w:line="226" w:lineRule="exact"/>
              <w:ind w:left="103" w:right="0"/>
              <w:jc w:val="center"/>
              <w:rPr>
                <w:rFonts w:ascii="Calibri" w:hAnsi="Calibri" w:cs="Calibri" w:eastAsia="Calibri" w:hint="default"/>
                <w:sz w:val="20"/>
                <w:szCs w:val="20"/>
              </w:rPr>
            </w:pPr>
            <w:r>
              <w:rPr>
                <w:rFonts w:ascii="Calibri"/>
                <w:sz w:val="20"/>
              </w:rPr>
              <w:t>$80</w:t>
            </w:r>
          </w:p>
        </w:tc>
      </w:tr>
      <w:tr>
        <w:trPr>
          <w:trHeight w:val="244" w:hRule="exact"/>
        </w:trPr>
        <w:tc>
          <w:tcPr>
            <w:tcW w:w="6810" w:type="dxa"/>
            <w:tcBorders>
              <w:top w:val="nil" w:sz="6" w:space="0" w:color="auto"/>
              <w:left w:val="nil" w:sz="6" w:space="0" w:color="auto"/>
              <w:bottom w:val="nil" w:sz="6" w:space="0" w:color="auto"/>
              <w:right w:val="nil" w:sz="6" w:space="0" w:color="auto"/>
            </w:tcBorders>
          </w:tcPr>
          <w:p>
            <w:pPr>
              <w:pStyle w:val="TableParagraph"/>
              <w:spacing w:line="225" w:lineRule="exact"/>
              <w:ind w:left="71" w:right="0"/>
              <w:jc w:val="left"/>
              <w:rPr>
                <w:rFonts w:ascii="Calibri" w:hAnsi="Calibri" w:cs="Calibri" w:eastAsia="Calibri" w:hint="default"/>
                <w:sz w:val="20"/>
                <w:szCs w:val="20"/>
              </w:rPr>
            </w:pPr>
            <w:r>
              <w:rPr>
                <w:rFonts w:ascii="Calibri"/>
                <w:sz w:val="20"/>
              </w:rPr>
              <w:t>Spending</w:t>
            </w:r>
            <w:r>
              <w:rPr>
                <w:rFonts w:ascii="Calibri"/>
                <w:spacing w:val="-10"/>
                <w:sz w:val="20"/>
              </w:rPr>
              <w:t> </w:t>
            </w:r>
            <w:r>
              <w:rPr>
                <w:rFonts w:ascii="Calibri"/>
                <w:sz w:val="20"/>
              </w:rPr>
              <w:t>US$-Gasoline</w:t>
            </w:r>
          </w:p>
        </w:tc>
        <w:tc>
          <w:tcPr>
            <w:tcW w:w="1121" w:type="dxa"/>
            <w:tcBorders>
              <w:top w:val="nil" w:sz="6" w:space="0" w:color="auto"/>
              <w:left w:val="nil" w:sz="6" w:space="0" w:color="auto"/>
              <w:bottom w:val="nil" w:sz="6" w:space="0" w:color="auto"/>
              <w:right w:val="nil" w:sz="6" w:space="0" w:color="auto"/>
            </w:tcBorders>
          </w:tcPr>
          <w:p>
            <w:pPr>
              <w:pStyle w:val="TableParagraph"/>
              <w:spacing w:line="225" w:lineRule="exact"/>
              <w:ind w:right="107"/>
              <w:jc w:val="center"/>
              <w:rPr>
                <w:rFonts w:ascii="Calibri" w:hAnsi="Calibri" w:cs="Calibri" w:eastAsia="Calibri" w:hint="default"/>
                <w:sz w:val="20"/>
                <w:szCs w:val="20"/>
              </w:rPr>
            </w:pPr>
            <w:r>
              <w:rPr>
                <w:rFonts w:ascii="Calibri"/>
                <w:sz w:val="20"/>
              </w:rPr>
              <w:t>$12</w:t>
            </w:r>
          </w:p>
        </w:tc>
        <w:tc>
          <w:tcPr>
            <w:tcW w:w="1534" w:type="dxa"/>
            <w:tcBorders>
              <w:top w:val="nil" w:sz="6" w:space="0" w:color="auto"/>
              <w:left w:val="nil" w:sz="6" w:space="0" w:color="auto"/>
              <w:bottom w:val="nil" w:sz="6" w:space="0" w:color="auto"/>
              <w:right w:val="nil" w:sz="6" w:space="0" w:color="auto"/>
            </w:tcBorders>
          </w:tcPr>
          <w:p>
            <w:pPr>
              <w:pStyle w:val="TableParagraph"/>
              <w:spacing w:line="225" w:lineRule="exact"/>
              <w:ind w:left="103" w:right="0"/>
              <w:jc w:val="center"/>
              <w:rPr>
                <w:rFonts w:ascii="Calibri" w:hAnsi="Calibri" w:cs="Calibri" w:eastAsia="Calibri" w:hint="default"/>
                <w:sz w:val="20"/>
                <w:szCs w:val="20"/>
              </w:rPr>
            </w:pPr>
            <w:r>
              <w:rPr>
                <w:rFonts w:ascii="Calibri"/>
                <w:sz w:val="20"/>
              </w:rPr>
              <w:t>$17</w:t>
            </w:r>
          </w:p>
        </w:tc>
      </w:tr>
      <w:tr>
        <w:trPr>
          <w:trHeight w:val="245" w:hRule="exact"/>
        </w:trPr>
        <w:tc>
          <w:tcPr>
            <w:tcW w:w="6810" w:type="dxa"/>
            <w:tcBorders>
              <w:top w:val="nil" w:sz="6" w:space="0" w:color="auto"/>
              <w:left w:val="nil" w:sz="6" w:space="0" w:color="auto"/>
              <w:bottom w:val="nil" w:sz="6" w:space="0" w:color="auto"/>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Spending</w:t>
            </w:r>
            <w:r>
              <w:rPr>
                <w:rFonts w:ascii="Calibri"/>
                <w:spacing w:val="-10"/>
                <w:sz w:val="20"/>
              </w:rPr>
              <w:t> </w:t>
            </w:r>
            <w:r>
              <w:rPr>
                <w:rFonts w:ascii="Calibri"/>
                <w:sz w:val="20"/>
              </w:rPr>
              <w:t>US$-Taxi</w:t>
            </w:r>
          </w:p>
        </w:tc>
        <w:tc>
          <w:tcPr>
            <w:tcW w:w="1121" w:type="dxa"/>
            <w:tcBorders>
              <w:top w:val="nil" w:sz="6" w:space="0" w:color="auto"/>
              <w:left w:val="nil" w:sz="6" w:space="0" w:color="auto"/>
              <w:bottom w:val="nil" w:sz="6" w:space="0" w:color="auto"/>
              <w:right w:val="nil" w:sz="6" w:space="0" w:color="auto"/>
            </w:tcBorders>
          </w:tcPr>
          <w:p>
            <w:pPr>
              <w:pStyle w:val="TableParagraph"/>
              <w:spacing w:line="226" w:lineRule="exact"/>
              <w:ind w:right="107"/>
              <w:jc w:val="center"/>
              <w:rPr>
                <w:rFonts w:ascii="Calibri" w:hAnsi="Calibri" w:cs="Calibri" w:eastAsia="Calibri" w:hint="default"/>
                <w:sz w:val="20"/>
                <w:szCs w:val="20"/>
              </w:rPr>
            </w:pPr>
            <w:r>
              <w:rPr>
                <w:rFonts w:ascii="Calibri"/>
                <w:sz w:val="20"/>
              </w:rPr>
              <w:t>$12</w:t>
            </w:r>
          </w:p>
        </w:tc>
        <w:tc>
          <w:tcPr>
            <w:tcW w:w="1534" w:type="dxa"/>
            <w:tcBorders>
              <w:top w:val="nil" w:sz="6" w:space="0" w:color="auto"/>
              <w:left w:val="nil" w:sz="6" w:space="0" w:color="auto"/>
              <w:bottom w:val="nil" w:sz="6" w:space="0" w:color="auto"/>
              <w:right w:val="nil" w:sz="6" w:space="0" w:color="auto"/>
            </w:tcBorders>
          </w:tcPr>
          <w:p>
            <w:pPr>
              <w:pStyle w:val="TableParagraph"/>
              <w:spacing w:line="226" w:lineRule="exact"/>
              <w:ind w:left="103" w:right="0"/>
              <w:jc w:val="center"/>
              <w:rPr>
                <w:rFonts w:ascii="Calibri" w:hAnsi="Calibri" w:cs="Calibri" w:eastAsia="Calibri" w:hint="default"/>
                <w:sz w:val="20"/>
                <w:szCs w:val="20"/>
              </w:rPr>
            </w:pPr>
            <w:r>
              <w:rPr>
                <w:rFonts w:ascii="Calibri"/>
                <w:sz w:val="20"/>
              </w:rPr>
              <w:t>$7</w:t>
            </w:r>
          </w:p>
        </w:tc>
      </w:tr>
      <w:tr>
        <w:trPr>
          <w:trHeight w:val="244" w:hRule="exact"/>
        </w:trPr>
        <w:tc>
          <w:tcPr>
            <w:tcW w:w="6810" w:type="dxa"/>
            <w:tcBorders>
              <w:top w:val="nil" w:sz="6" w:space="0" w:color="auto"/>
              <w:left w:val="nil" w:sz="6" w:space="0" w:color="auto"/>
              <w:bottom w:val="nil" w:sz="6" w:space="0" w:color="auto"/>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Spending US$-Public</w:t>
            </w:r>
            <w:r>
              <w:rPr>
                <w:rFonts w:ascii="Calibri"/>
                <w:spacing w:val="-14"/>
                <w:sz w:val="20"/>
              </w:rPr>
              <w:t> </w:t>
            </w:r>
            <w:r>
              <w:rPr>
                <w:rFonts w:ascii="Calibri"/>
                <w:sz w:val="20"/>
              </w:rPr>
              <w:t>transportation</w:t>
            </w:r>
          </w:p>
        </w:tc>
        <w:tc>
          <w:tcPr>
            <w:tcW w:w="1121" w:type="dxa"/>
            <w:tcBorders>
              <w:top w:val="nil" w:sz="6" w:space="0" w:color="auto"/>
              <w:left w:val="nil" w:sz="6" w:space="0" w:color="auto"/>
              <w:bottom w:val="nil" w:sz="6" w:space="0" w:color="auto"/>
              <w:right w:val="nil" w:sz="6" w:space="0" w:color="auto"/>
            </w:tcBorders>
          </w:tcPr>
          <w:p>
            <w:pPr>
              <w:pStyle w:val="TableParagraph"/>
              <w:spacing w:line="226" w:lineRule="exact"/>
              <w:ind w:right="107"/>
              <w:jc w:val="center"/>
              <w:rPr>
                <w:rFonts w:ascii="Calibri" w:hAnsi="Calibri" w:cs="Calibri" w:eastAsia="Calibri" w:hint="default"/>
                <w:sz w:val="20"/>
                <w:szCs w:val="20"/>
              </w:rPr>
            </w:pPr>
            <w:r>
              <w:rPr>
                <w:rFonts w:ascii="Calibri"/>
                <w:sz w:val="20"/>
              </w:rPr>
              <w:t>$3</w:t>
            </w:r>
          </w:p>
        </w:tc>
        <w:tc>
          <w:tcPr>
            <w:tcW w:w="1534" w:type="dxa"/>
            <w:tcBorders>
              <w:top w:val="nil" w:sz="6" w:space="0" w:color="auto"/>
              <w:left w:val="nil" w:sz="6" w:space="0" w:color="auto"/>
              <w:bottom w:val="nil" w:sz="6" w:space="0" w:color="auto"/>
              <w:right w:val="nil" w:sz="6" w:space="0" w:color="auto"/>
            </w:tcBorders>
          </w:tcPr>
          <w:p>
            <w:pPr>
              <w:pStyle w:val="TableParagraph"/>
              <w:spacing w:line="226" w:lineRule="exact"/>
              <w:ind w:left="103" w:right="0"/>
              <w:jc w:val="center"/>
              <w:rPr>
                <w:rFonts w:ascii="Calibri" w:hAnsi="Calibri" w:cs="Calibri" w:eastAsia="Calibri" w:hint="default"/>
                <w:sz w:val="20"/>
                <w:szCs w:val="20"/>
              </w:rPr>
            </w:pPr>
            <w:r>
              <w:rPr>
                <w:rFonts w:ascii="Calibri"/>
                <w:sz w:val="20"/>
              </w:rPr>
              <w:t>$5</w:t>
            </w:r>
          </w:p>
        </w:tc>
      </w:tr>
      <w:tr>
        <w:trPr>
          <w:trHeight w:val="244" w:hRule="exact"/>
        </w:trPr>
        <w:tc>
          <w:tcPr>
            <w:tcW w:w="6810" w:type="dxa"/>
            <w:tcBorders>
              <w:top w:val="nil" w:sz="6" w:space="0" w:color="auto"/>
              <w:left w:val="nil" w:sz="6" w:space="0" w:color="auto"/>
              <w:bottom w:val="nil" w:sz="6" w:space="0" w:color="auto"/>
              <w:right w:val="nil" w:sz="6" w:space="0" w:color="auto"/>
            </w:tcBorders>
          </w:tcPr>
          <w:p>
            <w:pPr>
              <w:pStyle w:val="TableParagraph"/>
              <w:spacing w:line="225" w:lineRule="exact"/>
              <w:ind w:left="71" w:right="0"/>
              <w:jc w:val="left"/>
              <w:rPr>
                <w:rFonts w:ascii="Calibri" w:hAnsi="Calibri" w:cs="Calibri" w:eastAsia="Calibri" w:hint="default"/>
                <w:sz w:val="20"/>
                <w:szCs w:val="20"/>
              </w:rPr>
            </w:pPr>
            <w:r>
              <w:rPr>
                <w:rFonts w:ascii="Calibri"/>
                <w:sz w:val="20"/>
              </w:rPr>
              <w:t>Spending US$-Local arts/cultural</w:t>
            </w:r>
            <w:r>
              <w:rPr>
                <w:rFonts w:ascii="Calibri"/>
                <w:spacing w:val="-17"/>
                <w:sz w:val="20"/>
              </w:rPr>
              <w:t> </w:t>
            </w:r>
            <w:r>
              <w:rPr>
                <w:rFonts w:ascii="Calibri"/>
                <w:sz w:val="20"/>
              </w:rPr>
              <w:t>events</w:t>
            </w:r>
          </w:p>
        </w:tc>
        <w:tc>
          <w:tcPr>
            <w:tcW w:w="1121" w:type="dxa"/>
            <w:tcBorders>
              <w:top w:val="nil" w:sz="6" w:space="0" w:color="auto"/>
              <w:left w:val="nil" w:sz="6" w:space="0" w:color="auto"/>
              <w:bottom w:val="nil" w:sz="6" w:space="0" w:color="auto"/>
              <w:right w:val="nil" w:sz="6" w:space="0" w:color="auto"/>
            </w:tcBorders>
          </w:tcPr>
          <w:p>
            <w:pPr>
              <w:pStyle w:val="TableParagraph"/>
              <w:spacing w:line="225" w:lineRule="exact"/>
              <w:ind w:right="107"/>
              <w:jc w:val="center"/>
              <w:rPr>
                <w:rFonts w:ascii="Calibri" w:hAnsi="Calibri" w:cs="Calibri" w:eastAsia="Calibri" w:hint="default"/>
                <w:sz w:val="20"/>
                <w:szCs w:val="20"/>
              </w:rPr>
            </w:pPr>
            <w:r>
              <w:rPr>
                <w:rFonts w:ascii="Calibri"/>
                <w:sz w:val="20"/>
              </w:rPr>
              <w:t>$9</w:t>
            </w:r>
          </w:p>
        </w:tc>
        <w:tc>
          <w:tcPr>
            <w:tcW w:w="1534" w:type="dxa"/>
            <w:tcBorders>
              <w:top w:val="nil" w:sz="6" w:space="0" w:color="auto"/>
              <w:left w:val="nil" w:sz="6" w:space="0" w:color="auto"/>
              <w:bottom w:val="nil" w:sz="6" w:space="0" w:color="auto"/>
              <w:right w:val="nil" w:sz="6" w:space="0" w:color="auto"/>
            </w:tcBorders>
          </w:tcPr>
          <w:p>
            <w:pPr>
              <w:pStyle w:val="TableParagraph"/>
              <w:spacing w:line="225" w:lineRule="exact"/>
              <w:ind w:left="103" w:right="0"/>
              <w:jc w:val="center"/>
              <w:rPr>
                <w:rFonts w:ascii="Calibri" w:hAnsi="Calibri" w:cs="Calibri" w:eastAsia="Calibri" w:hint="default"/>
                <w:sz w:val="20"/>
                <w:szCs w:val="20"/>
              </w:rPr>
            </w:pPr>
            <w:r>
              <w:rPr>
                <w:rFonts w:ascii="Calibri"/>
                <w:sz w:val="20"/>
              </w:rPr>
              <w:t>$8</w:t>
            </w:r>
          </w:p>
        </w:tc>
      </w:tr>
      <w:tr>
        <w:trPr>
          <w:trHeight w:val="245" w:hRule="exact"/>
        </w:trPr>
        <w:tc>
          <w:tcPr>
            <w:tcW w:w="6810" w:type="dxa"/>
            <w:tcBorders>
              <w:top w:val="nil" w:sz="6" w:space="0" w:color="auto"/>
              <w:left w:val="nil" w:sz="6" w:space="0" w:color="auto"/>
              <w:bottom w:val="nil" w:sz="6" w:space="0" w:color="auto"/>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Spending</w:t>
            </w:r>
            <w:r>
              <w:rPr>
                <w:rFonts w:ascii="Calibri"/>
                <w:spacing w:val="-11"/>
                <w:sz w:val="20"/>
              </w:rPr>
              <w:t> </w:t>
            </w:r>
            <w:r>
              <w:rPr>
                <w:rFonts w:ascii="Calibri"/>
                <w:sz w:val="20"/>
              </w:rPr>
              <w:t>US$-Shopping</w:t>
            </w:r>
          </w:p>
        </w:tc>
        <w:tc>
          <w:tcPr>
            <w:tcW w:w="1121" w:type="dxa"/>
            <w:tcBorders>
              <w:top w:val="nil" w:sz="6" w:space="0" w:color="auto"/>
              <w:left w:val="nil" w:sz="6" w:space="0" w:color="auto"/>
              <w:bottom w:val="nil" w:sz="6" w:space="0" w:color="auto"/>
              <w:right w:val="nil" w:sz="6" w:space="0" w:color="auto"/>
            </w:tcBorders>
          </w:tcPr>
          <w:p>
            <w:pPr>
              <w:pStyle w:val="TableParagraph"/>
              <w:spacing w:line="226" w:lineRule="exact"/>
              <w:ind w:right="107"/>
              <w:jc w:val="center"/>
              <w:rPr>
                <w:rFonts w:ascii="Calibri" w:hAnsi="Calibri" w:cs="Calibri" w:eastAsia="Calibri" w:hint="default"/>
                <w:sz w:val="20"/>
                <w:szCs w:val="20"/>
              </w:rPr>
            </w:pPr>
            <w:r>
              <w:rPr>
                <w:rFonts w:ascii="Calibri"/>
                <w:sz w:val="20"/>
              </w:rPr>
              <w:t>$135</w:t>
            </w:r>
          </w:p>
        </w:tc>
        <w:tc>
          <w:tcPr>
            <w:tcW w:w="1534" w:type="dxa"/>
            <w:tcBorders>
              <w:top w:val="nil" w:sz="6" w:space="0" w:color="auto"/>
              <w:left w:val="nil" w:sz="6" w:space="0" w:color="auto"/>
              <w:bottom w:val="nil" w:sz="6" w:space="0" w:color="auto"/>
              <w:right w:val="nil" w:sz="6" w:space="0" w:color="auto"/>
            </w:tcBorders>
          </w:tcPr>
          <w:p>
            <w:pPr>
              <w:pStyle w:val="TableParagraph"/>
              <w:spacing w:line="226" w:lineRule="exact"/>
              <w:ind w:left="103" w:right="0"/>
              <w:jc w:val="center"/>
              <w:rPr>
                <w:rFonts w:ascii="Calibri" w:hAnsi="Calibri" w:cs="Calibri" w:eastAsia="Calibri" w:hint="default"/>
                <w:sz w:val="20"/>
                <w:szCs w:val="20"/>
              </w:rPr>
            </w:pPr>
            <w:r>
              <w:rPr>
                <w:rFonts w:ascii="Calibri"/>
                <w:sz w:val="20"/>
              </w:rPr>
              <w:t>$148</w:t>
            </w:r>
          </w:p>
        </w:tc>
      </w:tr>
      <w:tr>
        <w:trPr>
          <w:trHeight w:val="245" w:hRule="exact"/>
        </w:trPr>
        <w:tc>
          <w:tcPr>
            <w:tcW w:w="6810" w:type="dxa"/>
            <w:tcBorders>
              <w:top w:val="nil" w:sz="6" w:space="0" w:color="auto"/>
              <w:left w:val="nil" w:sz="6" w:space="0" w:color="auto"/>
              <w:bottom w:val="nil" w:sz="6" w:space="0" w:color="auto"/>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Spending</w:t>
            </w:r>
            <w:r>
              <w:rPr>
                <w:rFonts w:ascii="Calibri"/>
                <w:spacing w:val="-11"/>
                <w:sz w:val="20"/>
              </w:rPr>
              <w:t> </w:t>
            </w:r>
            <w:r>
              <w:rPr>
                <w:rFonts w:ascii="Calibri"/>
                <w:sz w:val="20"/>
              </w:rPr>
              <w:t>US$-Internet/telephone</w:t>
            </w:r>
          </w:p>
        </w:tc>
        <w:tc>
          <w:tcPr>
            <w:tcW w:w="1121" w:type="dxa"/>
            <w:tcBorders>
              <w:top w:val="nil" w:sz="6" w:space="0" w:color="auto"/>
              <w:left w:val="nil" w:sz="6" w:space="0" w:color="auto"/>
              <w:bottom w:val="nil" w:sz="6" w:space="0" w:color="auto"/>
              <w:right w:val="nil" w:sz="6" w:space="0" w:color="auto"/>
            </w:tcBorders>
          </w:tcPr>
          <w:p>
            <w:pPr>
              <w:pStyle w:val="TableParagraph"/>
              <w:spacing w:line="226" w:lineRule="exact"/>
              <w:ind w:right="107"/>
              <w:jc w:val="center"/>
              <w:rPr>
                <w:rFonts w:ascii="Calibri" w:hAnsi="Calibri" w:cs="Calibri" w:eastAsia="Calibri" w:hint="default"/>
                <w:sz w:val="20"/>
                <w:szCs w:val="20"/>
              </w:rPr>
            </w:pPr>
            <w:r>
              <w:rPr>
                <w:rFonts w:ascii="Calibri"/>
                <w:sz w:val="20"/>
              </w:rPr>
              <w:t>$5</w:t>
            </w:r>
          </w:p>
        </w:tc>
        <w:tc>
          <w:tcPr>
            <w:tcW w:w="1534" w:type="dxa"/>
            <w:tcBorders>
              <w:top w:val="nil" w:sz="6" w:space="0" w:color="auto"/>
              <w:left w:val="nil" w:sz="6" w:space="0" w:color="auto"/>
              <w:bottom w:val="nil" w:sz="6" w:space="0" w:color="auto"/>
              <w:right w:val="nil" w:sz="6" w:space="0" w:color="auto"/>
            </w:tcBorders>
          </w:tcPr>
          <w:p>
            <w:pPr>
              <w:pStyle w:val="TableParagraph"/>
              <w:spacing w:line="226" w:lineRule="exact"/>
              <w:ind w:left="103" w:right="0"/>
              <w:jc w:val="center"/>
              <w:rPr>
                <w:rFonts w:ascii="Calibri" w:hAnsi="Calibri" w:cs="Calibri" w:eastAsia="Calibri" w:hint="default"/>
                <w:sz w:val="20"/>
                <w:szCs w:val="20"/>
              </w:rPr>
            </w:pPr>
            <w:r>
              <w:rPr>
                <w:rFonts w:ascii="Calibri"/>
                <w:sz w:val="20"/>
              </w:rPr>
              <w:t>$5</w:t>
            </w:r>
          </w:p>
        </w:tc>
      </w:tr>
      <w:tr>
        <w:trPr>
          <w:trHeight w:val="244" w:hRule="exact"/>
        </w:trPr>
        <w:tc>
          <w:tcPr>
            <w:tcW w:w="6810" w:type="dxa"/>
            <w:tcBorders>
              <w:top w:val="nil" w:sz="6" w:space="0" w:color="auto"/>
              <w:left w:val="nil" w:sz="6" w:space="0" w:color="auto"/>
              <w:bottom w:val="nil" w:sz="6" w:space="0" w:color="auto"/>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Spending</w:t>
            </w:r>
            <w:r>
              <w:rPr>
                <w:rFonts w:ascii="Calibri"/>
                <w:spacing w:val="-12"/>
                <w:sz w:val="20"/>
              </w:rPr>
              <w:t> </w:t>
            </w:r>
            <w:r>
              <w:rPr>
                <w:rFonts w:ascii="Calibri"/>
                <w:sz w:val="20"/>
              </w:rPr>
              <w:t>US$-Groceries/sundries</w:t>
            </w:r>
          </w:p>
        </w:tc>
        <w:tc>
          <w:tcPr>
            <w:tcW w:w="1121" w:type="dxa"/>
            <w:tcBorders>
              <w:top w:val="nil" w:sz="6" w:space="0" w:color="auto"/>
              <w:left w:val="nil" w:sz="6" w:space="0" w:color="auto"/>
              <w:bottom w:val="nil" w:sz="6" w:space="0" w:color="auto"/>
              <w:right w:val="nil" w:sz="6" w:space="0" w:color="auto"/>
            </w:tcBorders>
          </w:tcPr>
          <w:p>
            <w:pPr>
              <w:pStyle w:val="TableParagraph"/>
              <w:spacing w:line="226" w:lineRule="exact"/>
              <w:ind w:right="107"/>
              <w:jc w:val="center"/>
              <w:rPr>
                <w:rFonts w:ascii="Calibri" w:hAnsi="Calibri" w:cs="Calibri" w:eastAsia="Calibri" w:hint="default"/>
                <w:sz w:val="20"/>
                <w:szCs w:val="20"/>
              </w:rPr>
            </w:pPr>
            <w:r>
              <w:rPr>
                <w:rFonts w:ascii="Calibri"/>
                <w:sz w:val="20"/>
              </w:rPr>
              <w:t>$23</w:t>
            </w:r>
          </w:p>
        </w:tc>
        <w:tc>
          <w:tcPr>
            <w:tcW w:w="1534" w:type="dxa"/>
            <w:tcBorders>
              <w:top w:val="nil" w:sz="6" w:space="0" w:color="auto"/>
              <w:left w:val="nil" w:sz="6" w:space="0" w:color="auto"/>
              <w:bottom w:val="nil" w:sz="6" w:space="0" w:color="auto"/>
              <w:right w:val="nil" w:sz="6" w:space="0" w:color="auto"/>
            </w:tcBorders>
          </w:tcPr>
          <w:p>
            <w:pPr>
              <w:pStyle w:val="TableParagraph"/>
              <w:spacing w:line="226" w:lineRule="exact"/>
              <w:ind w:left="103" w:right="0"/>
              <w:jc w:val="center"/>
              <w:rPr>
                <w:rFonts w:ascii="Calibri" w:hAnsi="Calibri" w:cs="Calibri" w:eastAsia="Calibri" w:hint="default"/>
                <w:sz w:val="20"/>
                <w:szCs w:val="20"/>
              </w:rPr>
            </w:pPr>
            <w:r>
              <w:rPr>
                <w:rFonts w:ascii="Calibri"/>
                <w:sz w:val="20"/>
              </w:rPr>
              <w:t>$58</w:t>
            </w:r>
          </w:p>
        </w:tc>
      </w:tr>
      <w:tr>
        <w:trPr>
          <w:trHeight w:val="244" w:hRule="exact"/>
        </w:trPr>
        <w:tc>
          <w:tcPr>
            <w:tcW w:w="6810" w:type="dxa"/>
            <w:tcBorders>
              <w:top w:val="nil" w:sz="6" w:space="0" w:color="auto"/>
              <w:left w:val="nil" w:sz="6" w:space="0" w:color="auto"/>
              <w:bottom w:val="nil" w:sz="6" w:space="0" w:color="auto"/>
              <w:right w:val="nil" w:sz="6" w:space="0" w:color="auto"/>
            </w:tcBorders>
          </w:tcPr>
          <w:p>
            <w:pPr>
              <w:pStyle w:val="TableParagraph"/>
              <w:spacing w:line="225" w:lineRule="exact"/>
              <w:ind w:left="71" w:right="0"/>
              <w:jc w:val="left"/>
              <w:rPr>
                <w:rFonts w:ascii="Calibri" w:hAnsi="Calibri" w:cs="Calibri" w:eastAsia="Calibri" w:hint="default"/>
                <w:sz w:val="20"/>
                <w:szCs w:val="20"/>
              </w:rPr>
            </w:pPr>
            <w:r>
              <w:rPr>
                <w:rFonts w:ascii="Calibri"/>
                <w:sz w:val="20"/>
              </w:rPr>
              <w:t>Spending</w:t>
            </w:r>
            <w:r>
              <w:rPr>
                <w:rFonts w:ascii="Calibri"/>
                <w:spacing w:val="-21"/>
                <w:sz w:val="20"/>
              </w:rPr>
              <w:t> </w:t>
            </w:r>
            <w:r>
              <w:rPr>
                <w:rFonts w:ascii="Calibri"/>
                <w:sz w:val="20"/>
              </w:rPr>
              <w:t>US$-Entertainment/nightlife/casino</w:t>
            </w:r>
          </w:p>
        </w:tc>
        <w:tc>
          <w:tcPr>
            <w:tcW w:w="1121" w:type="dxa"/>
            <w:tcBorders>
              <w:top w:val="nil" w:sz="6" w:space="0" w:color="auto"/>
              <w:left w:val="nil" w:sz="6" w:space="0" w:color="auto"/>
              <w:bottom w:val="nil" w:sz="6" w:space="0" w:color="auto"/>
              <w:right w:val="nil" w:sz="6" w:space="0" w:color="auto"/>
            </w:tcBorders>
          </w:tcPr>
          <w:p>
            <w:pPr>
              <w:pStyle w:val="TableParagraph"/>
              <w:spacing w:line="225" w:lineRule="exact"/>
              <w:ind w:right="107"/>
              <w:jc w:val="center"/>
              <w:rPr>
                <w:rFonts w:ascii="Calibri" w:hAnsi="Calibri" w:cs="Calibri" w:eastAsia="Calibri" w:hint="default"/>
                <w:sz w:val="20"/>
                <w:szCs w:val="20"/>
              </w:rPr>
            </w:pPr>
            <w:r>
              <w:rPr>
                <w:rFonts w:ascii="Calibri"/>
                <w:sz w:val="20"/>
              </w:rPr>
              <w:t>$28</w:t>
            </w:r>
          </w:p>
        </w:tc>
        <w:tc>
          <w:tcPr>
            <w:tcW w:w="1534" w:type="dxa"/>
            <w:tcBorders>
              <w:top w:val="nil" w:sz="6" w:space="0" w:color="auto"/>
              <w:left w:val="nil" w:sz="6" w:space="0" w:color="auto"/>
              <w:bottom w:val="nil" w:sz="6" w:space="0" w:color="auto"/>
              <w:right w:val="nil" w:sz="6" w:space="0" w:color="auto"/>
            </w:tcBorders>
          </w:tcPr>
          <w:p>
            <w:pPr>
              <w:pStyle w:val="TableParagraph"/>
              <w:spacing w:line="225" w:lineRule="exact"/>
              <w:ind w:left="103" w:right="0"/>
              <w:jc w:val="center"/>
              <w:rPr>
                <w:rFonts w:ascii="Calibri" w:hAnsi="Calibri" w:cs="Calibri" w:eastAsia="Calibri" w:hint="default"/>
                <w:sz w:val="20"/>
                <w:szCs w:val="20"/>
              </w:rPr>
            </w:pPr>
            <w:r>
              <w:rPr>
                <w:rFonts w:ascii="Calibri"/>
                <w:sz w:val="20"/>
              </w:rPr>
              <w:t>$20</w:t>
            </w:r>
          </w:p>
        </w:tc>
      </w:tr>
      <w:tr>
        <w:trPr>
          <w:trHeight w:val="245" w:hRule="exact"/>
        </w:trPr>
        <w:tc>
          <w:tcPr>
            <w:tcW w:w="6810" w:type="dxa"/>
            <w:tcBorders>
              <w:top w:val="nil" w:sz="6" w:space="0" w:color="auto"/>
              <w:left w:val="nil" w:sz="6" w:space="0" w:color="auto"/>
              <w:bottom w:val="nil" w:sz="6" w:space="0" w:color="auto"/>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Spending US$-Water</w:t>
            </w:r>
            <w:r>
              <w:rPr>
                <w:rFonts w:ascii="Calibri"/>
                <w:spacing w:val="-19"/>
                <w:sz w:val="20"/>
              </w:rPr>
              <w:t> </w:t>
            </w:r>
            <w:r>
              <w:rPr>
                <w:rFonts w:ascii="Calibri"/>
                <w:sz w:val="20"/>
              </w:rPr>
              <w:t>activities/recreation</w:t>
            </w:r>
          </w:p>
        </w:tc>
        <w:tc>
          <w:tcPr>
            <w:tcW w:w="1121" w:type="dxa"/>
            <w:tcBorders>
              <w:top w:val="nil" w:sz="6" w:space="0" w:color="auto"/>
              <w:left w:val="nil" w:sz="6" w:space="0" w:color="auto"/>
              <w:bottom w:val="nil" w:sz="6" w:space="0" w:color="auto"/>
              <w:right w:val="nil" w:sz="6" w:space="0" w:color="auto"/>
            </w:tcBorders>
          </w:tcPr>
          <w:p>
            <w:pPr>
              <w:pStyle w:val="TableParagraph"/>
              <w:spacing w:line="226" w:lineRule="exact"/>
              <w:ind w:right="107"/>
              <w:jc w:val="center"/>
              <w:rPr>
                <w:rFonts w:ascii="Calibri" w:hAnsi="Calibri" w:cs="Calibri" w:eastAsia="Calibri" w:hint="default"/>
                <w:sz w:val="20"/>
                <w:szCs w:val="20"/>
              </w:rPr>
            </w:pPr>
            <w:r>
              <w:rPr>
                <w:rFonts w:ascii="Calibri"/>
                <w:sz w:val="20"/>
              </w:rPr>
              <w:t>$40</w:t>
            </w:r>
          </w:p>
        </w:tc>
        <w:tc>
          <w:tcPr>
            <w:tcW w:w="1534" w:type="dxa"/>
            <w:tcBorders>
              <w:top w:val="nil" w:sz="6" w:space="0" w:color="auto"/>
              <w:left w:val="nil" w:sz="6" w:space="0" w:color="auto"/>
              <w:bottom w:val="nil" w:sz="6" w:space="0" w:color="auto"/>
              <w:right w:val="nil" w:sz="6" w:space="0" w:color="auto"/>
            </w:tcBorders>
          </w:tcPr>
          <w:p>
            <w:pPr>
              <w:pStyle w:val="TableParagraph"/>
              <w:spacing w:line="226" w:lineRule="exact"/>
              <w:ind w:left="103" w:right="0"/>
              <w:jc w:val="center"/>
              <w:rPr>
                <w:rFonts w:ascii="Calibri" w:hAnsi="Calibri" w:cs="Calibri" w:eastAsia="Calibri" w:hint="default"/>
                <w:sz w:val="20"/>
                <w:szCs w:val="20"/>
              </w:rPr>
            </w:pPr>
            <w:r>
              <w:rPr>
                <w:rFonts w:ascii="Calibri"/>
                <w:sz w:val="20"/>
              </w:rPr>
              <w:t>$32</w:t>
            </w:r>
          </w:p>
        </w:tc>
      </w:tr>
      <w:tr>
        <w:trPr>
          <w:trHeight w:val="232" w:hRule="exact"/>
        </w:trPr>
        <w:tc>
          <w:tcPr>
            <w:tcW w:w="6810" w:type="dxa"/>
            <w:tcBorders>
              <w:top w:val="nil" w:sz="6" w:space="0" w:color="auto"/>
              <w:left w:val="nil" w:sz="6" w:space="0" w:color="auto"/>
              <w:bottom w:val="single" w:sz="4" w:space="0" w:color="000000"/>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Spending US$-Other</w:t>
            </w:r>
            <w:r>
              <w:rPr>
                <w:rFonts w:ascii="Calibri"/>
                <w:spacing w:val="-14"/>
                <w:sz w:val="20"/>
              </w:rPr>
              <w:t> </w:t>
            </w:r>
            <w:r>
              <w:rPr>
                <w:rFonts w:ascii="Calibri"/>
                <w:sz w:val="20"/>
              </w:rPr>
              <w:t>expenses</w:t>
            </w:r>
          </w:p>
        </w:tc>
        <w:tc>
          <w:tcPr>
            <w:tcW w:w="1121" w:type="dxa"/>
            <w:tcBorders>
              <w:top w:val="nil" w:sz="6" w:space="0" w:color="auto"/>
              <w:left w:val="nil" w:sz="6" w:space="0" w:color="auto"/>
              <w:bottom w:val="single" w:sz="4" w:space="0" w:color="000000"/>
              <w:right w:val="nil" w:sz="6" w:space="0" w:color="auto"/>
            </w:tcBorders>
          </w:tcPr>
          <w:p>
            <w:pPr>
              <w:pStyle w:val="TableParagraph"/>
              <w:spacing w:line="226" w:lineRule="exact"/>
              <w:ind w:right="107"/>
              <w:jc w:val="center"/>
              <w:rPr>
                <w:rFonts w:ascii="Calibri" w:hAnsi="Calibri" w:cs="Calibri" w:eastAsia="Calibri" w:hint="default"/>
                <w:sz w:val="20"/>
                <w:szCs w:val="20"/>
              </w:rPr>
            </w:pPr>
            <w:r>
              <w:rPr>
                <w:rFonts w:ascii="Calibri"/>
                <w:sz w:val="20"/>
              </w:rPr>
              <w:t>$33</w:t>
            </w:r>
          </w:p>
        </w:tc>
        <w:tc>
          <w:tcPr>
            <w:tcW w:w="1534" w:type="dxa"/>
            <w:tcBorders>
              <w:top w:val="nil" w:sz="6" w:space="0" w:color="auto"/>
              <w:left w:val="nil" w:sz="6" w:space="0" w:color="auto"/>
              <w:bottom w:val="single" w:sz="4" w:space="0" w:color="000000"/>
              <w:right w:val="nil" w:sz="6" w:space="0" w:color="auto"/>
            </w:tcBorders>
          </w:tcPr>
          <w:p>
            <w:pPr>
              <w:pStyle w:val="TableParagraph"/>
              <w:spacing w:line="226" w:lineRule="exact"/>
              <w:ind w:left="103" w:right="0"/>
              <w:jc w:val="center"/>
              <w:rPr>
                <w:rFonts w:ascii="Calibri" w:hAnsi="Calibri" w:cs="Calibri" w:eastAsia="Calibri" w:hint="default"/>
                <w:sz w:val="20"/>
                <w:szCs w:val="20"/>
              </w:rPr>
            </w:pPr>
            <w:r>
              <w:rPr>
                <w:rFonts w:ascii="Calibri"/>
                <w:sz w:val="20"/>
              </w:rPr>
              <w:t>$36</w:t>
            </w:r>
          </w:p>
        </w:tc>
      </w:tr>
      <w:tr>
        <w:trPr>
          <w:trHeight w:val="266" w:hRule="exact"/>
        </w:trPr>
        <w:tc>
          <w:tcPr>
            <w:tcW w:w="6810" w:type="dxa"/>
            <w:tcBorders>
              <w:top w:val="single" w:sz="4" w:space="0" w:color="000000"/>
              <w:left w:val="nil" w:sz="6" w:space="0" w:color="auto"/>
              <w:bottom w:val="nil" w:sz="6" w:space="0" w:color="auto"/>
              <w:right w:val="nil" w:sz="6" w:space="0" w:color="auto"/>
            </w:tcBorders>
          </w:tcPr>
          <w:p>
            <w:pPr>
              <w:pStyle w:val="TableParagraph"/>
              <w:spacing w:line="243" w:lineRule="exact"/>
              <w:ind w:right="278"/>
              <w:jc w:val="right"/>
              <w:rPr>
                <w:rFonts w:ascii="Calibri" w:hAnsi="Calibri" w:cs="Calibri" w:eastAsia="Calibri" w:hint="default"/>
                <w:sz w:val="20"/>
                <w:szCs w:val="20"/>
              </w:rPr>
            </w:pPr>
            <w:r>
              <w:rPr>
                <w:rFonts w:ascii="Calibri"/>
                <w:b/>
                <w:sz w:val="20"/>
              </w:rPr>
              <w:t>Total Per</w:t>
            </w:r>
            <w:r>
              <w:rPr>
                <w:rFonts w:ascii="Calibri"/>
                <w:b/>
                <w:spacing w:val="-8"/>
                <w:sz w:val="20"/>
              </w:rPr>
              <w:t> </w:t>
            </w:r>
            <w:r>
              <w:rPr>
                <w:rFonts w:ascii="Calibri"/>
                <w:b/>
                <w:sz w:val="20"/>
              </w:rPr>
              <w:t>Trip</w:t>
            </w:r>
            <w:r>
              <w:rPr>
                <w:rFonts w:ascii="Calibri"/>
                <w:sz w:val="20"/>
              </w:rPr>
            </w:r>
          </w:p>
        </w:tc>
        <w:tc>
          <w:tcPr>
            <w:tcW w:w="1121" w:type="dxa"/>
            <w:tcBorders>
              <w:top w:val="single" w:sz="4" w:space="0" w:color="000000"/>
              <w:left w:val="nil" w:sz="6" w:space="0" w:color="auto"/>
              <w:bottom w:val="nil" w:sz="6" w:space="0" w:color="auto"/>
              <w:right w:val="nil" w:sz="6" w:space="0" w:color="auto"/>
            </w:tcBorders>
          </w:tcPr>
          <w:p>
            <w:pPr>
              <w:pStyle w:val="TableParagraph"/>
              <w:spacing w:line="243" w:lineRule="exact"/>
              <w:ind w:right="106"/>
              <w:jc w:val="center"/>
              <w:rPr>
                <w:rFonts w:ascii="Calibri" w:hAnsi="Calibri" w:cs="Calibri" w:eastAsia="Calibri" w:hint="default"/>
                <w:sz w:val="20"/>
                <w:szCs w:val="20"/>
              </w:rPr>
            </w:pPr>
            <w:r>
              <w:rPr>
                <w:rFonts w:ascii="Calibri"/>
                <w:sz w:val="20"/>
              </w:rPr>
              <w:t>$822</w:t>
            </w:r>
          </w:p>
        </w:tc>
        <w:tc>
          <w:tcPr>
            <w:tcW w:w="1534" w:type="dxa"/>
            <w:tcBorders>
              <w:top w:val="single" w:sz="4" w:space="0" w:color="000000"/>
              <w:left w:val="nil" w:sz="6" w:space="0" w:color="auto"/>
              <w:bottom w:val="nil" w:sz="6" w:space="0" w:color="auto"/>
              <w:right w:val="nil" w:sz="6" w:space="0" w:color="auto"/>
            </w:tcBorders>
          </w:tcPr>
          <w:p>
            <w:pPr>
              <w:pStyle w:val="TableParagraph"/>
              <w:spacing w:line="243" w:lineRule="exact"/>
              <w:ind w:left="103" w:right="0"/>
              <w:jc w:val="center"/>
              <w:rPr>
                <w:rFonts w:ascii="Calibri" w:hAnsi="Calibri" w:cs="Calibri" w:eastAsia="Calibri" w:hint="default"/>
                <w:sz w:val="20"/>
                <w:szCs w:val="20"/>
              </w:rPr>
            </w:pPr>
            <w:r>
              <w:rPr>
                <w:rFonts w:ascii="Calibri"/>
                <w:sz w:val="20"/>
              </w:rPr>
              <w:t>$858</w:t>
            </w:r>
          </w:p>
        </w:tc>
      </w:tr>
      <w:tr>
        <w:trPr>
          <w:trHeight w:val="231" w:hRule="exact"/>
        </w:trPr>
        <w:tc>
          <w:tcPr>
            <w:tcW w:w="6810" w:type="dxa"/>
            <w:tcBorders>
              <w:top w:val="nil" w:sz="6" w:space="0" w:color="auto"/>
              <w:left w:val="nil" w:sz="6" w:space="0" w:color="auto"/>
              <w:bottom w:val="single" w:sz="4" w:space="0" w:color="000000"/>
              <w:right w:val="nil" w:sz="6" w:space="0" w:color="auto"/>
            </w:tcBorders>
          </w:tcPr>
          <w:p>
            <w:pPr>
              <w:pStyle w:val="TableParagraph"/>
              <w:spacing w:line="225" w:lineRule="exact"/>
              <w:ind w:right="278"/>
              <w:jc w:val="right"/>
              <w:rPr>
                <w:rFonts w:ascii="Calibri" w:hAnsi="Calibri" w:cs="Calibri" w:eastAsia="Calibri" w:hint="default"/>
                <w:sz w:val="20"/>
                <w:szCs w:val="20"/>
              </w:rPr>
            </w:pPr>
            <w:r>
              <w:rPr>
                <w:rFonts w:ascii="Calibri"/>
                <w:b/>
                <w:sz w:val="20"/>
              </w:rPr>
              <w:t>Total Per</w:t>
            </w:r>
            <w:r>
              <w:rPr>
                <w:rFonts w:ascii="Calibri"/>
                <w:b/>
                <w:spacing w:val="-10"/>
                <w:sz w:val="20"/>
              </w:rPr>
              <w:t> </w:t>
            </w:r>
            <w:r>
              <w:rPr>
                <w:rFonts w:ascii="Calibri"/>
                <w:b/>
                <w:sz w:val="20"/>
              </w:rPr>
              <w:t>Day</w:t>
            </w:r>
            <w:r>
              <w:rPr>
                <w:rFonts w:ascii="Calibri"/>
                <w:sz w:val="20"/>
              </w:rPr>
            </w:r>
          </w:p>
        </w:tc>
        <w:tc>
          <w:tcPr>
            <w:tcW w:w="1121" w:type="dxa"/>
            <w:tcBorders>
              <w:top w:val="nil" w:sz="6" w:space="0" w:color="auto"/>
              <w:left w:val="nil" w:sz="6" w:space="0" w:color="auto"/>
              <w:bottom w:val="single" w:sz="4" w:space="0" w:color="000000"/>
              <w:right w:val="nil" w:sz="6" w:space="0" w:color="auto"/>
            </w:tcBorders>
          </w:tcPr>
          <w:p>
            <w:pPr>
              <w:pStyle w:val="TableParagraph"/>
              <w:spacing w:line="225" w:lineRule="exact"/>
              <w:ind w:right="107"/>
              <w:jc w:val="center"/>
              <w:rPr>
                <w:rFonts w:ascii="Calibri" w:hAnsi="Calibri" w:cs="Calibri" w:eastAsia="Calibri" w:hint="default"/>
                <w:sz w:val="20"/>
                <w:szCs w:val="20"/>
              </w:rPr>
            </w:pPr>
            <w:r>
              <w:rPr>
                <w:rFonts w:ascii="Calibri"/>
                <w:sz w:val="20"/>
              </w:rPr>
              <w:t>$99</w:t>
            </w:r>
          </w:p>
        </w:tc>
        <w:tc>
          <w:tcPr>
            <w:tcW w:w="1534" w:type="dxa"/>
            <w:tcBorders>
              <w:top w:val="nil" w:sz="6" w:space="0" w:color="auto"/>
              <w:left w:val="nil" w:sz="6" w:space="0" w:color="auto"/>
              <w:bottom w:val="single" w:sz="4" w:space="0" w:color="000000"/>
              <w:right w:val="nil" w:sz="6" w:space="0" w:color="auto"/>
            </w:tcBorders>
          </w:tcPr>
          <w:p>
            <w:pPr>
              <w:pStyle w:val="TableParagraph"/>
              <w:spacing w:line="225" w:lineRule="exact"/>
              <w:ind w:left="103" w:right="0"/>
              <w:jc w:val="center"/>
              <w:rPr>
                <w:rFonts w:ascii="Calibri" w:hAnsi="Calibri" w:cs="Calibri" w:eastAsia="Calibri" w:hint="default"/>
                <w:sz w:val="20"/>
                <w:szCs w:val="20"/>
              </w:rPr>
            </w:pPr>
            <w:r>
              <w:rPr>
                <w:rFonts w:ascii="Calibri"/>
                <w:sz w:val="20"/>
              </w:rPr>
              <w:t>$74</w:t>
            </w:r>
          </w:p>
        </w:tc>
      </w:tr>
    </w:tbl>
    <w:p>
      <w:pPr>
        <w:spacing w:line="240" w:lineRule="auto" w:before="2"/>
        <w:ind w:right="0"/>
        <w:rPr>
          <w:rFonts w:ascii="Calibri" w:hAnsi="Calibri" w:cs="Calibri" w:eastAsia="Calibri" w:hint="default"/>
          <w:b/>
          <w:bCs/>
          <w:sz w:val="15"/>
          <w:szCs w:val="15"/>
        </w:rPr>
      </w:pPr>
    </w:p>
    <w:p>
      <w:pPr>
        <w:pStyle w:val="BodyText"/>
        <w:spacing w:line="240" w:lineRule="auto" w:before="59"/>
        <w:ind w:right="1436"/>
        <w:jc w:val="both"/>
      </w:pPr>
      <w:r>
        <w:rPr/>
        <w:t>In review of Table 12, it appears that the difference in the overall trip expense is relatively the same between those tourists</w:t>
      </w:r>
      <w:r>
        <w:rPr>
          <w:spacing w:val="-12"/>
        </w:rPr>
        <w:t> </w:t>
      </w:r>
      <w:r>
        <w:rPr/>
        <w:t>who</w:t>
      </w:r>
      <w:r>
        <w:rPr>
          <w:spacing w:val="-9"/>
        </w:rPr>
        <w:t> </w:t>
      </w:r>
      <w:r>
        <w:rPr/>
        <w:t>stay</w:t>
      </w:r>
      <w:r>
        <w:rPr>
          <w:spacing w:val="-11"/>
        </w:rPr>
        <w:t> </w:t>
      </w:r>
      <w:r>
        <w:rPr/>
        <w:t>in</w:t>
      </w:r>
      <w:r>
        <w:rPr>
          <w:spacing w:val="-11"/>
        </w:rPr>
        <w:t> </w:t>
      </w:r>
      <w:r>
        <w:rPr/>
        <w:t>hotels</w:t>
      </w:r>
      <w:r>
        <w:rPr>
          <w:spacing w:val="-13"/>
        </w:rPr>
        <w:t> </w:t>
      </w:r>
      <w:r>
        <w:rPr/>
        <w:t>(US$823</w:t>
      </w:r>
      <w:r>
        <w:rPr>
          <w:spacing w:val="-12"/>
        </w:rPr>
        <w:t> </w:t>
      </w:r>
      <w:r>
        <w:rPr/>
        <w:t>per</w:t>
      </w:r>
      <w:r>
        <w:rPr>
          <w:spacing w:val="-12"/>
        </w:rPr>
        <w:t> </w:t>
      </w:r>
      <w:r>
        <w:rPr/>
        <w:t>trip)</w:t>
      </w:r>
      <w:r>
        <w:rPr>
          <w:spacing w:val="-12"/>
        </w:rPr>
        <w:t> </w:t>
      </w:r>
      <w:r>
        <w:rPr/>
        <w:t>and</w:t>
      </w:r>
      <w:r>
        <w:rPr>
          <w:spacing w:val="-11"/>
        </w:rPr>
        <w:t> </w:t>
      </w:r>
      <w:r>
        <w:rPr/>
        <w:t>those</w:t>
      </w:r>
      <w:r>
        <w:rPr>
          <w:spacing w:val="-12"/>
        </w:rPr>
        <w:t> </w:t>
      </w:r>
      <w:r>
        <w:rPr/>
        <w:t>tourists</w:t>
      </w:r>
      <w:r>
        <w:rPr>
          <w:spacing w:val="-12"/>
        </w:rPr>
        <w:t> </w:t>
      </w:r>
      <w:r>
        <w:rPr/>
        <w:t>who</w:t>
      </w:r>
      <w:r>
        <w:rPr>
          <w:spacing w:val="-11"/>
        </w:rPr>
        <w:t> </w:t>
      </w:r>
      <w:r>
        <w:rPr/>
        <w:t>do</w:t>
      </w:r>
      <w:r>
        <w:rPr>
          <w:spacing w:val="-11"/>
        </w:rPr>
        <w:t> </w:t>
      </w:r>
      <w:r>
        <w:rPr/>
        <w:t>not</w:t>
      </w:r>
      <w:r>
        <w:rPr>
          <w:spacing w:val="-11"/>
        </w:rPr>
        <w:t> </w:t>
      </w:r>
      <w:r>
        <w:rPr/>
        <w:t>stay</w:t>
      </w:r>
      <w:r>
        <w:rPr>
          <w:spacing w:val="-11"/>
        </w:rPr>
        <w:t> </w:t>
      </w:r>
      <w:r>
        <w:rPr/>
        <w:t>in</w:t>
      </w:r>
      <w:r>
        <w:rPr>
          <w:spacing w:val="-11"/>
        </w:rPr>
        <w:t> </w:t>
      </w:r>
      <w:r>
        <w:rPr/>
        <w:t>hotels</w:t>
      </w:r>
      <w:r>
        <w:rPr>
          <w:spacing w:val="-13"/>
        </w:rPr>
        <w:t> </w:t>
      </w:r>
      <w:r>
        <w:rPr/>
        <w:t>(US$857</w:t>
      </w:r>
      <w:r>
        <w:rPr>
          <w:spacing w:val="-12"/>
        </w:rPr>
        <w:t> </w:t>
      </w:r>
      <w:r>
        <w:rPr/>
        <w:t>per</w:t>
      </w:r>
      <w:r>
        <w:rPr>
          <w:spacing w:val="-12"/>
        </w:rPr>
        <w:t> </w:t>
      </w:r>
      <w:r>
        <w:rPr/>
        <w:t>trip).</w:t>
      </w:r>
      <w:r>
        <w:rPr>
          <w:spacing w:val="22"/>
        </w:rPr>
        <w:t> </w:t>
      </w:r>
      <w:r>
        <w:rPr/>
        <w:t>However, </w:t>
      </w:r>
      <w:r>
        <w:rPr/>
        <w:t>a critical point must be made to call attention to the variation in the length of stay for both of these groups. Those tourists who stay in hotels stay an average of 8.3 nights, whereas those tourists who do not stay in hotels spend an average of 11.6 nights (see Figure 10). This means that while non-hotel tourists stay longer, they spend less money. The length of stay (LOS) for the Netherlands is significantly larger than that of all other groups (F=23.22, p&lt;.0001). The implication is that those tourists staying in hotels have a significantly different spending behavior than those staying in non-hotel accommodations. The key consideration is the unit of analysis in the length of stay. Consider the following information to elucidate this point: a non-hotel guest spends US$25 more in groceries per trip than a tourist who stays in a hotel. When considering that raw food products account for 1/3 of a meal price in the restaurant</w:t>
      </w:r>
      <w:r>
        <w:rPr>
          <w:spacing w:val="-7"/>
        </w:rPr>
        <w:t> </w:t>
      </w:r>
      <w:r>
        <w:rPr/>
        <w:t>industry,</w:t>
      </w:r>
      <w:r>
        <w:rPr>
          <w:spacing w:val="-7"/>
        </w:rPr>
        <w:t> </w:t>
      </w:r>
      <w:r>
        <w:rPr/>
        <w:t>this</w:t>
      </w:r>
      <w:r>
        <w:rPr>
          <w:spacing w:val="-8"/>
        </w:rPr>
        <w:t> </w:t>
      </w:r>
      <w:r>
        <w:rPr/>
        <w:t>could</w:t>
      </w:r>
      <w:r>
        <w:rPr>
          <w:spacing w:val="-7"/>
        </w:rPr>
        <w:t> </w:t>
      </w:r>
      <w:r>
        <w:rPr/>
        <w:t>represent</w:t>
      </w:r>
      <w:r>
        <w:rPr>
          <w:spacing w:val="-7"/>
        </w:rPr>
        <w:t> </w:t>
      </w:r>
      <w:r>
        <w:rPr/>
        <w:t>an</w:t>
      </w:r>
      <w:r>
        <w:rPr>
          <w:spacing w:val="-7"/>
        </w:rPr>
        <w:t> </w:t>
      </w:r>
      <w:r>
        <w:rPr/>
        <w:t>opportunity</w:t>
      </w:r>
      <w:r>
        <w:rPr>
          <w:spacing w:val="-7"/>
        </w:rPr>
        <w:t> </w:t>
      </w:r>
      <w:r>
        <w:rPr/>
        <w:t>cost</w:t>
      </w:r>
      <w:r>
        <w:rPr>
          <w:spacing w:val="-7"/>
        </w:rPr>
        <w:t> </w:t>
      </w:r>
      <w:r>
        <w:rPr/>
        <w:t>of</w:t>
      </w:r>
      <w:r>
        <w:rPr>
          <w:spacing w:val="-8"/>
        </w:rPr>
        <w:t> </w:t>
      </w:r>
      <w:r>
        <w:rPr/>
        <w:t>US$83</w:t>
      </w:r>
      <w:r>
        <w:rPr>
          <w:spacing w:val="-8"/>
        </w:rPr>
        <w:t> </w:t>
      </w:r>
      <w:r>
        <w:rPr/>
        <w:t>per</w:t>
      </w:r>
      <w:r>
        <w:rPr>
          <w:spacing w:val="-8"/>
        </w:rPr>
        <w:t> </w:t>
      </w:r>
      <w:r>
        <w:rPr/>
        <w:t>person</w:t>
      </w:r>
      <w:r>
        <w:rPr>
          <w:spacing w:val="-7"/>
        </w:rPr>
        <w:t> </w:t>
      </w:r>
      <w:r>
        <w:rPr/>
        <w:t>per</w:t>
      </w:r>
      <w:r>
        <w:rPr>
          <w:spacing w:val="-8"/>
        </w:rPr>
        <w:t> </w:t>
      </w:r>
      <w:r>
        <w:rPr/>
        <w:t>trip.</w:t>
      </w:r>
      <w:r>
        <w:rPr>
          <w:spacing w:val="33"/>
        </w:rPr>
        <w:t> </w:t>
      </w:r>
      <w:r>
        <w:rPr/>
        <w:t>The</w:t>
      </w:r>
      <w:r>
        <w:rPr>
          <w:spacing w:val="-8"/>
        </w:rPr>
        <w:t> </w:t>
      </w:r>
      <w:r>
        <w:rPr/>
        <w:t>total</w:t>
      </w:r>
      <w:r>
        <w:rPr>
          <w:spacing w:val="-8"/>
        </w:rPr>
        <w:t> </w:t>
      </w:r>
      <w:r>
        <w:rPr/>
        <w:t>annual</w:t>
      </w:r>
      <w:r>
        <w:rPr>
          <w:spacing w:val="-7"/>
        </w:rPr>
        <w:t> </w:t>
      </w:r>
      <w:r>
        <w:rPr/>
        <w:t>amount </w:t>
      </w:r>
      <w:r>
        <w:rPr/>
        <w:t>of tourists who do not stay in a hotel is 42% of the tourist arrivals in 2014. Thus, the opportunity cost of US$83 per person per trip directly effects the restaurant sector in the amount of US$15.8</w:t>
      </w:r>
      <w:r>
        <w:rPr>
          <w:spacing w:val="-29"/>
        </w:rPr>
        <w:t> </w:t>
      </w:r>
      <w:r>
        <w:rPr/>
        <w:t>million.</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0" w:after="0"/>
        <w:ind w:right="0"/>
        <w:rPr>
          <w:rFonts w:ascii="Calibri" w:hAnsi="Calibri" w:cs="Calibri" w:eastAsia="Calibri" w:hint="default"/>
          <w:sz w:val="15"/>
          <w:szCs w:val="15"/>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7" w:lineRule="auto" w:before="91"/>
        <w:ind w:left="1440" w:right="2148" w:firstLine="0"/>
        <w:jc w:val="left"/>
        <w:rPr>
          <w:rFonts w:ascii="Calibri" w:hAnsi="Calibri" w:cs="Calibri" w:eastAsia="Calibri" w:hint="default"/>
          <w:sz w:val="16"/>
          <w:szCs w:val="16"/>
        </w:rPr>
      </w:pPr>
      <w:r>
        <w:rPr>
          <w:rFonts w:ascii="Calibri" w:hAnsi="Calibri"/>
          <w:position w:val="5"/>
          <w:sz w:val="12"/>
        </w:rPr>
        <w:t>23 </w:t>
      </w:r>
      <w:r>
        <w:rPr>
          <w:rFonts w:ascii="Calibri" w:hAnsi="Calibri"/>
          <w:sz w:val="16"/>
        </w:rPr>
        <w:t>See, for example, Rivera, M., Croes, R., &amp; Semrad, K. (2014). </w:t>
      </w:r>
      <w:r>
        <w:rPr>
          <w:rFonts w:ascii="Calibri" w:hAnsi="Calibri"/>
          <w:i/>
          <w:sz w:val="16"/>
        </w:rPr>
        <w:t>The </w:t>
      </w:r>
      <w:r>
        <w:rPr>
          <w:rFonts w:ascii="Calibri" w:hAnsi="Calibri"/>
          <w:sz w:val="16"/>
        </w:rPr>
        <w:t>Curaçao </w:t>
      </w:r>
      <w:r>
        <w:rPr>
          <w:rFonts w:ascii="Calibri" w:hAnsi="Calibri"/>
          <w:i/>
          <w:sz w:val="16"/>
        </w:rPr>
        <w:t>North Sea Jazz Festival: A lustrum churning economic and promotional</w:t>
      </w:r>
      <w:r>
        <w:rPr>
          <w:rFonts w:ascii="Calibri" w:hAnsi="Calibri"/>
          <w:i/>
          <w:spacing w:val="-4"/>
          <w:sz w:val="16"/>
        </w:rPr>
        <w:t> </w:t>
      </w:r>
      <w:r>
        <w:rPr>
          <w:rFonts w:ascii="Calibri" w:hAnsi="Calibri"/>
          <w:i/>
          <w:sz w:val="16"/>
        </w:rPr>
        <w:t>opportunities</w:t>
      </w:r>
      <w:r>
        <w:rPr>
          <w:rFonts w:ascii="Calibri" w:hAnsi="Calibri"/>
          <w:i/>
          <w:spacing w:val="-4"/>
          <w:sz w:val="16"/>
        </w:rPr>
        <w:t> </w:t>
      </w:r>
      <w:r>
        <w:rPr>
          <w:rFonts w:ascii="Calibri" w:hAnsi="Calibri"/>
          <w:i/>
          <w:sz w:val="16"/>
        </w:rPr>
        <w:t>for</w:t>
      </w:r>
      <w:r>
        <w:rPr>
          <w:rFonts w:ascii="Calibri" w:hAnsi="Calibri"/>
          <w:i/>
          <w:spacing w:val="-3"/>
          <w:sz w:val="16"/>
        </w:rPr>
        <w:t> </w:t>
      </w:r>
      <w:r>
        <w:rPr>
          <w:rFonts w:ascii="Calibri" w:hAnsi="Calibri"/>
          <w:i/>
          <w:sz w:val="16"/>
        </w:rPr>
        <w:t>Curaçao</w:t>
      </w:r>
      <w:r>
        <w:rPr>
          <w:rFonts w:ascii="Calibri" w:hAnsi="Calibri"/>
          <w:sz w:val="16"/>
        </w:rPr>
        <w:t>.</w:t>
      </w:r>
      <w:r>
        <w:rPr>
          <w:rFonts w:ascii="Calibri" w:hAnsi="Calibri"/>
          <w:spacing w:val="-3"/>
          <w:sz w:val="16"/>
        </w:rPr>
        <w:t> </w:t>
      </w:r>
      <w:r>
        <w:rPr>
          <w:rFonts w:ascii="Calibri" w:hAnsi="Calibri"/>
          <w:sz w:val="16"/>
        </w:rPr>
        <w:t>Dick</w:t>
      </w:r>
      <w:r>
        <w:rPr>
          <w:rFonts w:ascii="Calibri" w:hAnsi="Calibri"/>
          <w:spacing w:val="-4"/>
          <w:sz w:val="16"/>
        </w:rPr>
        <w:t> </w:t>
      </w:r>
      <w:r>
        <w:rPr>
          <w:rFonts w:ascii="Calibri" w:hAnsi="Calibri"/>
          <w:sz w:val="16"/>
        </w:rPr>
        <w:t>Pope</w:t>
      </w:r>
      <w:r>
        <w:rPr>
          <w:rFonts w:ascii="Calibri" w:hAnsi="Calibri"/>
          <w:spacing w:val="-5"/>
          <w:sz w:val="16"/>
        </w:rPr>
        <w:t> </w:t>
      </w:r>
      <w:r>
        <w:rPr>
          <w:rFonts w:ascii="Calibri" w:hAnsi="Calibri"/>
          <w:sz w:val="16"/>
        </w:rPr>
        <w:t>Sr.</w:t>
      </w:r>
      <w:r>
        <w:rPr>
          <w:rFonts w:ascii="Calibri" w:hAnsi="Calibri"/>
          <w:spacing w:val="-3"/>
          <w:sz w:val="16"/>
        </w:rPr>
        <w:t> </w:t>
      </w:r>
      <w:r>
        <w:rPr>
          <w:rFonts w:ascii="Calibri" w:hAnsi="Calibri"/>
          <w:sz w:val="16"/>
        </w:rPr>
        <w:t>Institute</w:t>
      </w:r>
      <w:r>
        <w:rPr>
          <w:rFonts w:ascii="Calibri" w:hAnsi="Calibri"/>
          <w:spacing w:val="-4"/>
          <w:sz w:val="16"/>
        </w:rPr>
        <w:t> </w:t>
      </w:r>
      <w:r>
        <w:rPr>
          <w:rFonts w:ascii="Calibri" w:hAnsi="Calibri"/>
          <w:sz w:val="16"/>
        </w:rPr>
        <w:t>for</w:t>
      </w:r>
      <w:r>
        <w:rPr>
          <w:rFonts w:ascii="Calibri" w:hAnsi="Calibri"/>
          <w:spacing w:val="-4"/>
          <w:sz w:val="16"/>
        </w:rPr>
        <w:t> </w:t>
      </w:r>
      <w:r>
        <w:rPr>
          <w:rFonts w:ascii="Calibri" w:hAnsi="Calibri"/>
          <w:sz w:val="16"/>
        </w:rPr>
        <w:t>Tourism</w:t>
      </w:r>
      <w:r>
        <w:rPr>
          <w:rFonts w:ascii="Calibri" w:hAnsi="Calibri"/>
          <w:spacing w:val="-1"/>
          <w:sz w:val="16"/>
        </w:rPr>
        <w:t> </w:t>
      </w:r>
      <w:r>
        <w:rPr>
          <w:rFonts w:ascii="Calibri" w:hAnsi="Calibri"/>
          <w:sz w:val="16"/>
        </w:rPr>
        <w:t>Studies:</w:t>
      </w:r>
      <w:r>
        <w:rPr>
          <w:rFonts w:ascii="Calibri" w:hAnsi="Calibri"/>
          <w:spacing w:val="-4"/>
          <w:sz w:val="16"/>
        </w:rPr>
        <w:t> </w:t>
      </w:r>
      <w:r>
        <w:rPr>
          <w:rFonts w:ascii="Calibri" w:hAnsi="Calibri"/>
          <w:sz w:val="16"/>
        </w:rPr>
        <w:t>Orlando,</w:t>
      </w:r>
      <w:r>
        <w:rPr>
          <w:rFonts w:ascii="Calibri" w:hAnsi="Calibri"/>
          <w:spacing w:val="-2"/>
          <w:sz w:val="16"/>
        </w:rPr>
        <w:t> </w:t>
      </w:r>
      <w:r>
        <w:rPr>
          <w:rFonts w:ascii="Calibri" w:hAnsi="Calibri"/>
          <w:sz w:val="16"/>
        </w:rPr>
        <w:t>FL.</w:t>
      </w:r>
    </w:p>
    <w:p>
      <w:pPr>
        <w:spacing w:after="0" w:line="247"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2" w:after="0"/>
        <w:ind w:right="0"/>
        <w:rPr>
          <w:rFonts w:ascii="Calibri" w:hAnsi="Calibri" w:cs="Calibri" w:eastAsia="Calibri" w:hint="default"/>
          <w:sz w:val="27"/>
          <w:szCs w:val="27"/>
        </w:rPr>
      </w:pPr>
    </w:p>
    <w:p>
      <w:pPr>
        <w:spacing w:line="240" w:lineRule="auto"/>
        <w:ind w:left="3489"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328583" cy="1449324"/>
            <wp:effectExtent l="0" t="0" r="0" b="0"/>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28" cstate="print"/>
                    <a:stretch>
                      <a:fillRect/>
                    </a:stretch>
                  </pic:blipFill>
                  <pic:spPr>
                    <a:xfrm>
                      <a:off x="0" y="0"/>
                      <a:ext cx="3328583" cy="1449324"/>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6"/>
        <w:ind w:right="26"/>
        <w:jc w:val="center"/>
        <w:rPr>
          <w:b w:val="0"/>
          <w:bCs w:val="0"/>
          <w:sz w:val="12"/>
          <w:szCs w:val="12"/>
        </w:rPr>
      </w:pPr>
      <w:bookmarkStart w:name="_bookmark50" w:id="51"/>
      <w:bookmarkEnd w:id="51"/>
      <w:r>
        <w:rPr>
          <w:b w:val="0"/>
        </w:rPr>
      </w:r>
      <w:r>
        <w:rPr/>
        <w:t>Figure 10:  Length of stay of hotel vs. non-hotel</w:t>
      </w:r>
      <w:r>
        <w:rPr>
          <w:spacing w:val="-24"/>
        </w:rPr>
        <w:t> </w:t>
      </w:r>
      <w:r>
        <w:rPr/>
        <w:t>tourists</w:t>
      </w:r>
      <w:r>
        <w:rPr>
          <w:position w:val="5"/>
          <w:sz w:val="12"/>
        </w:rPr>
        <w:t>24</w:t>
      </w:r>
      <w:r>
        <w:rPr>
          <w:b w:val="0"/>
          <w:sz w:val="12"/>
        </w:rPr>
      </w:r>
    </w:p>
    <w:p>
      <w:pPr>
        <w:spacing w:line="240" w:lineRule="auto" w:before="11"/>
        <w:ind w:right="0"/>
        <w:rPr>
          <w:rFonts w:ascii="Calibri" w:hAnsi="Calibri" w:cs="Calibri" w:eastAsia="Calibri" w:hint="default"/>
          <w:b/>
          <w:bCs/>
          <w:sz w:val="19"/>
          <w:szCs w:val="19"/>
        </w:rPr>
      </w:pPr>
    </w:p>
    <w:p>
      <w:pPr>
        <w:pStyle w:val="BodyText"/>
        <w:spacing w:line="240" w:lineRule="auto"/>
        <w:ind w:right="1439"/>
        <w:jc w:val="both"/>
      </w:pPr>
      <w:r>
        <w:rPr/>
        <w:t>In other words, tourists staying in hotels are more likely to eat in the hotels in which they stay compared to those staying</w:t>
      </w:r>
      <w:r>
        <w:rPr>
          <w:spacing w:val="-10"/>
        </w:rPr>
        <w:t> </w:t>
      </w:r>
      <w:r>
        <w:rPr/>
        <w:t>in</w:t>
      </w:r>
      <w:r>
        <w:rPr>
          <w:spacing w:val="-10"/>
        </w:rPr>
        <w:t> </w:t>
      </w:r>
      <w:r>
        <w:rPr/>
        <w:t>non-hotel</w:t>
      </w:r>
      <w:r>
        <w:rPr>
          <w:spacing w:val="-10"/>
        </w:rPr>
        <w:t> </w:t>
      </w:r>
      <w:r>
        <w:rPr/>
        <w:t>accommodations.</w:t>
      </w:r>
      <w:r>
        <w:rPr>
          <w:spacing w:val="-10"/>
        </w:rPr>
        <w:t> </w:t>
      </w:r>
      <w:r>
        <w:rPr/>
        <w:t>In</w:t>
      </w:r>
      <w:r>
        <w:rPr>
          <w:spacing w:val="-9"/>
        </w:rPr>
        <w:t> </w:t>
      </w:r>
      <w:r>
        <w:rPr/>
        <w:t>reference</w:t>
      </w:r>
      <w:r>
        <w:rPr>
          <w:spacing w:val="-10"/>
        </w:rPr>
        <w:t> </w:t>
      </w:r>
      <w:r>
        <w:rPr/>
        <w:t>to</w:t>
      </w:r>
      <w:r>
        <w:rPr>
          <w:spacing w:val="-10"/>
        </w:rPr>
        <w:t> </w:t>
      </w:r>
      <w:r>
        <w:rPr/>
        <w:t>actual</w:t>
      </w:r>
      <w:r>
        <w:rPr>
          <w:spacing w:val="-8"/>
        </w:rPr>
        <w:t> </w:t>
      </w:r>
      <w:r>
        <w:rPr/>
        <w:t>consumption,</w:t>
      </w:r>
      <w:r>
        <w:rPr>
          <w:spacing w:val="-7"/>
        </w:rPr>
        <w:t> </w:t>
      </w:r>
      <w:r>
        <w:rPr/>
        <w:t>tourists</w:t>
      </w:r>
      <w:r>
        <w:rPr>
          <w:spacing w:val="-9"/>
        </w:rPr>
        <w:t> </w:t>
      </w:r>
      <w:r>
        <w:rPr/>
        <w:t>who</w:t>
      </w:r>
      <w:r>
        <w:rPr>
          <w:spacing w:val="-10"/>
        </w:rPr>
        <w:t> </w:t>
      </w:r>
      <w:r>
        <w:rPr/>
        <w:t>stay</w:t>
      </w:r>
      <w:r>
        <w:rPr>
          <w:spacing w:val="-9"/>
        </w:rPr>
        <w:t> </w:t>
      </w:r>
      <w:r>
        <w:rPr/>
        <w:t>in</w:t>
      </w:r>
      <w:r>
        <w:rPr>
          <w:spacing w:val="-10"/>
        </w:rPr>
        <w:t> </w:t>
      </w:r>
      <w:r>
        <w:rPr/>
        <w:t>hotels</w:t>
      </w:r>
      <w:r>
        <w:rPr>
          <w:spacing w:val="-9"/>
        </w:rPr>
        <w:t> </w:t>
      </w:r>
      <w:r>
        <w:rPr/>
        <w:t>spend</w:t>
      </w:r>
      <w:r>
        <w:rPr>
          <w:spacing w:val="-10"/>
        </w:rPr>
        <w:t> </w:t>
      </w:r>
      <w:r>
        <w:rPr/>
        <w:t>US$112 </w:t>
      </w:r>
      <w:r>
        <w:rPr/>
        <w:t>plus</w:t>
      </w:r>
      <w:r>
        <w:rPr>
          <w:spacing w:val="-6"/>
        </w:rPr>
        <w:t> </w:t>
      </w:r>
      <w:r>
        <w:rPr/>
        <w:t>US$72</w:t>
      </w:r>
      <w:r>
        <w:rPr>
          <w:spacing w:val="-6"/>
        </w:rPr>
        <w:t> </w:t>
      </w:r>
      <w:r>
        <w:rPr/>
        <w:t>in</w:t>
      </w:r>
      <w:r>
        <w:rPr>
          <w:spacing w:val="-5"/>
        </w:rPr>
        <w:t> </w:t>
      </w:r>
      <w:r>
        <w:rPr/>
        <w:t>restaurants</w:t>
      </w:r>
      <w:r>
        <w:rPr>
          <w:spacing w:val="-6"/>
        </w:rPr>
        <w:t> </w:t>
      </w:r>
      <w:r>
        <w:rPr/>
        <w:t>per</w:t>
      </w:r>
      <w:r>
        <w:rPr>
          <w:spacing w:val="-3"/>
        </w:rPr>
        <w:t> </w:t>
      </w:r>
      <w:r>
        <w:rPr/>
        <w:t>trip</w:t>
      </w:r>
      <w:r>
        <w:rPr>
          <w:spacing w:val="-4"/>
        </w:rPr>
        <w:t> </w:t>
      </w:r>
      <w:r>
        <w:rPr/>
        <w:t>per</w:t>
      </w:r>
      <w:r>
        <w:rPr>
          <w:spacing w:val="-5"/>
        </w:rPr>
        <w:t> </w:t>
      </w:r>
      <w:r>
        <w:rPr/>
        <w:t>person</w:t>
      </w:r>
      <w:r>
        <w:rPr>
          <w:spacing w:val="-5"/>
        </w:rPr>
        <w:t> </w:t>
      </w:r>
      <w:r>
        <w:rPr/>
        <w:t>compared</w:t>
      </w:r>
      <w:r>
        <w:rPr>
          <w:spacing w:val="-5"/>
        </w:rPr>
        <w:t> </w:t>
      </w:r>
      <w:r>
        <w:rPr/>
        <w:t>to</w:t>
      </w:r>
      <w:r>
        <w:rPr>
          <w:spacing w:val="-5"/>
        </w:rPr>
        <w:t> </w:t>
      </w:r>
      <w:r>
        <w:rPr/>
        <w:t>US$150</w:t>
      </w:r>
      <w:r>
        <w:rPr>
          <w:spacing w:val="-6"/>
        </w:rPr>
        <w:t> </w:t>
      </w:r>
      <w:r>
        <w:rPr/>
        <w:t>plus</w:t>
      </w:r>
      <w:r>
        <w:rPr>
          <w:spacing w:val="-6"/>
        </w:rPr>
        <w:t> </w:t>
      </w:r>
      <w:r>
        <w:rPr/>
        <w:t>US$30</w:t>
      </w:r>
      <w:r>
        <w:rPr>
          <w:spacing w:val="-4"/>
        </w:rPr>
        <w:t> </w:t>
      </w:r>
      <w:r>
        <w:rPr/>
        <w:t>in</w:t>
      </w:r>
      <w:r>
        <w:rPr>
          <w:spacing w:val="-5"/>
        </w:rPr>
        <w:t> </w:t>
      </w:r>
      <w:r>
        <w:rPr/>
        <w:t>restaurants</w:t>
      </w:r>
      <w:r>
        <w:rPr>
          <w:spacing w:val="-6"/>
        </w:rPr>
        <w:t> </w:t>
      </w:r>
      <w:r>
        <w:rPr/>
        <w:t>per</w:t>
      </w:r>
      <w:r>
        <w:rPr>
          <w:spacing w:val="-5"/>
        </w:rPr>
        <w:t> </w:t>
      </w:r>
      <w:r>
        <w:rPr/>
        <w:t>trip</w:t>
      </w:r>
      <w:r>
        <w:rPr>
          <w:spacing w:val="-4"/>
        </w:rPr>
        <w:t> </w:t>
      </w:r>
      <w:r>
        <w:rPr/>
        <w:t>per</w:t>
      </w:r>
      <w:r>
        <w:rPr>
          <w:spacing w:val="-5"/>
        </w:rPr>
        <w:t> </w:t>
      </w:r>
      <w:r>
        <w:rPr/>
        <w:t>person</w:t>
      </w:r>
      <w:r>
        <w:rPr>
          <w:spacing w:val="-5"/>
        </w:rPr>
        <w:t> </w:t>
      </w:r>
      <w:r>
        <w:rPr/>
        <w:t>for </w:t>
      </w:r>
      <w:r>
        <w:rPr/>
        <w:t>those tourists staying in non-hotels. The total amount per trip per person seems about the same. However, when considering the variation in the length of stay, tourists staying in a hotel spend US$22.16 per person per day in restaurants compared to US$15.50 per person per day in restaurants for those tourists not staying in hotels. This again represents the aforementioned loss of $15.8 million in the restaurant</w:t>
      </w:r>
      <w:r>
        <w:rPr>
          <w:spacing w:val="-26"/>
        </w:rPr>
        <w:t> </w:t>
      </w:r>
      <w:r>
        <w:rPr/>
        <w:t>sector.</w:t>
      </w:r>
    </w:p>
    <w:p>
      <w:pPr>
        <w:spacing w:line="240" w:lineRule="auto" w:before="11"/>
        <w:ind w:right="0"/>
        <w:rPr>
          <w:rFonts w:ascii="Calibri" w:hAnsi="Calibri" w:cs="Calibri" w:eastAsia="Calibri" w:hint="default"/>
          <w:sz w:val="19"/>
          <w:szCs w:val="19"/>
        </w:rPr>
      </w:pPr>
    </w:p>
    <w:p>
      <w:pPr>
        <w:pStyle w:val="BodyText"/>
        <w:spacing w:line="240" w:lineRule="auto"/>
        <w:ind w:right="1442"/>
        <w:jc w:val="both"/>
      </w:pPr>
      <w:r>
        <w:rPr/>
        <w:t>This</w:t>
      </w:r>
      <w:r>
        <w:rPr>
          <w:spacing w:val="-8"/>
        </w:rPr>
        <w:t> </w:t>
      </w:r>
      <w:r>
        <w:rPr/>
        <w:t>is</w:t>
      </w:r>
      <w:r>
        <w:rPr>
          <w:spacing w:val="-8"/>
        </w:rPr>
        <w:t> </w:t>
      </w:r>
      <w:r>
        <w:rPr/>
        <w:t>not</w:t>
      </w:r>
      <w:r>
        <w:rPr>
          <w:spacing w:val="-6"/>
        </w:rPr>
        <w:t> </w:t>
      </w:r>
      <w:r>
        <w:rPr/>
        <w:t>to</w:t>
      </w:r>
      <w:r>
        <w:rPr>
          <w:spacing w:val="-6"/>
        </w:rPr>
        <w:t> </w:t>
      </w:r>
      <w:r>
        <w:rPr/>
        <w:t>say</w:t>
      </w:r>
      <w:r>
        <w:rPr>
          <w:spacing w:val="-5"/>
        </w:rPr>
        <w:t> </w:t>
      </w:r>
      <w:r>
        <w:rPr/>
        <w:t>that</w:t>
      </w:r>
      <w:r>
        <w:rPr>
          <w:spacing w:val="-6"/>
        </w:rPr>
        <w:t> </w:t>
      </w:r>
      <w:r>
        <w:rPr/>
        <w:t>tourists</w:t>
      </w:r>
      <w:r>
        <w:rPr>
          <w:spacing w:val="-7"/>
        </w:rPr>
        <w:t> </w:t>
      </w:r>
      <w:r>
        <w:rPr/>
        <w:t>who</w:t>
      </w:r>
      <w:r>
        <w:rPr>
          <w:spacing w:val="-7"/>
        </w:rPr>
        <w:t> </w:t>
      </w:r>
      <w:r>
        <w:rPr/>
        <w:t>do</w:t>
      </w:r>
      <w:r>
        <w:rPr>
          <w:spacing w:val="-7"/>
        </w:rPr>
        <w:t> </w:t>
      </w:r>
      <w:r>
        <w:rPr/>
        <w:t>not</w:t>
      </w:r>
      <w:r>
        <w:rPr>
          <w:spacing w:val="-6"/>
        </w:rPr>
        <w:t> </w:t>
      </w:r>
      <w:r>
        <w:rPr/>
        <w:t>stay</w:t>
      </w:r>
      <w:r>
        <w:rPr>
          <w:spacing w:val="-8"/>
        </w:rPr>
        <w:t> </w:t>
      </w:r>
      <w:r>
        <w:rPr/>
        <w:t>in</w:t>
      </w:r>
      <w:r>
        <w:rPr>
          <w:spacing w:val="-6"/>
        </w:rPr>
        <w:t> </w:t>
      </w:r>
      <w:r>
        <w:rPr/>
        <w:t>hotels</w:t>
      </w:r>
      <w:r>
        <w:rPr>
          <w:spacing w:val="-8"/>
        </w:rPr>
        <w:t> </w:t>
      </w:r>
      <w:r>
        <w:rPr/>
        <w:t>do</w:t>
      </w:r>
      <w:r>
        <w:rPr>
          <w:spacing w:val="-7"/>
        </w:rPr>
        <w:t> </w:t>
      </w:r>
      <w:r>
        <w:rPr/>
        <w:t>not</w:t>
      </w:r>
      <w:r>
        <w:rPr>
          <w:spacing w:val="-6"/>
        </w:rPr>
        <w:t> </w:t>
      </w:r>
      <w:r>
        <w:rPr/>
        <w:t>make</w:t>
      </w:r>
      <w:r>
        <w:rPr>
          <w:spacing w:val="-8"/>
        </w:rPr>
        <w:t> </w:t>
      </w:r>
      <w:r>
        <w:rPr/>
        <w:t>other</w:t>
      </w:r>
      <w:r>
        <w:rPr>
          <w:spacing w:val="-7"/>
        </w:rPr>
        <w:t> </w:t>
      </w:r>
      <w:r>
        <w:rPr/>
        <w:t>economic</w:t>
      </w:r>
      <w:r>
        <w:rPr>
          <w:spacing w:val="-8"/>
        </w:rPr>
        <w:t> </w:t>
      </w:r>
      <w:r>
        <w:rPr/>
        <w:t>contributions</w:t>
      </w:r>
      <w:r>
        <w:rPr>
          <w:spacing w:val="-8"/>
        </w:rPr>
        <w:t> </w:t>
      </w:r>
      <w:r>
        <w:rPr/>
        <w:t>to</w:t>
      </w:r>
      <w:r>
        <w:rPr>
          <w:spacing w:val="-6"/>
        </w:rPr>
        <w:t> </w:t>
      </w:r>
      <w:r>
        <w:rPr/>
        <w:t>the</w:t>
      </w:r>
      <w:r>
        <w:rPr>
          <w:spacing w:val="-8"/>
        </w:rPr>
        <w:t> </w:t>
      </w:r>
      <w:r>
        <w:rPr/>
        <w:t>island.</w:t>
      </w:r>
      <w:r>
        <w:rPr>
          <w:spacing w:val="32"/>
        </w:rPr>
        <w:t> </w:t>
      </w:r>
      <w:r>
        <w:rPr/>
        <w:t>For </w:t>
      </w:r>
      <w:r>
        <w:rPr/>
        <w:t>example, those tourists staying at non-hotel accommodations spend more money on groceries (US$58) compared to tourists staying in hotels who spend less than half (US$23). However, when considering that hotels have the largest multiplier within the economy, it is important to concentrate on creating an influx of those tourists who would prefer to stay in hotels, as opposed to those that prefer non-hotel</w:t>
      </w:r>
      <w:r>
        <w:rPr>
          <w:spacing w:val="-31"/>
        </w:rPr>
        <w:t> </w:t>
      </w:r>
      <w:r>
        <w:rPr/>
        <w:t>accommodations.</w:t>
      </w:r>
    </w:p>
    <w:p>
      <w:pPr>
        <w:spacing w:line="240" w:lineRule="auto" w:before="11"/>
        <w:ind w:right="0"/>
        <w:rPr>
          <w:rFonts w:ascii="Calibri" w:hAnsi="Calibri" w:cs="Calibri" w:eastAsia="Calibri" w:hint="default"/>
          <w:sz w:val="19"/>
          <w:szCs w:val="19"/>
        </w:rPr>
      </w:pPr>
    </w:p>
    <w:p>
      <w:pPr>
        <w:pStyle w:val="Heading9"/>
        <w:spacing w:line="240" w:lineRule="auto" w:after="42"/>
        <w:ind w:left="28" w:right="26"/>
        <w:jc w:val="center"/>
        <w:rPr>
          <w:b w:val="0"/>
          <w:bCs w:val="0"/>
        </w:rPr>
      </w:pPr>
      <w:bookmarkStart w:name="_bookmark51" w:id="52"/>
      <w:bookmarkEnd w:id="52"/>
      <w:r>
        <w:rPr>
          <w:b w:val="0"/>
        </w:rPr>
      </w:r>
      <w:r>
        <w:rPr/>
        <w:t>Table 12:  Hotel tourists by</w:t>
      </w:r>
      <w:r>
        <w:rPr>
          <w:spacing w:val="-15"/>
        </w:rPr>
        <w:t> </w:t>
      </w:r>
      <w:r>
        <w:rPr/>
        <w:t>country</w:t>
      </w:r>
      <w:r>
        <w:rPr>
          <w:b w:val="0"/>
        </w:rPr>
      </w:r>
    </w:p>
    <w:tbl>
      <w:tblPr>
        <w:tblW w:w="0" w:type="auto"/>
        <w:jc w:val="left"/>
        <w:tblInd w:w="1414" w:type="dxa"/>
        <w:tblLayout w:type="fixed"/>
        <w:tblCellMar>
          <w:top w:w="0" w:type="dxa"/>
          <w:left w:w="0" w:type="dxa"/>
          <w:bottom w:w="0" w:type="dxa"/>
          <w:right w:w="0" w:type="dxa"/>
        </w:tblCellMar>
        <w:tblLook w:val="01E0"/>
      </w:tblPr>
      <w:tblGrid>
        <w:gridCol w:w="4420"/>
        <w:gridCol w:w="1355"/>
        <w:gridCol w:w="1034"/>
        <w:gridCol w:w="1444"/>
        <w:gridCol w:w="1158"/>
      </w:tblGrid>
      <w:tr>
        <w:trPr>
          <w:trHeight w:val="454" w:hRule="exact"/>
        </w:trPr>
        <w:tc>
          <w:tcPr>
            <w:tcW w:w="4420" w:type="dxa"/>
            <w:tcBorders>
              <w:top w:val="nil" w:sz="6" w:space="0" w:color="auto"/>
              <w:left w:val="nil" w:sz="6" w:space="0" w:color="auto"/>
              <w:bottom w:val="single" w:sz="4" w:space="0" w:color="000000"/>
              <w:right w:val="nil" w:sz="6" w:space="0" w:color="auto"/>
            </w:tcBorders>
          </w:tcPr>
          <w:p>
            <w:pPr>
              <w:pStyle w:val="TableParagraph"/>
              <w:spacing w:line="240" w:lineRule="auto" w:before="81"/>
              <w:ind w:right="26"/>
              <w:jc w:val="center"/>
              <w:rPr>
                <w:rFonts w:ascii="Calibri" w:hAnsi="Calibri" w:cs="Calibri" w:eastAsia="Calibri" w:hint="default"/>
                <w:sz w:val="20"/>
                <w:szCs w:val="20"/>
              </w:rPr>
            </w:pPr>
            <w:r>
              <w:rPr>
                <w:rFonts w:ascii="Calibri"/>
                <w:b/>
                <w:sz w:val="20"/>
              </w:rPr>
              <w:t>Spending</w:t>
            </w:r>
            <w:r>
              <w:rPr>
                <w:rFonts w:ascii="Calibri"/>
                <w:sz w:val="20"/>
              </w:rPr>
            </w:r>
          </w:p>
        </w:tc>
        <w:tc>
          <w:tcPr>
            <w:tcW w:w="1355" w:type="dxa"/>
            <w:tcBorders>
              <w:top w:val="nil" w:sz="6" w:space="0" w:color="auto"/>
              <w:left w:val="nil" w:sz="6" w:space="0" w:color="auto"/>
              <w:bottom w:val="single" w:sz="4" w:space="0" w:color="000000"/>
              <w:right w:val="nil" w:sz="6" w:space="0" w:color="auto"/>
            </w:tcBorders>
          </w:tcPr>
          <w:p>
            <w:pPr>
              <w:pStyle w:val="TableParagraph"/>
              <w:spacing w:line="203" w:lineRule="exact"/>
              <w:ind w:right="133"/>
              <w:jc w:val="center"/>
              <w:rPr>
                <w:rFonts w:ascii="Calibri" w:hAnsi="Calibri" w:cs="Calibri" w:eastAsia="Calibri" w:hint="default"/>
                <w:sz w:val="20"/>
                <w:szCs w:val="20"/>
              </w:rPr>
            </w:pPr>
            <w:r>
              <w:rPr>
                <w:rFonts w:ascii="Calibri"/>
                <w:b/>
                <w:sz w:val="20"/>
              </w:rPr>
              <w:t>The</w:t>
            </w:r>
            <w:r>
              <w:rPr>
                <w:rFonts w:ascii="Calibri"/>
                <w:sz w:val="20"/>
              </w:rPr>
            </w:r>
          </w:p>
          <w:p>
            <w:pPr>
              <w:pStyle w:val="TableParagraph"/>
              <w:spacing w:line="240" w:lineRule="auto"/>
              <w:ind w:right="131"/>
              <w:jc w:val="center"/>
              <w:rPr>
                <w:rFonts w:ascii="Calibri" w:hAnsi="Calibri" w:cs="Calibri" w:eastAsia="Calibri" w:hint="default"/>
                <w:sz w:val="20"/>
                <w:szCs w:val="20"/>
              </w:rPr>
            </w:pPr>
            <w:r>
              <w:rPr>
                <w:rFonts w:ascii="Calibri"/>
                <w:b/>
                <w:sz w:val="20"/>
              </w:rPr>
              <w:t>Netherlands</w:t>
            </w:r>
            <w:r>
              <w:rPr>
                <w:rFonts w:ascii="Calibri"/>
                <w:sz w:val="20"/>
              </w:rPr>
            </w:r>
          </w:p>
        </w:tc>
        <w:tc>
          <w:tcPr>
            <w:tcW w:w="1034" w:type="dxa"/>
            <w:tcBorders>
              <w:top w:val="nil" w:sz="6" w:space="0" w:color="auto"/>
              <w:left w:val="nil" w:sz="6" w:space="0" w:color="auto"/>
              <w:bottom w:val="single" w:sz="4" w:space="0" w:color="000000"/>
              <w:right w:val="nil" w:sz="6" w:space="0" w:color="auto"/>
            </w:tcBorders>
          </w:tcPr>
          <w:p>
            <w:pPr>
              <w:pStyle w:val="TableParagraph"/>
              <w:spacing w:line="240" w:lineRule="auto" w:before="81"/>
              <w:ind w:right="12"/>
              <w:jc w:val="center"/>
              <w:rPr>
                <w:rFonts w:ascii="Calibri" w:hAnsi="Calibri" w:cs="Calibri" w:eastAsia="Calibri" w:hint="default"/>
                <w:sz w:val="20"/>
                <w:szCs w:val="20"/>
              </w:rPr>
            </w:pPr>
            <w:r>
              <w:rPr>
                <w:rFonts w:ascii="Calibri"/>
                <w:b/>
                <w:sz w:val="20"/>
              </w:rPr>
              <w:t>USA</w:t>
            </w:r>
            <w:r>
              <w:rPr>
                <w:rFonts w:ascii="Calibri"/>
                <w:sz w:val="20"/>
              </w:rPr>
            </w:r>
          </w:p>
        </w:tc>
        <w:tc>
          <w:tcPr>
            <w:tcW w:w="1444" w:type="dxa"/>
            <w:tcBorders>
              <w:top w:val="nil" w:sz="6" w:space="0" w:color="auto"/>
              <w:left w:val="nil" w:sz="6" w:space="0" w:color="auto"/>
              <w:bottom w:val="single" w:sz="4" w:space="0" w:color="000000"/>
              <w:right w:val="nil" w:sz="6" w:space="0" w:color="auto"/>
            </w:tcBorders>
          </w:tcPr>
          <w:p>
            <w:pPr>
              <w:pStyle w:val="TableParagraph"/>
              <w:spacing w:line="203" w:lineRule="exact"/>
              <w:ind w:left="326" w:right="0" w:hanging="80"/>
              <w:jc w:val="left"/>
              <w:rPr>
                <w:rFonts w:ascii="Calibri" w:hAnsi="Calibri" w:cs="Calibri" w:eastAsia="Calibri" w:hint="default"/>
                <w:sz w:val="20"/>
                <w:szCs w:val="20"/>
              </w:rPr>
            </w:pPr>
            <w:r>
              <w:rPr>
                <w:rFonts w:ascii="Calibri"/>
                <w:b/>
                <w:sz w:val="20"/>
              </w:rPr>
              <w:t>Venezuela/</w:t>
            </w:r>
            <w:r>
              <w:rPr>
                <w:rFonts w:ascii="Calibri"/>
                <w:sz w:val="20"/>
              </w:rPr>
            </w:r>
          </w:p>
          <w:p>
            <w:pPr>
              <w:pStyle w:val="TableParagraph"/>
              <w:spacing w:line="240" w:lineRule="auto"/>
              <w:ind w:left="326" w:right="0"/>
              <w:jc w:val="left"/>
              <w:rPr>
                <w:rFonts w:ascii="Calibri" w:hAnsi="Calibri" w:cs="Calibri" w:eastAsia="Calibri" w:hint="default"/>
                <w:sz w:val="20"/>
                <w:szCs w:val="20"/>
              </w:rPr>
            </w:pPr>
            <w:r>
              <w:rPr>
                <w:rFonts w:ascii="Calibri"/>
                <w:b/>
                <w:sz w:val="20"/>
              </w:rPr>
              <w:t>Colombia</w:t>
            </w:r>
            <w:r>
              <w:rPr>
                <w:rFonts w:ascii="Calibri"/>
                <w:sz w:val="20"/>
              </w:rPr>
            </w:r>
          </w:p>
        </w:tc>
        <w:tc>
          <w:tcPr>
            <w:tcW w:w="1158" w:type="dxa"/>
            <w:tcBorders>
              <w:top w:val="nil" w:sz="6" w:space="0" w:color="auto"/>
              <w:left w:val="nil" w:sz="6" w:space="0" w:color="auto"/>
              <w:bottom w:val="single" w:sz="4" w:space="0" w:color="000000"/>
              <w:right w:val="nil" w:sz="6" w:space="0" w:color="auto"/>
            </w:tcBorders>
          </w:tcPr>
          <w:p>
            <w:pPr>
              <w:pStyle w:val="TableParagraph"/>
              <w:spacing w:line="240" w:lineRule="auto" w:before="81"/>
              <w:ind w:right="95"/>
              <w:jc w:val="center"/>
              <w:rPr>
                <w:rFonts w:ascii="Calibri" w:hAnsi="Calibri" w:cs="Calibri" w:eastAsia="Calibri" w:hint="default"/>
                <w:sz w:val="20"/>
                <w:szCs w:val="20"/>
              </w:rPr>
            </w:pPr>
            <w:r>
              <w:rPr>
                <w:rFonts w:ascii="Calibri"/>
                <w:b/>
                <w:sz w:val="20"/>
              </w:rPr>
              <w:t>Others</w:t>
            </w:r>
            <w:r>
              <w:rPr>
                <w:rFonts w:ascii="Calibri"/>
                <w:sz w:val="20"/>
              </w:rPr>
            </w:r>
          </w:p>
        </w:tc>
      </w:tr>
      <w:tr>
        <w:trPr>
          <w:trHeight w:val="266" w:hRule="exact"/>
        </w:trPr>
        <w:tc>
          <w:tcPr>
            <w:tcW w:w="4420" w:type="dxa"/>
            <w:tcBorders>
              <w:top w:val="single" w:sz="4" w:space="0" w:color="000000"/>
              <w:left w:val="nil" w:sz="6" w:space="0" w:color="auto"/>
              <w:bottom w:val="nil" w:sz="6" w:space="0" w:color="auto"/>
              <w:right w:val="nil" w:sz="6" w:space="0" w:color="auto"/>
            </w:tcBorders>
          </w:tcPr>
          <w:p>
            <w:pPr>
              <w:pStyle w:val="TableParagraph"/>
              <w:spacing w:line="244" w:lineRule="exact"/>
              <w:ind w:left="72" w:right="0"/>
              <w:jc w:val="left"/>
              <w:rPr>
                <w:rFonts w:ascii="Calibri" w:hAnsi="Calibri" w:cs="Calibri" w:eastAsia="Calibri" w:hint="default"/>
                <w:sz w:val="20"/>
                <w:szCs w:val="20"/>
              </w:rPr>
            </w:pPr>
            <w:r>
              <w:rPr>
                <w:rFonts w:ascii="Calibri"/>
                <w:sz w:val="20"/>
              </w:rPr>
              <w:t>Spending US$-Lodging (only room</w:t>
            </w:r>
            <w:r>
              <w:rPr>
                <w:rFonts w:ascii="Calibri"/>
                <w:spacing w:val="-19"/>
                <w:sz w:val="20"/>
              </w:rPr>
              <w:t> </w:t>
            </w:r>
            <w:r>
              <w:rPr>
                <w:rFonts w:ascii="Calibri"/>
                <w:sz w:val="20"/>
              </w:rPr>
              <w:t>expenses)</w:t>
            </w:r>
          </w:p>
        </w:tc>
        <w:tc>
          <w:tcPr>
            <w:tcW w:w="1355" w:type="dxa"/>
            <w:tcBorders>
              <w:top w:val="single" w:sz="4" w:space="0" w:color="000000"/>
              <w:left w:val="nil" w:sz="6" w:space="0" w:color="auto"/>
              <w:bottom w:val="nil" w:sz="6" w:space="0" w:color="auto"/>
              <w:right w:val="nil" w:sz="6" w:space="0" w:color="auto"/>
            </w:tcBorders>
          </w:tcPr>
          <w:p>
            <w:pPr>
              <w:pStyle w:val="TableParagraph"/>
              <w:spacing w:line="244" w:lineRule="exact"/>
              <w:ind w:right="132"/>
              <w:jc w:val="center"/>
              <w:rPr>
                <w:rFonts w:ascii="Calibri" w:hAnsi="Calibri" w:cs="Calibri" w:eastAsia="Calibri" w:hint="default"/>
                <w:sz w:val="20"/>
                <w:szCs w:val="20"/>
              </w:rPr>
            </w:pPr>
            <w:r>
              <w:rPr>
                <w:rFonts w:ascii="Calibri"/>
                <w:sz w:val="20"/>
              </w:rPr>
              <w:t>$302</w:t>
            </w:r>
          </w:p>
        </w:tc>
        <w:tc>
          <w:tcPr>
            <w:tcW w:w="1034" w:type="dxa"/>
            <w:tcBorders>
              <w:top w:val="single" w:sz="4" w:space="0" w:color="000000"/>
              <w:left w:val="nil" w:sz="6" w:space="0" w:color="auto"/>
              <w:bottom w:val="nil" w:sz="6" w:space="0" w:color="auto"/>
              <w:right w:val="nil" w:sz="6" w:space="0" w:color="auto"/>
            </w:tcBorders>
          </w:tcPr>
          <w:p>
            <w:pPr>
              <w:pStyle w:val="TableParagraph"/>
              <w:spacing w:line="244" w:lineRule="exact"/>
              <w:ind w:right="15"/>
              <w:jc w:val="center"/>
              <w:rPr>
                <w:rFonts w:ascii="Calibri" w:hAnsi="Calibri" w:cs="Calibri" w:eastAsia="Calibri" w:hint="default"/>
                <w:sz w:val="20"/>
                <w:szCs w:val="20"/>
              </w:rPr>
            </w:pPr>
            <w:r>
              <w:rPr>
                <w:rFonts w:ascii="Calibri"/>
                <w:sz w:val="20"/>
              </w:rPr>
              <w:t>$402</w:t>
            </w:r>
          </w:p>
        </w:tc>
        <w:tc>
          <w:tcPr>
            <w:tcW w:w="1444" w:type="dxa"/>
            <w:tcBorders>
              <w:top w:val="single" w:sz="4" w:space="0" w:color="000000"/>
              <w:left w:val="nil" w:sz="6" w:space="0" w:color="auto"/>
              <w:bottom w:val="nil" w:sz="6" w:space="0" w:color="auto"/>
              <w:right w:val="nil" w:sz="6" w:space="0" w:color="auto"/>
            </w:tcBorders>
          </w:tcPr>
          <w:p>
            <w:pPr>
              <w:pStyle w:val="TableParagraph"/>
              <w:spacing w:line="244" w:lineRule="exact"/>
              <w:ind w:right="1"/>
              <w:jc w:val="center"/>
              <w:rPr>
                <w:rFonts w:ascii="Calibri" w:hAnsi="Calibri" w:cs="Calibri" w:eastAsia="Calibri" w:hint="default"/>
                <w:sz w:val="20"/>
                <w:szCs w:val="20"/>
              </w:rPr>
            </w:pPr>
            <w:r>
              <w:rPr>
                <w:rFonts w:ascii="Calibri"/>
                <w:sz w:val="20"/>
              </w:rPr>
              <w:t>$222</w:t>
            </w:r>
          </w:p>
        </w:tc>
        <w:tc>
          <w:tcPr>
            <w:tcW w:w="1158" w:type="dxa"/>
            <w:tcBorders>
              <w:top w:val="single" w:sz="4" w:space="0" w:color="000000"/>
              <w:left w:val="nil" w:sz="6" w:space="0" w:color="auto"/>
              <w:bottom w:val="nil" w:sz="6" w:space="0" w:color="auto"/>
              <w:right w:val="nil" w:sz="6" w:space="0" w:color="auto"/>
            </w:tcBorders>
          </w:tcPr>
          <w:p>
            <w:pPr>
              <w:pStyle w:val="TableParagraph"/>
              <w:spacing w:line="244" w:lineRule="exact"/>
              <w:ind w:right="97"/>
              <w:jc w:val="center"/>
              <w:rPr>
                <w:rFonts w:ascii="Calibri" w:hAnsi="Calibri" w:cs="Calibri" w:eastAsia="Calibri" w:hint="default"/>
                <w:sz w:val="20"/>
                <w:szCs w:val="20"/>
              </w:rPr>
            </w:pPr>
            <w:r>
              <w:rPr>
                <w:rFonts w:ascii="Calibri"/>
                <w:sz w:val="20"/>
              </w:rPr>
              <w:t>$273</w:t>
            </w:r>
          </w:p>
        </w:tc>
      </w:tr>
      <w:tr>
        <w:trPr>
          <w:trHeight w:val="244" w:hRule="exact"/>
        </w:trPr>
        <w:tc>
          <w:tcPr>
            <w:tcW w:w="4420" w:type="dxa"/>
            <w:tcBorders>
              <w:top w:val="nil" w:sz="6" w:space="0" w:color="auto"/>
              <w:left w:val="nil" w:sz="6" w:space="0" w:color="auto"/>
              <w:bottom w:val="nil" w:sz="6" w:space="0" w:color="auto"/>
              <w:right w:val="nil" w:sz="6" w:space="0" w:color="auto"/>
            </w:tcBorders>
          </w:tcPr>
          <w:p>
            <w:pPr>
              <w:pStyle w:val="TableParagraph"/>
              <w:spacing w:line="225" w:lineRule="exact"/>
              <w:ind w:left="72" w:right="0"/>
              <w:jc w:val="left"/>
              <w:rPr>
                <w:rFonts w:ascii="Calibri" w:hAnsi="Calibri" w:cs="Calibri" w:eastAsia="Calibri" w:hint="default"/>
                <w:sz w:val="20"/>
                <w:szCs w:val="20"/>
              </w:rPr>
            </w:pPr>
            <w:r>
              <w:rPr>
                <w:rFonts w:ascii="Calibri"/>
                <w:sz w:val="20"/>
              </w:rPr>
              <w:t>Spending US$-Food/beverage (inside</w:t>
            </w:r>
            <w:r>
              <w:rPr>
                <w:rFonts w:ascii="Calibri"/>
                <w:spacing w:val="-20"/>
                <w:sz w:val="20"/>
              </w:rPr>
              <w:t> </w:t>
            </w:r>
            <w:r>
              <w:rPr>
                <w:rFonts w:ascii="Calibri"/>
                <w:sz w:val="20"/>
              </w:rPr>
              <w:t>hotel)</w:t>
            </w:r>
          </w:p>
        </w:tc>
        <w:tc>
          <w:tcPr>
            <w:tcW w:w="1355" w:type="dxa"/>
            <w:tcBorders>
              <w:top w:val="nil" w:sz="6" w:space="0" w:color="auto"/>
              <w:left w:val="nil" w:sz="6" w:space="0" w:color="auto"/>
              <w:bottom w:val="nil" w:sz="6" w:space="0" w:color="auto"/>
              <w:right w:val="nil" w:sz="6" w:space="0" w:color="auto"/>
            </w:tcBorders>
          </w:tcPr>
          <w:p>
            <w:pPr>
              <w:pStyle w:val="TableParagraph"/>
              <w:spacing w:line="225" w:lineRule="exact"/>
              <w:ind w:right="60"/>
              <w:jc w:val="center"/>
              <w:rPr>
                <w:rFonts w:ascii="Calibri" w:hAnsi="Calibri" w:cs="Calibri" w:eastAsia="Calibri" w:hint="default"/>
                <w:sz w:val="20"/>
                <w:szCs w:val="20"/>
              </w:rPr>
            </w:pPr>
            <w:r>
              <w:rPr>
                <w:rFonts w:ascii="Calibri"/>
                <w:sz w:val="20"/>
              </w:rPr>
              <w:t>$80</w:t>
            </w:r>
          </w:p>
        </w:tc>
        <w:tc>
          <w:tcPr>
            <w:tcW w:w="1034" w:type="dxa"/>
            <w:tcBorders>
              <w:top w:val="nil" w:sz="6" w:space="0" w:color="auto"/>
              <w:left w:val="nil" w:sz="6" w:space="0" w:color="auto"/>
              <w:bottom w:val="nil" w:sz="6" w:space="0" w:color="auto"/>
              <w:right w:val="nil" w:sz="6" w:space="0" w:color="auto"/>
            </w:tcBorders>
          </w:tcPr>
          <w:p>
            <w:pPr>
              <w:pStyle w:val="TableParagraph"/>
              <w:spacing w:line="225" w:lineRule="exact"/>
              <w:ind w:right="15"/>
              <w:jc w:val="center"/>
              <w:rPr>
                <w:rFonts w:ascii="Calibri" w:hAnsi="Calibri" w:cs="Calibri" w:eastAsia="Calibri" w:hint="default"/>
                <w:sz w:val="20"/>
                <w:szCs w:val="20"/>
              </w:rPr>
            </w:pPr>
            <w:r>
              <w:rPr>
                <w:rFonts w:ascii="Calibri"/>
                <w:sz w:val="20"/>
              </w:rPr>
              <w:t>$116</w:t>
            </w:r>
          </w:p>
        </w:tc>
        <w:tc>
          <w:tcPr>
            <w:tcW w:w="1444" w:type="dxa"/>
            <w:tcBorders>
              <w:top w:val="nil" w:sz="6" w:space="0" w:color="auto"/>
              <w:left w:val="nil" w:sz="6" w:space="0" w:color="auto"/>
              <w:bottom w:val="nil" w:sz="6" w:space="0" w:color="auto"/>
              <w:right w:val="nil" w:sz="6" w:space="0" w:color="auto"/>
            </w:tcBorders>
          </w:tcPr>
          <w:p>
            <w:pPr>
              <w:pStyle w:val="TableParagraph"/>
              <w:spacing w:line="225" w:lineRule="exact"/>
              <w:ind w:right="1"/>
              <w:jc w:val="center"/>
              <w:rPr>
                <w:rFonts w:ascii="Calibri" w:hAnsi="Calibri" w:cs="Calibri" w:eastAsia="Calibri" w:hint="default"/>
                <w:sz w:val="20"/>
                <w:szCs w:val="20"/>
              </w:rPr>
            </w:pPr>
            <w:r>
              <w:rPr>
                <w:rFonts w:ascii="Calibri"/>
                <w:sz w:val="20"/>
              </w:rPr>
              <w:t>$48</w:t>
            </w:r>
          </w:p>
        </w:tc>
        <w:tc>
          <w:tcPr>
            <w:tcW w:w="1158" w:type="dxa"/>
            <w:tcBorders>
              <w:top w:val="nil" w:sz="6" w:space="0" w:color="auto"/>
              <w:left w:val="nil" w:sz="6" w:space="0" w:color="auto"/>
              <w:bottom w:val="nil" w:sz="6" w:space="0" w:color="auto"/>
              <w:right w:val="nil" w:sz="6" w:space="0" w:color="auto"/>
            </w:tcBorders>
          </w:tcPr>
          <w:p>
            <w:pPr>
              <w:pStyle w:val="TableParagraph"/>
              <w:spacing w:line="225" w:lineRule="exact"/>
              <w:ind w:right="97"/>
              <w:jc w:val="center"/>
              <w:rPr>
                <w:rFonts w:ascii="Calibri" w:hAnsi="Calibri" w:cs="Calibri" w:eastAsia="Calibri" w:hint="default"/>
                <w:sz w:val="20"/>
                <w:szCs w:val="20"/>
              </w:rPr>
            </w:pPr>
            <w:r>
              <w:rPr>
                <w:rFonts w:ascii="Calibri"/>
                <w:sz w:val="20"/>
              </w:rPr>
              <w:t>$64</w:t>
            </w:r>
          </w:p>
        </w:tc>
      </w:tr>
      <w:tr>
        <w:trPr>
          <w:trHeight w:val="245" w:hRule="exact"/>
        </w:trPr>
        <w:tc>
          <w:tcPr>
            <w:tcW w:w="4420" w:type="dxa"/>
            <w:tcBorders>
              <w:top w:val="nil" w:sz="6" w:space="0" w:color="auto"/>
              <w:left w:val="nil" w:sz="6" w:space="0" w:color="auto"/>
              <w:bottom w:val="nil" w:sz="6" w:space="0" w:color="auto"/>
              <w:right w:val="nil" w:sz="6" w:space="0" w:color="auto"/>
            </w:tcBorders>
          </w:tcPr>
          <w:p>
            <w:pPr>
              <w:pStyle w:val="TableParagraph"/>
              <w:spacing w:line="226" w:lineRule="exact"/>
              <w:ind w:left="72" w:right="0"/>
              <w:jc w:val="left"/>
              <w:rPr>
                <w:rFonts w:ascii="Calibri" w:hAnsi="Calibri" w:cs="Calibri" w:eastAsia="Calibri" w:hint="default"/>
                <w:sz w:val="20"/>
                <w:szCs w:val="20"/>
              </w:rPr>
            </w:pPr>
            <w:r>
              <w:rPr>
                <w:rFonts w:ascii="Calibri"/>
                <w:sz w:val="20"/>
              </w:rPr>
              <w:t>Spending US$-Food/beverage (outside</w:t>
            </w:r>
            <w:r>
              <w:rPr>
                <w:rFonts w:ascii="Calibri"/>
                <w:spacing w:val="-21"/>
                <w:sz w:val="20"/>
              </w:rPr>
              <w:t> </w:t>
            </w:r>
            <w:r>
              <w:rPr>
                <w:rFonts w:ascii="Calibri"/>
                <w:sz w:val="20"/>
              </w:rPr>
              <w:t>hotel)</w:t>
            </w:r>
          </w:p>
        </w:tc>
        <w:tc>
          <w:tcPr>
            <w:tcW w:w="1355" w:type="dxa"/>
            <w:tcBorders>
              <w:top w:val="nil" w:sz="6" w:space="0" w:color="auto"/>
              <w:left w:val="nil" w:sz="6" w:space="0" w:color="auto"/>
              <w:bottom w:val="nil" w:sz="6" w:space="0" w:color="auto"/>
              <w:right w:val="nil" w:sz="6" w:space="0" w:color="auto"/>
            </w:tcBorders>
          </w:tcPr>
          <w:p>
            <w:pPr>
              <w:pStyle w:val="TableParagraph"/>
              <w:spacing w:line="226" w:lineRule="exact"/>
              <w:ind w:right="132"/>
              <w:jc w:val="center"/>
              <w:rPr>
                <w:rFonts w:ascii="Calibri" w:hAnsi="Calibri" w:cs="Calibri" w:eastAsia="Calibri" w:hint="default"/>
                <w:sz w:val="20"/>
                <w:szCs w:val="20"/>
              </w:rPr>
            </w:pPr>
            <w:r>
              <w:rPr>
                <w:rFonts w:ascii="Calibri"/>
                <w:sz w:val="20"/>
              </w:rPr>
              <w:t>$174</w:t>
            </w:r>
          </w:p>
        </w:tc>
        <w:tc>
          <w:tcPr>
            <w:tcW w:w="1034" w:type="dxa"/>
            <w:tcBorders>
              <w:top w:val="nil" w:sz="6" w:space="0" w:color="auto"/>
              <w:left w:val="nil" w:sz="6" w:space="0" w:color="auto"/>
              <w:bottom w:val="nil" w:sz="6" w:space="0" w:color="auto"/>
              <w:right w:val="nil" w:sz="6" w:space="0" w:color="auto"/>
            </w:tcBorders>
          </w:tcPr>
          <w:p>
            <w:pPr>
              <w:pStyle w:val="TableParagraph"/>
              <w:spacing w:line="226" w:lineRule="exact"/>
              <w:ind w:right="15"/>
              <w:jc w:val="center"/>
              <w:rPr>
                <w:rFonts w:ascii="Calibri" w:hAnsi="Calibri" w:cs="Calibri" w:eastAsia="Calibri" w:hint="default"/>
                <w:sz w:val="20"/>
                <w:szCs w:val="20"/>
              </w:rPr>
            </w:pPr>
            <w:r>
              <w:rPr>
                <w:rFonts w:ascii="Calibri"/>
                <w:sz w:val="20"/>
              </w:rPr>
              <w:t>$128</w:t>
            </w:r>
          </w:p>
        </w:tc>
        <w:tc>
          <w:tcPr>
            <w:tcW w:w="1444" w:type="dxa"/>
            <w:tcBorders>
              <w:top w:val="nil" w:sz="6" w:space="0" w:color="auto"/>
              <w:left w:val="nil" w:sz="6" w:space="0" w:color="auto"/>
              <w:bottom w:val="nil" w:sz="6" w:space="0" w:color="auto"/>
              <w:right w:val="nil" w:sz="6" w:space="0" w:color="auto"/>
            </w:tcBorders>
          </w:tcPr>
          <w:p>
            <w:pPr>
              <w:pStyle w:val="TableParagraph"/>
              <w:spacing w:line="226" w:lineRule="exact"/>
              <w:ind w:right="1"/>
              <w:jc w:val="center"/>
              <w:rPr>
                <w:rFonts w:ascii="Calibri" w:hAnsi="Calibri" w:cs="Calibri" w:eastAsia="Calibri" w:hint="default"/>
                <w:sz w:val="20"/>
                <w:szCs w:val="20"/>
              </w:rPr>
            </w:pPr>
            <w:r>
              <w:rPr>
                <w:rFonts w:ascii="Calibri"/>
                <w:sz w:val="20"/>
              </w:rPr>
              <w:t>$81</w:t>
            </w:r>
          </w:p>
        </w:tc>
        <w:tc>
          <w:tcPr>
            <w:tcW w:w="1158" w:type="dxa"/>
            <w:tcBorders>
              <w:top w:val="nil" w:sz="6" w:space="0" w:color="auto"/>
              <w:left w:val="nil" w:sz="6" w:space="0" w:color="auto"/>
              <w:bottom w:val="nil" w:sz="6" w:space="0" w:color="auto"/>
              <w:right w:val="nil" w:sz="6" w:space="0" w:color="auto"/>
            </w:tcBorders>
          </w:tcPr>
          <w:p>
            <w:pPr>
              <w:pStyle w:val="TableParagraph"/>
              <w:spacing w:line="226" w:lineRule="exact"/>
              <w:ind w:right="97"/>
              <w:jc w:val="center"/>
              <w:rPr>
                <w:rFonts w:ascii="Calibri" w:hAnsi="Calibri" w:cs="Calibri" w:eastAsia="Calibri" w:hint="default"/>
                <w:sz w:val="20"/>
                <w:szCs w:val="20"/>
              </w:rPr>
            </w:pPr>
            <w:r>
              <w:rPr>
                <w:rFonts w:ascii="Calibri"/>
                <w:sz w:val="20"/>
              </w:rPr>
              <w:t>$81</w:t>
            </w:r>
          </w:p>
        </w:tc>
      </w:tr>
      <w:tr>
        <w:trPr>
          <w:trHeight w:val="245" w:hRule="exact"/>
        </w:trPr>
        <w:tc>
          <w:tcPr>
            <w:tcW w:w="4420" w:type="dxa"/>
            <w:tcBorders>
              <w:top w:val="nil" w:sz="6" w:space="0" w:color="auto"/>
              <w:left w:val="nil" w:sz="6" w:space="0" w:color="auto"/>
              <w:bottom w:val="nil" w:sz="6" w:space="0" w:color="auto"/>
              <w:right w:val="nil" w:sz="6" w:space="0" w:color="auto"/>
            </w:tcBorders>
          </w:tcPr>
          <w:p>
            <w:pPr>
              <w:pStyle w:val="TableParagraph"/>
              <w:spacing w:line="226" w:lineRule="exact"/>
              <w:ind w:left="72" w:right="0"/>
              <w:jc w:val="left"/>
              <w:rPr>
                <w:rFonts w:ascii="Calibri" w:hAnsi="Calibri" w:cs="Calibri" w:eastAsia="Calibri" w:hint="default"/>
                <w:sz w:val="20"/>
                <w:szCs w:val="20"/>
              </w:rPr>
            </w:pPr>
            <w:r>
              <w:rPr>
                <w:rFonts w:ascii="Calibri"/>
                <w:sz w:val="20"/>
              </w:rPr>
              <w:t>Spending US$-Car</w:t>
            </w:r>
            <w:r>
              <w:rPr>
                <w:rFonts w:ascii="Calibri"/>
                <w:spacing w:val="-13"/>
                <w:sz w:val="20"/>
              </w:rPr>
              <w:t> </w:t>
            </w:r>
            <w:r>
              <w:rPr>
                <w:rFonts w:ascii="Calibri"/>
                <w:sz w:val="20"/>
              </w:rPr>
              <w:t>rental</w:t>
            </w:r>
          </w:p>
        </w:tc>
        <w:tc>
          <w:tcPr>
            <w:tcW w:w="1355" w:type="dxa"/>
            <w:tcBorders>
              <w:top w:val="nil" w:sz="6" w:space="0" w:color="auto"/>
              <w:left w:val="nil" w:sz="6" w:space="0" w:color="auto"/>
              <w:bottom w:val="nil" w:sz="6" w:space="0" w:color="auto"/>
              <w:right w:val="nil" w:sz="6" w:space="0" w:color="auto"/>
            </w:tcBorders>
          </w:tcPr>
          <w:p>
            <w:pPr>
              <w:pStyle w:val="TableParagraph"/>
              <w:spacing w:line="226" w:lineRule="exact"/>
              <w:ind w:right="132"/>
              <w:jc w:val="center"/>
              <w:rPr>
                <w:rFonts w:ascii="Calibri" w:hAnsi="Calibri" w:cs="Calibri" w:eastAsia="Calibri" w:hint="default"/>
                <w:sz w:val="20"/>
                <w:szCs w:val="20"/>
              </w:rPr>
            </w:pPr>
            <w:r>
              <w:rPr>
                <w:rFonts w:ascii="Calibri"/>
                <w:sz w:val="20"/>
              </w:rPr>
              <w:t>$79</w:t>
            </w:r>
          </w:p>
        </w:tc>
        <w:tc>
          <w:tcPr>
            <w:tcW w:w="1034" w:type="dxa"/>
            <w:tcBorders>
              <w:top w:val="nil" w:sz="6" w:space="0" w:color="auto"/>
              <w:left w:val="nil" w:sz="6" w:space="0" w:color="auto"/>
              <w:bottom w:val="nil" w:sz="6" w:space="0" w:color="auto"/>
              <w:right w:val="nil" w:sz="6" w:space="0" w:color="auto"/>
            </w:tcBorders>
          </w:tcPr>
          <w:p>
            <w:pPr>
              <w:pStyle w:val="TableParagraph"/>
              <w:spacing w:line="226" w:lineRule="exact"/>
              <w:ind w:right="15"/>
              <w:jc w:val="center"/>
              <w:rPr>
                <w:rFonts w:ascii="Calibri" w:hAnsi="Calibri" w:cs="Calibri" w:eastAsia="Calibri" w:hint="default"/>
                <w:sz w:val="20"/>
                <w:szCs w:val="20"/>
              </w:rPr>
            </w:pPr>
            <w:r>
              <w:rPr>
                <w:rFonts w:ascii="Calibri"/>
                <w:sz w:val="20"/>
              </w:rPr>
              <w:t>$47</w:t>
            </w:r>
          </w:p>
        </w:tc>
        <w:tc>
          <w:tcPr>
            <w:tcW w:w="1444" w:type="dxa"/>
            <w:tcBorders>
              <w:top w:val="nil" w:sz="6" w:space="0" w:color="auto"/>
              <w:left w:val="nil" w:sz="6" w:space="0" w:color="auto"/>
              <w:bottom w:val="nil" w:sz="6" w:space="0" w:color="auto"/>
              <w:right w:val="nil" w:sz="6" w:space="0" w:color="auto"/>
            </w:tcBorders>
          </w:tcPr>
          <w:p>
            <w:pPr>
              <w:pStyle w:val="TableParagraph"/>
              <w:spacing w:line="226" w:lineRule="exact"/>
              <w:ind w:right="1"/>
              <w:jc w:val="center"/>
              <w:rPr>
                <w:rFonts w:ascii="Calibri" w:hAnsi="Calibri" w:cs="Calibri" w:eastAsia="Calibri" w:hint="default"/>
                <w:sz w:val="20"/>
                <w:szCs w:val="20"/>
              </w:rPr>
            </w:pPr>
            <w:r>
              <w:rPr>
                <w:rFonts w:ascii="Calibri"/>
                <w:sz w:val="20"/>
              </w:rPr>
              <w:t>$29</w:t>
            </w:r>
          </w:p>
        </w:tc>
        <w:tc>
          <w:tcPr>
            <w:tcW w:w="1158" w:type="dxa"/>
            <w:tcBorders>
              <w:top w:val="nil" w:sz="6" w:space="0" w:color="auto"/>
              <w:left w:val="nil" w:sz="6" w:space="0" w:color="auto"/>
              <w:bottom w:val="nil" w:sz="6" w:space="0" w:color="auto"/>
              <w:right w:val="nil" w:sz="6" w:space="0" w:color="auto"/>
            </w:tcBorders>
          </w:tcPr>
          <w:p>
            <w:pPr>
              <w:pStyle w:val="TableParagraph"/>
              <w:spacing w:line="226" w:lineRule="exact"/>
              <w:ind w:right="97"/>
              <w:jc w:val="center"/>
              <w:rPr>
                <w:rFonts w:ascii="Calibri" w:hAnsi="Calibri" w:cs="Calibri" w:eastAsia="Calibri" w:hint="default"/>
                <w:sz w:val="20"/>
                <w:szCs w:val="20"/>
              </w:rPr>
            </w:pPr>
            <w:r>
              <w:rPr>
                <w:rFonts w:ascii="Calibri"/>
                <w:sz w:val="20"/>
              </w:rPr>
              <w:t>$55</w:t>
            </w:r>
          </w:p>
        </w:tc>
      </w:tr>
      <w:tr>
        <w:trPr>
          <w:trHeight w:val="244" w:hRule="exact"/>
        </w:trPr>
        <w:tc>
          <w:tcPr>
            <w:tcW w:w="4420" w:type="dxa"/>
            <w:tcBorders>
              <w:top w:val="nil" w:sz="6" w:space="0" w:color="auto"/>
              <w:left w:val="nil" w:sz="6" w:space="0" w:color="auto"/>
              <w:bottom w:val="nil" w:sz="6" w:space="0" w:color="auto"/>
              <w:right w:val="nil" w:sz="6" w:space="0" w:color="auto"/>
            </w:tcBorders>
          </w:tcPr>
          <w:p>
            <w:pPr>
              <w:pStyle w:val="TableParagraph"/>
              <w:spacing w:line="226" w:lineRule="exact"/>
              <w:ind w:left="72" w:right="0"/>
              <w:jc w:val="left"/>
              <w:rPr>
                <w:rFonts w:ascii="Calibri" w:hAnsi="Calibri" w:cs="Calibri" w:eastAsia="Calibri" w:hint="default"/>
                <w:sz w:val="20"/>
                <w:szCs w:val="20"/>
              </w:rPr>
            </w:pPr>
            <w:r>
              <w:rPr>
                <w:rFonts w:ascii="Calibri"/>
                <w:sz w:val="20"/>
              </w:rPr>
              <w:t>Spending</w:t>
            </w:r>
            <w:r>
              <w:rPr>
                <w:rFonts w:ascii="Calibri"/>
                <w:spacing w:val="-10"/>
                <w:sz w:val="20"/>
              </w:rPr>
              <w:t> </w:t>
            </w:r>
            <w:r>
              <w:rPr>
                <w:rFonts w:ascii="Calibri"/>
                <w:sz w:val="20"/>
              </w:rPr>
              <w:t>US$-Gasoline</w:t>
            </w:r>
          </w:p>
        </w:tc>
        <w:tc>
          <w:tcPr>
            <w:tcW w:w="1355" w:type="dxa"/>
            <w:tcBorders>
              <w:top w:val="nil" w:sz="6" w:space="0" w:color="auto"/>
              <w:left w:val="nil" w:sz="6" w:space="0" w:color="auto"/>
              <w:bottom w:val="nil" w:sz="6" w:space="0" w:color="auto"/>
              <w:right w:val="nil" w:sz="6" w:space="0" w:color="auto"/>
            </w:tcBorders>
          </w:tcPr>
          <w:p>
            <w:pPr>
              <w:pStyle w:val="TableParagraph"/>
              <w:spacing w:line="226" w:lineRule="exact"/>
              <w:ind w:right="132"/>
              <w:jc w:val="center"/>
              <w:rPr>
                <w:rFonts w:ascii="Calibri" w:hAnsi="Calibri" w:cs="Calibri" w:eastAsia="Calibri" w:hint="default"/>
                <w:sz w:val="20"/>
                <w:szCs w:val="20"/>
              </w:rPr>
            </w:pPr>
            <w:r>
              <w:rPr>
                <w:rFonts w:ascii="Calibri"/>
                <w:sz w:val="20"/>
              </w:rPr>
              <w:t>$19</w:t>
            </w:r>
          </w:p>
        </w:tc>
        <w:tc>
          <w:tcPr>
            <w:tcW w:w="1034" w:type="dxa"/>
            <w:tcBorders>
              <w:top w:val="nil" w:sz="6" w:space="0" w:color="auto"/>
              <w:left w:val="nil" w:sz="6" w:space="0" w:color="auto"/>
              <w:bottom w:val="nil" w:sz="6" w:space="0" w:color="auto"/>
              <w:right w:val="nil" w:sz="6" w:space="0" w:color="auto"/>
            </w:tcBorders>
          </w:tcPr>
          <w:p>
            <w:pPr>
              <w:pStyle w:val="TableParagraph"/>
              <w:spacing w:line="226" w:lineRule="exact"/>
              <w:ind w:right="10"/>
              <w:jc w:val="center"/>
              <w:rPr>
                <w:rFonts w:ascii="Calibri" w:hAnsi="Calibri" w:cs="Calibri" w:eastAsia="Calibri" w:hint="default"/>
                <w:sz w:val="20"/>
                <w:szCs w:val="20"/>
              </w:rPr>
            </w:pPr>
            <w:r>
              <w:rPr>
                <w:rFonts w:ascii="Calibri"/>
                <w:sz w:val="20"/>
              </w:rPr>
              <w:t>$9</w:t>
            </w:r>
          </w:p>
        </w:tc>
        <w:tc>
          <w:tcPr>
            <w:tcW w:w="1444" w:type="dxa"/>
            <w:tcBorders>
              <w:top w:val="nil" w:sz="6" w:space="0" w:color="auto"/>
              <w:left w:val="nil" w:sz="6" w:space="0" w:color="auto"/>
              <w:bottom w:val="nil" w:sz="6" w:space="0" w:color="auto"/>
              <w:right w:val="nil" w:sz="6" w:space="0" w:color="auto"/>
            </w:tcBorders>
          </w:tcPr>
          <w:p>
            <w:pPr>
              <w:pStyle w:val="TableParagraph"/>
              <w:spacing w:line="226" w:lineRule="exact"/>
              <w:ind w:right="1"/>
              <w:jc w:val="center"/>
              <w:rPr>
                <w:rFonts w:ascii="Calibri" w:hAnsi="Calibri" w:cs="Calibri" w:eastAsia="Calibri" w:hint="default"/>
                <w:sz w:val="20"/>
                <w:szCs w:val="20"/>
              </w:rPr>
            </w:pPr>
            <w:r>
              <w:rPr>
                <w:rFonts w:ascii="Calibri"/>
                <w:sz w:val="20"/>
              </w:rPr>
              <w:t>$6</w:t>
            </w:r>
          </w:p>
        </w:tc>
        <w:tc>
          <w:tcPr>
            <w:tcW w:w="1158" w:type="dxa"/>
            <w:tcBorders>
              <w:top w:val="nil" w:sz="6" w:space="0" w:color="auto"/>
              <w:left w:val="nil" w:sz="6" w:space="0" w:color="auto"/>
              <w:bottom w:val="nil" w:sz="6" w:space="0" w:color="auto"/>
              <w:right w:val="nil" w:sz="6" w:space="0" w:color="auto"/>
            </w:tcBorders>
          </w:tcPr>
          <w:p>
            <w:pPr>
              <w:pStyle w:val="TableParagraph"/>
              <w:spacing w:line="226" w:lineRule="exact"/>
              <w:ind w:right="97"/>
              <w:jc w:val="center"/>
              <w:rPr>
                <w:rFonts w:ascii="Calibri" w:hAnsi="Calibri" w:cs="Calibri" w:eastAsia="Calibri" w:hint="default"/>
                <w:sz w:val="20"/>
                <w:szCs w:val="20"/>
              </w:rPr>
            </w:pPr>
            <w:r>
              <w:rPr>
                <w:rFonts w:ascii="Calibri"/>
                <w:sz w:val="20"/>
              </w:rPr>
              <w:t>$13</w:t>
            </w:r>
          </w:p>
        </w:tc>
      </w:tr>
      <w:tr>
        <w:trPr>
          <w:trHeight w:val="244" w:hRule="exact"/>
        </w:trPr>
        <w:tc>
          <w:tcPr>
            <w:tcW w:w="4420" w:type="dxa"/>
            <w:tcBorders>
              <w:top w:val="nil" w:sz="6" w:space="0" w:color="auto"/>
              <w:left w:val="nil" w:sz="6" w:space="0" w:color="auto"/>
              <w:bottom w:val="nil" w:sz="6" w:space="0" w:color="auto"/>
              <w:right w:val="nil" w:sz="6" w:space="0" w:color="auto"/>
            </w:tcBorders>
          </w:tcPr>
          <w:p>
            <w:pPr>
              <w:pStyle w:val="TableParagraph"/>
              <w:spacing w:line="225" w:lineRule="exact"/>
              <w:ind w:left="72" w:right="0"/>
              <w:jc w:val="left"/>
              <w:rPr>
                <w:rFonts w:ascii="Calibri" w:hAnsi="Calibri" w:cs="Calibri" w:eastAsia="Calibri" w:hint="default"/>
                <w:sz w:val="20"/>
                <w:szCs w:val="20"/>
              </w:rPr>
            </w:pPr>
            <w:r>
              <w:rPr>
                <w:rFonts w:ascii="Calibri"/>
                <w:sz w:val="20"/>
              </w:rPr>
              <w:t>Spending</w:t>
            </w:r>
            <w:r>
              <w:rPr>
                <w:rFonts w:ascii="Calibri"/>
                <w:spacing w:val="-10"/>
                <w:sz w:val="20"/>
              </w:rPr>
              <w:t> </w:t>
            </w:r>
            <w:r>
              <w:rPr>
                <w:rFonts w:ascii="Calibri"/>
                <w:sz w:val="20"/>
              </w:rPr>
              <w:t>US$-Taxi</w:t>
            </w:r>
          </w:p>
        </w:tc>
        <w:tc>
          <w:tcPr>
            <w:tcW w:w="1355" w:type="dxa"/>
            <w:tcBorders>
              <w:top w:val="nil" w:sz="6" w:space="0" w:color="auto"/>
              <w:left w:val="nil" w:sz="6" w:space="0" w:color="auto"/>
              <w:bottom w:val="nil" w:sz="6" w:space="0" w:color="auto"/>
              <w:right w:val="nil" w:sz="6" w:space="0" w:color="auto"/>
            </w:tcBorders>
          </w:tcPr>
          <w:p>
            <w:pPr>
              <w:pStyle w:val="TableParagraph"/>
              <w:spacing w:line="225" w:lineRule="exact"/>
              <w:ind w:right="132"/>
              <w:jc w:val="center"/>
              <w:rPr>
                <w:rFonts w:ascii="Calibri" w:hAnsi="Calibri" w:cs="Calibri" w:eastAsia="Calibri" w:hint="default"/>
                <w:sz w:val="20"/>
                <w:szCs w:val="20"/>
              </w:rPr>
            </w:pPr>
            <w:r>
              <w:rPr>
                <w:rFonts w:ascii="Calibri"/>
                <w:sz w:val="20"/>
              </w:rPr>
              <w:t>$8</w:t>
            </w:r>
          </w:p>
        </w:tc>
        <w:tc>
          <w:tcPr>
            <w:tcW w:w="1034" w:type="dxa"/>
            <w:tcBorders>
              <w:top w:val="nil" w:sz="6" w:space="0" w:color="auto"/>
              <w:left w:val="nil" w:sz="6" w:space="0" w:color="auto"/>
              <w:bottom w:val="nil" w:sz="6" w:space="0" w:color="auto"/>
              <w:right w:val="nil" w:sz="6" w:space="0" w:color="auto"/>
            </w:tcBorders>
          </w:tcPr>
          <w:p>
            <w:pPr>
              <w:pStyle w:val="TableParagraph"/>
              <w:spacing w:line="225" w:lineRule="exact"/>
              <w:ind w:right="15"/>
              <w:jc w:val="center"/>
              <w:rPr>
                <w:rFonts w:ascii="Calibri" w:hAnsi="Calibri" w:cs="Calibri" w:eastAsia="Calibri" w:hint="default"/>
                <w:sz w:val="20"/>
                <w:szCs w:val="20"/>
              </w:rPr>
            </w:pPr>
            <w:r>
              <w:rPr>
                <w:rFonts w:ascii="Calibri"/>
                <w:sz w:val="20"/>
              </w:rPr>
              <w:t>$23</w:t>
            </w:r>
          </w:p>
        </w:tc>
        <w:tc>
          <w:tcPr>
            <w:tcW w:w="1444" w:type="dxa"/>
            <w:tcBorders>
              <w:top w:val="nil" w:sz="6" w:space="0" w:color="auto"/>
              <w:left w:val="nil" w:sz="6" w:space="0" w:color="auto"/>
              <w:bottom w:val="nil" w:sz="6" w:space="0" w:color="auto"/>
              <w:right w:val="nil" w:sz="6" w:space="0" w:color="auto"/>
            </w:tcBorders>
          </w:tcPr>
          <w:p>
            <w:pPr>
              <w:pStyle w:val="TableParagraph"/>
              <w:spacing w:line="225" w:lineRule="exact"/>
              <w:ind w:right="1"/>
              <w:jc w:val="center"/>
              <w:rPr>
                <w:rFonts w:ascii="Calibri" w:hAnsi="Calibri" w:cs="Calibri" w:eastAsia="Calibri" w:hint="default"/>
                <w:sz w:val="20"/>
                <w:szCs w:val="20"/>
              </w:rPr>
            </w:pPr>
            <w:r>
              <w:rPr>
                <w:rFonts w:ascii="Calibri"/>
                <w:sz w:val="20"/>
              </w:rPr>
              <w:t>$10</w:t>
            </w:r>
          </w:p>
        </w:tc>
        <w:tc>
          <w:tcPr>
            <w:tcW w:w="1158" w:type="dxa"/>
            <w:tcBorders>
              <w:top w:val="nil" w:sz="6" w:space="0" w:color="auto"/>
              <w:left w:val="nil" w:sz="6" w:space="0" w:color="auto"/>
              <w:bottom w:val="nil" w:sz="6" w:space="0" w:color="auto"/>
              <w:right w:val="nil" w:sz="6" w:space="0" w:color="auto"/>
            </w:tcBorders>
          </w:tcPr>
          <w:p>
            <w:pPr>
              <w:pStyle w:val="TableParagraph"/>
              <w:spacing w:line="225" w:lineRule="exact"/>
              <w:ind w:right="97"/>
              <w:jc w:val="center"/>
              <w:rPr>
                <w:rFonts w:ascii="Calibri" w:hAnsi="Calibri" w:cs="Calibri" w:eastAsia="Calibri" w:hint="default"/>
                <w:sz w:val="20"/>
                <w:szCs w:val="20"/>
              </w:rPr>
            </w:pPr>
            <w:r>
              <w:rPr>
                <w:rFonts w:ascii="Calibri"/>
                <w:sz w:val="20"/>
              </w:rPr>
              <w:t>$10</w:t>
            </w:r>
          </w:p>
        </w:tc>
      </w:tr>
      <w:tr>
        <w:trPr>
          <w:trHeight w:val="245" w:hRule="exact"/>
        </w:trPr>
        <w:tc>
          <w:tcPr>
            <w:tcW w:w="4420" w:type="dxa"/>
            <w:tcBorders>
              <w:top w:val="nil" w:sz="6" w:space="0" w:color="auto"/>
              <w:left w:val="nil" w:sz="6" w:space="0" w:color="auto"/>
              <w:bottom w:val="nil" w:sz="6" w:space="0" w:color="auto"/>
              <w:right w:val="nil" w:sz="6" w:space="0" w:color="auto"/>
            </w:tcBorders>
          </w:tcPr>
          <w:p>
            <w:pPr>
              <w:pStyle w:val="TableParagraph"/>
              <w:spacing w:line="226" w:lineRule="exact"/>
              <w:ind w:left="72" w:right="0"/>
              <w:jc w:val="left"/>
              <w:rPr>
                <w:rFonts w:ascii="Calibri" w:hAnsi="Calibri" w:cs="Calibri" w:eastAsia="Calibri" w:hint="default"/>
                <w:sz w:val="20"/>
                <w:szCs w:val="20"/>
              </w:rPr>
            </w:pPr>
            <w:r>
              <w:rPr>
                <w:rFonts w:ascii="Calibri"/>
                <w:sz w:val="20"/>
              </w:rPr>
              <w:t>Spending US$-Public</w:t>
            </w:r>
            <w:r>
              <w:rPr>
                <w:rFonts w:ascii="Calibri"/>
                <w:spacing w:val="-14"/>
                <w:sz w:val="20"/>
              </w:rPr>
              <w:t> </w:t>
            </w:r>
            <w:r>
              <w:rPr>
                <w:rFonts w:ascii="Calibri"/>
                <w:sz w:val="20"/>
              </w:rPr>
              <w:t>transportation</w:t>
            </w:r>
          </w:p>
        </w:tc>
        <w:tc>
          <w:tcPr>
            <w:tcW w:w="1355" w:type="dxa"/>
            <w:tcBorders>
              <w:top w:val="nil" w:sz="6" w:space="0" w:color="auto"/>
              <w:left w:val="nil" w:sz="6" w:space="0" w:color="auto"/>
              <w:bottom w:val="nil" w:sz="6" w:space="0" w:color="auto"/>
              <w:right w:val="nil" w:sz="6" w:space="0" w:color="auto"/>
            </w:tcBorders>
          </w:tcPr>
          <w:p>
            <w:pPr>
              <w:pStyle w:val="TableParagraph"/>
              <w:spacing w:line="226" w:lineRule="exact"/>
              <w:ind w:right="132"/>
              <w:jc w:val="center"/>
              <w:rPr>
                <w:rFonts w:ascii="Calibri" w:hAnsi="Calibri" w:cs="Calibri" w:eastAsia="Calibri" w:hint="default"/>
                <w:sz w:val="20"/>
                <w:szCs w:val="20"/>
              </w:rPr>
            </w:pPr>
            <w:r>
              <w:rPr>
                <w:rFonts w:ascii="Calibri"/>
                <w:sz w:val="20"/>
              </w:rPr>
              <w:t>$1</w:t>
            </w:r>
          </w:p>
        </w:tc>
        <w:tc>
          <w:tcPr>
            <w:tcW w:w="1034" w:type="dxa"/>
            <w:tcBorders>
              <w:top w:val="nil" w:sz="6" w:space="0" w:color="auto"/>
              <w:left w:val="nil" w:sz="6" w:space="0" w:color="auto"/>
              <w:bottom w:val="nil" w:sz="6" w:space="0" w:color="auto"/>
              <w:right w:val="nil" w:sz="6" w:space="0" w:color="auto"/>
            </w:tcBorders>
          </w:tcPr>
          <w:p>
            <w:pPr>
              <w:pStyle w:val="TableParagraph"/>
              <w:spacing w:line="226" w:lineRule="exact"/>
              <w:ind w:right="10"/>
              <w:jc w:val="center"/>
              <w:rPr>
                <w:rFonts w:ascii="Calibri" w:hAnsi="Calibri" w:cs="Calibri" w:eastAsia="Calibri" w:hint="default"/>
                <w:sz w:val="20"/>
                <w:szCs w:val="20"/>
              </w:rPr>
            </w:pPr>
            <w:r>
              <w:rPr>
                <w:rFonts w:ascii="Calibri"/>
                <w:sz w:val="20"/>
              </w:rPr>
              <w:t>$3</w:t>
            </w:r>
          </w:p>
        </w:tc>
        <w:tc>
          <w:tcPr>
            <w:tcW w:w="1444" w:type="dxa"/>
            <w:tcBorders>
              <w:top w:val="nil" w:sz="6" w:space="0" w:color="auto"/>
              <w:left w:val="nil" w:sz="6" w:space="0" w:color="auto"/>
              <w:bottom w:val="nil" w:sz="6" w:space="0" w:color="auto"/>
              <w:right w:val="nil" w:sz="6" w:space="0" w:color="auto"/>
            </w:tcBorders>
          </w:tcPr>
          <w:p>
            <w:pPr>
              <w:pStyle w:val="TableParagraph"/>
              <w:spacing w:line="226" w:lineRule="exact"/>
              <w:ind w:right="1"/>
              <w:jc w:val="center"/>
              <w:rPr>
                <w:rFonts w:ascii="Calibri" w:hAnsi="Calibri" w:cs="Calibri" w:eastAsia="Calibri" w:hint="default"/>
                <w:sz w:val="20"/>
                <w:szCs w:val="20"/>
              </w:rPr>
            </w:pPr>
            <w:r>
              <w:rPr>
                <w:rFonts w:ascii="Calibri"/>
                <w:sz w:val="20"/>
              </w:rPr>
              <w:t>$7</w:t>
            </w:r>
          </w:p>
        </w:tc>
        <w:tc>
          <w:tcPr>
            <w:tcW w:w="1158" w:type="dxa"/>
            <w:tcBorders>
              <w:top w:val="nil" w:sz="6" w:space="0" w:color="auto"/>
              <w:left w:val="nil" w:sz="6" w:space="0" w:color="auto"/>
              <w:bottom w:val="nil" w:sz="6" w:space="0" w:color="auto"/>
              <w:right w:val="nil" w:sz="6" w:space="0" w:color="auto"/>
            </w:tcBorders>
          </w:tcPr>
          <w:p>
            <w:pPr>
              <w:pStyle w:val="TableParagraph"/>
              <w:spacing w:line="226" w:lineRule="exact"/>
              <w:ind w:right="97"/>
              <w:jc w:val="center"/>
              <w:rPr>
                <w:rFonts w:ascii="Calibri" w:hAnsi="Calibri" w:cs="Calibri" w:eastAsia="Calibri" w:hint="default"/>
                <w:sz w:val="20"/>
                <w:szCs w:val="20"/>
              </w:rPr>
            </w:pPr>
            <w:r>
              <w:rPr>
                <w:rFonts w:ascii="Calibri"/>
                <w:sz w:val="20"/>
              </w:rPr>
              <w:t>$2</w:t>
            </w:r>
          </w:p>
        </w:tc>
      </w:tr>
      <w:tr>
        <w:trPr>
          <w:trHeight w:val="244" w:hRule="exact"/>
        </w:trPr>
        <w:tc>
          <w:tcPr>
            <w:tcW w:w="4420" w:type="dxa"/>
            <w:tcBorders>
              <w:top w:val="nil" w:sz="6" w:space="0" w:color="auto"/>
              <w:left w:val="nil" w:sz="6" w:space="0" w:color="auto"/>
              <w:bottom w:val="nil" w:sz="6" w:space="0" w:color="auto"/>
              <w:right w:val="nil" w:sz="6" w:space="0" w:color="auto"/>
            </w:tcBorders>
          </w:tcPr>
          <w:p>
            <w:pPr>
              <w:pStyle w:val="TableParagraph"/>
              <w:spacing w:line="226" w:lineRule="exact"/>
              <w:ind w:left="72" w:right="0"/>
              <w:jc w:val="left"/>
              <w:rPr>
                <w:rFonts w:ascii="Calibri" w:hAnsi="Calibri" w:cs="Calibri" w:eastAsia="Calibri" w:hint="default"/>
                <w:sz w:val="20"/>
                <w:szCs w:val="20"/>
              </w:rPr>
            </w:pPr>
            <w:r>
              <w:rPr>
                <w:rFonts w:ascii="Calibri"/>
                <w:sz w:val="20"/>
              </w:rPr>
              <w:t>Spending US$-Local arts/cultural</w:t>
            </w:r>
            <w:r>
              <w:rPr>
                <w:rFonts w:ascii="Calibri"/>
                <w:spacing w:val="-17"/>
                <w:sz w:val="20"/>
              </w:rPr>
              <w:t> </w:t>
            </w:r>
            <w:r>
              <w:rPr>
                <w:rFonts w:ascii="Calibri"/>
                <w:sz w:val="20"/>
              </w:rPr>
              <w:t>events</w:t>
            </w:r>
          </w:p>
        </w:tc>
        <w:tc>
          <w:tcPr>
            <w:tcW w:w="1355" w:type="dxa"/>
            <w:tcBorders>
              <w:top w:val="nil" w:sz="6" w:space="0" w:color="auto"/>
              <w:left w:val="nil" w:sz="6" w:space="0" w:color="auto"/>
              <w:bottom w:val="nil" w:sz="6" w:space="0" w:color="auto"/>
              <w:right w:val="nil" w:sz="6" w:space="0" w:color="auto"/>
            </w:tcBorders>
          </w:tcPr>
          <w:p>
            <w:pPr>
              <w:pStyle w:val="TableParagraph"/>
              <w:spacing w:line="226" w:lineRule="exact"/>
              <w:ind w:right="132"/>
              <w:jc w:val="center"/>
              <w:rPr>
                <w:rFonts w:ascii="Calibri" w:hAnsi="Calibri" w:cs="Calibri" w:eastAsia="Calibri" w:hint="default"/>
                <w:sz w:val="20"/>
                <w:szCs w:val="20"/>
              </w:rPr>
            </w:pPr>
            <w:r>
              <w:rPr>
                <w:rFonts w:ascii="Calibri"/>
                <w:sz w:val="20"/>
              </w:rPr>
              <w:t>$11</w:t>
            </w:r>
          </w:p>
        </w:tc>
        <w:tc>
          <w:tcPr>
            <w:tcW w:w="1034" w:type="dxa"/>
            <w:tcBorders>
              <w:top w:val="nil" w:sz="6" w:space="0" w:color="auto"/>
              <w:left w:val="nil" w:sz="6" w:space="0" w:color="auto"/>
              <w:bottom w:val="nil" w:sz="6" w:space="0" w:color="auto"/>
              <w:right w:val="nil" w:sz="6" w:space="0" w:color="auto"/>
            </w:tcBorders>
          </w:tcPr>
          <w:p>
            <w:pPr>
              <w:pStyle w:val="TableParagraph"/>
              <w:spacing w:line="226" w:lineRule="exact"/>
              <w:ind w:right="15"/>
              <w:jc w:val="center"/>
              <w:rPr>
                <w:rFonts w:ascii="Calibri" w:hAnsi="Calibri" w:cs="Calibri" w:eastAsia="Calibri" w:hint="default"/>
                <w:sz w:val="20"/>
                <w:szCs w:val="20"/>
              </w:rPr>
            </w:pPr>
            <w:r>
              <w:rPr>
                <w:rFonts w:ascii="Calibri"/>
                <w:sz w:val="20"/>
              </w:rPr>
              <w:t>$14</w:t>
            </w:r>
          </w:p>
        </w:tc>
        <w:tc>
          <w:tcPr>
            <w:tcW w:w="1444" w:type="dxa"/>
            <w:tcBorders>
              <w:top w:val="nil" w:sz="6" w:space="0" w:color="auto"/>
              <w:left w:val="nil" w:sz="6" w:space="0" w:color="auto"/>
              <w:bottom w:val="nil" w:sz="6" w:space="0" w:color="auto"/>
              <w:right w:val="nil" w:sz="6" w:space="0" w:color="auto"/>
            </w:tcBorders>
          </w:tcPr>
          <w:p>
            <w:pPr>
              <w:pStyle w:val="TableParagraph"/>
              <w:spacing w:line="226" w:lineRule="exact"/>
              <w:ind w:right="1"/>
              <w:jc w:val="center"/>
              <w:rPr>
                <w:rFonts w:ascii="Calibri" w:hAnsi="Calibri" w:cs="Calibri" w:eastAsia="Calibri" w:hint="default"/>
                <w:sz w:val="20"/>
                <w:szCs w:val="20"/>
              </w:rPr>
            </w:pPr>
            <w:r>
              <w:rPr>
                <w:rFonts w:ascii="Calibri"/>
                <w:sz w:val="20"/>
              </w:rPr>
              <w:t>$6</w:t>
            </w:r>
          </w:p>
        </w:tc>
        <w:tc>
          <w:tcPr>
            <w:tcW w:w="1158" w:type="dxa"/>
            <w:tcBorders>
              <w:top w:val="nil" w:sz="6" w:space="0" w:color="auto"/>
              <w:left w:val="nil" w:sz="6" w:space="0" w:color="auto"/>
              <w:bottom w:val="nil" w:sz="6" w:space="0" w:color="auto"/>
              <w:right w:val="nil" w:sz="6" w:space="0" w:color="auto"/>
            </w:tcBorders>
          </w:tcPr>
          <w:p>
            <w:pPr>
              <w:pStyle w:val="TableParagraph"/>
              <w:spacing w:line="226" w:lineRule="exact"/>
              <w:ind w:right="97"/>
              <w:jc w:val="center"/>
              <w:rPr>
                <w:rFonts w:ascii="Calibri" w:hAnsi="Calibri" w:cs="Calibri" w:eastAsia="Calibri" w:hint="default"/>
                <w:sz w:val="20"/>
                <w:szCs w:val="20"/>
              </w:rPr>
            </w:pPr>
            <w:r>
              <w:rPr>
                <w:rFonts w:ascii="Calibri"/>
                <w:sz w:val="20"/>
              </w:rPr>
              <w:t>$9</w:t>
            </w:r>
          </w:p>
        </w:tc>
      </w:tr>
      <w:tr>
        <w:trPr>
          <w:trHeight w:val="244" w:hRule="exact"/>
        </w:trPr>
        <w:tc>
          <w:tcPr>
            <w:tcW w:w="4420" w:type="dxa"/>
            <w:tcBorders>
              <w:top w:val="nil" w:sz="6" w:space="0" w:color="auto"/>
              <w:left w:val="nil" w:sz="6" w:space="0" w:color="auto"/>
              <w:bottom w:val="nil" w:sz="6" w:space="0" w:color="auto"/>
              <w:right w:val="nil" w:sz="6" w:space="0" w:color="auto"/>
            </w:tcBorders>
          </w:tcPr>
          <w:p>
            <w:pPr>
              <w:pStyle w:val="TableParagraph"/>
              <w:spacing w:line="225" w:lineRule="exact"/>
              <w:ind w:left="72" w:right="0"/>
              <w:jc w:val="left"/>
              <w:rPr>
                <w:rFonts w:ascii="Calibri" w:hAnsi="Calibri" w:cs="Calibri" w:eastAsia="Calibri" w:hint="default"/>
                <w:sz w:val="20"/>
                <w:szCs w:val="20"/>
              </w:rPr>
            </w:pPr>
            <w:r>
              <w:rPr>
                <w:rFonts w:ascii="Calibri"/>
                <w:sz w:val="20"/>
              </w:rPr>
              <w:t>Spending</w:t>
            </w:r>
            <w:r>
              <w:rPr>
                <w:rFonts w:ascii="Calibri"/>
                <w:spacing w:val="-11"/>
                <w:sz w:val="20"/>
              </w:rPr>
              <w:t> </w:t>
            </w:r>
            <w:r>
              <w:rPr>
                <w:rFonts w:ascii="Calibri"/>
                <w:sz w:val="20"/>
              </w:rPr>
              <w:t>US$-Shopping</w:t>
            </w:r>
          </w:p>
        </w:tc>
        <w:tc>
          <w:tcPr>
            <w:tcW w:w="1355" w:type="dxa"/>
            <w:tcBorders>
              <w:top w:val="nil" w:sz="6" w:space="0" w:color="auto"/>
              <w:left w:val="nil" w:sz="6" w:space="0" w:color="auto"/>
              <w:bottom w:val="nil" w:sz="6" w:space="0" w:color="auto"/>
              <w:right w:val="nil" w:sz="6" w:space="0" w:color="auto"/>
            </w:tcBorders>
          </w:tcPr>
          <w:p>
            <w:pPr>
              <w:pStyle w:val="TableParagraph"/>
              <w:spacing w:line="225" w:lineRule="exact"/>
              <w:ind w:right="132"/>
              <w:jc w:val="center"/>
              <w:rPr>
                <w:rFonts w:ascii="Calibri" w:hAnsi="Calibri" w:cs="Calibri" w:eastAsia="Calibri" w:hint="default"/>
                <w:sz w:val="20"/>
                <w:szCs w:val="20"/>
              </w:rPr>
            </w:pPr>
            <w:r>
              <w:rPr>
                <w:rFonts w:ascii="Calibri"/>
                <w:sz w:val="20"/>
              </w:rPr>
              <w:t>$115</w:t>
            </w:r>
          </w:p>
        </w:tc>
        <w:tc>
          <w:tcPr>
            <w:tcW w:w="1034" w:type="dxa"/>
            <w:tcBorders>
              <w:top w:val="nil" w:sz="6" w:space="0" w:color="auto"/>
              <w:left w:val="nil" w:sz="6" w:space="0" w:color="auto"/>
              <w:bottom w:val="nil" w:sz="6" w:space="0" w:color="auto"/>
              <w:right w:val="nil" w:sz="6" w:space="0" w:color="auto"/>
            </w:tcBorders>
          </w:tcPr>
          <w:p>
            <w:pPr>
              <w:pStyle w:val="TableParagraph"/>
              <w:spacing w:line="225" w:lineRule="exact"/>
              <w:ind w:right="15"/>
              <w:jc w:val="center"/>
              <w:rPr>
                <w:rFonts w:ascii="Calibri" w:hAnsi="Calibri" w:cs="Calibri" w:eastAsia="Calibri" w:hint="default"/>
                <w:sz w:val="20"/>
                <w:szCs w:val="20"/>
              </w:rPr>
            </w:pPr>
            <w:r>
              <w:rPr>
                <w:rFonts w:ascii="Calibri"/>
                <w:sz w:val="20"/>
              </w:rPr>
              <w:t>$100</w:t>
            </w:r>
          </w:p>
        </w:tc>
        <w:tc>
          <w:tcPr>
            <w:tcW w:w="1444" w:type="dxa"/>
            <w:tcBorders>
              <w:top w:val="nil" w:sz="6" w:space="0" w:color="auto"/>
              <w:left w:val="nil" w:sz="6" w:space="0" w:color="auto"/>
              <w:bottom w:val="nil" w:sz="6" w:space="0" w:color="auto"/>
              <w:right w:val="nil" w:sz="6" w:space="0" w:color="auto"/>
            </w:tcBorders>
          </w:tcPr>
          <w:p>
            <w:pPr>
              <w:pStyle w:val="TableParagraph"/>
              <w:spacing w:line="225" w:lineRule="exact"/>
              <w:ind w:right="1"/>
              <w:jc w:val="center"/>
              <w:rPr>
                <w:rFonts w:ascii="Calibri" w:hAnsi="Calibri" w:cs="Calibri" w:eastAsia="Calibri" w:hint="default"/>
                <w:sz w:val="20"/>
                <w:szCs w:val="20"/>
              </w:rPr>
            </w:pPr>
            <w:r>
              <w:rPr>
                <w:rFonts w:ascii="Calibri"/>
                <w:sz w:val="20"/>
              </w:rPr>
              <w:t>$172</w:t>
            </w:r>
          </w:p>
        </w:tc>
        <w:tc>
          <w:tcPr>
            <w:tcW w:w="1158" w:type="dxa"/>
            <w:tcBorders>
              <w:top w:val="nil" w:sz="6" w:space="0" w:color="auto"/>
              <w:left w:val="nil" w:sz="6" w:space="0" w:color="auto"/>
              <w:bottom w:val="nil" w:sz="6" w:space="0" w:color="auto"/>
              <w:right w:val="nil" w:sz="6" w:space="0" w:color="auto"/>
            </w:tcBorders>
          </w:tcPr>
          <w:p>
            <w:pPr>
              <w:pStyle w:val="TableParagraph"/>
              <w:spacing w:line="225" w:lineRule="exact"/>
              <w:ind w:right="97"/>
              <w:jc w:val="center"/>
              <w:rPr>
                <w:rFonts w:ascii="Calibri" w:hAnsi="Calibri" w:cs="Calibri" w:eastAsia="Calibri" w:hint="default"/>
                <w:sz w:val="20"/>
                <w:szCs w:val="20"/>
              </w:rPr>
            </w:pPr>
            <w:r>
              <w:rPr>
                <w:rFonts w:ascii="Calibri"/>
                <w:sz w:val="20"/>
              </w:rPr>
              <w:t>$133</w:t>
            </w:r>
          </w:p>
        </w:tc>
      </w:tr>
      <w:tr>
        <w:trPr>
          <w:trHeight w:val="245" w:hRule="exact"/>
        </w:trPr>
        <w:tc>
          <w:tcPr>
            <w:tcW w:w="4420" w:type="dxa"/>
            <w:tcBorders>
              <w:top w:val="nil" w:sz="6" w:space="0" w:color="auto"/>
              <w:left w:val="nil" w:sz="6" w:space="0" w:color="auto"/>
              <w:bottom w:val="nil" w:sz="6" w:space="0" w:color="auto"/>
              <w:right w:val="nil" w:sz="6" w:space="0" w:color="auto"/>
            </w:tcBorders>
          </w:tcPr>
          <w:p>
            <w:pPr>
              <w:pStyle w:val="TableParagraph"/>
              <w:spacing w:line="226" w:lineRule="exact"/>
              <w:ind w:left="72" w:right="0"/>
              <w:jc w:val="left"/>
              <w:rPr>
                <w:rFonts w:ascii="Calibri" w:hAnsi="Calibri" w:cs="Calibri" w:eastAsia="Calibri" w:hint="default"/>
                <w:sz w:val="20"/>
                <w:szCs w:val="20"/>
              </w:rPr>
            </w:pPr>
            <w:r>
              <w:rPr>
                <w:rFonts w:ascii="Calibri"/>
                <w:sz w:val="20"/>
              </w:rPr>
              <w:t>Spending</w:t>
            </w:r>
            <w:r>
              <w:rPr>
                <w:rFonts w:ascii="Calibri"/>
                <w:spacing w:val="-11"/>
                <w:sz w:val="20"/>
              </w:rPr>
              <w:t> </w:t>
            </w:r>
            <w:r>
              <w:rPr>
                <w:rFonts w:ascii="Calibri"/>
                <w:sz w:val="20"/>
              </w:rPr>
              <w:t>US$-Internet/telephone</w:t>
            </w:r>
          </w:p>
        </w:tc>
        <w:tc>
          <w:tcPr>
            <w:tcW w:w="1355" w:type="dxa"/>
            <w:tcBorders>
              <w:top w:val="nil" w:sz="6" w:space="0" w:color="auto"/>
              <w:left w:val="nil" w:sz="6" w:space="0" w:color="auto"/>
              <w:bottom w:val="nil" w:sz="6" w:space="0" w:color="auto"/>
              <w:right w:val="nil" w:sz="6" w:space="0" w:color="auto"/>
            </w:tcBorders>
          </w:tcPr>
          <w:p>
            <w:pPr>
              <w:pStyle w:val="TableParagraph"/>
              <w:spacing w:line="226" w:lineRule="exact"/>
              <w:ind w:right="132"/>
              <w:jc w:val="center"/>
              <w:rPr>
                <w:rFonts w:ascii="Calibri" w:hAnsi="Calibri" w:cs="Calibri" w:eastAsia="Calibri" w:hint="default"/>
                <w:sz w:val="20"/>
                <w:szCs w:val="20"/>
              </w:rPr>
            </w:pPr>
            <w:r>
              <w:rPr>
                <w:rFonts w:ascii="Calibri"/>
                <w:sz w:val="20"/>
              </w:rPr>
              <w:t>$6</w:t>
            </w:r>
          </w:p>
        </w:tc>
        <w:tc>
          <w:tcPr>
            <w:tcW w:w="1034" w:type="dxa"/>
            <w:tcBorders>
              <w:top w:val="nil" w:sz="6" w:space="0" w:color="auto"/>
              <w:left w:val="nil" w:sz="6" w:space="0" w:color="auto"/>
              <w:bottom w:val="nil" w:sz="6" w:space="0" w:color="auto"/>
              <w:right w:val="nil" w:sz="6" w:space="0" w:color="auto"/>
            </w:tcBorders>
          </w:tcPr>
          <w:p>
            <w:pPr>
              <w:pStyle w:val="TableParagraph"/>
              <w:spacing w:line="226" w:lineRule="exact"/>
              <w:ind w:right="10"/>
              <w:jc w:val="center"/>
              <w:rPr>
                <w:rFonts w:ascii="Calibri" w:hAnsi="Calibri" w:cs="Calibri" w:eastAsia="Calibri" w:hint="default"/>
                <w:sz w:val="20"/>
                <w:szCs w:val="20"/>
              </w:rPr>
            </w:pPr>
            <w:r>
              <w:rPr>
                <w:rFonts w:ascii="Calibri"/>
                <w:sz w:val="20"/>
              </w:rPr>
              <w:t>$3</w:t>
            </w:r>
          </w:p>
        </w:tc>
        <w:tc>
          <w:tcPr>
            <w:tcW w:w="1444" w:type="dxa"/>
            <w:tcBorders>
              <w:top w:val="nil" w:sz="6" w:space="0" w:color="auto"/>
              <w:left w:val="nil" w:sz="6" w:space="0" w:color="auto"/>
              <w:bottom w:val="nil" w:sz="6" w:space="0" w:color="auto"/>
              <w:right w:val="nil" w:sz="6" w:space="0" w:color="auto"/>
            </w:tcBorders>
          </w:tcPr>
          <w:p>
            <w:pPr>
              <w:pStyle w:val="TableParagraph"/>
              <w:spacing w:line="226" w:lineRule="exact"/>
              <w:ind w:right="1"/>
              <w:jc w:val="center"/>
              <w:rPr>
                <w:rFonts w:ascii="Calibri" w:hAnsi="Calibri" w:cs="Calibri" w:eastAsia="Calibri" w:hint="default"/>
                <w:sz w:val="20"/>
                <w:szCs w:val="20"/>
              </w:rPr>
            </w:pPr>
            <w:r>
              <w:rPr>
                <w:rFonts w:ascii="Calibri"/>
                <w:sz w:val="20"/>
              </w:rPr>
              <w:t>$6</w:t>
            </w:r>
          </w:p>
        </w:tc>
        <w:tc>
          <w:tcPr>
            <w:tcW w:w="1158" w:type="dxa"/>
            <w:tcBorders>
              <w:top w:val="nil" w:sz="6" w:space="0" w:color="auto"/>
              <w:left w:val="nil" w:sz="6" w:space="0" w:color="auto"/>
              <w:bottom w:val="nil" w:sz="6" w:space="0" w:color="auto"/>
              <w:right w:val="nil" w:sz="6" w:space="0" w:color="auto"/>
            </w:tcBorders>
          </w:tcPr>
          <w:p>
            <w:pPr>
              <w:pStyle w:val="TableParagraph"/>
              <w:spacing w:line="226" w:lineRule="exact"/>
              <w:ind w:right="97"/>
              <w:jc w:val="center"/>
              <w:rPr>
                <w:rFonts w:ascii="Calibri" w:hAnsi="Calibri" w:cs="Calibri" w:eastAsia="Calibri" w:hint="default"/>
                <w:sz w:val="20"/>
                <w:szCs w:val="20"/>
              </w:rPr>
            </w:pPr>
            <w:r>
              <w:rPr>
                <w:rFonts w:ascii="Calibri"/>
                <w:sz w:val="20"/>
              </w:rPr>
              <w:t>$5</w:t>
            </w:r>
          </w:p>
        </w:tc>
      </w:tr>
      <w:tr>
        <w:trPr>
          <w:trHeight w:val="245" w:hRule="exact"/>
        </w:trPr>
        <w:tc>
          <w:tcPr>
            <w:tcW w:w="4420" w:type="dxa"/>
            <w:tcBorders>
              <w:top w:val="nil" w:sz="6" w:space="0" w:color="auto"/>
              <w:left w:val="nil" w:sz="6" w:space="0" w:color="auto"/>
              <w:bottom w:val="nil" w:sz="6" w:space="0" w:color="auto"/>
              <w:right w:val="nil" w:sz="6" w:space="0" w:color="auto"/>
            </w:tcBorders>
          </w:tcPr>
          <w:p>
            <w:pPr>
              <w:pStyle w:val="TableParagraph"/>
              <w:spacing w:line="226" w:lineRule="exact"/>
              <w:ind w:left="72" w:right="0"/>
              <w:jc w:val="left"/>
              <w:rPr>
                <w:rFonts w:ascii="Calibri" w:hAnsi="Calibri" w:cs="Calibri" w:eastAsia="Calibri" w:hint="default"/>
                <w:sz w:val="20"/>
                <w:szCs w:val="20"/>
              </w:rPr>
            </w:pPr>
            <w:r>
              <w:rPr>
                <w:rFonts w:ascii="Calibri"/>
                <w:sz w:val="20"/>
              </w:rPr>
              <w:t>Spending</w:t>
            </w:r>
            <w:r>
              <w:rPr>
                <w:rFonts w:ascii="Calibri"/>
                <w:spacing w:val="-13"/>
                <w:sz w:val="20"/>
              </w:rPr>
              <w:t> </w:t>
            </w:r>
            <w:r>
              <w:rPr>
                <w:rFonts w:ascii="Calibri"/>
                <w:sz w:val="20"/>
              </w:rPr>
              <w:t>US$-Groceries/sundries</w:t>
            </w:r>
          </w:p>
        </w:tc>
        <w:tc>
          <w:tcPr>
            <w:tcW w:w="1355" w:type="dxa"/>
            <w:tcBorders>
              <w:top w:val="nil" w:sz="6" w:space="0" w:color="auto"/>
              <w:left w:val="nil" w:sz="6" w:space="0" w:color="auto"/>
              <w:bottom w:val="nil" w:sz="6" w:space="0" w:color="auto"/>
              <w:right w:val="nil" w:sz="6" w:space="0" w:color="auto"/>
            </w:tcBorders>
          </w:tcPr>
          <w:p>
            <w:pPr>
              <w:pStyle w:val="TableParagraph"/>
              <w:spacing w:line="226" w:lineRule="exact"/>
              <w:ind w:right="132"/>
              <w:jc w:val="center"/>
              <w:rPr>
                <w:rFonts w:ascii="Calibri" w:hAnsi="Calibri" w:cs="Calibri" w:eastAsia="Calibri" w:hint="default"/>
                <w:sz w:val="20"/>
                <w:szCs w:val="20"/>
              </w:rPr>
            </w:pPr>
            <w:r>
              <w:rPr>
                <w:rFonts w:ascii="Calibri"/>
                <w:sz w:val="20"/>
              </w:rPr>
              <w:t>$38</w:t>
            </w:r>
          </w:p>
        </w:tc>
        <w:tc>
          <w:tcPr>
            <w:tcW w:w="1034" w:type="dxa"/>
            <w:tcBorders>
              <w:top w:val="nil" w:sz="6" w:space="0" w:color="auto"/>
              <w:left w:val="nil" w:sz="6" w:space="0" w:color="auto"/>
              <w:bottom w:val="nil" w:sz="6" w:space="0" w:color="auto"/>
              <w:right w:val="nil" w:sz="6" w:space="0" w:color="auto"/>
            </w:tcBorders>
          </w:tcPr>
          <w:p>
            <w:pPr>
              <w:pStyle w:val="TableParagraph"/>
              <w:spacing w:line="226" w:lineRule="exact"/>
              <w:ind w:right="15"/>
              <w:jc w:val="center"/>
              <w:rPr>
                <w:rFonts w:ascii="Calibri" w:hAnsi="Calibri" w:cs="Calibri" w:eastAsia="Calibri" w:hint="default"/>
                <w:sz w:val="20"/>
                <w:szCs w:val="20"/>
              </w:rPr>
            </w:pPr>
            <w:r>
              <w:rPr>
                <w:rFonts w:ascii="Calibri"/>
                <w:sz w:val="20"/>
              </w:rPr>
              <w:t>$23</w:t>
            </w:r>
          </w:p>
        </w:tc>
        <w:tc>
          <w:tcPr>
            <w:tcW w:w="1444" w:type="dxa"/>
            <w:tcBorders>
              <w:top w:val="nil" w:sz="6" w:space="0" w:color="auto"/>
              <w:left w:val="nil" w:sz="6" w:space="0" w:color="auto"/>
              <w:bottom w:val="nil" w:sz="6" w:space="0" w:color="auto"/>
              <w:right w:val="nil" w:sz="6" w:space="0" w:color="auto"/>
            </w:tcBorders>
          </w:tcPr>
          <w:p>
            <w:pPr>
              <w:pStyle w:val="TableParagraph"/>
              <w:spacing w:line="226" w:lineRule="exact"/>
              <w:ind w:right="1"/>
              <w:jc w:val="center"/>
              <w:rPr>
                <w:rFonts w:ascii="Calibri" w:hAnsi="Calibri" w:cs="Calibri" w:eastAsia="Calibri" w:hint="default"/>
                <w:sz w:val="20"/>
                <w:szCs w:val="20"/>
              </w:rPr>
            </w:pPr>
            <w:r>
              <w:rPr>
                <w:rFonts w:ascii="Calibri"/>
                <w:sz w:val="20"/>
              </w:rPr>
              <w:t>$18</w:t>
            </w:r>
          </w:p>
        </w:tc>
        <w:tc>
          <w:tcPr>
            <w:tcW w:w="1158" w:type="dxa"/>
            <w:tcBorders>
              <w:top w:val="nil" w:sz="6" w:space="0" w:color="auto"/>
              <w:left w:val="nil" w:sz="6" w:space="0" w:color="auto"/>
              <w:bottom w:val="nil" w:sz="6" w:space="0" w:color="auto"/>
              <w:right w:val="nil" w:sz="6" w:space="0" w:color="auto"/>
            </w:tcBorders>
          </w:tcPr>
          <w:p>
            <w:pPr>
              <w:pStyle w:val="TableParagraph"/>
              <w:spacing w:line="226" w:lineRule="exact"/>
              <w:ind w:right="97"/>
              <w:jc w:val="center"/>
              <w:rPr>
                <w:rFonts w:ascii="Calibri" w:hAnsi="Calibri" w:cs="Calibri" w:eastAsia="Calibri" w:hint="default"/>
                <w:sz w:val="20"/>
                <w:szCs w:val="20"/>
              </w:rPr>
            </w:pPr>
            <w:r>
              <w:rPr>
                <w:rFonts w:ascii="Calibri"/>
                <w:sz w:val="20"/>
              </w:rPr>
              <w:t>$16</w:t>
            </w:r>
          </w:p>
        </w:tc>
      </w:tr>
      <w:tr>
        <w:trPr>
          <w:trHeight w:val="244" w:hRule="exact"/>
        </w:trPr>
        <w:tc>
          <w:tcPr>
            <w:tcW w:w="4420" w:type="dxa"/>
            <w:tcBorders>
              <w:top w:val="nil" w:sz="6" w:space="0" w:color="auto"/>
              <w:left w:val="nil" w:sz="6" w:space="0" w:color="auto"/>
              <w:bottom w:val="nil" w:sz="6" w:space="0" w:color="auto"/>
              <w:right w:val="nil" w:sz="6" w:space="0" w:color="auto"/>
            </w:tcBorders>
          </w:tcPr>
          <w:p>
            <w:pPr>
              <w:pStyle w:val="TableParagraph"/>
              <w:spacing w:line="226" w:lineRule="exact"/>
              <w:ind w:left="72" w:right="0"/>
              <w:jc w:val="left"/>
              <w:rPr>
                <w:rFonts w:ascii="Calibri" w:hAnsi="Calibri" w:cs="Calibri" w:eastAsia="Calibri" w:hint="default"/>
                <w:sz w:val="20"/>
                <w:szCs w:val="20"/>
              </w:rPr>
            </w:pPr>
            <w:r>
              <w:rPr>
                <w:rFonts w:ascii="Calibri"/>
                <w:sz w:val="20"/>
              </w:rPr>
              <w:t>Spending</w:t>
            </w:r>
            <w:r>
              <w:rPr>
                <w:rFonts w:ascii="Calibri"/>
                <w:spacing w:val="-21"/>
                <w:sz w:val="20"/>
              </w:rPr>
              <w:t> </w:t>
            </w:r>
            <w:r>
              <w:rPr>
                <w:rFonts w:ascii="Calibri"/>
                <w:sz w:val="20"/>
              </w:rPr>
              <w:t>US$-Entertainment/nightlife/casino</w:t>
            </w:r>
          </w:p>
        </w:tc>
        <w:tc>
          <w:tcPr>
            <w:tcW w:w="1355" w:type="dxa"/>
            <w:tcBorders>
              <w:top w:val="nil" w:sz="6" w:space="0" w:color="auto"/>
              <w:left w:val="nil" w:sz="6" w:space="0" w:color="auto"/>
              <w:bottom w:val="nil" w:sz="6" w:space="0" w:color="auto"/>
              <w:right w:val="nil" w:sz="6" w:space="0" w:color="auto"/>
            </w:tcBorders>
          </w:tcPr>
          <w:p>
            <w:pPr>
              <w:pStyle w:val="TableParagraph"/>
              <w:spacing w:line="226" w:lineRule="exact"/>
              <w:ind w:right="132"/>
              <w:jc w:val="center"/>
              <w:rPr>
                <w:rFonts w:ascii="Calibri" w:hAnsi="Calibri" w:cs="Calibri" w:eastAsia="Calibri" w:hint="default"/>
                <w:sz w:val="20"/>
                <w:szCs w:val="20"/>
              </w:rPr>
            </w:pPr>
            <w:r>
              <w:rPr>
                <w:rFonts w:ascii="Calibri"/>
                <w:sz w:val="20"/>
              </w:rPr>
              <w:t>$17</w:t>
            </w:r>
          </w:p>
        </w:tc>
        <w:tc>
          <w:tcPr>
            <w:tcW w:w="1034" w:type="dxa"/>
            <w:tcBorders>
              <w:top w:val="nil" w:sz="6" w:space="0" w:color="auto"/>
              <w:left w:val="nil" w:sz="6" w:space="0" w:color="auto"/>
              <w:bottom w:val="nil" w:sz="6" w:space="0" w:color="auto"/>
              <w:right w:val="nil" w:sz="6" w:space="0" w:color="auto"/>
            </w:tcBorders>
          </w:tcPr>
          <w:p>
            <w:pPr>
              <w:pStyle w:val="TableParagraph"/>
              <w:spacing w:line="226" w:lineRule="exact"/>
              <w:ind w:right="15"/>
              <w:jc w:val="center"/>
              <w:rPr>
                <w:rFonts w:ascii="Calibri" w:hAnsi="Calibri" w:cs="Calibri" w:eastAsia="Calibri" w:hint="default"/>
                <w:sz w:val="20"/>
                <w:szCs w:val="20"/>
              </w:rPr>
            </w:pPr>
            <w:r>
              <w:rPr>
                <w:rFonts w:ascii="Calibri"/>
                <w:sz w:val="20"/>
              </w:rPr>
              <w:t>$43</w:t>
            </w:r>
          </w:p>
        </w:tc>
        <w:tc>
          <w:tcPr>
            <w:tcW w:w="1444" w:type="dxa"/>
            <w:tcBorders>
              <w:top w:val="nil" w:sz="6" w:space="0" w:color="auto"/>
              <w:left w:val="nil" w:sz="6" w:space="0" w:color="auto"/>
              <w:bottom w:val="nil" w:sz="6" w:space="0" w:color="auto"/>
              <w:right w:val="nil" w:sz="6" w:space="0" w:color="auto"/>
            </w:tcBorders>
          </w:tcPr>
          <w:p>
            <w:pPr>
              <w:pStyle w:val="TableParagraph"/>
              <w:spacing w:line="226" w:lineRule="exact"/>
              <w:ind w:right="1"/>
              <w:jc w:val="center"/>
              <w:rPr>
                <w:rFonts w:ascii="Calibri" w:hAnsi="Calibri" w:cs="Calibri" w:eastAsia="Calibri" w:hint="default"/>
                <w:sz w:val="20"/>
                <w:szCs w:val="20"/>
              </w:rPr>
            </w:pPr>
            <w:r>
              <w:rPr>
                <w:rFonts w:ascii="Calibri"/>
                <w:sz w:val="20"/>
              </w:rPr>
              <w:t>$35</w:t>
            </w:r>
          </w:p>
        </w:tc>
        <w:tc>
          <w:tcPr>
            <w:tcW w:w="1158" w:type="dxa"/>
            <w:tcBorders>
              <w:top w:val="nil" w:sz="6" w:space="0" w:color="auto"/>
              <w:left w:val="nil" w:sz="6" w:space="0" w:color="auto"/>
              <w:bottom w:val="nil" w:sz="6" w:space="0" w:color="auto"/>
              <w:right w:val="nil" w:sz="6" w:space="0" w:color="auto"/>
            </w:tcBorders>
          </w:tcPr>
          <w:p>
            <w:pPr>
              <w:pStyle w:val="TableParagraph"/>
              <w:spacing w:line="226" w:lineRule="exact"/>
              <w:ind w:right="97"/>
              <w:jc w:val="center"/>
              <w:rPr>
                <w:rFonts w:ascii="Calibri" w:hAnsi="Calibri" w:cs="Calibri" w:eastAsia="Calibri" w:hint="default"/>
                <w:sz w:val="20"/>
                <w:szCs w:val="20"/>
              </w:rPr>
            </w:pPr>
            <w:r>
              <w:rPr>
                <w:rFonts w:ascii="Calibri"/>
                <w:sz w:val="20"/>
              </w:rPr>
              <w:t>$23</w:t>
            </w:r>
          </w:p>
        </w:tc>
      </w:tr>
      <w:tr>
        <w:trPr>
          <w:trHeight w:val="244" w:hRule="exact"/>
        </w:trPr>
        <w:tc>
          <w:tcPr>
            <w:tcW w:w="4420" w:type="dxa"/>
            <w:tcBorders>
              <w:top w:val="nil" w:sz="6" w:space="0" w:color="auto"/>
              <w:left w:val="nil" w:sz="6" w:space="0" w:color="auto"/>
              <w:bottom w:val="nil" w:sz="6" w:space="0" w:color="auto"/>
              <w:right w:val="nil" w:sz="6" w:space="0" w:color="auto"/>
            </w:tcBorders>
          </w:tcPr>
          <w:p>
            <w:pPr>
              <w:pStyle w:val="TableParagraph"/>
              <w:spacing w:line="225" w:lineRule="exact"/>
              <w:ind w:left="72" w:right="0"/>
              <w:jc w:val="left"/>
              <w:rPr>
                <w:rFonts w:ascii="Calibri" w:hAnsi="Calibri" w:cs="Calibri" w:eastAsia="Calibri" w:hint="default"/>
                <w:sz w:val="20"/>
                <w:szCs w:val="20"/>
              </w:rPr>
            </w:pPr>
            <w:r>
              <w:rPr>
                <w:rFonts w:ascii="Calibri"/>
                <w:sz w:val="20"/>
              </w:rPr>
              <w:t>Spending US$-Water</w:t>
            </w:r>
            <w:r>
              <w:rPr>
                <w:rFonts w:ascii="Calibri"/>
                <w:spacing w:val="-19"/>
                <w:sz w:val="20"/>
              </w:rPr>
              <w:t> </w:t>
            </w:r>
            <w:r>
              <w:rPr>
                <w:rFonts w:ascii="Calibri"/>
                <w:sz w:val="20"/>
              </w:rPr>
              <w:t>activities/recreation</w:t>
            </w:r>
          </w:p>
        </w:tc>
        <w:tc>
          <w:tcPr>
            <w:tcW w:w="1355" w:type="dxa"/>
            <w:tcBorders>
              <w:top w:val="nil" w:sz="6" w:space="0" w:color="auto"/>
              <w:left w:val="nil" w:sz="6" w:space="0" w:color="auto"/>
              <w:bottom w:val="nil" w:sz="6" w:space="0" w:color="auto"/>
              <w:right w:val="nil" w:sz="6" w:space="0" w:color="auto"/>
            </w:tcBorders>
          </w:tcPr>
          <w:p>
            <w:pPr>
              <w:pStyle w:val="TableParagraph"/>
              <w:spacing w:line="225" w:lineRule="exact"/>
              <w:ind w:right="132"/>
              <w:jc w:val="center"/>
              <w:rPr>
                <w:rFonts w:ascii="Calibri" w:hAnsi="Calibri" w:cs="Calibri" w:eastAsia="Calibri" w:hint="default"/>
                <w:sz w:val="20"/>
                <w:szCs w:val="20"/>
              </w:rPr>
            </w:pPr>
            <w:r>
              <w:rPr>
                <w:rFonts w:ascii="Calibri"/>
                <w:sz w:val="20"/>
              </w:rPr>
              <w:t>$40</w:t>
            </w:r>
          </w:p>
        </w:tc>
        <w:tc>
          <w:tcPr>
            <w:tcW w:w="1034" w:type="dxa"/>
            <w:tcBorders>
              <w:top w:val="nil" w:sz="6" w:space="0" w:color="auto"/>
              <w:left w:val="nil" w:sz="6" w:space="0" w:color="auto"/>
              <w:bottom w:val="nil" w:sz="6" w:space="0" w:color="auto"/>
              <w:right w:val="nil" w:sz="6" w:space="0" w:color="auto"/>
            </w:tcBorders>
          </w:tcPr>
          <w:p>
            <w:pPr>
              <w:pStyle w:val="TableParagraph"/>
              <w:spacing w:line="225" w:lineRule="exact"/>
              <w:ind w:right="15"/>
              <w:jc w:val="center"/>
              <w:rPr>
                <w:rFonts w:ascii="Calibri" w:hAnsi="Calibri" w:cs="Calibri" w:eastAsia="Calibri" w:hint="default"/>
                <w:sz w:val="20"/>
                <w:szCs w:val="20"/>
              </w:rPr>
            </w:pPr>
            <w:r>
              <w:rPr>
                <w:rFonts w:ascii="Calibri"/>
                <w:sz w:val="20"/>
              </w:rPr>
              <w:t>$74</w:t>
            </w:r>
          </w:p>
        </w:tc>
        <w:tc>
          <w:tcPr>
            <w:tcW w:w="1444" w:type="dxa"/>
            <w:tcBorders>
              <w:top w:val="nil" w:sz="6" w:space="0" w:color="auto"/>
              <w:left w:val="nil" w:sz="6" w:space="0" w:color="auto"/>
              <w:bottom w:val="nil" w:sz="6" w:space="0" w:color="auto"/>
              <w:right w:val="nil" w:sz="6" w:space="0" w:color="auto"/>
            </w:tcBorders>
          </w:tcPr>
          <w:p>
            <w:pPr>
              <w:pStyle w:val="TableParagraph"/>
              <w:spacing w:line="225" w:lineRule="exact"/>
              <w:ind w:right="1"/>
              <w:jc w:val="center"/>
              <w:rPr>
                <w:rFonts w:ascii="Calibri" w:hAnsi="Calibri" w:cs="Calibri" w:eastAsia="Calibri" w:hint="default"/>
                <w:sz w:val="20"/>
                <w:szCs w:val="20"/>
              </w:rPr>
            </w:pPr>
            <w:r>
              <w:rPr>
                <w:rFonts w:ascii="Calibri"/>
                <w:sz w:val="20"/>
              </w:rPr>
              <w:t>$19</w:t>
            </w:r>
          </w:p>
        </w:tc>
        <w:tc>
          <w:tcPr>
            <w:tcW w:w="1158" w:type="dxa"/>
            <w:tcBorders>
              <w:top w:val="nil" w:sz="6" w:space="0" w:color="auto"/>
              <w:left w:val="nil" w:sz="6" w:space="0" w:color="auto"/>
              <w:bottom w:val="nil" w:sz="6" w:space="0" w:color="auto"/>
              <w:right w:val="nil" w:sz="6" w:space="0" w:color="auto"/>
            </w:tcBorders>
          </w:tcPr>
          <w:p>
            <w:pPr>
              <w:pStyle w:val="TableParagraph"/>
              <w:spacing w:line="225" w:lineRule="exact"/>
              <w:ind w:right="97"/>
              <w:jc w:val="center"/>
              <w:rPr>
                <w:rFonts w:ascii="Calibri" w:hAnsi="Calibri" w:cs="Calibri" w:eastAsia="Calibri" w:hint="default"/>
                <w:sz w:val="20"/>
                <w:szCs w:val="20"/>
              </w:rPr>
            </w:pPr>
            <w:r>
              <w:rPr>
                <w:rFonts w:ascii="Calibri"/>
                <w:sz w:val="20"/>
              </w:rPr>
              <w:t>$45</w:t>
            </w:r>
          </w:p>
        </w:tc>
      </w:tr>
      <w:tr>
        <w:trPr>
          <w:trHeight w:val="232" w:hRule="exact"/>
        </w:trPr>
        <w:tc>
          <w:tcPr>
            <w:tcW w:w="4420" w:type="dxa"/>
            <w:tcBorders>
              <w:top w:val="nil" w:sz="6" w:space="0" w:color="auto"/>
              <w:left w:val="nil" w:sz="6" w:space="0" w:color="auto"/>
              <w:bottom w:val="single" w:sz="4" w:space="0" w:color="000000"/>
              <w:right w:val="nil" w:sz="6" w:space="0" w:color="auto"/>
            </w:tcBorders>
          </w:tcPr>
          <w:p>
            <w:pPr>
              <w:pStyle w:val="TableParagraph"/>
              <w:spacing w:line="226" w:lineRule="exact"/>
              <w:ind w:left="72" w:right="0"/>
              <w:jc w:val="left"/>
              <w:rPr>
                <w:rFonts w:ascii="Calibri" w:hAnsi="Calibri" w:cs="Calibri" w:eastAsia="Calibri" w:hint="default"/>
                <w:sz w:val="20"/>
                <w:szCs w:val="20"/>
              </w:rPr>
            </w:pPr>
            <w:r>
              <w:rPr>
                <w:rFonts w:ascii="Calibri"/>
                <w:sz w:val="20"/>
              </w:rPr>
              <w:t>Spending US$-Other</w:t>
            </w:r>
            <w:r>
              <w:rPr>
                <w:rFonts w:ascii="Calibri"/>
                <w:spacing w:val="-14"/>
                <w:sz w:val="20"/>
              </w:rPr>
              <w:t> </w:t>
            </w:r>
            <w:r>
              <w:rPr>
                <w:rFonts w:ascii="Calibri"/>
                <w:sz w:val="20"/>
              </w:rPr>
              <w:t>expenses</w:t>
            </w:r>
          </w:p>
        </w:tc>
        <w:tc>
          <w:tcPr>
            <w:tcW w:w="1355" w:type="dxa"/>
            <w:tcBorders>
              <w:top w:val="nil" w:sz="6" w:space="0" w:color="auto"/>
              <w:left w:val="nil" w:sz="6" w:space="0" w:color="auto"/>
              <w:bottom w:val="single" w:sz="4" w:space="0" w:color="000000"/>
              <w:right w:val="nil" w:sz="6" w:space="0" w:color="auto"/>
            </w:tcBorders>
          </w:tcPr>
          <w:p>
            <w:pPr>
              <w:pStyle w:val="TableParagraph"/>
              <w:spacing w:line="226" w:lineRule="exact"/>
              <w:ind w:right="132"/>
              <w:jc w:val="center"/>
              <w:rPr>
                <w:rFonts w:ascii="Calibri" w:hAnsi="Calibri" w:cs="Calibri" w:eastAsia="Calibri" w:hint="default"/>
                <w:sz w:val="20"/>
                <w:szCs w:val="20"/>
              </w:rPr>
            </w:pPr>
            <w:r>
              <w:rPr>
                <w:rFonts w:ascii="Calibri"/>
                <w:sz w:val="20"/>
              </w:rPr>
              <w:t>$45</w:t>
            </w:r>
          </w:p>
        </w:tc>
        <w:tc>
          <w:tcPr>
            <w:tcW w:w="1034" w:type="dxa"/>
            <w:tcBorders>
              <w:top w:val="nil" w:sz="6" w:space="0" w:color="auto"/>
              <w:left w:val="nil" w:sz="6" w:space="0" w:color="auto"/>
              <w:bottom w:val="single" w:sz="4" w:space="0" w:color="000000"/>
              <w:right w:val="nil" w:sz="6" w:space="0" w:color="auto"/>
            </w:tcBorders>
          </w:tcPr>
          <w:p>
            <w:pPr>
              <w:pStyle w:val="TableParagraph"/>
              <w:spacing w:line="226" w:lineRule="exact"/>
              <w:ind w:right="15"/>
              <w:jc w:val="center"/>
              <w:rPr>
                <w:rFonts w:ascii="Calibri" w:hAnsi="Calibri" w:cs="Calibri" w:eastAsia="Calibri" w:hint="default"/>
                <w:sz w:val="20"/>
                <w:szCs w:val="20"/>
              </w:rPr>
            </w:pPr>
            <w:r>
              <w:rPr>
                <w:rFonts w:ascii="Calibri"/>
                <w:sz w:val="20"/>
              </w:rPr>
              <w:t>$35</w:t>
            </w:r>
          </w:p>
        </w:tc>
        <w:tc>
          <w:tcPr>
            <w:tcW w:w="1444" w:type="dxa"/>
            <w:tcBorders>
              <w:top w:val="nil" w:sz="6" w:space="0" w:color="auto"/>
              <w:left w:val="nil" w:sz="6" w:space="0" w:color="auto"/>
              <w:bottom w:val="single" w:sz="4" w:space="0" w:color="000000"/>
              <w:right w:val="nil" w:sz="6" w:space="0" w:color="auto"/>
            </w:tcBorders>
          </w:tcPr>
          <w:p>
            <w:pPr>
              <w:pStyle w:val="TableParagraph"/>
              <w:spacing w:line="226" w:lineRule="exact"/>
              <w:ind w:right="1"/>
              <w:jc w:val="center"/>
              <w:rPr>
                <w:rFonts w:ascii="Calibri" w:hAnsi="Calibri" w:cs="Calibri" w:eastAsia="Calibri" w:hint="default"/>
                <w:sz w:val="20"/>
                <w:szCs w:val="20"/>
              </w:rPr>
            </w:pPr>
            <w:r>
              <w:rPr>
                <w:rFonts w:ascii="Calibri"/>
                <w:sz w:val="20"/>
              </w:rPr>
              <w:t>$29</w:t>
            </w:r>
          </w:p>
        </w:tc>
        <w:tc>
          <w:tcPr>
            <w:tcW w:w="1158" w:type="dxa"/>
            <w:tcBorders>
              <w:top w:val="nil" w:sz="6" w:space="0" w:color="auto"/>
              <w:left w:val="nil" w:sz="6" w:space="0" w:color="auto"/>
              <w:bottom w:val="single" w:sz="4" w:space="0" w:color="000000"/>
              <w:right w:val="nil" w:sz="6" w:space="0" w:color="auto"/>
            </w:tcBorders>
          </w:tcPr>
          <w:p>
            <w:pPr>
              <w:pStyle w:val="TableParagraph"/>
              <w:spacing w:line="226" w:lineRule="exact"/>
              <w:ind w:right="97"/>
              <w:jc w:val="center"/>
              <w:rPr>
                <w:rFonts w:ascii="Calibri" w:hAnsi="Calibri" w:cs="Calibri" w:eastAsia="Calibri" w:hint="default"/>
                <w:sz w:val="20"/>
                <w:szCs w:val="20"/>
              </w:rPr>
            </w:pPr>
            <w:r>
              <w:rPr>
                <w:rFonts w:ascii="Calibri"/>
                <w:sz w:val="20"/>
              </w:rPr>
              <w:t>$25</w:t>
            </w:r>
          </w:p>
        </w:tc>
      </w:tr>
      <w:tr>
        <w:trPr>
          <w:trHeight w:val="267" w:hRule="exact"/>
        </w:trPr>
        <w:tc>
          <w:tcPr>
            <w:tcW w:w="4420" w:type="dxa"/>
            <w:tcBorders>
              <w:top w:val="single" w:sz="4" w:space="0" w:color="000000"/>
              <w:left w:val="nil" w:sz="6" w:space="0" w:color="auto"/>
              <w:bottom w:val="nil" w:sz="6" w:space="0" w:color="auto"/>
              <w:right w:val="nil" w:sz="6" w:space="0" w:color="auto"/>
            </w:tcBorders>
          </w:tcPr>
          <w:p>
            <w:pPr>
              <w:pStyle w:val="TableParagraph"/>
              <w:spacing w:line="243" w:lineRule="exact"/>
              <w:ind w:right="97"/>
              <w:jc w:val="right"/>
              <w:rPr>
                <w:rFonts w:ascii="Calibri" w:hAnsi="Calibri" w:cs="Calibri" w:eastAsia="Calibri" w:hint="default"/>
                <w:sz w:val="20"/>
                <w:szCs w:val="20"/>
              </w:rPr>
            </w:pPr>
            <w:r>
              <w:rPr>
                <w:rFonts w:ascii="Calibri"/>
                <w:b/>
                <w:sz w:val="20"/>
              </w:rPr>
              <w:t>Total Per</w:t>
            </w:r>
            <w:r>
              <w:rPr>
                <w:rFonts w:ascii="Calibri"/>
                <w:b/>
                <w:spacing w:val="-9"/>
                <w:sz w:val="20"/>
              </w:rPr>
              <w:t> </w:t>
            </w:r>
            <w:r>
              <w:rPr>
                <w:rFonts w:ascii="Calibri"/>
                <w:b/>
                <w:sz w:val="20"/>
              </w:rPr>
              <w:t>Trip</w:t>
            </w:r>
            <w:r>
              <w:rPr>
                <w:rFonts w:ascii="Calibri"/>
                <w:sz w:val="20"/>
              </w:rPr>
            </w:r>
          </w:p>
        </w:tc>
        <w:tc>
          <w:tcPr>
            <w:tcW w:w="1355" w:type="dxa"/>
            <w:tcBorders>
              <w:top w:val="single" w:sz="4" w:space="0" w:color="000000"/>
              <w:left w:val="nil" w:sz="6" w:space="0" w:color="auto"/>
              <w:bottom w:val="nil" w:sz="6" w:space="0" w:color="auto"/>
              <w:right w:val="nil" w:sz="6" w:space="0" w:color="auto"/>
            </w:tcBorders>
          </w:tcPr>
          <w:p>
            <w:pPr>
              <w:pStyle w:val="TableParagraph"/>
              <w:spacing w:line="243" w:lineRule="exact"/>
              <w:ind w:right="132"/>
              <w:jc w:val="center"/>
              <w:rPr>
                <w:rFonts w:ascii="Calibri" w:hAnsi="Calibri" w:cs="Calibri" w:eastAsia="Calibri" w:hint="default"/>
                <w:sz w:val="20"/>
                <w:szCs w:val="20"/>
              </w:rPr>
            </w:pPr>
            <w:r>
              <w:rPr>
                <w:rFonts w:ascii="Calibri"/>
                <w:sz w:val="20"/>
              </w:rPr>
              <w:t>$935</w:t>
            </w:r>
          </w:p>
        </w:tc>
        <w:tc>
          <w:tcPr>
            <w:tcW w:w="1034" w:type="dxa"/>
            <w:tcBorders>
              <w:top w:val="single" w:sz="4" w:space="0" w:color="000000"/>
              <w:left w:val="nil" w:sz="6" w:space="0" w:color="auto"/>
              <w:bottom w:val="nil" w:sz="6" w:space="0" w:color="auto"/>
              <w:right w:val="nil" w:sz="6" w:space="0" w:color="auto"/>
            </w:tcBorders>
          </w:tcPr>
          <w:p>
            <w:pPr>
              <w:pStyle w:val="TableParagraph"/>
              <w:spacing w:line="243" w:lineRule="exact"/>
              <w:ind w:right="12"/>
              <w:jc w:val="center"/>
              <w:rPr>
                <w:rFonts w:ascii="Calibri" w:hAnsi="Calibri" w:cs="Calibri" w:eastAsia="Calibri" w:hint="default"/>
                <w:sz w:val="20"/>
                <w:szCs w:val="20"/>
              </w:rPr>
            </w:pPr>
            <w:r>
              <w:rPr>
                <w:rFonts w:ascii="Calibri"/>
                <w:sz w:val="20"/>
              </w:rPr>
              <w:t>$1,020</w:t>
            </w:r>
          </w:p>
        </w:tc>
        <w:tc>
          <w:tcPr>
            <w:tcW w:w="1444" w:type="dxa"/>
            <w:tcBorders>
              <w:top w:val="single" w:sz="4" w:space="0" w:color="000000"/>
              <w:left w:val="nil" w:sz="6" w:space="0" w:color="auto"/>
              <w:bottom w:val="nil" w:sz="6" w:space="0" w:color="auto"/>
              <w:right w:val="nil" w:sz="6" w:space="0" w:color="auto"/>
            </w:tcBorders>
          </w:tcPr>
          <w:p>
            <w:pPr>
              <w:pStyle w:val="TableParagraph"/>
              <w:spacing w:line="243" w:lineRule="exact"/>
              <w:ind w:right="1"/>
              <w:jc w:val="center"/>
              <w:rPr>
                <w:rFonts w:ascii="Calibri" w:hAnsi="Calibri" w:cs="Calibri" w:eastAsia="Calibri" w:hint="default"/>
                <w:sz w:val="20"/>
                <w:szCs w:val="20"/>
              </w:rPr>
            </w:pPr>
            <w:r>
              <w:rPr>
                <w:rFonts w:ascii="Calibri"/>
                <w:sz w:val="20"/>
              </w:rPr>
              <w:t>$688</w:t>
            </w:r>
          </w:p>
        </w:tc>
        <w:tc>
          <w:tcPr>
            <w:tcW w:w="1158" w:type="dxa"/>
            <w:tcBorders>
              <w:top w:val="single" w:sz="4" w:space="0" w:color="000000"/>
              <w:left w:val="nil" w:sz="6" w:space="0" w:color="auto"/>
              <w:bottom w:val="nil" w:sz="6" w:space="0" w:color="auto"/>
              <w:right w:val="nil" w:sz="6" w:space="0" w:color="auto"/>
            </w:tcBorders>
          </w:tcPr>
          <w:p>
            <w:pPr>
              <w:pStyle w:val="TableParagraph"/>
              <w:spacing w:line="243" w:lineRule="exact"/>
              <w:ind w:right="97"/>
              <w:jc w:val="center"/>
              <w:rPr>
                <w:rFonts w:ascii="Calibri" w:hAnsi="Calibri" w:cs="Calibri" w:eastAsia="Calibri" w:hint="default"/>
                <w:sz w:val="20"/>
                <w:szCs w:val="20"/>
              </w:rPr>
            </w:pPr>
            <w:r>
              <w:rPr>
                <w:rFonts w:ascii="Calibri"/>
                <w:sz w:val="20"/>
              </w:rPr>
              <w:t>$754</w:t>
            </w:r>
          </w:p>
        </w:tc>
      </w:tr>
      <w:tr>
        <w:trPr>
          <w:trHeight w:val="233" w:hRule="exact"/>
        </w:trPr>
        <w:tc>
          <w:tcPr>
            <w:tcW w:w="4420" w:type="dxa"/>
            <w:tcBorders>
              <w:top w:val="nil" w:sz="6" w:space="0" w:color="auto"/>
              <w:left w:val="nil" w:sz="6" w:space="0" w:color="auto"/>
              <w:bottom w:val="single" w:sz="4" w:space="0" w:color="000000"/>
              <w:right w:val="nil" w:sz="6" w:space="0" w:color="auto"/>
            </w:tcBorders>
          </w:tcPr>
          <w:p>
            <w:pPr>
              <w:pStyle w:val="TableParagraph"/>
              <w:spacing w:line="226" w:lineRule="exact"/>
              <w:ind w:right="97"/>
              <w:jc w:val="right"/>
              <w:rPr>
                <w:rFonts w:ascii="Calibri" w:hAnsi="Calibri" w:cs="Calibri" w:eastAsia="Calibri" w:hint="default"/>
                <w:sz w:val="20"/>
                <w:szCs w:val="20"/>
              </w:rPr>
            </w:pPr>
            <w:r>
              <w:rPr>
                <w:rFonts w:ascii="Calibri"/>
                <w:b/>
                <w:sz w:val="20"/>
              </w:rPr>
              <w:t>Total Per</w:t>
            </w:r>
            <w:r>
              <w:rPr>
                <w:rFonts w:ascii="Calibri"/>
                <w:b/>
                <w:spacing w:val="-11"/>
                <w:sz w:val="20"/>
              </w:rPr>
              <w:t> </w:t>
            </w:r>
            <w:r>
              <w:rPr>
                <w:rFonts w:ascii="Calibri"/>
                <w:b/>
                <w:sz w:val="20"/>
              </w:rPr>
              <w:t>Day</w:t>
            </w:r>
            <w:r>
              <w:rPr>
                <w:rFonts w:ascii="Calibri"/>
                <w:sz w:val="20"/>
              </w:rPr>
            </w:r>
          </w:p>
        </w:tc>
        <w:tc>
          <w:tcPr>
            <w:tcW w:w="1355" w:type="dxa"/>
            <w:tcBorders>
              <w:top w:val="nil" w:sz="6" w:space="0" w:color="auto"/>
              <w:left w:val="nil" w:sz="6" w:space="0" w:color="auto"/>
              <w:bottom w:val="single" w:sz="4" w:space="0" w:color="000000"/>
              <w:right w:val="nil" w:sz="6" w:space="0" w:color="auto"/>
            </w:tcBorders>
          </w:tcPr>
          <w:p>
            <w:pPr>
              <w:pStyle w:val="TableParagraph"/>
              <w:spacing w:line="226" w:lineRule="exact"/>
              <w:ind w:right="132"/>
              <w:jc w:val="center"/>
              <w:rPr>
                <w:rFonts w:ascii="Calibri" w:hAnsi="Calibri" w:cs="Calibri" w:eastAsia="Calibri" w:hint="default"/>
                <w:sz w:val="20"/>
                <w:szCs w:val="20"/>
              </w:rPr>
            </w:pPr>
            <w:r>
              <w:rPr>
                <w:rFonts w:ascii="Calibri"/>
                <w:sz w:val="20"/>
              </w:rPr>
              <w:t>$73</w:t>
            </w:r>
          </w:p>
        </w:tc>
        <w:tc>
          <w:tcPr>
            <w:tcW w:w="1034" w:type="dxa"/>
            <w:tcBorders>
              <w:top w:val="nil" w:sz="6" w:space="0" w:color="auto"/>
              <w:left w:val="nil" w:sz="6" w:space="0" w:color="auto"/>
              <w:bottom w:val="single" w:sz="4" w:space="0" w:color="000000"/>
              <w:right w:val="nil" w:sz="6" w:space="0" w:color="auto"/>
            </w:tcBorders>
          </w:tcPr>
          <w:p>
            <w:pPr>
              <w:pStyle w:val="TableParagraph"/>
              <w:spacing w:line="226" w:lineRule="exact"/>
              <w:ind w:right="15"/>
              <w:jc w:val="center"/>
              <w:rPr>
                <w:rFonts w:ascii="Calibri" w:hAnsi="Calibri" w:cs="Calibri" w:eastAsia="Calibri" w:hint="default"/>
                <w:sz w:val="20"/>
                <w:szCs w:val="20"/>
              </w:rPr>
            </w:pPr>
            <w:r>
              <w:rPr>
                <w:rFonts w:ascii="Calibri"/>
                <w:sz w:val="20"/>
              </w:rPr>
              <w:t>$159</w:t>
            </w:r>
          </w:p>
        </w:tc>
        <w:tc>
          <w:tcPr>
            <w:tcW w:w="1444" w:type="dxa"/>
            <w:tcBorders>
              <w:top w:val="nil" w:sz="6" w:space="0" w:color="auto"/>
              <w:left w:val="nil" w:sz="6" w:space="0" w:color="auto"/>
              <w:bottom w:val="single" w:sz="4" w:space="0" w:color="000000"/>
              <w:right w:val="nil" w:sz="6" w:space="0" w:color="auto"/>
            </w:tcBorders>
          </w:tcPr>
          <w:p>
            <w:pPr>
              <w:pStyle w:val="TableParagraph"/>
              <w:spacing w:line="226" w:lineRule="exact"/>
              <w:ind w:right="1"/>
              <w:jc w:val="center"/>
              <w:rPr>
                <w:rFonts w:ascii="Calibri" w:hAnsi="Calibri" w:cs="Calibri" w:eastAsia="Calibri" w:hint="default"/>
                <w:sz w:val="20"/>
                <w:szCs w:val="20"/>
              </w:rPr>
            </w:pPr>
            <w:r>
              <w:rPr>
                <w:rFonts w:ascii="Calibri"/>
                <w:sz w:val="20"/>
              </w:rPr>
              <w:t>$136</w:t>
            </w:r>
          </w:p>
        </w:tc>
        <w:tc>
          <w:tcPr>
            <w:tcW w:w="1158" w:type="dxa"/>
            <w:tcBorders>
              <w:top w:val="nil" w:sz="6" w:space="0" w:color="auto"/>
              <w:left w:val="nil" w:sz="6" w:space="0" w:color="auto"/>
              <w:bottom w:val="single" w:sz="4" w:space="0" w:color="000000"/>
              <w:right w:val="nil" w:sz="6" w:space="0" w:color="auto"/>
            </w:tcBorders>
          </w:tcPr>
          <w:p>
            <w:pPr>
              <w:pStyle w:val="TableParagraph"/>
              <w:spacing w:line="226" w:lineRule="exact"/>
              <w:ind w:right="97"/>
              <w:jc w:val="center"/>
              <w:rPr>
                <w:rFonts w:ascii="Calibri" w:hAnsi="Calibri" w:cs="Calibri" w:eastAsia="Calibri" w:hint="default"/>
                <w:sz w:val="20"/>
                <w:szCs w:val="20"/>
              </w:rPr>
            </w:pPr>
            <w:r>
              <w:rPr>
                <w:rFonts w:ascii="Calibri"/>
                <w:sz w:val="20"/>
              </w:rPr>
              <w:t>$91</w:t>
            </w:r>
          </w:p>
        </w:tc>
      </w:tr>
    </w:tbl>
    <w:p>
      <w:pPr>
        <w:spacing w:line="240" w:lineRule="auto" w:before="12"/>
        <w:ind w:right="0"/>
        <w:rPr>
          <w:rFonts w:ascii="Calibri" w:hAnsi="Calibri" w:cs="Calibri" w:eastAsia="Calibri" w:hint="default"/>
          <w:b/>
          <w:bCs/>
          <w:sz w:val="14"/>
          <w:szCs w:val="14"/>
        </w:rPr>
      </w:pPr>
    </w:p>
    <w:p>
      <w:pPr>
        <w:pStyle w:val="BodyText"/>
        <w:spacing w:line="240" w:lineRule="auto" w:before="59"/>
        <w:ind w:right="1437"/>
        <w:jc w:val="both"/>
      </w:pPr>
      <w:r>
        <w:rPr/>
        <w:t>Next, the data was further filtered according to the spending behavior by country of origin as follows: the Netherlands, USA, Venezuela/Colombia, and others. Table 13 reveals that the American segment has the highest spending</w:t>
      </w:r>
      <w:r>
        <w:rPr>
          <w:spacing w:val="-4"/>
        </w:rPr>
        <w:t> </w:t>
      </w:r>
      <w:r>
        <w:rPr/>
        <w:t>per</w:t>
      </w:r>
      <w:r>
        <w:rPr>
          <w:spacing w:val="-3"/>
        </w:rPr>
        <w:t> </w:t>
      </w:r>
      <w:r>
        <w:rPr/>
        <w:t>person</w:t>
      </w:r>
      <w:r>
        <w:rPr>
          <w:spacing w:val="-3"/>
        </w:rPr>
        <w:t> </w:t>
      </w:r>
      <w:r>
        <w:rPr/>
        <w:t>per</w:t>
      </w:r>
      <w:r>
        <w:rPr>
          <w:spacing w:val="-3"/>
        </w:rPr>
        <w:t> </w:t>
      </w:r>
      <w:r>
        <w:rPr/>
        <w:t>day</w:t>
      </w:r>
      <w:r>
        <w:rPr>
          <w:spacing w:val="-2"/>
        </w:rPr>
        <w:t> </w:t>
      </w:r>
      <w:r>
        <w:rPr/>
        <w:t>at</w:t>
      </w:r>
      <w:r>
        <w:rPr>
          <w:spacing w:val="-3"/>
        </w:rPr>
        <w:t> </w:t>
      </w:r>
      <w:r>
        <w:rPr/>
        <w:t>US$159.00,</w:t>
      </w:r>
      <w:r>
        <w:rPr>
          <w:spacing w:val="-3"/>
        </w:rPr>
        <w:t> </w:t>
      </w:r>
      <w:r>
        <w:rPr/>
        <w:t>followed</w:t>
      </w:r>
      <w:r>
        <w:rPr>
          <w:spacing w:val="-3"/>
        </w:rPr>
        <w:t> </w:t>
      </w:r>
      <w:r>
        <w:rPr/>
        <w:t>by</w:t>
      </w:r>
      <w:r>
        <w:rPr>
          <w:spacing w:val="-3"/>
        </w:rPr>
        <w:t> </w:t>
      </w:r>
      <w:r>
        <w:rPr/>
        <w:t>Venezuela/Colombia</w:t>
      </w:r>
      <w:r>
        <w:rPr>
          <w:spacing w:val="-3"/>
        </w:rPr>
        <w:t> </w:t>
      </w:r>
      <w:r>
        <w:rPr/>
        <w:t>at</w:t>
      </w:r>
      <w:r>
        <w:rPr>
          <w:spacing w:val="-3"/>
        </w:rPr>
        <w:t> </w:t>
      </w:r>
      <w:r>
        <w:rPr/>
        <w:t>US$136.00,</w:t>
      </w:r>
      <w:r>
        <w:rPr>
          <w:spacing w:val="-3"/>
        </w:rPr>
        <w:t> </w:t>
      </w:r>
      <w:r>
        <w:rPr/>
        <w:t>and</w:t>
      </w:r>
      <w:r>
        <w:rPr>
          <w:spacing w:val="-3"/>
        </w:rPr>
        <w:t> </w:t>
      </w:r>
      <w:r>
        <w:rPr/>
        <w:t>the</w:t>
      </w:r>
      <w:r>
        <w:rPr>
          <w:spacing w:val="-1"/>
        </w:rPr>
        <w:t> </w:t>
      </w:r>
      <w:r>
        <w:rPr/>
        <w:t>Dutch</w:t>
      </w:r>
      <w:r>
        <w:rPr>
          <w:spacing w:val="-3"/>
        </w:rPr>
        <w:t> </w:t>
      </w:r>
      <w:r>
        <w:rPr/>
        <w:t>segment </w:t>
      </w:r>
      <w:r>
        <w:rPr/>
        <w:t>at</w:t>
      </w:r>
      <w:r>
        <w:rPr>
          <w:spacing w:val="39"/>
        </w:rPr>
        <w:t> </w:t>
      </w:r>
      <w:r>
        <w:rPr/>
        <w:t>US</w:t>
      </w:r>
      <w:r>
        <w:rPr>
          <w:rFonts w:ascii="Calibri" w:hAnsi="Calibri" w:cs="Calibri" w:eastAsia="Calibri" w:hint="default"/>
        </w:rPr>
        <w:t>$73.00.</w:t>
      </w:r>
      <w:r>
        <w:rPr>
          <w:rFonts w:ascii="Calibri" w:hAnsi="Calibri" w:cs="Calibri" w:eastAsia="Calibri" w:hint="default"/>
          <w:spacing w:val="40"/>
        </w:rPr>
        <w:t> </w:t>
      </w:r>
      <w:r>
        <w:rPr>
          <w:rFonts w:ascii="Calibri" w:hAnsi="Calibri" w:cs="Calibri" w:eastAsia="Calibri" w:hint="default"/>
        </w:rPr>
        <w:t>The</w:t>
      </w:r>
      <w:r>
        <w:rPr>
          <w:rFonts w:ascii="Calibri" w:hAnsi="Calibri" w:cs="Calibri" w:eastAsia="Calibri" w:hint="default"/>
          <w:spacing w:val="38"/>
        </w:rPr>
        <w:t> </w:t>
      </w:r>
      <w:r>
        <w:rPr>
          <w:rFonts w:ascii="Calibri" w:hAnsi="Calibri" w:cs="Calibri" w:eastAsia="Calibri" w:hint="default"/>
        </w:rPr>
        <w:t>“</w:t>
      </w:r>
      <w:r>
        <w:rPr/>
        <w:t>Others</w:t>
      </w:r>
      <w:r>
        <w:rPr>
          <w:rFonts w:ascii="Calibri" w:hAnsi="Calibri" w:cs="Calibri" w:eastAsia="Calibri" w:hint="default"/>
        </w:rPr>
        <w:t>”</w:t>
      </w:r>
      <w:r>
        <w:rPr>
          <w:rFonts w:ascii="Calibri" w:hAnsi="Calibri" w:cs="Calibri" w:eastAsia="Calibri" w:hint="default"/>
          <w:spacing w:val="39"/>
        </w:rPr>
        <w:t> </w:t>
      </w:r>
      <w:r>
        <w:rPr/>
        <w:t>category,</w:t>
      </w:r>
      <w:r>
        <w:rPr>
          <w:spacing w:val="39"/>
        </w:rPr>
        <w:t> </w:t>
      </w:r>
      <w:r>
        <w:rPr/>
        <w:t>which</w:t>
      </w:r>
      <w:r>
        <w:rPr>
          <w:spacing w:val="38"/>
        </w:rPr>
        <w:t> </w:t>
      </w:r>
      <w:r>
        <w:rPr/>
        <w:t>included</w:t>
      </w:r>
      <w:r>
        <w:rPr>
          <w:spacing w:val="39"/>
        </w:rPr>
        <w:t> </w:t>
      </w:r>
      <w:r>
        <w:rPr/>
        <w:t>a</w:t>
      </w:r>
      <w:r>
        <w:rPr>
          <w:spacing w:val="39"/>
        </w:rPr>
        <w:t> </w:t>
      </w:r>
      <w:r>
        <w:rPr/>
        <w:t>number</w:t>
      </w:r>
      <w:r>
        <w:rPr>
          <w:spacing w:val="38"/>
        </w:rPr>
        <w:t> </w:t>
      </w:r>
      <w:r>
        <w:rPr/>
        <w:t>of</w:t>
      </w:r>
      <w:r>
        <w:rPr>
          <w:spacing w:val="40"/>
        </w:rPr>
        <w:t> </w:t>
      </w:r>
      <w:r>
        <w:rPr/>
        <w:t>countries</w:t>
      </w:r>
      <w:r>
        <w:rPr>
          <w:spacing w:val="39"/>
        </w:rPr>
        <w:t> </w:t>
      </w:r>
      <w:r>
        <w:rPr/>
        <w:t>grouped</w:t>
      </w:r>
      <w:r>
        <w:rPr>
          <w:spacing w:val="39"/>
        </w:rPr>
        <w:t> </w:t>
      </w:r>
      <w:r>
        <w:rPr/>
        <w:t>together,</w:t>
      </w:r>
      <w:r>
        <w:rPr>
          <w:spacing w:val="39"/>
        </w:rPr>
        <w:t> </w:t>
      </w:r>
      <w:r>
        <w:rPr/>
        <w:t>accounted</w:t>
      </w:r>
      <w:r>
        <w:rPr>
          <w:spacing w:val="40"/>
        </w:rPr>
        <w:t> </w:t>
      </w:r>
      <w:r>
        <w:rPr/>
        <w:t>for</w:t>
      </w:r>
    </w:p>
    <w:p>
      <w:pPr>
        <w:spacing w:line="240" w:lineRule="auto" w:before="0"/>
        <w:ind w:right="0"/>
        <w:rPr>
          <w:rFonts w:ascii="Calibri" w:hAnsi="Calibri" w:cs="Calibri" w:eastAsia="Calibri" w:hint="default"/>
          <w:sz w:val="20"/>
          <w:szCs w:val="20"/>
        </w:rPr>
      </w:pPr>
    </w:p>
    <w:p>
      <w:pPr>
        <w:spacing w:line="240" w:lineRule="auto" w:before="2" w:after="0"/>
        <w:ind w:right="0"/>
        <w:rPr>
          <w:rFonts w:ascii="Calibri" w:hAnsi="Calibri" w:cs="Calibri" w:eastAsia="Calibri" w:hint="default"/>
          <w:sz w:val="25"/>
          <w:szCs w:val="25"/>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before="89"/>
        <w:ind w:left="1440" w:right="0" w:firstLine="0"/>
        <w:jc w:val="left"/>
        <w:rPr>
          <w:rFonts w:ascii="Calibri" w:hAnsi="Calibri" w:cs="Calibri" w:eastAsia="Calibri" w:hint="default"/>
          <w:sz w:val="16"/>
          <w:szCs w:val="16"/>
        </w:rPr>
      </w:pPr>
      <w:r>
        <w:rPr>
          <w:rFonts w:ascii="Calibri"/>
          <w:position w:val="5"/>
          <w:sz w:val="12"/>
        </w:rPr>
        <w:t>24 </w:t>
      </w:r>
      <w:r>
        <w:rPr>
          <w:rFonts w:ascii="Calibri"/>
          <w:sz w:val="16"/>
        </w:rPr>
        <w:t>(8.33 nights vs. 11.57 nights F=13.20</w:t>
      </w:r>
      <w:r>
        <w:rPr>
          <w:rFonts w:ascii="Calibri"/>
          <w:spacing w:val="-6"/>
          <w:sz w:val="16"/>
        </w:rPr>
        <w:t> </w:t>
      </w:r>
      <w:r>
        <w:rPr>
          <w:rFonts w:ascii="Calibri"/>
          <w:sz w:val="16"/>
        </w:rPr>
        <w:t>P&lt;.001)</w:t>
      </w:r>
    </w:p>
    <w:p>
      <w:pPr>
        <w:spacing w:after="0"/>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43"/>
        <w:jc w:val="both"/>
      </w:pPr>
      <w:r>
        <w:rPr/>
        <w:t>US$91.00</w:t>
      </w:r>
      <w:r>
        <w:rPr>
          <w:spacing w:val="-9"/>
        </w:rPr>
        <w:t> </w:t>
      </w:r>
      <w:r>
        <w:rPr/>
        <w:t>per</w:t>
      </w:r>
      <w:r>
        <w:rPr>
          <w:spacing w:val="-7"/>
        </w:rPr>
        <w:t> </w:t>
      </w:r>
      <w:r>
        <w:rPr/>
        <w:t>person</w:t>
      </w:r>
      <w:r>
        <w:rPr>
          <w:spacing w:val="-9"/>
        </w:rPr>
        <w:t> </w:t>
      </w:r>
      <w:r>
        <w:rPr/>
        <w:t>per</w:t>
      </w:r>
      <w:r>
        <w:rPr>
          <w:spacing w:val="-9"/>
        </w:rPr>
        <w:t> </w:t>
      </w:r>
      <w:r>
        <w:rPr/>
        <w:t>day.</w:t>
      </w:r>
      <w:r>
        <w:rPr>
          <w:spacing w:val="28"/>
        </w:rPr>
        <w:t> </w:t>
      </w:r>
      <w:r>
        <w:rPr/>
        <w:t>It</w:t>
      </w:r>
      <w:r>
        <w:rPr>
          <w:spacing w:val="-9"/>
        </w:rPr>
        <w:t> </w:t>
      </w:r>
      <w:r>
        <w:rPr/>
        <w:t>is</w:t>
      </w:r>
      <w:r>
        <w:rPr>
          <w:spacing w:val="-11"/>
        </w:rPr>
        <w:t> </w:t>
      </w:r>
      <w:r>
        <w:rPr/>
        <w:t>important</w:t>
      </w:r>
      <w:r>
        <w:rPr>
          <w:spacing w:val="-9"/>
        </w:rPr>
        <w:t> </w:t>
      </w:r>
      <w:r>
        <w:rPr/>
        <w:t>to</w:t>
      </w:r>
      <w:r>
        <w:rPr>
          <w:spacing w:val="-9"/>
        </w:rPr>
        <w:t> </w:t>
      </w:r>
      <w:r>
        <w:rPr/>
        <w:t>note</w:t>
      </w:r>
      <w:r>
        <w:rPr>
          <w:spacing w:val="-9"/>
        </w:rPr>
        <w:t> </w:t>
      </w:r>
      <w:r>
        <w:rPr/>
        <w:t>that</w:t>
      </w:r>
      <w:r>
        <w:rPr>
          <w:spacing w:val="-8"/>
        </w:rPr>
        <w:t> </w:t>
      </w:r>
      <w:r>
        <w:rPr/>
        <w:t>the</w:t>
      </w:r>
      <w:r>
        <w:rPr>
          <w:spacing w:val="-10"/>
        </w:rPr>
        <w:t> </w:t>
      </w:r>
      <w:r>
        <w:rPr/>
        <w:t>American</w:t>
      </w:r>
      <w:r>
        <w:rPr>
          <w:spacing w:val="-6"/>
        </w:rPr>
        <w:t> </w:t>
      </w:r>
      <w:r>
        <w:rPr/>
        <w:t>market</w:t>
      </w:r>
      <w:r>
        <w:rPr>
          <w:spacing w:val="-9"/>
        </w:rPr>
        <w:t> </w:t>
      </w:r>
      <w:r>
        <w:rPr/>
        <w:t>is</w:t>
      </w:r>
      <w:r>
        <w:rPr>
          <w:spacing w:val="-8"/>
        </w:rPr>
        <w:t> </w:t>
      </w:r>
      <w:r>
        <w:rPr/>
        <w:t>spending</w:t>
      </w:r>
      <w:r>
        <w:rPr>
          <w:spacing w:val="-9"/>
        </w:rPr>
        <w:t> </w:t>
      </w:r>
      <w:r>
        <w:rPr/>
        <w:t>more</w:t>
      </w:r>
      <w:r>
        <w:rPr>
          <w:spacing w:val="-8"/>
        </w:rPr>
        <w:t> </w:t>
      </w:r>
      <w:r>
        <w:rPr/>
        <w:t>than</w:t>
      </w:r>
      <w:r>
        <w:rPr>
          <w:spacing w:val="-8"/>
        </w:rPr>
        <w:t> </w:t>
      </w:r>
      <w:r>
        <w:rPr/>
        <w:t>twice</w:t>
      </w:r>
      <w:r>
        <w:rPr>
          <w:spacing w:val="-8"/>
        </w:rPr>
        <w:t> </w:t>
      </w:r>
      <w:r>
        <w:rPr/>
        <w:t>as</w:t>
      </w:r>
      <w:r>
        <w:rPr>
          <w:spacing w:val="-7"/>
        </w:rPr>
        <w:t> </w:t>
      </w:r>
      <w:r>
        <w:rPr/>
        <w:t>much </w:t>
      </w:r>
      <w:r>
        <w:rPr/>
        <w:t>per day per person than the</w:t>
      </w:r>
      <w:r>
        <w:rPr>
          <w:spacing w:val="-13"/>
        </w:rPr>
        <w:t> </w:t>
      </w:r>
      <w:r>
        <w:rPr/>
        <w:t>Dutch.</w:t>
      </w:r>
    </w:p>
    <w:p>
      <w:pPr>
        <w:spacing w:line="240" w:lineRule="auto" w:before="11"/>
        <w:ind w:right="0"/>
        <w:rPr>
          <w:rFonts w:ascii="Calibri" w:hAnsi="Calibri" w:cs="Calibri" w:eastAsia="Calibri" w:hint="default"/>
          <w:sz w:val="19"/>
          <w:szCs w:val="19"/>
        </w:rPr>
      </w:pPr>
    </w:p>
    <w:p>
      <w:pPr>
        <w:pStyle w:val="BodyText"/>
        <w:spacing w:line="240" w:lineRule="auto"/>
        <w:ind w:right="1437"/>
        <w:jc w:val="both"/>
      </w:pPr>
      <w:r>
        <w:rPr/>
        <w:t>It is also important to note that while the Venezuelan and Colombian market is performing as expected, the past volatility</w:t>
      </w:r>
      <w:r>
        <w:rPr>
          <w:spacing w:val="-5"/>
        </w:rPr>
        <w:t> </w:t>
      </w:r>
      <w:r>
        <w:rPr/>
        <w:t>in</w:t>
      </w:r>
      <w:r>
        <w:rPr>
          <w:spacing w:val="-6"/>
        </w:rPr>
        <w:t> </w:t>
      </w:r>
      <w:r>
        <w:rPr/>
        <w:t>this</w:t>
      </w:r>
      <w:r>
        <w:rPr>
          <w:spacing w:val="-7"/>
        </w:rPr>
        <w:t> </w:t>
      </w:r>
      <w:r>
        <w:rPr/>
        <w:t>market</w:t>
      </w:r>
      <w:r>
        <w:rPr>
          <w:spacing w:val="-6"/>
        </w:rPr>
        <w:t> </w:t>
      </w:r>
      <w:r>
        <w:rPr/>
        <w:t>segment</w:t>
      </w:r>
      <w:r>
        <w:rPr>
          <w:spacing w:val="-6"/>
        </w:rPr>
        <w:t> </w:t>
      </w:r>
      <w:r>
        <w:rPr/>
        <w:t>has</w:t>
      </w:r>
      <w:r>
        <w:rPr>
          <w:spacing w:val="-6"/>
        </w:rPr>
        <w:t> </w:t>
      </w:r>
      <w:r>
        <w:rPr/>
        <w:t>prompted</w:t>
      </w:r>
      <w:r>
        <w:rPr>
          <w:spacing w:val="-6"/>
        </w:rPr>
        <w:t> </w:t>
      </w:r>
      <w:r>
        <w:rPr/>
        <w:t>concern.</w:t>
      </w:r>
      <w:r>
        <w:rPr>
          <w:spacing w:val="-2"/>
        </w:rPr>
        <w:t> </w:t>
      </w:r>
      <w:r>
        <w:rPr/>
        <w:t>Seasonality</w:t>
      </w:r>
      <w:r>
        <w:rPr>
          <w:spacing w:val="-5"/>
        </w:rPr>
        <w:t> </w:t>
      </w:r>
      <w:r>
        <w:rPr/>
        <w:t>from</w:t>
      </w:r>
      <w:r>
        <w:rPr>
          <w:spacing w:val="-6"/>
        </w:rPr>
        <w:t> </w:t>
      </w:r>
      <w:r>
        <w:rPr/>
        <w:t>this</w:t>
      </w:r>
      <w:r>
        <w:rPr>
          <w:spacing w:val="-7"/>
        </w:rPr>
        <w:t> </w:t>
      </w:r>
      <w:r>
        <w:rPr/>
        <w:t>market</w:t>
      </w:r>
      <w:r>
        <w:rPr>
          <w:spacing w:val="-6"/>
        </w:rPr>
        <w:t> </w:t>
      </w:r>
      <w:r>
        <w:rPr/>
        <w:t>segment</w:t>
      </w:r>
      <w:r>
        <w:rPr>
          <w:spacing w:val="-6"/>
        </w:rPr>
        <w:t> </w:t>
      </w:r>
      <w:r>
        <w:rPr/>
        <w:t>is</w:t>
      </w:r>
      <w:r>
        <w:rPr>
          <w:spacing w:val="-7"/>
        </w:rPr>
        <w:t> </w:t>
      </w:r>
      <w:r>
        <w:rPr/>
        <w:t>highly</w:t>
      </w:r>
      <w:r>
        <w:rPr>
          <w:spacing w:val="-5"/>
        </w:rPr>
        <w:t> </w:t>
      </w:r>
      <w:r>
        <w:rPr/>
        <w:t>pronounced </w:t>
      </w:r>
      <w:r>
        <w:rPr/>
        <w:t>in terms of hotel occupancy rates, as well as in the level of arrivals. The highest seasonal point regarding stay-over tourists occurs in the month of December, while the lowest point happens in May of each year (see Figure 11). Seasonality propagates volatility affecting the planning capacity of the destination as well as individual firms. Therefore, it is necessary for Curaçao to secure tourist markets that demonstrate lower levels of seasonality than that of the Venezuelan</w:t>
      </w:r>
      <w:r>
        <w:rPr>
          <w:spacing w:val="-14"/>
        </w:rPr>
        <w:t> </w:t>
      </w:r>
      <w:r>
        <w:rPr/>
        <w:t>market.</w:t>
      </w:r>
    </w:p>
    <w:p>
      <w:pPr>
        <w:spacing w:line="240" w:lineRule="auto"/>
        <w:ind w:left="1684"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5632704" cy="2164079"/>
            <wp:effectExtent l="0" t="0" r="0" b="0"/>
            <wp:docPr id="25" name="image16.png" descr=""/>
            <wp:cNvGraphicFramePr>
              <a:graphicFrameLocks noChangeAspect="1"/>
            </wp:cNvGraphicFramePr>
            <a:graphic>
              <a:graphicData uri="http://schemas.openxmlformats.org/drawingml/2006/picture">
                <pic:pic>
                  <pic:nvPicPr>
                    <pic:cNvPr id="26" name="image16.png"/>
                    <pic:cNvPicPr/>
                  </pic:nvPicPr>
                  <pic:blipFill>
                    <a:blip r:embed="rId29" cstate="print"/>
                    <a:stretch>
                      <a:fillRect/>
                    </a:stretch>
                  </pic:blipFill>
                  <pic:spPr>
                    <a:xfrm>
                      <a:off x="0" y="0"/>
                      <a:ext cx="5632704" cy="2164079"/>
                    </a:xfrm>
                    <a:prstGeom prst="rect">
                      <a:avLst/>
                    </a:prstGeom>
                  </pic:spPr>
                </pic:pic>
              </a:graphicData>
            </a:graphic>
          </wp:inline>
        </w:drawing>
      </w:r>
      <w:r>
        <w:rPr>
          <w:rFonts w:ascii="Calibri" w:hAnsi="Calibri" w:cs="Calibri" w:eastAsia="Calibri" w:hint="default"/>
          <w:sz w:val="20"/>
          <w:szCs w:val="20"/>
        </w:rPr>
      </w:r>
    </w:p>
    <w:p>
      <w:pPr>
        <w:pStyle w:val="Heading9"/>
        <w:spacing w:line="482" w:lineRule="auto"/>
        <w:ind w:left="4402" w:right="4399"/>
        <w:jc w:val="center"/>
        <w:rPr>
          <w:b w:val="0"/>
          <w:bCs w:val="0"/>
        </w:rPr>
      </w:pPr>
      <w:r>
        <w:rPr/>
        <w:pict>
          <v:shape style="position:absolute;margin-left:72.024002pt;margin-top:38.651482pt;width:473.75pt;height:219.35pt;mso-position-horizontal-relative:page;mso-position-vertical-relative:paragraph;z-index:140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4462"/>
                    <w:gridCol w:w="1375"/>
                    <w:gridCol w:w="1028"/>
                    <w:gridCol w:w="1439"/>
                    <w:gridCol w:w="1170"/>
                  </w:tblGrid>
                  <w:tr>
                    <w:trPr>
                      <w:trHeight w:val="472" w:hRule="exact"/>
                    </w:trPr>
                    <w:tc>
                      <w:tcPr>
                        <w:tcW w:w="4462" w:type="dxa"/>
                        <w:tcBorders>
                          <w:top w:val="nil" w:sz="6" w:space="0" w:color="auto"/>
                          <w:left w:val="nil" w:sz="6" w:space="0" w:color="auto"/>
                          <w:bottom w:val="nil" w:sz="6" w:space="0" w:color="auto"/>
                          <w:right w:val="nil" w:sz="6" w:space="0" w:color="auto"/>
                        </w:tcBorders>
                      </w:tcPr>
                      <w:p>
                        <w:pPr>
                          <w:pStyle w:val="TableParagraph"/>
                          <w:spacing w:line="240" w:lineRule="auto" w:before="81"/>
                          <w:ind w:right="44"/>
                          <w:jc w:val="center"/>
                          <w:rPr>
                            <w:rFonts w:ascii="Calibri" w:hAnsi="Calibri" w:cs="Calibri" w:eastAsia="Calibri" w:hint="default"/>
                            <w:sz w:val="20"/>
                            <w:szCs w:val="20"/>
                          </w:rPr>
                        </w:pPr>
                        <w:r>
                          <w:rPr>
                            <w:rFonts w:ascii="Calibri"/>
                            <w:b/>
                            <w:sz w:val="20"/>
                          </w:rPr>
                          <w:t>Spending</w:t>
                        </w:r>
                        <w:r>
                          <w:rPr>
                            <w:rFonts w:ascii="Calibri"/>
                            <w:sz w:val="20"/>
                          </w:rPr>
                        </w:r>
                      </w:p>
                    </w:tc>
                    <w:tc>
                      <w:tcPr>
                        <w:tcW w:w="1375" w:type="dxa"/>
                        <w:tcBorders>
                          <w:top w:val="nil" w:sz="6" w:space="0" w:color="auto"/>
                          <w:left w:val="nil" w:sz="6" w:space="0" w:color="auto"/>
                          <w:bottom w:val="nil" w:sz="6" w:space="0" w:color="auto"/>
                          <w:right w:val="nil" w:sz="6" w:space="0" w:color="auto"/>
                        </w:tcBorders>
                      </w:tcPr>
                      <w:p>
                        <w:pPr>
                          <w:pStyle w:val="TableParagraph"/>
                          <w:spacing w:line="240" w:lineRule="auto" w:before="81"/>
                          <w:ind w:right="119"/>
                          <w:jc w:val="center"/>
                          <w:rPr>
                            <w:rFonts w:ascii="Calibri" w:hAnsi="Calibri" w:cs="Calibri" w:eastAsia="Calibri" w:hint="default"/>
                            <w:sz w:val="20"/>
                            <w:szCs w:val="20"/>
                          </w:rPr>
                        </w:pPr>
                        <w:r>
                          <w:rPr>
                            <w:rFonts w:ascii="Calibri"/>
                            <w:b/>
                            <w:sz w:val="20"/>
                          </w:rPr>
                          <w:t>Netherlands</w:t>
                        </w:r>
                        <w:r>
                          <w:rPr>
                            <w:rFonts w:ascii="Calibri"/>
                            <w:sz w:val="20"/>
                          </w:rPr>
                        </w:r>
                      </w:p>
                    </w:tc>
                    <w:tc>
                      <w:tcPr>
                        <w:tcW w:w="1028" w:type="dxa"/>
                        <w:tcBorders>
                          <w:top w:val="nil" w:sz="6" w:space="0" w:color="auto"/>
                          <w:left w:val="nil" w:sz="6" w:space="0" w:color="auto"/>
                          <w:bottom w:val="nil" w:sz="6" w:space="0" w:color="auto"/>
                          <w:right w:val="nil" w:sz="6" w:space="0" w:color="auto"/>
                        </w:tcBorders>
                      </w:tcPr>
                      <w:p>
                        <w:pPr>
                          <w:pStyle w:val="TableParagraph"/>
                          <w:spacing w:line="240" w:lineRule="auto" w:before="81"/>
                          <w:ind w:right="1"/>
                          <w:jc w:val="center"/>
                          <w:rPr>
                            <w:rFonts w:ascii="Calibri" w:hAnsi="Calibri" w:cs="Calibri" w:eastAsia="Calibri" w:hint="default"/>
                            <w:sz w:val="20"/>
                            <w:szCs w:val="20"/>
                          </w:rPr>
                        </w:pPr>
                        <w:r>
                          <w:rPr>
                            <w:rFonts w:ascii="Calibri"/>
                            <w:b/>
                            <w:sz w:val="20"/>
                          </w:rPr>
                          <w:t>USA</w:t>
                        </w:r>
                        <w:r>
                          <w:rPr>
                            <w:rFonts w:ascii="Calibri"/>
                            <w:sz w:val="20"/>
                          </w:rPr>
                        </w:r>
                      </w:p>
                    </w:tc>
                    <w:tc>
                      <w:tcPr>
                        <w:tcW w:w="1439" w:type="dxa"/>
                        <w:tcBorders>
                          <w:top w:val="nil" w:sz="6" w:space="0" w:color="auto"/>
                          <w:left w:val="nil" w:sz="6" w:space="0" w:color="auto"/>
                          <w:bottom w:val="nil" w:sz="6" w:space="0" w:color="auto"/>
                          <w:right w:val="nil" w:sz="6" w:space="0" w:color="auto"/>
                        </w:tcBorders>
                      </w:tcPr>
                      <w:p>
                        <w:pPr>
                          <w:pStyle w:val="TableParagraph"/>
                          <w:spacing w:line="203" w:lineRule="exact"/>
                          <w:ind w:left="237" w:right="0"/>
                          <w:jc w:val="left"/>
                          <w:rPr>
                            <w:rFonts w:ascii="Calibri" w:hAnsi="Calibri" w:cs="Calibri" w:eastAsia="Calibri" w:hint="default"/>
                            <w:sz w:val="20"/>
                            <w:szCs w:val="20"/>
                          </w:rPr>
                        </w:pPr>
                        <w:r>
                          <w:rPr>
                            <w:rFonts w:ascii="Calibri"/>
                            <w:b/>
                            <w:sz w:val="20"/>
                          </w:rPr>
                          <w:t>Venezuela/</w:t>
                        </w:r>
                        <w:r>
                          <w:rPr>
                            <w:rFonts w:ascii="Calibri"/>
                            <w:sz w:val="20"/>
                          </w:rPr>
                        </w:r>
                      </w:p>
                      <w:p>
                        <w:pPr>
                          <w:pStyle w:val="TableParagraph"/>
                          <w:tabs>
                            <w:tab w:pos="319" w:val="left" w:leader="none"/>
                            <w:tab w:pos="2609" w:val="left" w:leader="none"/>
                          </w:tabs>
                          <w:spacing w:line="240" w:lineRule="auto"/>
                          <w:ind w:left="-6866" w:right="-1171"/>
                          <w:jc w:val="left"/>
                          <w:rPr>
                            <w:rFonts w:ascii="Calibri" w:hAnsi="Calibri" w:cs="Calibri" w:eastAsia="Calibri" w:hint="default"/>
                            <w:sz w:val="20"/>
                            <w:szCs w:val="20"/>
                          </w:rPr>
                        </w:pPr>
                        <w:r>
                          <w:rPr>
                            <w:rFonts w:ascii="Calibri"/>
                            <w:b/>
                            <w:w w:val="99"/>
                            <w:sz w:val="20"/>
                          </w:rPr>
                        </w:r>
                        <w:r>
                          <w:rPr>
                            <w:rFonts w:ascii="Calibri"/>
                            <w:b/>
                            <w:w w:val="99"/>
                            <w:sz w:val="20"/>
                            <w:u w:val="single" w:color="000000"/>
                          </w:rPr>
                          <w:t> </w:t>
                        </w:r>
                        <w:r>
                          <w:rPr>
                            <w:rFonts w:ascii="Calibri"/>
                            <w:b/>
                            <w:sz w:val="20"/>
                            <w:u w:val="single" w:color="000000"/>
                          </w:rPr>
                          <w:tab/>
                          <w:t>Colombia</w:t>
                          <w:tab/>
                        </w:r>
                        <w:r>
                          <w:rPr>
                            <w:rFonts w:ascii="Calibri"/>
                            <w:b/>
                            <w:sz w:val="20"/>
                          </w:rPr>
                        </w:r>
                        <w:r>
                          <w:rPr>
                            <w:rFonts w:ascii="Calibri"/>
                            <w:sz w:val="20"/>
                          </w:rPr>
                        </w:r>
                      </w:p>
                    </w:tc>
                    <w:tc>
                      <w:tcPr>
                        <w:tcW w:w="1170" w:type="dxa"/>
                        <w:tcBorders>
                          <w:top w:val="nil" w:sz="6" w:space="0" w:color="auto"/>
                          <w:left w:val="nil" w:sz="6" w:space="0" w:color="auto"/>
                          <w:bottom w:val="nil" w:sz="6" w:space="0" w:color="auto"/>
                          <w:right w:val="nil" w:sz="6" w:space="0" w:color="auto"/>
                        </w:tcBorders>
                      </w:tcPr>
                      <w:p>
                        <w:pPr>
                          <w:pStyle w:val="TableParagraph"/>
                          <w:spacing w:line="240" w:lineRule="auto" w:before="81"/>
                          <w:ind w:left="253" w:right="0"/>
                          <w:jc w:val="left"/>
                          <w:rPr>
                            <w:rFonts w:ascii="Calibri" w:hAnsi="Calibri" w:cs="Calibri" w:eastAsia="Calibri" w:hint="default"/>
                            <w:sz w:val="20"/>
                            <w:szCs w:val="20"/>
                          </w:rPr>
                        </w:pPr>
                        <w:r>
                          <w:rPr>
                            <w:rFonts w:ascii="Calibri"/>
                            <w:b/>
                            <w:sz w:val="20"/>
                          </w:rPr>
                          <w:t>Others</w:t>
                        </w:r>
                        <w:r>
                          <w:rPr>
                            <w:rFonts w:ascii="Calibri"/>
                            <w:sz w:val="20"/>
                          </w:rPr>
                        </w:r>
                      </w:p>
                    </w:tc>
                  </w:tr>
                  <w:tr>
                    <w:trPr>
                      <w:trHeight w:val="250" w:hRule="exact"/>
                    </w:trPr>
                    <w:tc>
                      <w:tcPr>
                        <w:tcW w:w="4462" w:type="dxa"/>
                        <w:tcBorders>
                          <w:top w:val="nil" w:sz="6" w:space="0" w:color="auto"/>
                          <w:left w:val="nil" w:sz="6" w:space="0" w:color="auto"/>
                          <w:bottom w:val="nil" w:sz="6" w:space="0" w:color="auto"/>
                          <w:right w:val="nil" w:sz="6" w:space="0" w:color="auto"/>
                        </w:tcBorders>
                      </w:tcPr>
                      <w:p>
                        <w:pPr>
                          <w:pStyle w:val="TableParagraph"/>
                          <w:spacing w:line="231" w:lineRule="exact"/>
                          <w:ind w:left="69" w:right="0"/>
                          <w:jc w:val="left"/>
                          <w:rPr>
                            <w:rFonts w:ascii="Calibri" w:hAnsi="Calibri" w:cs="Calibri" w:eastAsia="Calibri" w:hint="default"/>
                            <w:sz w:val="20"/>
                            <w:szCs w:val="20"/>
                          </w:rPr>
                        </w:pPr>
                        <w:r>
                          <w:rPr>
                            <w:rFonts w:ascii="Calibri"/>
                            <w:sz w:val="20"/>
                          </w:rPr>
                          <w:t>Spending US$-Lodging (only room</w:t>
                        </w:r>
                        <w:r>
                          <w:rPr>
                            <w:rFonts w:ascii="Calibri"/>
                            <w:spacing w:val="-19"/>
                            <w:sz w:val="20"/>
                          </w:rPr>
                          <w:t> </w:t>
                        </w:r>
                        <w:r>
                          <w:rPr>
                            <w:rFonts w:ascii="Calibri"/>
                            <w:sz w:val="20"/>
                          </w:rPr>
                          <w:t>expenses)</w:t>
                        </w:r>
                      </w:p>
                    </w:tc>
                    <w:tc>
                      <w:tcPr>
                        <w:tcW w:w="1375" w:type="dxa"/>
                        <w:tcBorders>
                          <w:top w:val="nil" w:sz="6" w:space="0" w:color="auto"/>
                          <w:left w:val="nil" w:sz="6" w:space="0" w:color="auto"/>
                          <w:bottom w:val="nil" w:sz="6" w:space="0" w:color="auto"/>
                          <w:right w:val="nil" w:sz="6" w:space="0" w:color="auto"/>
                        </w:tcBorders>
                      </w:tcPr>
                      <w:p>
                        <w:pPr>
                          <w:pStyle w:val="TableParagraph"/>
                          <w:spacing w:line="231" w:lineRule="exact"/>
                          <w:ind w:right="125"/>
                          <w:jc w:val="center"/>
                          <w:rPr>
                            <w:rFonts w:ascii="Calibri" w:hAnsi="Calibri" w:cs="Calibri" w:eastAsia="Calibri" w:hint="default"/>
                            <w:sz w:val="20"/>
                            <w:szCs w:val="20"/>
                          </w:rPr>
                        </w:pPr>
                        <w:r>
                          <w:rPr>
                            <w:rFonts w:ascii="Calibri"/>
                            <w:sz w:val="20"/>
                          </w:rPr>
                          <w:t>$339</w:t>
                        </w:r>
                      </w:p>
                    </w:tc>
                    <w:tc>
                      <w:tcPr>
                        <w:tcW w:w="1028" w:type="dxa"/>
                        <w:tcBorders>
                          <w:top w:val="nil" w:sz="6" w:space="0" w:color="auto"/>
                          <w:left w:val="nil" w:sz="6" w:space="0" w:color="auto"/>
                          <w:bottom w:val="nil" w:sz="6" w:space="0" w:color="auto"/>
                          <w:right w:val="nil" w:sz="6" w:space="0" w:color="auto"/>
                        </w:tcBorders>
                      </w:tcPr>
                      <w:p>
                        <w:pPr>
                          <w:pStyle w:val="TableParagraph"/>
                          <w:spacing w:line="231" w:lineRule="exact"/>
                          <w:ind w:right="0"/>
                          <w:jc w:val="center"/>
                          <w:rPr>
                            <w:rFonts w:ascii="Calibri" w:hAnsi="Calibri" w:cs="Calibri" w:eastAsia="Calibri" w:hint="default"/>
                            <w:sz w:val="20"/>
                            <w:szCs w:val="20"/>
                          </w:rPr>
                        </w:pPr>
                        <w:r>
                          <w:rPr>
                            <w:rFonts w:ascii="Calibri"/>
                            <w:sz w:val="20"/>
                          </w:rPr>
                          <w:t>$432</w:t>
                        </w:r>
                      </w:p>
                    </w:tc>
                    <w:tc>
                      <w:tcPr>
                        <w:tcW w:w="1439" w:type="dxa"/>
                        <w:tcBorders>
                          <w:top w:val="nil" w:sz="6" w:space="0" w:color="auto"/>
                          <w:left w:val="nil" w:sz="6" w:space="0" w:color="auto"/>
                          <w:bottom w:val="nil" w:sz="6" w:space="0" w:color="auto"/>
                          <w:right w:val="nil" w:sz="6" w:space="0" w:color="auto"/>
                        </w:tcBorders>
                      </w:tcPr>
                      <w:p>
                        <w:pPr>
                          <w:pStyle w:val="TableParagraph"/>
                          <w:spacing w:line="231" w:lineRule="exact"/>
                          <w:ind w:right="526"/>
                          <w:jc w:val="right"/>
                          <w:rPr>
                            <w:rFonts w:ascii="Calibri" w:hAnsi="Calibri" w:cs="Calibri" w:eastAsia="Calibri" w:hint="default"/>
                            <w:sz w:val="20"/>
                            <w:szCs w:val="20"/>
                          </w:rPr>
                        </w:pPr>
                        <w:r>
                          <w:rPr>
                            <w:rFonts w:ascii="Calibri"/>
                            <w:spacing w:val="-1"/>
                            <w:w w:val="95"/>
                            <w:sz w:val="20"/>
                          </w:rPr>
                          <w:t>$119</w:t>
                        </w:r>
                        <w:r>
                          <w:rPr>
                            <w:rFonts w:ascii="Calibri"/>
                            <w:sz w:val="20"/>
                          </w:rPr>
                        </w:r>
                      </w:p>
                    </w:tc>
                    <w:tc>
                      <w:tcPr>
                        <w:tcW w:w="1170" w:type="dxa"/>
                        <w:tcBorders>
                          <w:top w:val="nil" w:sz="6" w:space="0" w:color="auto"/>
                          <w:left w:val="nil" w:sz="6" w:space="0" w:color="auto"/>
                          <w:bottom w:val="nil" w:sz="6" w:space="0" w:color="auto"/>
                          <w:right w:val="nil" w:sz="6" w:space="0" w:color="auto"/>
                        </w:tcBorders>
                      </w:tcPr>
                      <w:p>
                        <w:pPr>
                          <w:pStyle w:val="TableParagraph"/>
                          <w:spacing w:line="231" w:lineRule="exact"/>
                          <w:ind w:left="332" w:right="0"/>
                          <w:jc w:val="left"/>
                          <w:rPr>
                            <w:rFonts w:ascii="Calibri" w:hAnsi="Calibri" w:cs="Calibri" w:eastAsia="Calibri" w:hint="default"/>
                            <w:sz w:val="20"/>
                            <w:szCs w:val="20"/>
                          </w:rPr>
                        </w:pPr>
                        <w:r>
                          <w:rPr>
                            <w:rFonts w:ascii="Calibri"/>
                            <w:sz w:val="20"/>
                          </w:rPr>
                          <w:t>$406</w:t>
                        </w:r>
                      </w:p>
                    </w:tc>
                  </w:tr>
                  <w:tr>
                    <w:trPr>
                      <w:trHeight w:val="244" w:hRule="exact"/>
                    </w:trPr>
                    <w:tc>
                      <w:tcPr>
                        <w:tcW w:w="4462"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Spending US$-Food/beverage (inside</w:t>
                        </w:r>
                        <w:r>
                          <w:rPr>
                            <w:rFonts w:ascii="Calibri"/>
                            <w:spacing w:val="-21"/>
                            <w:sz w:val="20"/>
                          </w:rPr>
                          <w:t> </w:t>
                        </w:r>
                        <w:r>
                          <w:rPr>
                            <w:rFonts w:ascii="Calibri"/>
                            <w:sz w:val="20"/>
                          </w:rPr>
                          <w:t>hotel)</w:t>
                        </w:r>
                      </w:p>
                    </w:tc>
                    <w:tc>
                      <w:tcPr>
                        <w:tcW w:w="1375" w:type="dxa"/>
                        <w:tcBorders>
                          <w:top w:val="nil" w:sz="6" w:space="0" w:color="auto"/>
                          <w:left w:val="nil" w:sz="6" w:space="0" w:color="auto"/>
                          <w:bottom w:val="nil" w:sz="6" w:space="0" w:color="auto"/>
                          <w:right w:val="nil" w:sz="6" w:space="0" w:color="auto"/>
                        </w:tcBorders>
                      </w:tcPr>
                      <w:p>
                        <w:pPr>
                          <w:pStyle w:val="TableParagraph"/>
                          <w:spacing w:line="226" w:lineRule="exact"/>
                          <w:ind w:right="125"/>
                          <w:jc w:val="center"/>
                          <w:rPr>
                            <w:rFonts w:ascii="Calibri" w:hAnsi="Calibri" w:cs="Calibri" w:eastAsia="Calibri" w:hint="default"/>
                            <w:sz w:val="20"/>
                            <w:szCs w:val="20"/>
                          </w:rPr>
                        </w:pPr>
                        <w:r>
                          <w:rPr>
                            <w:rFonts w:ascii="Calibri"/>
                            <w:sz w:val="20"/>
                          </w:rPr>
                          <w:t>$32</w:t>
                        </w:r>
                      </w:p>
                    </w:tc>
                    <w:tc>
                      <w:tcPr>
                        <w:tcW w:w="1028" w:type="dxa"/>
                        <w:tcBorders>
                          <w:top w:val="nil" w:sz="6" w:space="0" w:color="auto"/>
                          <w:left w:val="nil" w:sz="6" w:space="0" w:color="auto"/>
                          <w:bottom w:val="nil" w:sz="6" w:space="0" w:color="auto"/>
                          <w:right w:val="nil" w:sz="6" w:space="0" w:color="auto"/>
                        </w:tcBorders>
                      </w:tcPr>
                      <w:p>
                        <w:pPr>
                          <w:pStyle w:val="TableParagraph"/>
                          <w:spacing w:line="226" w:lineRule="exact"/>
                          <w:ind w:right="0"/>
                          <w:jc w:val="center"/>
                          <w:rPr>
                            <w:rFonts w:ascii="Calibri" w:hAnsi="Calibri" w:cs="Calibri" w:eastAsia="Calibri" w:hint="default"/>
                            <w:sz w:val="20"/>
                            <w:szCs w:val="20"/>
                          </w:rPr>
                        </w:pPr>
                        <w:r>
                          <w:rPr>
                            <w:rFonts w:ascii="Calibri"/>
                            <w:sz w:val="20"/>
                          </w:rPr>
                          <w:t>$43</w:t>
                        </w:r>
                      </w:p>
                    </w:tc>
                    <w:tc>
                      <w:tcPr>
                        <w:tcW w:w="1439" w:type="dxa"/>
                        <w:tcBorders>
                          <w:top w:val="nil" w:sz="6" w:space="0" w:color="auto"/>
                          <w:left w:val="nil" w:sz="6" w:space="0" w:color="auto"/>
                          <w:bottom w:val="nil" w:sz="6" w:space="0" w:color="auto"/>
                          <w:right w:val="nil" w:sz="6" w:space="0" w:color="auto"/>
                        </w:tcBorders>
                      </w:tcPr>
                      <w:p>
                        <w:pPr>
                          <w:pStyle w:val="TableParagraph"/>
                          <w:spacing w:line="226" w:lineRule="exact"/>
                          <w:ind w:right="575"/>
                          <w:jc w:val="right"/>
                          <w:rPr>
                            <w:rFonts w:ascii="Calibri" w:hAnsi="Calibri" w:cs="Calibri" w:eastAsia="Calibri" w:hint="default"/>
                            <w:sz w:val="20"/>
                            <w:szCs w:val="20"/>
                          </w:rPr>
                        </w:pPr>
                        <w:r>
                          <w:rPr>
                            <w:rFonts w:ascii="Calibri"/>
                            <w:spacing w:val="-1"/>
                            <w:w w:val="95"/>
                            <w:sz w:val="20"/>
                          </w:rPr>
                          <w:t>$24</w:t>
                        </w:r>
                        <w:r>
                          <w:rPr>
                            <w:rFonts w:ascii="Calibri"/>
                            <w:sz w:val="20"/>
                          </w:rPr>
                        </w:r>
                      </w:p>
                    </w:tc>
                    <w:tc>
                      <w:tcPr>
                        <w:tcW w:w="1170" w:type="dxa"/>
                        <w:tcBorders>
                          <w:top w:val="nil" w:sz="6" w:space="0" w:color="auto"/>
                          <w:left w:val="nil" w:sz="6" w:space="0" w:color="auto"/>
                          <w:bottom w:val="nil" w:sz="6" w:space="0" w:color="auto"/>
                          <w:right w:val="nil" w:sz="6" w:space="0" w:color="auto"/>
                        </w:tcBorders>
                      </w:tcPr>
                      <w:p>
                        <w:pPr>
                          <w:pStyle w:val="TableParagraph"/>
                          <w:spacing w:line="226" w:lineRule="exact"/>
                          <w:ind w:left="383" w:right="0"/>
                          <w:jc w:val="left"/>
                          <w:rPr>
                            <w:rFonts w:ascii="Calibri" w:hAnsi="Calibri" w:cs="Calibri" w:eastAsia="Calibri" w:hint="default"/>
                            <w:sz w:val="20"/>
                            <w:szCs w:val="20"/>
                          </w:rPr>
                        </w:pPr>
                        <w:r>
                          <w:rPr>
                            <w:rFonts w:ascii="Calibri"/>
                            <w:sz w:val="20"/>
                          </w:rPr>
                          <w:t>$40</w:t>
                        </w:r>
                      </w:p>
                    </w:tc>
                  </w:tr>
                  <w:tr>
                    <w:trPr>
                      <w:trHeight w:val="244" w:hRule="exact"/>
                    </w:trPr>
                    <w:tc>
                      <w:tcPr>
                        <w:tcW w:w="4462" w:type="dxa"/>
                        <w:tcBorders>
                          <w:top w:val="nil" w:sz="6" w:space="0" w:color="auto"/>
                          <w:left w:val="nil" w:sz="6" w:space="0" w:color="auto"/>
                          <w:bottom w:val="nil" w:sz="6" w:space="0" w:color="auto"/>
                          <w:right w:val="nil" w:sz="6" w:space="0" w:color="auto"/>
                        </w:tcBorders>
                      </w:tcPr>
                      <w:p>
                        <w:pPr>
                          <w:pStyle w:val="TableParagraph"/>
                          <w:spacing w:line="225" w:lineRule="exact"/>
                          <w:ind w:left="69" w:right="0"/>
                          <w:jc w:val="left"/>
                          <w:rPr>
                            <w:rFonts w:ascii="Calibri" w:hAnsi="Calibri" w:cs="Calibri" w:eastAsia="Calibri" w:hint="default"/>
                            <w:sz w:val="20"/>
                            <w:szCs w:val="20"/>
                          </w:rPr>
                        </w:pPr>
                        <w:r>
                          <w:rPr>
                            <w:rFonts w:ascii="Calibri"/>
                            <w:sz w:val="20"/>
                          </w:rPr>
                          <w:t>Spending US$-Food/beverage (outside</w:t>
                        </w:r>
                        <w:r>
                          <w:rPr>
                            <w:rFonts w:ascii="Calibri"/>
                            <w:spacing w:val="-21"/>
                            <w:sz w:val="20"/>
                          </w:rPr>
                          <w:t> </w:t>
                        </w:r>
                        <w:r>
                          <w:rPr>
                            <w:rFonts w:ascii="Calibri"/>
                            <w:sz w:val="20"/>
                          </w:rPr>
                          <w:t>hotel)</w:t>
                        </w:r>
                      </w:p>
                    </w:tc>
                    <w:tc>
                      <w:tcPr>
                        <w:tcW w:w="1375" w:type="dxa"/>
                        <w:tcBorders>
                          <w:top w:val="nil" w:sz="6" w:space="0" w:color="auto"/>
                          <w:left w:val="nil" w:sz="6" w:space="0" w:color="auto"/>
                          <w:bottom w:val="nil" w:sz="6" w:space="0" w:color="auto"/>
                          <w:right w:val="nil" w:sz="6" w:space="0" w:color="auto"/>
                        </w:tcBorders>
                      </w:tcPr>
                      <w:p>
                        <w:pPr>
                          <w:pStyle w:val="TableParagraph"/>
                          <w:spacing w:line="225" w:lineRule="exact"/>
                          <w:ind w:right="125"/>
                          <w:jc w:val="center"/>
                          <w:rPr>
                            <w:rFonts w:ascii="Calibri" w:hAnsi="Calibri" w:cs="Calibri" w:eastAsia="Calibri" w:hint="default"/>
                            <w:sz w:val="20"/>
                            <w:szCs w:val="20"/>
                          </w:rPr>
                        </w:pPr>
                        <w:r>
                          <w:rPr>
                            <w:rFonts w:ascii="Calibri"/>
                            <w:sz w:val="20"/>
                          </w:rPr>
                          <w:t>$228</w:t>
                        </w:r>
                      </w:p>
                    </w:tc>
                    <w:tc>
                      <w:tcPr>
                        <w:tcW w:w="1028" w:type="dxa"/>
                        <w:tcBorders>
                          <w:top w:val="nil" w:sz="6" w:space="0" w:color="auto"/>
                          <w:left w:val="nil" w:sz="6" w:space="0" w:color="auto"/>
                          <w:bottom w:val="nil" w:sz="6" w:space="0" w:color="auto"/>
                          <w:right w:val="nil" w:sz="6" w:space="0" w:color="auto"/>
                        </w:tcBorders>
                      </w:tcPr>
                      <w:p>
                        <w:pPr>
                          <w:pStyle w:val="TableParagraph"/>
                          <w:spacing w:line="225" w:lineRule="exact"/>
                          <w:ind w:right="0"/>
                          <w:jc w:val="center"/>
                          <w:rPr>
                            <w:rFonts w:ascii="Calibri" w:hAnsi="Calibri" w:cs="Calibri" w:eastAsia="Calibri" w:hint="default"/>
                            <w:sz w:val="20"/>
                            <w:szCs w:val="20"/>
                          </w:rPr>
                        </w:pPr>
                        <w:r>
                          <w:rPr>
                            <w:rFonts w:ascii="Calibri"/>
                            <w:sz w:val="20"/>
                          </w:rPr>
                          <w:t>$185</w:t>
                        </w:r>
                      </w:p>
                    </w:tc>
                    <w:tc>
                      <w:tcPr>
                        <w:tcW w:w="1439" w:type="dxa"/>
                        <w:tcBorders>
                          <w:top w:val="nil" w:sz="6" w:space="0" w:color="auto"/>
                          <w:left w:val="nil" w:sz="6" w:space="0" w:color="auto"/>
                          <w:bottom w:val="nil" w:sz="6" w:space="0" w:color="auto"/>
                          <w:right w:val="nil" w:sz="6" w:space="0" w:color="auto"/>
                        </w:tcBorders>
                      </w:tcPr>
                      <w:p>
                        <w:pPr>
                          <w:pStyle w:val="TableParagraph"/>
                          <w:spacing w:line="225" w:lineRule="exact"/>
                          <w:ind w:right="575"/>
                          <w:jc w:val="right"/>
                          <w:rPr>
                            <w:rFonts w:ascii="Calibri" w:hAnsi="Calibri" w:cs="Calibri" w:eastAsia="Calibri" w:hint="default"/>
                            <w:sz w:val="20"/>
                            <w:szCs w:val="20"/>
                          </w:rPr>
                        </w:pPr>
                        <w:r>
                          <w:rPr>
                            <w:rFonts w:ascii="Calibri"/>
                            <w:spacing w:val="-1"/>
                            <w:w w:val="95"/>
                            <w:sz w:val="20"/>
                          </w:rPr>
                          <w:t>$66</w:t>
                        </w:r>
                        <w:r>
                          <w:rPr>
                            <w:rFonts w:ascii="Calibri"/>
                            <w:sz w:val="20"/>
                          </w:rPr>
                        </w:r>
                      </w:p>
                    </w:tc>
                    <w:tc>
                      <w:tcPr>
                        <w:tcW w:w="1170" w:type="dxa"/>
                        <w:tcBorders>
                          <w:top w:val="nil" w:sz="6" w:space="0" w:color="auto"/>
                          <w:left w:val="nil" w:sz="6" w:space="0" w:color="auto"/>
                          <w:bottom w:val="nil" w:sz="6" w:space="0" w:color="auto"/>
                          <w:right w:val="nil" w:sz="6" w:space="0" w:color="auto"/>
                        </w:tcBorders>
                      </w:tcPr>
                      <w:p>
                        <w:pPr>
                          <w:pStyle w:val="TableParagraph"/>
                          <w:spacing w:line="225" w:lineRule="exact"/>
                          <w:ind w:left="332" w:right="0"/>
                          <w:jc w:val="left"/>
                          <w:rPr>
                            <w:rFonts w:ascii="Calibri" w:hAnsi="Calibri" w:cs="Calibri" w:eastAsia="Calibri" w:hint="default"/>
                            <w:sz w:val="20"/>
                            <w:szCs w:val="20"/>
                          </w:rPr>
                        </w:pPr>
                        <w:r>
                          <w:rPr>
                            <w:rFonts w:ascii="Calibri"/>
                            <w:sz w:val="20"/>
                          </w:rPr>
                          <w:t>$122</w:t>
                        </w:r>
                      </w:p>
                    </w:tc>
                  </w:tr>
                  <w:tr>
                    <w:trPr>
                      <w:trHeight w:val="245" w:hRule="exact"/>
                    </w:trPr>
                    <w:tc>
                      <w:tcPr>
                        <w:tcW w:w="4462"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Spending US$-Car</w:t>
                        </w:r>
                        <w:r>
                          <w:rPr>
                            <w:rFonts w:ascii="Calibri"/>
                            <w:spacing w:val="-13"/>
                            <w:sz w:val="20"/>
                          </w:rPr>
                          <w:t> </w:t>
                        </w:r>
                        <w:r>
                          <w:rPr>
                            <w:rFonts w:ascii="Calibri"/>
                            <w:sz w:val="20"/>
                          </w:rPr>
                          <w:t>rental</w:t>
                        </w:r>
                      </w:p>
                    </w:tc>
                    <w:tc>
                      <w:tcPr>
                        <w:tcW w:w="1375" w:type="dxa"/>
                        <w:tcBorders>
                          <w:top w:val="nil" w:sz="6" w:space="0" w:color="auto"/>
                          <w:left w:val="nil" w:sz="6" w:space="0" w:color="auto"/>
                          <w:bottom w:val="nil" w:sz="6" w:space="0" w:color="auto"/>
                          <w:right w:val="nil" w:sz="6" w:space="0" w:color="auto"/>
                        </w:tcBorders>
                      </w:tcPr>
                      <w:p>
                        <w:pPr>
                          <w:pStyle w:val="TableParagraph"/>
                          <w:spacing w:line="226" w:lineRule="exact"/>
                          <w:ind w:right="125"/>
                          <w:jc w:val="center"/>
                          <w:rPr>
                            <w:rFonts w:ascii="Calibri" w:hAnsi="Calibri" w:cs="Calibri" w:eastAsia="Calibri" w:hint="default"/>
                            <w:sz w:val="20"/>
                            <w:szCs w:val="20"/>
                          </w:rPr>
                        </w:pPr>
                        <w:r>
                          <w:rPr>
                            <w:rFonts w:ascii="Calibri"/>
                            <w:sz w:val="20"/>
                          </w:rPr>
                          <w:t>$125</w:t>
                        </w:r>
                      </w:p>
                    </w:tc>
                    <w:tc>
                      <w:tcPr>
                        <w:tcW w:w="1028" w:type="dxa"/>
                        <w:tcBorders>
                          <w:top w:val="nil" w:sz="6" w:space="0" w:color="auto"/>
                          <w:left w:val="nil" w:sz="6" w:space="0" w:color="auto"/>
                          <w:bottom w:val="nil" w:sz="6" w:space="0" w:color="auto"/>
                          <w:right w:val="nil" w:sz="6" w:space="0" w:color="auto"/>
                        </w:tcBorders>
                      </w:tcPr>
                      <w:p>
                        <w:pPr>
                          <w:pStyle w:val="TableParagraph"/>
                          <w:spacing w:line="226" w:lineRule="exact"/>
                          <w:ind w:right="0"/>
                          <w:jc w:val="center"/>
                          <w:rPr>
                            <w:rFonts w:ascii="Calibri" w:hAnsi="Calibri" w:cs="Calibri" w:eastAsia="Calibri" w:hint="default"/>
                            <w:sz w:val="20"/>
                            <w:szCs w:val="20"/>
                          </w:rPr>
                        </w:pPr>
                        <w:r>
                          <w:rPr>
                            <w:rFonts w:ascii="Calibri"/>
                            <w:sz w:val="20"/>
                          </w:rPr>
                          <w:t>$95</w:t>
                        </w:r>
                      </w:p>
                    </w:tc>
                    <w:tc>
                      <w:tcPr>
                        <w:tcW w:w="1439" w:type="dxa"/>
                        <w:tcBorders>
                          <w:top w:val="nil" w:sz="6" w:space="0" w:color="auto"/>
                          <w:left w:val="nil" w:sz="6" w:space="0" w:color="auto"/>
                          <w:bottom w:val="nil" w:sz="6" w:space="0" w:color="auto"/>
                          <w:right w:val="nil" w:sz="6" w:space="0" w:color="auto"/>
                        </w:tcBorders>
                      </w:tcPr>
                      <w:p>
                        <w:pPr>
                          <w:pStyle w:val="TableParagraph"/>
                          <w:spacing w:line="226" w:lineRule="exact"/>
                          <w:ind w:right="575"/>
                          <w:jc w:val="right"/>
                          <w:rPr>
                            <w:rFonts w:ascii="Calibri" w:hAnsi="Calibri" w:cs="Calibri" w:eastAsia="Calibri" w:hint="default"/>
                            <w:sz w:val="20"/>
                            <w:szCs w:val="20"/>
                          </w:rPr>
                        </w:pPr>
                        <w:r>
                          <w:rPr>
                            <w:rFonts w:ascii="Calibri"/>
                            <w:spacing w:val="-1"/>
                            <w:w w:val="95"/>
                            <w:sz w:val="20"/>
                          </w:rPr>
                          <w:t>$27</w:t>
                        </w:r>
                        <w:r>
                          <w:rPr>
                            <w:rFonts w:ascii="Calibri"/>
                            <w:sz w:val="20"/>
                          </w:rPr>
                        </w:r>
                      </w:p>
                    </w:tc>
                    <w:tc>
                      <w:tcPr>
                        <w:tcW w:w="1170" w:type="dxa"/>
                        <w:tcBorders>
                          <w:top w:val="nil" w:sz="6" w:space="0" w:color="auto"/>
                          <w:left w:val="nil" w:sz="6" w:space="0" w:color="auto"/>
                          <w:bottom w:val="nil" w:sz="6" w:space="0" w:color="auto"/>
                          <w:right w:val="nil" w:sz="6" w:space="0" w:color="auto"/>
                        </w:tcBorders>
                      </w:tcPr>
                      <w:p>
                        <w:pPr>
                          <w:pStyle w:val="TableParagraph"/>
                          <w:spacing w:line="226" w:lineRule="exact"/>
                          <w:ind w:left="383" w:right="0"/>
                          <w:jc w:val="left"/>
                          <w:rPr>
                            <w:rFonts w:ascii="Calibri" w:hAnsi="Calibri" w:cs="Calibri" w:eastAsia="Calibri" w:hint="default"/>
                            <w:sz w:val="20"/>
                            <w:szCs w:val="20"/>
                          </w:rPr>
                        </w:pPr>
                        <w:r>
                          <w:rPr>
                            <w:rFonts w:ascii="Calibri"/>
                            <w:sz w:val="20"/>
                          </w:rPr>
                          <w:t>$80</w:t>
                        </w:r>
                      </w:p>
                    </w:tc>
                  </w:tr>
                  <w:tr>
                    <w:trPr>
                      <w:trHeight w:val="245" w:hRule="exact"/>
                    </w:trPr>
                    <w:tc>
                      <w:tcPr>
                        <w:tcW w:w="4462"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Spending</w:t>
                        </w:r>
                        <w:r>
                          <w:rPr>
                            <w:rFonts w:ascii="Calibri"/>
                            <w:spacing w:val="-10"/>
                            <w:sz w:val="20"/>
                          </w:rPr>
                          <w:t> </w:t>
                        </w:r>
                        <w:r>
                          <w:rPr>
                            <w:rFonts w:ascii="Calibri"/>
                            <w:sz w:val="20"/>
                          </w:rPr>
                          <w:t>US$-Gasoline</w:t>
                        </w:r>
                      </w:p>
                    </w:tc>
                    <w:tc>
                      <w:tcPr>
                        <w:tcW w:w="1375" w:type="dxa"/>
                        <w:tcBorders>
                          <w:top w:val="nil" w:sz="6" w:space="0" w:color="auto"/>
                          <w:left w:val="nil" w:sz="6" w:space="0" w:color="auto"/>
                          <w:bottom w:val="nil" w:sz="6" w:space="0" w:color="auto"/>
                          <w:right w:val="nil" w:sz="6" w:space="0" w:color="auto"/>
                        </w:tcBorders>
                      </w:tcPr>
                      <w:p>
                        <w:pPr>
                          <w:pStyle w:val="TableParagraph"/>
                          <w:spacing w:line="226" w:lineRule="exact"/>
                          <w:ind w:right="125"/>
                          <w:jc w:val="center"/>
                          <w:rPr>
                            <w:rFonts w:ascii="Calibri" w:hAnsi="Calibri" w:cs="Calibri" w:eastAsia="Calibri" w:hint="default"/>
                            <w:sz w:val="20"/>
                            <w:szCs w:val="20"/>
                          </w:rPr>
                        </w:pPr>
                        <w:r>
                          <w:rPr>
                            <w:rFonts w:ascii="Calibri"/>
                            <w:sz w:val="20"/>
                          </w:rPr>
                          <w:t>$25</w:t>
                        </w:r>
                      </w:p>
                    </w:tc>
                    <w:tc>
                      <w:tcPr>
                        <w:tcW w:w="1028" w:type="dxa"/>
                        <w:tcBorders>
                          <w:top w:val="nil" w:sz="6" w:space="0" w:color="auto"/>
                          <w:left w:val="nil" w:sz="6" w:space="0" w:color="auto"/>
                          <w:bottom w:val="nil" w:sz="6" w:space="0" w:color="auto"/>
                          <w:right w:val="nil" w:sz="6" w:space="0" w:color="auto"/>
                        </w:tcBorders>
                      </w:tcPr>
                      <w:p>
                        <w:pPr>
                          <w:pStyle w:val="TableParagraph"/>
                          <w:spacing w:line="226" w:lineRule="exact"/>
                          <w:ind w:right="0"/>
                          <w:jc w:val="center"/>
                          <w:rPr>
                            <w:rFonts w:ascii="Calibri" w:hAnsi="Calibri" w:cs="Calibri" w:eastAsia="Calibri" w:hint="default"/>
                            <w:sz w:val="20"/>
                            <w:szCs w:val="20"/>
                          </w:rPr>
                        </w:pPr>
                        <w:r>
                          <w:rPr>
                            <w:rFonts w:ascii="Calibri"/>
                            <w:sz w:val="20"/>
                          </w:rPr>
                          <w:t>$19</w:t>
                        </w:r>
                      </w:p>
                    </w:tc>
                    <w:tc>
                      <w:tcPr>
                        <w:tcW w:w="1439" w:type="dxa"/>
                        <w:tcBorders>
                          <w:top w:val="nil" w:sz="6" w:space="0" w:color="auto"/>
                          <w:left w:val="nil" w:sz="6" w:space="0" w:color="auto"/>
                          <w:bottom w:val="nil" w:sz="6" w:space="0" w:color="auto"/>
                          <w:right w:val="nil" w:sz="6" w:space="0" w:color="auto"/>
                        </w:tcBorders>
                      </w:tcPr>
                      <w:p>
                        <w:pPr>
                          <w:pStyle w:val="TableParagraph"/>
                          <w:spacing w:line="226" w:lineRule="exact"/>
                          <w:ind w:right="11"/>
                          <w:jc w:val="center"/>
                          <w:rPr>
                            <w:rFonts w:ascii="Calibri" w:hAnsi="Calibri" w:cs="Calibri" w:eastAsia="Calibri" w:hint="default"/>
                            <w:sz w:val="20"/>
                            <w:szCs w:val="20"/>
                          </w:rPr>
                        </w:pPr>
                        <w:r>
                          <w:rPr>
                            <w:rFonts w:ascii="Calibri"/>
                            <w:sz w:val="20"/>
                          </w:rPr>
                          <w:t>$8</w:t>
                        </w:r>
                      </w:p>
                    </w:tc>
                    <w:tc>
                      <w:tcPr>
                        <w:tcW w:w="1170" w:type="dxa"/>
                        <w:tcBorders>
                          <w:top w:val="nil" w:sz="6" w:space="0" w:color="auto"/>
                          <w:left w:val="nil" w:sz="6" w:space="0" w:color="auto"/>
                          <w:bottom w:val="nil" w:sz="6" w:space="0" w:color="auto"/>
                          <w:right w:val="nil" w:sz="6" w:space="0" w:color="auto"/>
                        </w:tcBorders>
                      </w:tcPr>
                      <w:p>
                        <w:pPr>
                          <w:pStyle w:val="TableParagraph"/>
                          <w:spacing w:line="226" w:lineRule="exact"/>
                          <w:ind w:left="383" w:right="0"/>
                          <w:jc w:val="left"/>
                          <w:rPr>
                            <w:rFonts w:ascii="Calibri" w:hAnsi="Calibri" w:cs="Calibri" w:eastAsia="Calibri" w:hint="default"/>
                            <w:sz w:val="20"/>
                            <w:szCs w:val="20"/>
                          </w:rPr>
                        </w:pPr>
                        <w:r>
                          <w:rPr>
                            <w:rFonts w:ascii="Calibri"/>
                            <w:sz w:val="20"/>
                          </w:rPr>
                          <w:t>$20</w:t>
                        </w:r>
                      </w:p>
                    </w:tc>
                  </w:tr>
                  <w:tr>
                    <w:trPr>
                      <w:trHeight w:val="244" w:hRule="exact"/>
                    </w:trPr>
                    <w:tc>
                      <w:tcPr>
                        <w:tcW w:w="4462"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Spending</w:t>
                        </w:r>
                        <w:r>
                          <w:rPr>
                            <w:rFonts w:ascii="Calibri"/>
                            <w:spacing w:val="-10"/>
                            <w:sz w:val="20"/>
                          </w:rPr>
                          <w:t> </w:t>
                        </w:r>
                        <w:r>
                          <w:rPr>
                            <w:rFonts w:ascii="Calibri"/>
                            <w:sz w:val="20"/>
                          </w:rPr>
                          <w:t>US$-Taxi</w:t>
                        </w:r>
                      </w:p>
                    </w:tc>
                    <w:tc>
                      <w:tcPr>
                        <w:tcW w:w="1375" w:type="dxa"/>
                        <w:tcBorders>
                          <w:top w:val="nil" w:sz="6" w:space="0" w:color="auto"/>
                          <w:left w:val="nil" w:sz="6" w:space="0" w:color="auto"/>
                          <w:bottom w:val="nil" w:sz="6" w:space="0" w:color="auto"/>
                          <w:right w:val="nil" w:sz="6" w:space="0" w:color="auto"/>
                        </w:tcBorders>
                      </w:tcPr>
                      <w:p>
                        <w:pPr>
                          <w:pStyle w:val="TableParagraph"/>
                          <w:spacing w:line="226" w:lineRule="exact"/>
                          <w:ind w:right="120"/>
                          <w:jc w:val="center"/>
                          <w:rPr>
                            <w:rFonts w:ascii="Calibri" w:hAnsi="Calibri" w:cs="Calibri" w:eastAsia="Calibri" w:hint="default"/>
                            <w:sz w:val="20"/>
                            <w:szCs w:val="20"/>
                          </w:rPr>
                        </w:pPr>
                        <w:r>
                          <w:rPr>
                            <w:rFonts w:ascii="Calibri"/>
                            <w:sz w:val="20"/>
                          </w:rPr>
                          <w:t>$3</w:t>
                        </w:r>
                      </w:p>
                    </w:tc>
                    <w:tc>
                      <w:tcPr>
                        <w:tcW w:w="1028" w:type="dxa"/>
                        <w:tcBorders>
                          <w:top w:val="nil" w:sz="6" w:space="0" w:color="auto"/>
                          <w:left w:val="nil" w:sz="6" w:space="0" w:color="auto"/>
                          <w:bottom w:val="nil" w:sz="6" w:space="0" w:color="auto"/>
                          <w:right w:val="nil" w:sz="6" w:space="0" w:color="auto"/>
                        </w:tcBorders>
                      </w:tcPr>
                      <w:p>
                        <w:pPr>
                          <w:pStyle w:val="TableParagraph"/>
                          <w:spacing w:line="226" w:lineRule="exact"/>
                          <w:ind w:right="0"/>
                          <w:jc w:val="center"/>
                          <w:rPr>
                            <w:rFonts w:ascii="Calibri" w:hAnsi="Calibri" w:cs="Calibri" w:eastAsia="Calibri" w:hint="default"/>
                            <w:sz w:val="20"/>
                            <w:szCs w:val="20"/>
                          </w:rPr>
                        </w:pPr>
                        <w:r>
                          <w:rPr>
                            <w:rFonts w:ascii="Calibri"/>
                            <w:sz w:val="20"/>
                          </w:rPr>
                          <w:t>$13</w:t>
                        </w:r>
                      </w:p>
                    </w:tc>
                    <w:tc>
                      <w:tcPr>
                        <w:tcW w:w="1439" w:type="dxa"/>
                        <w:tcBorders>
                          <w:top w:val="nil" w:sz="6" w:space="0" w:color="auto"/>
                          <w:left w:val="nil" w:sz="6" w:space="0" w:color="auto"/>
                          <w:bottom w:val="nil" w:sz="6" w:space="0" w:color="auto"/>
                          <w:right w:val="nil" w:sz="6" w:space="0" w:color="auto"/>
                        </w:tcBorders>
                      </w:tcPr>
                      <w:p>
                        <w:pPr>
                          <w:pStyle w:val="TableParagraph"/>
                          <w:spacing w:line="226" w:lineRule="exact"/>
                          <w:ind w:right="575"/>
                          <w:jc w:val="right"/>
                          <w:rPr>
                            <w:rFonts w:ascii="Calibri" w:hAnsi="Calibri" w:cs="Calibri" w:eastAsia="Calibri" w:hint="default"/>
                            <w:sz w:val="20"/>
                            <w:szCs w:val="20"/>
                          </w:rPr>
                        </w:pPr>
                        <w:r>
                          <w:rPr>
                            <w:rFonts w:ascii="Calibri"/>
                            <w:spacing w:val="-1"/>
                            <w:w w:val="95"/>
                            <w:sz w:val="20"/>
                          </w:rPr>
                          <w:t>$10</w:t>
                        </w:r>
                        <w:r>
                          <w:rPr>
                            <w:rFonts w:ascii="Calibri"/>
                            <w:sz w:val="20"/>
                          </w:rPr>
                        </w:r>
                      </w:p>
                    </w:tc>
                    <w:tc>
                      <w:tcPr>
                        <w:tcW w:w="1170" w:type="dxa"/>
                        <w:tcBorders>
                          <w:top w:val="nil" w:sz="6" w:space="0" w:color="auto"/>
                          <w:left w:val="nil" w:sz="6" w:space="0" w:color="auto"/>
                          <w:bottom w:val="nil" w:sz="6" w:space="0" w:color="auto"/>
                          <w:right w:val="nil" w:sz="6" w:space="0" w:color="auto"/>
                        </w:tcBorders>
                      </w:tcPr>
                      <w:p>
                        <w:pPr>
                          <w:pStyle w:val="TableParagraph"/>
                          <w:spacing w:line="226" w:lineRule="exact"/>
                          <w:ind w:right="94"/>
                          <w:jc w:val="center"/>
                          <w:rPr>
                            <w:rFonts w:ascii="Calibri" w:hAnsi="Calibri" w:cs="Calibri" w:eastAsia="Calibri" w:hint="default"/>
                            <w:sz w:val="20"/>
                            <w:szCs w:val="20"/>
                          </w:rPr>
                        </w:pPr>
                        <w:r>
                          <w:rPr>
                            <w:rFonts w:ascii="Calibri"/>
                            <w:sz w:val="20"/>
                          </w:rPr>
                          <w:t>$8</w:t>
                        </w:r>
                      </w:p>
                    </w:tc>
                  </w:tr>
                  <w:tr>
                    <w:trPr>
                      <w:trHeight w:val="244" w:hRule="exact"/>
                    </w:trPr>
                    <w:tc>
                      <w:tcPr>
                        <w:tcW w:w="4462" w:type="dxa"/>
                        <w:tcBorders>
                          <w:top w:val="nil" w:sz="6" w:space="0" w:color="auto"/>
                          <w:left w:val="nil" w:sz="6" w:space="0" w:color="auto"/>
                          <w:bottom w:val="nil" w:sz="6" w:space="0" w:color="auto"/>
                          <w:right w:val="nil" w:sz="6" w:space="0" w:color="auto"/>
                        </w:tcBorders>
                      </w:tcPr>
                      <w:p>
                        <w:pPr>
                          <w:pStyle w:val="TableParagraph"/>
                          <w:spacing w:line="225" w:lineRule="exact"/>
                          <w:ind w:left="69" w:right="0"/>
                          <w:jc w:val="left"/>
                          <w:rPr>
                            <w:rFonts w:ascii="Calibri" w:hAnsi="Calibri" w:cs="Calibri" w:eastAsia="Calibri" w:hint="default"/>
                            <w:sz w:val="20"/>
                            <w:szCs w:val="20"/>
                          </w:rPr>
                        </w:pPr>
                        <w:r>
                          <w:rPr>
                            <w:rFonts w:ascii="Calibri"/>
                            <w:sz w:val="20"/>
                          </w:rPr>
                          <w:t>Spending US$-Public</w:t>
                        </w:r>
                        <w:r>
                          <w:rPr>
                            <w:rFonts w:ascii="Calibri"/>
                            <w:spacing w:val="-14"/>
                            <w:sz w:val="20"/>
                          </w:rPr>
                          <w:t> </w:t>
                        </w:r>
                        <w:r>
                          <w:rPr>
                            <w:rFonts w:ascii="Calibri"/>
                            <w:sz w:val="20"/>
                          </w:rPr>
                          <w:t>transportation</w:t>
                        </w:r>
                      </w:p>
                    </w:tc>
                    <w:tc>
                      <w:tcPr>
                        <w:tcW w:w="1375" w:type="dxa"/>
                        <w:tcBorders>
                          <w:top w:val="nil" w:sz="6" w:space="0" w:color="auto"/>
                          <w:left w:val="nil" w:sz="6" w:space="0" w:color="auto"/>
                          <w:bottom w:val="nil" w:sz="6" w:space="0" w:color="auto"/>
                          <w:right w:val="nil" w:sz="6" w:space="0" w:color="auto"/>
                        </w:tcBorders>
                      </w:tcPr>
                      <w:p>
                        <w:pPr>
                          <w:pStyle w:val="TableParagraph"/>
                          <w:spacing w:line="225" w:lineRule="exact"/>
                          <w:ind w:right="120"/>
                          <w:jc w:val="center"/>
                          <w:rPr>
                            <w:rFonts w:ascii="Calibri" w:hAnsi="Calibri" w:cs="Calibri" w:eastAsia="Calibri" w:hint="default"/>
                            <w:sz w:val="20"/>
                            <w:szCs w:val="20"/>
                          </w:rPr>
                        </w:pPr>
                        <w:r>
                          <w:rPr>
                            <w:rFonts w:ascii="Calibri"/>
                            <w:sz w:val="20"/>
                          </w:rPr>
                          <w:t>$1</w:t>
                        </w:r>
                      </w:p>
                    </w:tc>
                    <w:tc>
                      <w:tcPr>
                        <w:tcW w:w="1028" w:type="dxa"/>
                        <w:tcBorders>
                          <w:top w:val="nil" w:sz="6" w:space="0" w:color="auto"/>
                          <w:left w:val="nil" w:sz="6" w:space="0" w:color="auto"/>
                          <w:bottom w:val="nil" w:sz="6" w:space="0" w:color="auto"/>
                          <w:right w:val="nil" w:sz="6" w:space="0" w:color="auto"/>
                        </w:tcBorders>
                      </w:tcPr>
                      <w:p>
                        <w:pPr>
                          <w:pStyle w:val="TableParagraph"/>
                          <w:spacing w:line="225" w:lineRule="exact"/>
                          <w:ind w:right="0"/>
                          <w:jc w:val="center"/>
                          <w:rPr>
                            <w:rFonts w:ascii="Calibri" w:hAnsi="Calibri" w:cs="Calibri" w:eastAsia="Calibri" w:hint="default"/>
                            <w:sz w:val="20"/>
                            <w:szCs w:val="20"/>
                          </w:rPr>
                        </w:pPr>
                        <w:r>
                          <w:rPr>
                            <w:rFonts w:ascii="Calibri"/>
                            <w:sz w:val="20"/>
                          </w:rPr>
                          <w:t>$2</w:t>
                        </w:r>
                      </w:p>
                    </w:tc>
                    <w:tc>
                      <w:tcPr>
                        <w:tcW w:w="1439" w:type="dxa"/>
                        <w:tcBorders>
                          <w:top w:val="nil" w:sz="6" w:space="0" w:color="auto"/>
                          <w:left w:val="nil" w:sz="6" w:space="0" w:color="auto"/>
                          <w:bottom w:val="nil" w:sz="6" w:space="0" w:color="auto"/>
                          <w:right w:val="nil" w:sz="6" w:space="0" w:color="auto"/>
                        </w:tcBorders>
                      </w:tcPr>
                      <w:p>
                        <w:pPr>
                          <w:pStyle w:val="TableParagraph"/>
                          <w:spacing w:line="225" w:lineRule="exact"/>
                          <w:ind w:right="575"/>
                          <w:jc w:val="right"/>
                          <w:rPr>
                            <w:rFonts w:ascii="Calibri" w:hAnsi="Calibri" w:cs="Calibri" w:eastAsia="Calibri" w:hint="default"/>
                            <w:sz w:val="20"/>
                            <w:szCs w:val="20"/>
                          </w:rPr>
                        </w:pPr>
                        <w:r>
                          <w:rPr>
                            <w:rFonts w:ascii="Calibri"/>
                            <w:spacing w:val="-1"/>
                            <w:w w:val="95"/>
                            <w:sz w:val="20"/>
                          </w:rPr>
                          <w:t>$10</w:t>
                        </w:r>
                        <w:r>
                          <w:rPr>
                            <w:rFonts w:ascii="Calibri"/>
                            <w:sz w:val="20"/>
                          </w:rPr>
                        </w:r>
                      </w:p>
                    </w:tc>
                    <w:tc>
                      <w:tcPr>
                        <w:tcW w:w="1170" w:type="dxa"/>
                        <w:tcBorders>
                          <w:top w:val="nil" w:sz="6" w:space="0" w:color="auto"/>
                          <w:left w:val="nil" w:sz="6" w:space="0" w:color="auto"/>
                          <w:bottom w:val="nil" w:sz="6" w:space="0" w:color="auto"/>
                          <w:right w:val="nil" w:sz="6" w:space="0" w:color="auto"/>
                        </w:tcBorders>
                      </w:tcPr>
                      <w:p>
                        <w:pPr>
                          <w:pStyle w:val="TableParagraph"/>
                          <w:spacing w:line="225" w:lineRule="exact"/>
                          <w:ind w:right="94"/>
                          <w:jc w:val="center"/>
                          <w:rPr>
                            <w:rFonts w:ascii="Calibri" w:hAnsi="Calibri" w:cs="Calibri" w:eastAsia="Calibri" w:hint="default"/>
                            <w:sz w:val="20"/>
                            <w:szCs w:val="20"/>
                          </w:rPr>
                        </w:pPr>
                        <w:r>
                          <w:rPr>
                            <w:rFonts w:ascii="Calibri"/>
                            <w:sz w:val="20"/>
                          </w:rPr>
                          <w:t>$2</w:t>
                        </w:r>
                      </w:p>
                    </w:tc>
                  </w:tr>
                  <w:tr>
                    <w:trPr>
                      <w:trHeight w:val="245" w:hRule="exact"/>
                    </w:trPr>
                    <w:tc>
                      <w:tcPr>
                        <w:tcW w:w="4462"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Spending US$-Local arts/cultural</w:t>
                        </w:r>
                        <w:r>
                          <w:rPr>
                            <w:rFonts w:ascii="Calibri"/>
                            <w:spacing w:val="-15"/>
                            <w:sz w:val="20"/>
                          </w:rPr>
                          <w:t> </w:t>
                        </w:r>
                        <w:r>
                          <w:rPr>
                            <w:rFonts w:ascii="Calibri"/>
                            <w:sz w:val="20"/>
                          </w:rPr>
                          <w:t>events</w:t>
                        </w:r>
                      </w:p>
                    </w:tc>
                    <w:tc>
                      <w:tcPr>
                        <w:tcW w:w="1375" w:type="dxa"/>
                        <w:tcBorders>
                          <w:top w:val="nil" w:sz="6" w:space="0" w:color="auto"/>
                          <w:left w:val="nil" w:sz="6" w:space="0" w:color="auto"/>
                          <w:bottom w:val="nil" w:sz="6" w:space="0" w:color="auto"/>
                          <w:right w:val="nil" w:sz="6" w:space="0" w:color="auto"/>
                        </w:tcBorders>
                      </w:tcPr>
                      <w:p>
                        <w:pPr>
                          <w:pStyle w:val="TableParagraph"/>
                          <w:spacing w:line="226" w:lineRule="exact"/>
                          <w:ind w:right="125"/>
                          <w:jc w:val="center"/>
                          <w:rPr>
                            <w:rFonts w:ascii="Calibri" w:hAnsi="Calibri" w:cs="Calibri" w:eastAsia="Calibri" w:hint="default"/>
                            <w:sz w:val="20"/>
                            <w:szCs w:val="20"/>
                          </w:rPr>
                        </w:pPr>
                        <w:r>
                          <w:rPr>
                            <w:rFonts w:ascii="Calibri"/>
                            <w:sz w:val="20"/>
                          </w:rPr>
                          <w:t>$12</w:t>
                        </w:r>
                      </w:p>
                    </w:tc>
                    <w:tc>
                      <w:tcPr>
                        <w:tcW w:w="1028" w:type="dxa"/>
                        <w:tcBorders>
                          <w:top w:val="nil" w:sz="6" w:space="0" w:color="auto"/>
                          <w:left w:val="nil" w:sz="6" w:space="0" w:color="auto"/>
                          <w:bottom w:val="nil" w:sz="6" w:space="0" w:color="auto"/>
                          <w:right w:val="nil" w:sz="6" w:space="0" w:color="auto"/>
                        </w:tcBorders>
                      </w:tcPr>
                      <w:p>
                        <w:pPr>
                          <w:pStyle w:val="TableParagraph"/>
                          <w:spacing w:line="226" w:lineRule="exact"/>
                          <w:ind w:right="0"/>
                          <w:jc w:val="center"/>
                          <w:rPr>
                            <w:rFonts w:ascii="Calibri" w:hAnsi="Calibri" w:cs="Calibri" w:eastAsia="Calibri" w:hint="default"/>
                            <w:sz w:val="20"/>
                            <w:szCs w:val="20"/>
                          </w:rPr>
                        </w:pPr>
                        <w:r>
                          <w:rPr>
                            <w:rFonts w:ascii="Calibri"/>
                            <w:sz w:val="20"/>
                          </w:rPr>
                          <w:t>$10</w:t>
                        </w:r>
                      </w:p>
                    </w:tc>
                    <w:tc>
                      <w:tcPr>
                        <w:tcW w:w="1439" w:type="dxa"/>
                        <w:tcBorders>
                          <w:top w:val="nil" w:sz="6" w:space="0" w:color="auto"/>
                          <w:left w:val="nil" w:sz="6" w:space="0" w:color="auto"/>
                          <w:bottom w:val="nil" w:sz="6" w:space="0" w:color="auto"/>
                          <w:right w:val="nil" w:sz="6" w:space="0" w:color="auto"/>
                        </w:tcBorders>
                      </w:tcPr>
                      <w:p>
                        <w:pPr>
                          <w:pStyle w:val="TableParagraph"/>
                          <w:spacing w:line="226" w:lineRule="exact"/>
                          <w:ind w:right="11"/>
                          <w:jc w:val="center"/>
                          <w:rPr>
                            <w:rFonts w:ascii="Calibri" w:hAnsi="Calibri" w:cs="Calibri" w:eastAsia="Calibri" w:hint="default"/>
                            <w:sz w:val="20"/>
                            <w:szCs w:val="20"/>
                          </w:rPr>
                        </w:pPr>
                        <w:r>
                          <w:rPr>
                            <w:rFonts w:ascii="Calibri"/>
                            <w:sz w:val="20"/>
                          </w:rPr>
                          <w:t>$3</w:t>
                        </w:r>
                      </w:p>
                    </w:tc>
                    <w:tc>
                      <w:tcPr>
                        <w:tcW w:w="1170" w:type="dxa"/>
                        <w:tcBorders>
                          <w:top w:val="nil" w:sz="6" w:space="0" w:color="auto"/>
                          <w:left w:val="nil" w:sz="6" w:space="0" w:color="auto"/>
                          <w:bottom w:val="nil" w:sz="6" w:space="0" w:color="auto"/>
                          <w:right w:val="nil" w:sz="6" w:space="0" w:color="auto"/>
                        </w:tcBorders>
                      </w:tcPr>
                      <w:p>
                        <w:pPr>
                          <w:pStyle w:val="TableParagraph"/>
                          <w:spacing w:line="226" w:lineRule="exact"/>
                          <w:ind w:right="94"/>
                          <w:jc w:val="center"/>
                          <w:rPr>
                            <w:rFonts w:ascii="Calibri" w:hAnsi="Calibri" w:cs="Calibri" w:eastAsia="Calibri" w:hint="default"/>
                            <w:sz w:val="20"/>
                            <w:szCs w:val="20"/>
                          </w:rPr>
                        </w:pPr>
                        <w:r>
                          <w:rPr>
                            <w:rFonts w:ascii="Calibri"/>
                            <w:sz w:val="20"/>
                          </w:rPr>
                          <w:t>$7</w:t>
                        </w:r>
                      </w:p>
                    </w:tc>
                  </w:tr>
                  <w:tr>
                    <w:trPr>
                      <w:trHeight w:val="245" w:hRule="exact"/>
                    </w:trPr>
                    <w:tc>
                      <w:tcPr>
                        <w:tcW w:w="4462"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Spending</w:t>
                        </w:r>
                        <w:r>
                          <w:rPr>
                            <w:rFonts w:ascii="Calibri"/>
                            <w:spacing w:val="-11"/>
                            <w:sz w:val="20"/>
                          </w:rPr>
                          <w:t> </w:t>
                        </w:r>
                        <w:r>
                          <w:rPr>
                            <w:rFonts w:ascii="Calibri"/>
                            <w:sz w:val="20"/>
                          </w:rPr>
                          <w:t>US$-Shopping</w:t>
                        </w:r>
                      </w:p>
                    </w:tc>
                    <w:tc>
                      <w:tcPr>
                        <w:tcW w:w="1375" w:type="dxa"/>
                        <w:tcBorders>
                          <w:top w:val="nil" w:sz="6" w:space="0" w:color="auto"/>
                          <w:left w:val="nil" w:sz="6" w:space="0" w:color="auto"/>
                          <w:bottom w:val="nil" w:sz="6" w:space="0" w:color="auto"/>
                          <w:right w:val="nil" w:sz="6" w:space="0" w:color="auto"/>
                        </w:tcBorders>
                      </w:tcPr>
                      <w:p>
                        <w:pPr>
                          <w:pStyle w:val="TableParagraph"/>
                          <w:spacing w:line="226" w:lineRule="exact"/>
                          <w:ind w:right="125"/>
                          <w:jc w:val="center"/>
                          <w:rPr>
                            <w:rFonts w:ascii="Calibri" w:hAnsi="Calibri" w:cs="Calibri" w:eastAsia="Calibri" w:hint="default"/>
                            <w:sz w:val="20"/>
                            <w:szCs w:val="20"/>
                          </w:rPr>
                        </w:pPr>
                        <w:r>
                          <w:rPr>
                            <w:rFonts w:ascii="Calibri"/>
                            <w:sz w:val="20"/>
                          </w:rPr>
                          <w:t>$70</w:t>
                        </w:r>
                      </w:p>
                    </w:tc>
                    <w:tc>
                      <w:tcPr>
                        <w:tcW w:w="1028" w:type="dxa"/>
                        <w:tcBorders>
                          <w:top w:val="nil" w:sz="6" w:space="0" w:color="auto"/>
                          <w:left w:val="nil" w:sz="6" w:space="0" w:color="auto"/>
                          <w:bottom w:val="nil" w:sz="6" w:space="0" w:color="auto"/>
                          <w:right w:val="nil" w:sz="6" w:space="0" w:color="auto"/>
                        </w:tcBorders>
                      </w:tcPr>
                      <w:p>
                        <w:pPr>
                          <w:pStyle w:val="TableParagraph"/>
                          <w:spacing w:line="226" w:lineRule="exact"/>
                          <w:ind w:right="0"/>
                          <w:jc w:val="center"/>
                          <w:rPr>
                            <w:rFonts w:ascii="Calibri" w:hAnsi="Calibri" w:cs="Calibri" w:eastAsia="Calibri" w:hint="default"/>
                            <w:sz w:val="20"/>
                            <w:szCs w:val="20"/>
                          </w:rPr>
                        </w:pPr>
                        <w:r>
                          <w:rPr>
                            <w:rFonts w:ascii="Calibri"/>
                            <w:sz w:val="20"/>
                          </w:rPr>
                          <w:t>$76</w:t>
                        </w:r>
                      </w:p>
                    </w:tc>
                    <w:tc>
                      <w:tcPr>
                        <w:tcW w:w="1439" w:type="dxa"/>
                        <w:tcBorders>
                          <w:top w:val="nil" w:sz="6" w:space="0" w:color="auto"/>
                          <w:left w:val="nil" w:sz="6" w:space="0" w:color="auto"/>
                          <w:bottom w:val="nil" w:sz="6" w:space="0" w:color="auto"/>
                          <w:right w:val="nil" w:sz="6" w:space="0" w:color="auto"/>
                        </w:tcBorders>
                      </w:tcPr>
                      <w:p>
                        <w:pPr>
                          <w:pStyle w:val="TableParagraph"/>
                          <w:spacing w:line="226" w:lineRule="exact"/>
                          <w:ind w:right="526"/>
                          <w:jc w:val="right"/>
                          <w:rPr>
                            <w:rFonts w:ascii="Calibri" w:hAnsi="Calibri" w:cs="Calibri" w:eastAsia="Calibri" w:hint="default"/>
                            <w:sz w:val="20"/>
                            <w:szCs w:val="20"/>
                          </w:rPr>
                        </w:pPr>
                        <w:r>
                          <w:rPr>
                            <w:rFonts w:ascii="Calibri"/>
                            <w:spacing w:val="-1"/>
                            <w:w w:val="95"/>
                            <w:sz w:val="20"/>
                          </w:rPr>
                          <w:t>$237</w:t>
                        </w:r>
                        <w:r>
                          <w:rPr>
                            <w:rFonts w:ascii="Calibri"/>
                            <w:sz w:val="20"/>
                          </w:rPr>
                        </w:r>
                      </w:p>
                    </w:tc>
                    <w:tc>
                      <w:tcPr>
                        <w:tcW w:w="1170" w:type="dxa"/>
                        <w:tcBorders>
                          <w:top w:val="nil" w:sz="6" w:space="0" w:color="auto"/>
                          <w:left w:val="nil" w:sz="6" w:space="0" w:color="auto"/>
                          <w:bottom w:val="nil" w:sz="6" w:space="0" w:color="auto"/>
                          <w:right w:val="nil" w:sz="6" w:space="0" w:color="auto"/>
                        </w:tcBorders>
                      </w:tcPr>
                      <w:p>
                        <w:pPr>
                          <w:pStyle w:val="TableParagraph"/>
                          <w:spacing w:line="226" w:lineRule="exact"/>
                          <w:ind w:left="332" w:right="0"/>
                          <w:jc w:val="left"/>
                          <w:rPr>
                            <w:rFonts w:ascii="Calibri" w:hAnsi="Calibri" w:cs="Calibri" w:eastAsia="Calibri" w:hint="default"/>
                            <w:sz w:val="20"/>
                            <w:szCs w:val="20"/>
                          </w:rPr>
                        </w:pPr>
                        <w:r>
                          <w:rPr>
                            <w:rFonts w:ascii="Calibri"/>
                            <w:sz w:val="20"/>
                          </w:rPr>
                          <w:t>$179</w:t>
                        </w:r>
                      </w:p>
                    </w:tc>
                  </w:tr>
                  <w:tr>
                    <w:trPr>
                      <w:trHeight w:val="244" w:hRule="exact"/>
                    </w:trPr>
                    <w:tc>
                      <w:tcPr>
                        <w:tcW w:w="4462"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Spending</w:t>
                        </w:r>
                        <w:r>
                          <w:rPr>
                            <w:rFonts w:ascii="Calibri"/>
                            <w:spacing w:val="-11"/>
                            <w:sz w:val="20"/>
                          </w:rPr>
                          <w:t> </w:t>
                        </w:r>
                        <w:r>
                          <w:rPr>
                            <w:rFonts w:ascii="Calibri"/>
                            <w:sz w:val="20"/>
                          </w:rPr>
                          <w:t>US$-Internet/telephone</w:t>
                        </w:r>
                      </w:p>
                    </w:tc>
                    <w:tc>
                      <w:tcPr>
                        <w:tcW w:w="1375" w:type="dxa"/>
                        <w:tcBorders>
                          <w:top w:val="nil" w:sz="6" w:space="0" w:color="auto"/>
                          <w:left w:val="nil" w:sz="6" w:space="0" w:color="auto"/>
                          <w:bottom w:val="nil" w:sz="6" w:space="0" w:color="auto"/>
                          <w:right w:val="nil" w:sz="6" w:space="0" w:color="auto"/>
                        </w:tcBorders>
                      </w:tcPr>
                      <w:p>
                        <w:pPr>
                          <w:pStyle w:val="TableParagraph"/>
                          <w:spacing w:line="226" w:lineRule="exact"/>
                          <w:ind w:right="120"/>
                          <w:jc w:val="center"/>
                          <w:rPr>
                            <w:rFonts w:ascii="Calibri" w:hAnsi="Calibri" w:cs="Calibri" w:eastAsia="Calibri" w:hint="default"/>
                            <w:sz w:val="20"/>
                            <w:szCs w:val="20"/>
                          </w:rPr>
                        </w:pPr>
                        <w:r>
                          <w:rPr>
                            <w:rFonts w:ascii="Calibri"/>
                            <w:sz w:val="20"/>
                          </w:rPr>
                          <w:t>$5</w:t>
                        </w:r>
                      </w:p>
                    </w:tc>
                    <w:tc>
                      <w:tcPr>
                        <w:tcW w:w="1028" w:type="dxa"/>
                        <w:tcBorders>
                          <w:top w:val="nil" w:sz="6" w:space="0" w:color="auto"/>
                          <w:left w:val="nil" w:sz="6" w:space="0" w:color="auto"/>
                          <w:bottom w:val="nil" w:sz="6" w:space="0" w:color="auto"/>
                          <w:right w:val="nil" w:sz="6" w:space="0" w:color="auto"/>
                        </w:tcBorders>
                      </w:tcPr>
                      <w:p>
                        <w:pPr>
                          <w:pStyle w:val="TableParagraph"/>
                          <w:spacing w:line="226" w:lineRule="exact"/>
                          <w:ind w:right="0"/>
                          <w:jc w:val="center"/>
                          <w:rPr>
                            <w:rFonts w:ascii="Calibri" w:hAnsi="Calibri" w:cs="Calibri" w:eastAsia="Calibri" w:hint="default"/>
                            <w:sz w:val="20"/>
                            <w:szCs w:val="20"/>
                          </w:rPr>
                        </w:pPr>
                        <w:r>
                          <w:rPr>
                            <w:rFonts w:ascii="Calibri"/>
                            <w:sz w:val="20"/>
                          </w:rPr>
                          <w:t>$2</w:t>
                        </w:r>
                      </w:p>
                    </w:tc>
                    <w:tc>
                      <w:tcPr>
                        <w:tcW w:w="1439" w:type="dxa"/>
                        <w:tcBorders>
                          <w:top w:val="nil" w:sz="6" w:space="0" w:color="auto"/>
                          <w:left w:val="nil" w:sz="6" w:space="0" w:color="auto"/>
                          <w:bottom w:val="nil" w:sz="6" w:space="0" w:color="auto"/>
                          <w:right w:val="nil" w:sz="6" w:space="0" w:color="auto"/>
                        </w:tcBorders>
                      </w:tcPr>
                      <w:p>
                        <w:pPr>
                          <w:pStyle w:val="TableParagraph"/>
                          <w:spacing w:line="226" w:lineRule="exact"/>
                          <w:ind w:right="11"/>
                          <w:jc w:val="center"/>
                          <w:rPr>
                            <w:rFonts w:ascii="Calibri" w:hAnsi="Calibri" w:cs="Calibri" w:eastAsia="Calibri" w:hint="default"/>
                            <w:sz w:val="20"/>
                            <w:szCs w:val="20"/>
                          </w:rPr>
                        </w:pPr>
                        <w:r>
                          <w:rPr>
                            <w:rFonts w:ascii="Calibri"/>
                            <w:sz w:val="20"/>
                          </w:rPr>
                          <w:t>$4</w:t>
                        </w:r>
                      </w:p>
                    </w:tc>
                    <w:tc>
                      <w:tcPr>
                        <w:tcW w:w="1170" w:type="dxa"/>
                        <w:tcBorders>
                          <w:top w:val="nil" w:sz="6" w:space="0" w:color="auto"/>
                          <w:left w:val="nil" w:sz="6" w:space="0" w:color="auto"/>
                          <w:bottom w:val="nil" w:sz="6" w:space="0" w:color="auto"/>
                          <w:right w:val="nil" w:sz="6" w:space="0" w:color="auto"/>
                        </w:tcBorders>
                      </w:tcPr>
                      <w:p>
                        <w:pPr>
                          <w:pStyle w:val="TableParagraph"/>
                          <w:spacing w:line="226" w:lineRule="exact"/>
                          <w:ind w:right="94"/>
                          <w:jc w:val="center"/>
                          <w:rPr>
                            <w:rFonts w:ascii="Calibri" w:hAnsi="Calibri" w:cs="Calibri" w:eastAsia="Calibri" w:hint="default"/>
                            <w:sz w:val="20"/>
                            <w:szCs w:val="20"/>
                          </w:rPr>
                        </w:pPr>
                        <w:r>
                          <w:rPr>
                            <w:rFonts w:ascii="Calibri"/>
                            <w:sz w:val="20"/>
                          </w:rPr>
                          <w:t>$8</w:t>
                        </w:r>
                      </w:p>
                    </w:tc>
                  </w:tr>
                  <w:tr>
                    <w:trPr>
                      <w:trHeight w:val="244" w:hRule="exact"/>
                    </w:trPr>
                    <w:tc>
                      <w:tcPr>
                        <w:tcW w:w="4462" w:type="dxa"/>
                        <w:tcBorders>
                          <w:top w:val="nil" w:sz="6" w:space="0" w:color="auto"/>
                          <w:left w:val="nil" w:sz="6" w:space="0" w:color="auto"/>
                          <w:bottom w:val="nil" w:sz="6" w:space="0" w:color="auto"/>
                          <w:right w:val="nil" w:sz="6" w:space="0" w:color="auto"/>
                        </w:tcBorders>
                      </w:tcPr>
                      <w:p>
                        <w:pPr>
                          <w:pStyle w:val="TableParagraph"/>
                          <w:spacing w:line="225" w:lineRule="exact"/>
                          <w:ind w:left="69" w:right="0"/>
                          <w:jc w:val="left"/>
                          <w:rPr>
                            <w:rFonts w:ascii="Calibri" w:hAnsi="Calibri" w:cs="Calibri" w:eastAsia="Calibri" w:hint="default"/>
                            <w:sz w:val="20"/>
                            <w:szCs w:val="20"/>
                          </w:rPr>
                        </w:pPr>
                        <w:r>
                          <w:rPr>
                            <w:rFonts w:ascii="Calibri"/>
                            <w:sz w:val="20"/>
                          </w:rPr>
                          <w:t>Spending</w:t>
                        </w:r>
                        <w:r>
                          <w:rPr>
                            <w:rFonts w:ascii="Calibri"/>
                            <w:spacing w:val="-13"/>
                            <w:sz w:val="20"/>
                          </w:rPr>
                          <w:t> </w:t>
                        </w:r>
                        <w:r>
                          <w:rPr>
                            <w:rFonts w:ascii="Calibri"/>
                            <w:sz w:val="20"/>
                          </w:rPr>
                          <w:t>US$-Groceries/sundries</w:t>
                        </w:r>
                      </w:p>
                    </w:tc>
                    <w:tc>
                      <w:tcPr>
                        <w:tcW w:w="1375" w:type="dxa"/>
                        <w:tcBorders>
                          <w:top w:val="nil" w:sz="6" w:space="0" w:color="auto"/>
                          <w:left w:val="nil" w:sz="6" w:space="0" w:color="auto"/>
                          <w:bottom w:val="nil" w:sz="6" w:space="0" w:color="auto"/>
                          <w:right w:val="nil" w:sz="6" w:space="0" w:color="auto"/>
                        </w:tcBorders>
                      </w:tcPr>
                      <w:p>
                        <w:pPr>
                          <w:pStyle w:val="TableParagraph"/>
                          <w:spacing w:line="225" w:lineRule="exact"/>
                          <w:ind w:right="125"/>
                          <w:jc w:val="center"/>
                          <w:rPr>
                            <w:rFonts w:ascii="Calibri" w:hAnsi="Calibri" w:cs="Calibri" w:eastAsia="Calibri" w:hint="default"/>
                            <w:sz w:val="20"/>
                            <w:szCs w:val="20"/>
                          </w:rPr>
                        </w:pPr>
                        <w:r>
                          <w:rPr>
                            <w:rFonts w:ascii="Calibri"/>
                            <w:sz w:val="20"/>
                          </w:rPr>
                          <w:t>$92</w:t>
                        </w:r>
                      </w:p>
                    </w:tc>
                    <w:tc>
                      <w:tcPr>
                        <w:tcW w:w="1028" w:type="dxa"/>
                        <w:tcBorders>
                          <w:top w:val="nil" w:sz="6" w:space="0" w:color="auto"/>
                          <w:left w:val="nil" w:sz="6" w:space="0" w:color="auto"/>
                          <w:bottom w:val="nil" w:sz="6" w:space="0" w:color="auto"/>
                          <w:right w:val="nil" w:sz="6" w:space="0" w:color="auto"/>
                        </w:tcBorders>
                      </w:tcPr>
                      <w:p>
                        <w:pPr>
                          <w:pStyle w:val="TableParagraph"/>
                          <w:spacing w:line="225" w:lineRule="exact"/>
                          <w:ind w:right="0"/>
                          <w:jc w:val="center"/>
                          <w:rPr>
                            <w:rFonts w:ascii="Calibri" w:hAnsi="Calibri" w:cs="Calibri" w:eastAsia="Calibri" w:hint="default"/>
                            <w:sz w:val="20"/>
                            <w:szCs w:val="20"/>
                          </w:rPr>
                        </w:pPr>
                        <w:r>
                          <w:rPr>
                            <w:rFonts w:ascii="Calibri"/>
                            <w:sz w:val="20"/>
                          </w:rPr>
                          <w:t>$70</w:t>
                        </w:r>
                      </w:p>
                    </w:tc>
                    <w:tc>
                      <w:tcPr>
                        <w:tcW w:w="1439" w:type="dxa"/>
                        <w:tcBorders>
                          <w:top w:val="nil" w:sz="6" w:space="0" w:color="auto"/>
                          <w:left w:val="nil" w:sz="6" w:space="0" w:color="auto"/>
                          <w:bottom w:val="nil" w:sz="6" w:space="0" w:color="auto"/>
                          <w:right w:val="nil" w:sz="6" w:space="0" w:color="auto"/>
                        </w:tcBorders>
                      </w:tcPr>
                      <w:p>
                        <w:pPr>
                          <w:pStyle w:val="TableParagraph"/>
                          <w:spacing w:line="225" w:lineRule="exact"/>
                          <w:ind w:right="575"/>
                          <w:jc w:val="right"/>
                          <w:rPr>
                            <w:rFonts w:ascii="Calibri" w:hAnsi="Calibri" w:cs="Calibri" w:eastAsia="Calibri" w:hint="default"/>
                            <w:sz w:val="20"/>
                            <w:szCs w:val="20"/>
                          </w:rPr>
                        </w:pPr>
                        <w:r>
                          <w:rPr>
                            <w:rFonts w:ascii="Calibri"/>
                            <w:spacing w:val="-1"/>
                            <w:w w:val="95"/>
                            <w:sz w:val="20"/>
                          </w:rPr>
                          <w:t>$20</w:t>
                        </w:r>
                        <w:r>
                          <w:rPr>
                            <w:rFonts w:ascii="Calibri"/>
                            <w:sz w:val="20"/>
                          </w:rPr>
                        </w:r>
                      </w:p>
                    </w:tc>
                    <w:tc>
                      <w:tcPr>
                        <w:tcW w:w="1170" w:type="dxa"/>
                        <w:tcBorders>
                          <w:top w:val="nil" w:sz="6" w:space="0" w:color="auto"/>
                          <w:left w:val="nil" w:sz="6" w:space="0" w:color="auto"/>
                          <w:bottom w:val="nil" w:sz="6" w:space="0" w:color="auto"/>
                          <w:right w:val="nil" w:sz="6" w:space="0" w:color="auto"/>
                        </w:tcBorders>
                      </w:tcPr>
                      <w:p>
                        <w:pPr>
                          <w:pStyle w:val="TableParagraph"/>
                          <w:spacing w:line="225" w:lineRule="exact"/>
                          <w:ind w:left="383" w:right="0"/>
                          <w:jc w:val="left"/>
                          <w:rPr>
                            <w:rFonts w:ascii="Calibri" w:hAnsi="Calibri" w:cs="Calibri" w:eastAsia="Calibri" w:hint="default"/>
                            <w:sz w:val="20"/>
                            <w:szCs w:val="20"/>
                          </w:rPr>
                        </w:pPr>
                        <w:r>
                          <w:rPr>
                            <w:rFonts w:ascii="Calibri"/>
                            <w:sz w:val="20"/>
                          </w:rPr>
                          <w:t>$44</w:t>
                        </w:r>
                      </w:p>
                    </w:tc>
                  </w:tr>
                  <w:tr>
                    <w:trPr>
                      <w:trHeight w:val="245" w:hRule="exact"/>
                    </w:trPr>
                    <w:tc>
                      <w:tcPr>
                        <w:tcW w:w="4462"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Spending</w:t>
                        </w:r>
                        <w:r>
                          <w:rPr>
                            <w:rFonts w:ascii="Calibri"/>
                            <w:spacing w:val="-21"/>
                            <w:sz w:val="20"/>
                          </w:rPr>
                          <w:t> </w:t>
                        </w:r>
                        <w:r>
                          <w:rPr>
                            <w:rFonts w:ascii="Calibri"/>
                            <w:sz w:val="20"/>
                          </w:rPr>
                          <w:t>US$-Entertainment/nightlife/casino</w:t>
                        </w:r>
                      </w:p>
                    </w:tc>
                    <w:tc>
                      <w:tcPr>
                        <w:tcW w:w="1375" w:type="dxa"/>
                        <w:tcBorders>
                          <w:top w:val="nil" w:sz="6" w:space="0" w:color="auto"/>
                          <w:left w:val="nil" w:sz="6" w:space="0" w:color="auto"/>
                          <w:bottom w:val="nil" w:sz="6" w:space="0" w:color="auto"/>
                          <w:right w:val="nil" w:sz="6" w:space="0" w:color="auto"/>
                        </w:tcBorders>
                      </w:tcPr>
                      <w:p>
                        <w:pPr>
                          <w:pStyle w:val="TableParagraph"/>
                          <w:spacing w:line="226" w:lineRule="exact"/>
                          <w:ind w:right="125"/>
                          <w:jc w:val="center"/>
                          <w:rPr>
                            <w:rFonts w:ascii="Calibri" w:hAnsi="Calibri" w:cs="Calibri" w:eastAsia="Calibri" w:hint="default"/>
                            <w:sz w:val="20"/>
                            <w:szCs w:val="20"/>
                          </w:rPr>
                        </w:pPr>
                        <w:r>
                          <w:rPr>
                            <w:rFonts w:ascii="Calibri"/>
                            <w:sz w:val="20"/>
                          </w:rPr>
                          <w:t>$17</w:t>
                        </w:r>
                      </w:p>
                    </w:tc>
                    <w:tc>
                      <w:tcPr>
                        <w:tcW w:w="1028" w:type="dxa"/>
                        <w:tcBorders>
                          <w:top w:val="nil" w:sz="6" w:space="0" w:color="auto"/>
                          <w:left w:val="nil" w:sz="6" w:space="0" w:color="auto"/>
                          <w:bottom w:val="nil" w:sz="6" w:space="0" w:color="auto"/>
                          <w:right w:val="nil" w:sz="6" w:space="0" w:color="auto"/>
                        </w:tcBorders>
                      </w:tcPr>
                      <w:p>
                        <w:pPr>
                          <w:pStyle w:val="TableParagraph"/>
                          <w:spacing w:line="226" w:lineRule="exact"/>
                          <w:ind w:right="0"/>
                          <w:jc w:val="center"/>
                          <w:rPr>
                            <w:rFonts w:ascii="Calibri" w:hAnsi="Calibri" w:cs="Calibri" w:eastAsia="Calibri" w:hint="default"/>
                            <w:sz w:val="20"/>
                            <w:szCs w:val="20"/>
                          </w:rPr>
                        </w:pPr>
                        <w:r>
                          <w:rPr>
                            <w:rFonts w:ascii="Calibri"/>
                            <w:sz w:val="20"/>
                          </w:rPr>
                          <w:t>$22</w:t>
                        </w:r>
                      </w:p>
                    </w:tc>
                    <w:tc>
                      <w:tcPr>
                        <w:tcW w:w="1439" w:type="dxa"/>
                        <w:tcBorders>
                          <w:top w:val="nil" w:sz="6" w:space="0" w:color="auto"/>
                          <w:left w:val="nil" w:sz="6" w:space="0" w:color="auto"/>
                          <w:bottom w:val="nil" w:sz="6" w:space="0" w:color="auto"/>
                          <w:right w:val="nil" w:sz="6" w:space="0" w:color="auto"/>
                        </w:tcBorders>
                      </w:tcPr>
                      <w:p>
                        <w:pPr>
                          <w:pStyle w:val="TableParagraph"/>
                          <w:spacing w:line="226" w:lineRule="exact"/>
                          <w:ind w:right="575"/>
                          <w:jc w:val="right"/>
                          <w:rPr>
                            <w:rFonts w:ascii="Calibri" w:hAnsi="Calibri" w:cs="Calibri" w:eastAsia="Calibri" w:hint="default"/>
                            <w:sz w:val="20"/>
                            <w:szCs w:val="20"/>
                          </w:rPr>
                        </w:pPr>
                        <w:r>
                          <w:rPr>
                            <w:rFonts w:ascii="Calibri"/>
                            <w:spacing w:val="-1"/>
                            <w:w w:val="95"/>
                            <w:sz w:val="20"/>
                          </w:rPr>
                          <w:t>$23</w:t>
                        </w:r>
                        <w:r>
                          <w:rPr>
                            <w:rFonts w:ascii="Calibri"/>
                            <w:sz w:val="20"/>
                          </w:rPr>
                        </w:r>
                      </w:p>
                    </w:tc>
                    <w:tc>
                      <w:tcPr>
                        <w:tcW w:w="1170" w:type="dxa"/>
                        <w:tcBorders>
                          <w:top w:val="nil" w:sz="6" w:space="0" w:color="auto"/>
                          <w:left w:val="nil" w:sz="6" w:space="0" w:color="auto"/>
                          <w:bottom w:val="nil" w:sz="6" w:space="0" w:color="auto"/>
                          <w:right w:val="nil" w:sz="6" w:space="0" w:color="auto"/>
                        </w:tcBorders>
                      </w:tcPr>
                      <w:p>
                        <w:pPr>
                          <w:pStyle w:val="TableParagraph"/>
                          <w:spacing w:line="226" w:lineRule="exact"/>
                          <w:ind w:left="383" w:right="0"/>
                          <w:jc w:val="left"/>
                          <w:rPr>
                            <w:rFonts w:ascii="Calibri" w:hAnsi="Calibri" w:cs="Calibri" w:eastAsia="Calibri" w:hint="default"/>
                            <w:sz w:val="20"/>
                            <w:szCs w:val="20"/>
                          </w:rPr>
                        </w:pPr>
                        <w:r>
                          <w:rPr>
                            <w:rFonts w:ascii="Calibri"/>
                            <w:sz w:val="20"/>
                          </w:rPr>
                          <w:t>$24</w:t>
                        </w:r>
                      </w:p>
                    </w:tc>
                  </w:tr>
                  <w:tr>
                    <w:trPr>
                      <w:trHeight w:val="244" w:hRule="exact"/>
                    </w:trPr>
                    <w:tc>
                      <w:tcPr>
                        <w:tcW w:w="4462"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Spending US$-Water</w:t>
                        </w:r>
                        <w:r>
                          <w:rPr>
                            <w:rFonts w:ascii="Calibri"/>
                            <w:spacing w:val="-17"/>
                            <w:sz w:val="20"/>
                          </w:rPr>
                          <w:t> </w:t>
                        </w:r>
                        <w:r>
                          <w:rPr>
                            <w:rFonts w:ascii="Calibri"/>
                            <w:sz w:val="20"/>
                          </w:rPr>
                          <w:t>activities/recreation</w:t>
                        </w:r>
                      </w:p>
                    </w:tc>
                    <w:tc>
                      <w:tcPr>
                        <w:tcW w:w="1375" w:type="dxa"/>
                        <w:tcBorders>
                          <w:top w:val="nil" w:sz="6" w:space="0" w:color="auto"/>
                          <w:left w:val="nil" w:sz="6" w:space="0" w:color="auto"/>
                          <w:bottom w:val="nil" w:sz="6" w:space="0" w:color="auto"/>
                          <w:right w:val="nil" w:sz="6" w:space="0" w:color="auto"/>
                        </w:tcBorders>
                      </w:tcPr>
                      <w:p>
                        <w:pPr>
                          <w:pStyle w:val="TableParagraph"/>
                          <w:spacing w:line="226" w:lineRule="exact"/>
                          <w:ind w:right="125"/>
                          <w:jc w:val="center"/>
                          <w:rPr>
                            <w:rFonts w:ascii="Calibri" w:hAnsi="Calibri" w:cs="Calibri" w:eastAsia="Calibri" w:hint="default"/>
                            <w:sz w:val="20"/>
                            <w:szCs w:val="20"/>
                          </w:rPr>
                        </w:pPr>
                        <w:r>
                          <w:rPr>
                            <w:rFonts w:ascii="Calibri"/>
                            <w:sz w:val="20"/>
                          </w:rPr>
                          <w:t>$38</w:t>
                        </w:r>
                      </w:p>
                    </w:tc>
                    <w:tc>
                      <w:tcPr>
                        <w:tcW w:w="1028" w:type="dxa"/>
                        <w:tcBorders>
                          <w:top w:val="nil" w:sz="6" w:space="0" w:color="auto"/>
                          <w:left w:val="nil" w:sz="6" w:space="0" w:color="auto"/>
                          <w:bottom w:val="nil" w:sz="6" w:space="0" w:color="auto"/>
                          <w:right w:val="nil" w:sz="6" w:space="0" w:color="auto"/>
                        </w:tcBorders>
                      </w:tcPr>
                      <w:p>
                        <w:pPr>
                          <w:pStyle w:val="TableParagraph"/>
                          <w:spacing w:line="226" w:lineRule="exact"/>
                          <w:ind w:right="0"/>
                          <w:jc w:val="center"/>
                          <w:rPr>
                            <w:rFonts w:ascii="Calibri" w:hAnsi="Calibri" w:cs="Calibri" w:eastAsia="Calibri" w:hint="default"/>
                            <w:sz w:val="20"/>
                            <w:szCs w:val="20"/>
                          </w:rPr>
                        </w:pPr>
                        <w:r>
                          <w:rPr>
                            <w:rFonts w:ascii="Calibri"/>
                            <w:sz w:val="20"/>
                          </w:rPr>
                          <w:t>$45</w:t>
                        </w:r>
                      </w:p>
                    </w:tc>
                    <w:tc>
                      <w:tcPr>
                        <w:tcW w:w="1439" w:type="dxa"/>
                        <w:tcBorders>
                          <w:top w:val="nil" w:sz="6" w:space="0" w:color="auto"/>
                          <w:left w:val="nil" w:sz="6" w:space="0" w:color="auto"/>
                          <w:bottom w:val="nil" w:sz="6" w:space="0" w:color="auto"/>
                          <w:right w:val="nil" w:sz="6" w:space="0" w:color="auto"/>
                        </w:tcBorders>
                      </w:tcPr>
                      <w:p>
                        <w:pPr>
                          <w:pStyle w:val="TableParagraph"/>
                          <w:spacing w:line="226" w:lineRule="exact"/>
                          <w:ind w:right="575"/>
                          <w:jc w:val="right"/>
                          <w:rPr>
                            <w:rFonts w:ascii="Calibri" w:hAnsi="Calibri" w:cs="Calibri" w:eastAsia="Calibri" w:hint="default"/>
                            <w:sz w:val="20"/>
                            <w:szCs w:val="20"/>
                          </w:rPr>
                        </w:pPr>
                        <w:r>
                          <w:rPr>
                            <w:rFonts w:ascii="Calibri"/>
                            <w:spacing w:val="-1"/>
                            <w:w w:val="95"/>
                            <w:sz w:val="20"/>
                          </w:rPr>
                          <w:t>$20</w:t>
                        </w:r>
                        <w:r>
                          <w:rPr>
                            <w:rFonts w:ascii="Calibri"/>
                            <w:sz w:val="20"/>
                          </w:rPr>
                        </w:r>
                      </w:p>
                    </w:tc>
                    <w:tc>
                      <w:tcPr>
                        <w:tcW w:w="1170" w:type="dxa"/>
                        <w:tcBorders>
                          <w:top w:val="nil" w:sz="6" w:space="0" w:color="auto"/>
                          <w:left w:val="nil" w:sz="6" w:space="0" w:color="auto"/>
                          <w:bottom w:val="nil" w:sz="6" w:space="0" w:color="auto"/>
                          <w:right w:val="nil" w:sz="6" w:space="0" w:color="auto"/>
                        </w:tcBorders>
                      </w:tcPr>
                      <w:p>
                        <w:pPr>
                          <w:pStyle w:val="TableParagraph"/>
                          <w:spacing w:line="226" w:lineRule="exact"/>
                          <w:ind w:left="383" w:right="0"/>
                          <w:jc w:val="left"/>
                          <w:rPr>
                            <w:rFonts w:ascii="Calibri" w:hAnsi="Calibri" w:cs="Calibri" w:eastAsia="Calibri" w:hint="default"/>
                            <w:sz w:val="20"/>
                            <w:szCs w:val="20"/>
                          </w:rPr>
                        </w:pPr>
                        <w:r>
                          <w:rPr>
                            <w:rFonts w:ascii="Calibri"/>
                            <w:sz w:val="20"/>
                          </w:rPr>
                          <w:t>$43</w:t>
                        </w:r>
                      </w:p>
                    </w:tc>
                  </w:tr>
                  <w:tr>
                    <w:trPr>
                      <w:trHeight w:val="231" w:hRule="exact"/>
                    </w:trPr>
                    <w:tc>
                      <w:tcPr>
                        <w:tcW w:w="4462" w:type="dxa"/>
                        <w:tcBorders>
                          <w:top w:val="nil" w:sz="6" w:space="0" w:color="auto"/>
                          <w:left w:val="nil" w:sz="6" w:space="0" w:color="auto"/>
                          <w:bottom w:val="single" w:sz="4" w:space="0" w:color="000000"/>
                          <w:right w:val="nil" w:sz="6" w:space="0" w:color="auto"/>
                        </w:tcBorders>
                      </w:tcPr>
                      <w:p>
                        <w:pPr>
                          <w:pStyle w:val="TableParagraph"/>
                          <w:spacing w:line="225" w:lineRule="exact"/>
                          <w:ind w:left="69" w:right="0"/>
                          <w:jc w:val="left"/>
                          <w:rPr>
                            <w:rFonts w:ascii="Calibri" w:hAnsi="Calibri" w:cs="Calibri" w:eastAsia="Calibri" w:hint="default"/>
                            <w:sz w:val="20"/>
                            <w:szCs w:val="20"/>
                          </w:rPr>
                        </w:pPr>
                        <w:r>
                          <w:rPr>
                            <w:rFonts w:ascii="Calibri"/>
                            <w:sz w:val="20"/>
                          </w:rPr>
                          <w:t>Spending US$-Other</w:t>
                        </w:r>
                        <w:r>
                          <w:rPr>
                            <w:rFonts w:ascii="Calibri"/>
                            <w:spacing w:val="-14"/>
                            <w:sz w:val="20"/>
                          </w:rPr>
                          <w:t> </w:t>
                        </w:r>
                        <w:r>
                          <w:rPr>
                            <w:rFonts w:ascii="Calibri"/>
                            <w:sz w:val="20"/>
                          </w:rPr>
                          <w:t>expenses</w:t>
                        </w:r>
                      </w:p>
                    </w:tc>
                    <w:tc>
                      <w:tcPr>
                        <w:tcW w:w="1375" w:type="dxa"/>
                        <w:tcBorders>
                          <w:top w:val="nil" w:sz="6" w:space="0" w:color="auto"/>
                          <w:left w:val="nil" w:sz="6" w:space="0" w:color="auto"/>
                          <w:bottom w:val="single" w:sz="4" w:space="0" w:color="000000"/>
                          <w:right w:val="nil" w:sz="6" w:space="0" w:color="auto"/>
                        </w:tcBorders>
                      </w:tcPr>
                      <w:p>
                        <w:pPr>
                          <w:pStyle w:val="TableParagraph"/>
                          <w:spacing w:line="225" w:lineRule="exact"/>
                          <w:ind w:right="125"/>
                          <w:jc w:val="center"/>
                          <w:rPr>
                            <w:rFonts w:ascii="Calibri" w:hAnsi="Calibri" w:cs="Calibri" w:eastAsia="Calibri" w:hint="default"/>
                            <w:sz w:val="20"/>
                            <w:szCs w:val="20"/>
                          </w:rPr>
                        </w:pPr>
                        <w:r>
                          <w:rPr>
                            <w:rFonts w:ascii="Calibri"/>
                            <w:sz w:val="20"/>
                          </w:rPr>
                          <w:t>$46</w:t>
                        </w:r>
                      </w:p>
                    </w:tc>
                    <w:tc>
                      <w:tcPr>
                        <w:tcW w:w="1028" w:type="dxa"/>
                        <w:tcBorders>
                          <w:top w:val="nil" w:sz="6" w:space="0" w:color="auto"/>
                          <w:left w:val="nil" w:sz="6" w:space="0" w:color="auto"/>
                          <w:bottom w:val="single" w:sz="4" w:space="0" w:color="000000"/>
                          <w:right w:val="nil" w:sz="6" w:space="0" w:color="auto"/>
                        </w:tcBorders>
                      </w:tcPr>
                      <w:p>
                        <w:pPr>
                          <w:pStyle w:val="TableParagraph"/>
                          <w:spacing w:line="225" w:lineRule="exact"/>
                          <w:ind w:right="0"/>
                          <w:jc w:val="center"/>
                          <w:rPr>
                            <w:rFonts w:ascii="Calibri" w:hAnsi="Calibri" w:cs="Calibri" w:eastAsia="Calibri" w:hint="default"/>
                            <w:sz w:val="20"/>
                            <w:szCs w:val="20"/>
                          </w:rPr>
                        </w:pPr>
                        <w:r>
                          <w:rPr>
                            <w:rFonts w:ascii="Calibri"/>
                            <w:sz w:val="20"/>
                          </w:rPr>
                          <w:t>$49</w:t>
                        </w:r>
                      </w:p>
                    </w:tc>
                    <w:tc>
                      <w:tcPr>
                        <w:tcW w:w="1439" w:type="dxa"/>
                        <w:tcBorders>
                          <w:top w:val="nil" w:sz="6" w:space="0" w:color="auto"/>
                          <w:left w:val="nil" w:sz="6" w:space="0" w:color="auto"/>
                          <w:bottom w:val="single" w:sz="4" w:space="0" w:color="000000"/>
                          <w:right w:val="nil" w:sz="6" w:space="0" w:color="auto"/>
                        </w:tcBorders>
                      </w:tcPr>
                      <w:p>
                        <w:pPr>
                          <w:pStyle w:val="TableParagraph"/>
                          <w:spacing w:line="225" w:lineRule="exact"/>
                          <w:ind w:right="575"/>
                          <w:jc w:val="right"/>
                          <w:rPr>
                            <w:rFonts w:ascii="Calibri" w:hAnsi="Calibri" w:cs="Calibri" w:eastAsia="Calibri" w:hint="default"/>
                            <w:sz w:val="20"/>
                            <w:szCs w:val="20"/>
                          </w:rPr>
                        </w:pPr>
                        <w:r>
                          <w:rPr>
                            <w:rFonts w:ascii="Calibri"/>
                            <w:spacing w:val="-1"/>
                            <w:w w:val="95"/>
                            <w:sz w:val="20"/>
                          </w:rPr>
                          <w:t>$23</w:t>
                        </w:r>
                        <w:r>
                          <w:rPr>
                            <w:rFonts w:ascii="Calibri"/>
                            <w:sz w:val="20"/>
                          </w:rPr>
                        </w:r>
                      </w:p>
                    </w:tc>
                    <w:tc>
                      <w:tcPr>
                        <w:tcW w:w="1170" w:type="dxa"/>
                        <w:tcBorders>
                          <w:top w:val="nil" w:sz="6" w:space="0" w:color="auto"/>
                          <w:left w:val="nil" w:sz="6" w:space="0" w:color="auto"/>
                          <w:bottom w:val="single" w:sz="4" w:space="0" w:color="000000"/>
                          <w:right w:val="nil" w:sz="6" w:space="0" w:color="auto"/>
                        </w:tcBorders>
                      </w:tcPr>
                      <w:p>
                        <w:pPr>
                          <w:pStyle w:val="TableParagraph"/>
                          <w:spacing w:line="225" w:lineRule="exact"/>
                          <w:ind w:left="383" w:right="0"/>
                          <w:jc w:val="left"/>
                          <w:rPr>
                            <w:rFonts w:ascii="Calibri" w:hAnsi="Calibri" w:cs="Calibri" w:eastAsia="Calibri" w:hint="default"/>
                            <w:sz w:val="20"/>
                            <w:szCs w:val="20"/>
                          </w:rPr>
                        </w:pPr>
                        <w:r>
                          <w:rPr>
                            <w:rFonts w:ascii="Calibri"/>
                            <w:sz w:val="20"/>
                          </w:rPr>
                          <w:t>$37</w:t>
                        </w:r>
                      </w:p>
                    </w:tc>
                  </w:tr>
                  <w:tr>
                    <w:trPr>
                      <w:trHeight w:val="268" w:hRule="exact"/>
                    </w:trPr>
                    <w:tc>
                      <w:tcPr>
                        <w:tcW w:w="4462" w:type="dxa"/>
                        <w:tcBorders>
                          <w:top w:val="single" w:sz="4" w:space="0" w:color="000000"/>
                          <w:left w:val="nil" w:sz="6" w:space="0" w:color="auto"/>
                          <w:bottom w:val="nil" w:sz="6" w:space="0" w:color="auto"/>
                          <w:right w:val="nil" w:sz="6" w:space="0" w:color="auto"/>
                        </w:tcBorders>
                      </w:tcPr>
                      <w:p>
                        <w:pPr>
                          <w:pStyle w:val="TableParagraph"/>
                          <w:spacing w:line="244" w:lineRule="exact"/>
                          <w:ind w:right="112"/>
                          <w:jc w:val="right"/>
                          <w:rPr>
                            <w:rFonts w:ascii="Calibri" w:hAnsi="Calibri" w:cs="Calibri" w:eastAsia="Calibri" w:hint="default"/>
                            <w:sz w:val="20"/>
                            <w:szCs w:val="20"/>
                          </w:rPr>
                        </w:pPr>
                        <w:r>
                          <w:rPr>
                            <w:rFonts w:ascii="Calibri"/>
                            <w:b/>
                            <w:sz w:val="20"/>
                          </w:rPr>
                          <w:t>Total Per</w:t>
                        </w:r>
                        <w:r>
                          <w:rPr>
                            <w:rFonts w:ascii="Calibri"/>
                            <w:b/>
                            <w:spacing w:val="-9"/>
                            <w:sz w:val="20"/>
                          </w:rPr>
                          <w:t> </w:t>
                        </w:r>
                        <w:r>
                          <w:rPr>
                            <w:rFonts w:ascii="Calibri"/>
                            <w:b/>
                            <w:sz w:val="20"/>
                          </w:rPr>
                          <w:t>Trip</w:t>
                        </w:r>
                        <w:r>
                          <w:rPr>
                            <w:rFonts w:ascii="Calibri"/>
                            <w:sz w:val="20"/>
                          </w:rPr>
                        </w:r>
                      </w:p>
                    </w:tc>
                    <w:tc>
                      <w:tcPr>
                        <w:tcW w:w="1375" w:type="dxa"/>
                        <w:tcBorders>
                          <w:top w:val="single" w:sz="4" w:space="0" w:color="000000"/>
                          <w:left w:val="nil" w:sz="6" w:space="0" w:color="auto"/>
                          <w:bottom w:val="nil" w:sz="6" w:space="0" w:color="auto"/>
                          <w:right w:val="nil" w:sz="6" w:space="0" w:color="auto"/>
                        </w:tcBorders>
                      </w:tcPr>
                      <w:p>
                        <w:pPr>
                          <w:pStyle w:val="TableParagraph"/>
                          <w:spacing w:line="244" w:lineRule="exact"/>
                          <w:ind w:right="122"/>
                          <w:jc w:val="center"/>
                          <w:rPr>
                            <w:rFonts w:ascii="Calibri" w:hAnsi="Calibri" w:cs="Calibri" w:eastAsia="Calibri" w:hint="default"/>
                            <w:sz w:val="20"/>
                            <w:szCs w:val="20"/>
                          </w:rPr>
                        </w:pPr>
                        <w:r>
                          <w:rPr>
                            <w:rFonts w:ascii="Calibri"/>
                            <w:sz w:val="20"/>
                          </w:rPr>
                          <w:t>$1,033</w:t>
                        </w:r>
                      </w:p>
                    </w:tc>
                    <w:tc>
                      <w:tcPr>
                        <w:tcW w:w="1028" w:type="dxa"/>
                        <w:tcBorders>
                          <w:top w:val="single" w:sz="4" w:space="0" w:color="000000"/>
                          <w:left w:val="nil" w:sz="6" w:space="0" w:color="auto"/>
                          <w:bottom w:val="nil" w:sz="6" w:space="0" w:color="auto"/>
                          <w:right w:val="nil" w:sz="6" w:space="0" w:color="auto"/>
                        </w:tcBorders>
                      </w:tcPr>
                      <w:p>
                        <w:pPr>
                          <w:pStyle w:val="TableParagraph"/>
                          <w:spacing w:line="244" w:lineRule="exact"/>
                          <w:ind w:right="1"/>
                          <w:jc w:val="center"/>
                          <w:rPr>
                            <w:rFonts w:ascii="Calibri" w:hAnsi="Calibri" w:cs="Calibri" w:eastAsia="Calibri" w:hint="default"/>
                            <w:sz w:val="20"/>
                            <w:szCs w:val="20"/>
                          </w:rPr>
                        </w:pPr>
                        <w:r>
                          <w:rPr>
                            <w:rFonts w:ascii="Calibri"/>
                            <w:sz w:val="20"/>
                          </w:rPr>
                          <w:t>$1,063</w:t>
                        </w:r>
                      </w:p>
                    </w:tc>
                    <w:tc>
                      <w:tcPr>
                        <w:tcW w:w="1439" w:type="dxa"/>
                        <w:tcBorders>
                          <w:top w:val="single" w:sz="4" w:space="0" w:color="000000"/>
                          <w:left w:val="nil" w:sz="6" w:space="0" w:color="auto"/>
                          <w:bottom w:val="nil" w:sz="6" w:space="0" w:color="auto"/>
                          <w:right w:val="nil" w:sz="6" w:space="0" w:color="auto"/>
                        </w:tcBorders>
                      </w:tcPr>
                      <w:p>
                        <w:pPr>
                          <w:pStyle w:val="TableParagraph"/>
                          <w:spacing w:line="244" w:lineRule="exact"/>
                          <w:ind w:right="524"/>
                          <w:jc w:val="right"/>
                          <w:rPr>
                            <w:rFonts w:ascii="Calibri" w:hAnsi="Calibri" w:cs="Calibri" w:eastAsia="Calibri" w:hint="default"/>
                            <w:sz w:val="20"/>
                            <w:szCs w:val="20"/>
                          </w:rPr>
                        </w:pPr>
                        <w:r>
                          <w:rPr>
                            <w:rFonts w:ascii="Calibri"/>
                            <w:spacing w:val="-1"/>
                            <w:w w:val="95"/>
                            <w:sz w:val="20"/>
                          </w:rPr>
                          <w:t>$594</w:t>
                        </w:r>
                        <w:r>
                          <w:rPr>
                            <w:rFonts w:ascii="Calibri"/>
                            <w:spacing w:val="-1"/>
                            <w:sz w:val="20"/>
                          </w:rPr>
                        </w:r>
                      </w:p>
                    </w:tc>
                    <w:tc>
                      <w:tcPr>
                        <w:tcW w:w="1170" w:type="dxa"/>
                        <w:tcBorders>
                          <w:top w:val="single" w:sz="4" w:space="0" w:color="000000"/>
                          <w:left w:val="nil" w:sz="6" w:space="0" w:color="auto"/>
                          <w:bottom w:val="nil" w:sz="6" w:space="0" w:color="auto"/>
                          <w:right w:val="nil" w:sz="6" w:space="0" w:color="auto"/>
                        </w:tcBorders>
                      </w:tcPr>
                      <w:p>
                        <w:pPr>
                          <w:pStyle w:val="TableParagraph"/>
                          <w:spacing w:line="244" w:lineRule="exact"/>
                          <w:ind w:left="258" w:right="0"/>
                          <w:jc w:val="left"/>
                          <w:rPr>
                            <w:rFonts w:ascii="Calibri" w:hAnsi="Calibri" w:cs="Calibri" w:eastAsia="Calibri" w:hint="default"/>
                            <w:sz w:val="20"/>
                            <w:szCs w:val="20"/>
                          </w:rPr>
                        </w:pPr>
                        <w:r>
                          <w:rPr>
                            <w:rFonts w:ascii="Calibri"/>
                            <w:sz w:val="20"/>
                          </w:rPr>
                          <w:t>$1,020</w:t>
                        </w:r>
                      </w:p>
                    </w:tc>
                  </w:tr>
                  <w:tr>
                    <w:trPr>
                      <w:trHeight w:val="232" w:hRule="exact"/>
                    </w:trPr>
                    <w:tc>
                      <w:tcPr>
                        <w:tcW w:w="4462" w:type="dxa"/>
                        <w:tcBorders>
                          <w:top w:val="nil" w:sz="6" w:space="0" w:color="auto"/>
                          <w:left w:val="nil" w:sz="6" w:space="0" w:color="auto"/>
                          <w:bottom w:val="single" w:sz="4" w:space="0" w:color="000000"/>
                          <w:right w:val="nil" w:sz="6" w:space="0" w:color="auto"/>
                        </w:tcBorders>
                      </w:tcPr>
                      <w:p>
                        <w:pPr>
                          <w:pStyle w:val="TableParagraph"/>
                          <w:spacing w:line="226" w:lineRule="exact"/>
                          <w:ind w:right="113"/>
                          <w:jc w:val="right"/>
                          <w:rPr>
                            <w:rFonts w:ascii="Calibri" w:hAnsi="Calibri" w:cs="Calibri" w:eastAsia="Calibri" w:hint="default"/>
                            <w:sz w:val="20"/>
                            <w:szCs w:val="20"/>
                          </w:rPr>
                        </w:pPr>
                        <w:r>
                          <w:rPr>
                            <w:rFonts w:ascii="Calibri"/>
                            <w:b/>
                            <w:sz w:val="20"/>
                          </w:rPr>
                          <w:t>Total Per</w:t>
                        </w:r>
                        <w:r>
                          <w:rPr>
                            <w:rFonts w:ascii="Calibri"/>
                            <w:b/>
                            <w:spacing w:val="-11"/>
                            <w:sz w:val="20"/>
                          </w:rPr>
                          <w:t> </w:t>
                        </w:r>
                        <w:r>
                          <w:rPr>
                            <w:rFonts w:ascii="Calibri"/>
                            <w:b/>
                            <w:sz w:val="20"/>
                          </w:rPr>
                          <w:t>Day</w:t>
                        </w:r>
                        <w:r>
                          <w:rPr>
                            <w:rFonts w:ascii="Calibri"/>
                            <w:sz w:val="20"/>
                          </w:rPr>
                        </w:r>
                      </w:p>
                    </w:tc>
                    <w:tc>
                      <w:tcPr>
                        <w:tcW w:w="1375" w:type="dxa"/>
                        <w:tcBorders>
                          <w:top w:val="nil" w:sz="6" w:space="0" w:color="auto"/>
                          <w:left w:val="nil" w:sz="6" w:space="0" w:color="auto"/>
                          <w:bottom w:val="single" w:sz="4" w:space="0" w:color="000000"/>
                          <w:right w:val="nil" w:sz="6" w:space="0" w:color="auto"/>
                        </w:tcBorders>
                      </w:tcPr>
                      <w:p>
                        <w:pPr>
                          <w:pStyle w:val="TableParagraph"/>
                          <w:spacing w:line="226" w:lineRule="exact"/>
                          <w:ind w:right="125"/>
                          <w:jc w:val="center"/>
                          <w:rPr>
                            <w:rFonts w:ascii="Calibri" w:hAnsi="Calibri" w:cs="Calibri" w:eastAsia="Calibri" w:hint="default"/>
                            <w:sz w:val="20"/>
                            <w:szCs w:val="20"/>
                          </w:rPr>
                        </w:pPr>
                        <w:r>
                          <w:rPr>
                            <w:rFonts w:ascii="Calibri"/>
                            <w:sz w:val="20"/>
                          </w:rPr>
                          <w:t>$70</w:t>
                        </w:r>
                      </w:p>
                    </w:tc>
                    <w:tc>
                      <w:tcPr>
                        <w:tcW w:w="1028" w:type="dxa"/>
                        <w:tcBorders>
                          <w:top w:val="nil" w:sz="6" w:space="0" w:color="auto"/>
                          <w:left w:val="nil" w:sz="6" w:space="0" w:color="auto"/>
                          <w:bottom w:val="single" w:sz="4" w:space="0" w:color="000000"/>
                          <w:right w:val="nil" w:sz="6" w:space="0" w:color="auto"/>
                        </w:tcBorders>
                      </w:tcPr>
                      <w:p>
                        <w:pPr>
                          <w:pStyle w:val="TableParagraph"/>
                          <w:spacing w:line="226" w:lineRule="exact"/>
                          <w:ind w:right="0"/>
                          <w:jc w:val="center"/>
                          <w:rPr>
                            <w:rFonts w:ascii="Calibri" w:hAnsi="Calibri" w:cs="Calibri" w:eastAsia="Calibri" w:hint="default"/>
                            <w:sz w:val="20"/>
                            <w:szCs w:val="20"/>
                          </w:rPr>
                        </w:pPr>
                        <w:r>
                          <w:rPr>
                            <w:rFonts w:ascii="Calibri"/>
                            <w:sz w:val="20"/>
                          </w:rPr>
                          <w:t>$113</w:t>
                        </w:r>
                      </w:p>
                    </w:tc>
                    <w:tc>
                      <w:tcPr>
                        <w:tcW w:w="1439" w:type="dxa"/>
                        <w:tcBorders>
                          <w:top w:val="nil" w:sz="6" w:space="0" w:color="auto"/>
                          <w:left w:val="nil" w:sz="6" w:space="0" w:color="auto"/>
                          <w:bottom w:val="single" w:sz="4" w:space="0" w:color="000000"/>
                          <w:right w:val="nil" w:sz="6" w:space="0" w:color="auto"/>
                        </w:tcBorders>
                      </w:tcPr>
                      <w:p>
                        <w:pPr>
                          <w:pStyle w:val="TableParagraph"/>
                          <w:spacing w:line="226" w:lineRule="exact"/>
                          <w:ind w:right="575"/>
                          <w:jc w:val="right"/>
                          <w:rPr>
                            <w:rFonts w:ascii="Calibri" w:hAnsi="Calibri" w:cs="Calibri" w:eastAsia="Calibri" w:hint="default"/>
                            <w:sz w:val="20"/>
                            <w:szCs w:val="20"/>
                          </w:rPr>
                        </w:pPr>
                        <w:r>
                          <w:rPr>
                            <w:rFonts w:ascii="Calibri"/>
                            <w:spacing w:val="-1"/>
                            <w:w w:val="95"/>
                            <w:sz w:val="20"/>
                          </w:rPr>
                          <w:t>$73</w:t>
                        </w:r>
                        <w:r>
                          <w:rPr>
                            <w:rFonts w:ascii="Calibri"/>
                            <w:sz w:val="20"/>
                          </w:rPr>
                        </w:r>
                      </w:p>
                    </w:tc>
                    <w:tc>
                      <w:tcPr>
                        <w:tcW w:w="1170" w:type="dxa"/>
                        <w:tcBorders>
                          <w:top w:val="nil" w:sz="6" w:space="0" w:color="auto"/>
                          <w:left w:val="nil" w:sz="6" w:space="0" w:color="auto"/>
                          <w:bottom w:val="single" w:sz="4" w:space="0" w:color="000000"/>
                          <w:right w:val="nil" w:sz="6" w:space="0" w:color="auto"/>
                        </w:tcBorders>
                      </w:tcPr>
                      <w:p>
                        <w:pPr>
                          <w:pStyle w:val="TableParagraph"/>
                          <w:spacing w:line="226" w:lineRule="exact"/>
                          <w:ind w:left="383" w:right="0"/>
                          <w:jc w:val="left"/>
                          <w:rPr>
                            <w:rFonts w:ascii="Calibri" w:hAnsi="Calibri" w:cs="Calibri" w:eastAsia="Calibri" w:hint="default"/>
                            <w:sz w:val="20"/>
                            <w:szCs w:val="20"/>
                          </w:rPr>
                        </w:pPr>
                        <w:r>
                          <w:rPr>
                            <w:rFonts w:ascii="Calibri"/>
                            <w:sz w:val="20"/>
                          </w:rPr>
                          <w:t>$99</w:t>
                        </w:r>
                      </w:p>
                    </w:tc>
                  </w:tr>
                </w:tbl>
                <w:p>
                  <w:pPr/>
                </w:p>
              </w:txbxContent>
            </v:textbox>
            <w10:wrap type="none"/>
          </v:shape>
        </w:pict>
      </w:r>
      <w:bookmarkStart w:name="_bookmark53" w:id="53"/>
      <w:bookmarkEnd w:id="53"/>
      <w:r>
        <w:rPr>
          <w:b w:val="0"/>
        </w:rPr>
      </w:r>
      <w:r>
        <w:rPr/>
        <w:t>Figure 11: Seasonality in occupancy rates </w:t>
      </w:r>
      <w:bookmarkStart w:name="_bookmark52" w:id="54"/>
      <w:bookmarkEnd w:id="54"/>
      <w:r>
        <w:rPr/>
      </w:r>
      <w:r>
        <w:rPr/>
        <w:t>Table 13:  Non-hotel tourists by</w:t>
      </w:r>
      <w:r>
        <w:rPr>
          <w:spacing w:val="-16"/>
        </w:rPr>
        <w:t> </w:t>
      </w:r>
      <w:r>
        <w:rPr/>
        <w:t>country</w:t>
      </w:r>
      <w:r>
        <w:rPr>
          <w:b w:val="0"/>
        </w:rPr>
      </w: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6"/>
        <w:ind w:right="0"/>
        <w:rPr>
          <w:rFonts w:ascii="Calibri" w:hAnsi="Calibri" w:cs="Calibri" w:eastAsia="Calibri" w:hint="default"/>
          <w:b/>
          <w:bCs/>
          <w:sz w:val="17"/>
          <w:szCs w:val="17"/>
        </w:rPr>
      </w:pPr>
    </w:p>
    <w:p>
      <w:pPr>
        <w:pStyle w:val="BodyText"/>
        <w:spacing w:line="240" w:lineRule="auto" w:before="59"/>
        <w:ind w:right="1438"/>
        <w:jc w:val="both"/>
      </w:pPr>
      <w:r>
        <w:rPr/>
        <w:t>The USA market spends the most per day per person at US$148.4 compared to the Venezuelan/Colombian market (US$105.8), and Dutch market (US$71.4). As evidenced in Table 13, the American non-hotel tourists are again displayed</w:t>
      </w:r>
      <w:r>
        <w:rPr>
          <w:spacing w:val="-13"/>
        </w:rPr>
        <w:t> </w:t>
      </w:r>
      <w:r>
        <w:rPr/>
        <w:t>as</w:t>
      </w:r>
      <w:r>
        <w:rPr>
          <w:spacing w:val="-14"/>
        </w:rPr>
        <w:t> </w:t>
      </w:r>
      <w:r>
        <w:rPr/>
        <w:t>the</w:t>
      </w:r>
      <w:r>
        <w:rPr>
          <w:spacing w:val="-14"/>
        </w:rPr>
        <w:t> </w:t>
      </w:r>
      <w:r>
        <w:rPr/>
        <w:t>largest</w:t>
      </w:r>
      <w:r>
        <w:rPr>
          <w:spacing w:val="-11"/>
        </w:rPr>
        <w:t> </w:t>
      </w:r>
      <w:r>
        <w:rPr/>
        <w:t>spending</w:t>
      </w:r>
      <w:r>
        <w:rPr>
          <w:spacing w:val="-14"/>
        </w:rPr>
        <w:t> </w:t>
      </w:r>
      <w:r>
        <w:rPr/>
        <w:t>per</w:t>
      </w:r>
      <w:r>
        <w:rPr>
          <w:spacing w:val="-14"/>
        </w:rPr>
        <w:t> </w:t>
      </w:r>
      <w:r>
        <w:rPr/>
        <w:t>day</w:t>
      </w:r>
      <w:r>
        <w:rPr>
          <w:spacing w:val="-12"/>
        </w:rPr>
        <w:t> </w:t>
      </w:r>
      <w:r>
        <w:rPr/>
        <w:t>per</w:t>
      </w:r>
      <w:r>
        <w:rPr>
          <w:spacing w:val="-14"/>
        </w:rPr>
        <w:t> </w:t>
      </w:r>
      <w:r>
        <w:rPr/>
        <w:t>person</w:t>
      </w:r>
      <w:r>
        <w:rPr>
          <w:spacing w:val="-13"/>
        </w:rPr>
        <w:t> </w:t>
      </w:r>
      <w:r>
        <w:rPr/>
        <w:t>at</w:t>
      </w:r>
      <w:r>
        <w:rPr>
          <w:spacing w:val="-13"/>
        </w:rPr>
        <w:t> </w:t>
      </w:r>
      <w:r>
        <w:rPr/>
        <w:t>US$113,</w:t>
      </w:r>
      <w:r>
        <w:rPr>
          <w:spacing w:val="-9"/>
        </w:rPr>
        <w:t> </w:t>
      </w:r>
      <w:r>
        <w:rPr/>
        <w:t>followed</w:t>
      </w:r>
      <w:r>
        <w:rPr>
          <w:spacing w:val="-13"/>
        </w:rPr>
        <w:t> </w:t>
      </w:r>
      <w:r>
        <w:rPr/>
        <w:t>by</w:t>
      </w:r>
      <w:r>
        <w:rPr>
          <w:spacing w:val="-13"/>
        </w:rPr>
        <w:t> </w:t>
      </w:r>
      <w:r>
        <w:rPr/>
        <w:t>Venezuela/Colombia</w:t>
      </w:r>
      <w:r>
        <w:rPr>
          <w:spacing w:val="-13"/>
        </w:rPr>
        <w:t> </w:t>
      </w:r>
      <w:r>
        <w:rPr/>
        <w:t>(US$73),</w:t>
      </w:r>
      <w:r>
        <w:rPr>
          <w:spacing w:val="-13"/>
        </w:rPr>
        <w:t> </w:t>
      </w:r>
      <w:r>
        <w:rPr/>
        <w:t>the</w:t>
      </w:r>
      <w:r>
        <w:rPr>
          <w:spacing w:val="-14"/>
        </w:rPr>
        <w:t> </w:t>
      </w:r>
      <w:r>
        <w:rPr/>
        <w:t>Dutch </w:t>
      </w:r>
      <w:r>
        <w:rPr/>
        <w:t>segment (US$70), and Others</w:t>
      </w:r>
      <w:r>
        <w:rPr>
          <w:spacing w:val="-16"/>
        </w:rPr>
        <w:t> </w:t>
      </w:r>
      <w:r>
        <w:rPr/>
        <w:t>(US$99).</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t>In 2014, the accommodations sector observed a 21.9% room tax collection increase. This means that given the increase in tourist arrivals, the room tax increased from US$5.5 in 2013 to US$7.7.  However, it is not known if </w:t>
      </w:r>
      <w:r>
        <w:rPr>
          <w:spacing w:val="7"/>
        </w:rPr>
        <w:t> </w:t>
      </w:r>
      <w:r>
        <w:rPr/>
        <w:t>this</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43"/>
        <w:jc w:val="both"/>
      </w:pPr>
      <w:r>
        <w:rPr/>
        <w:t>increase in room tax collection i</w:t>
      </w:r>
      <w:r>
        <w:rPr>
          <w:rFonts w:ascii="Calibri" w:hAnsi="Calibri" w:cs="Calibri" w:eastAsia="Calibri" w:hint="default"/>
        </w:rPr>
        <w:t>s due to an increase in the accommodations sector’s performance as evidenced by </w:t>
      </w:r>
      <w:r>
        <w:rPr/>
        <w:t>improved</w:t>
      </w:r>
      <w:r>
        <w:rPr>
          <w:spacing w:val="-11"/>
        </w:rPr>
        <w:t> </w:t>
      </w:r>
      <w:r>
        <w:rPr/>
        <w:t>hotel</w:t>
      </w:r>
      <w:r>
        <w:rPr>
          <w:spacing w:val="-12"/>
        </w:rPr>
        <w:t> </w:t>
      </w:r>
      <w:r>
        <w:rPr/>
        <w:t>occupancy</w:t>
      </w:r>
      <w:r>
        <w:rPr>
          <w:spacing w:val="-11"/>
        </w:rPr>
        <w:t> </w:t>
      </w:r>
      <w:r>
        <w:rPr/>
        <w:t>and</w:t>
      </w:r>
      <w:r>
        <w:rPr>
          <w:spacing w:val="-11"/>
        </w:rPr>
        <w:t> </w:t>
      </w:r>
      <w:r>
        <w:rPr/>
        <w:t>RevPAR</w:t>
      </w:r>
      <w:r>
        <w:rPr>
          <w:spacing w:val="-12"/>
        </w:rPr>
        <w:t> </w:t>
      </w:r>
      <w:r>
        <w:rPr/>
        <w:t>values,</w:t>
      </w:r>
      <w:r>
        <w:rPr>
          <w:spacing w:val="-11"/>
        </w:rPr>
        <w:t> </w:t>
      </w:r>
      <w:r>
        <w:rPr/>
        <w:t>or</w:t>
      </w:r>
      <w:r>
        <w:rPr>
          <w:spacing w:val="-12"/>
        </w:rPr>
        <w:t> </w:t>
      </w:r>
      <w:r>
        <w:rPr/>
        <w:t>if</w:t>
      </w:r>
      <w:r>
        <w:rPr>
          <w:spacing w:val="-13"/>
        </w:rPr>
        <w:t> </w:t>
      </w:r>
      <w:r>
        <w:rPr/>
        <w:t>the</w:t>
      </w:r>
      <w:r>
        <w:rPr>
          <w:spacing w:val="-12"/>
        </w:rPr>
        <w:t> </w:t>
      </w:r>
      <w:r>
        <w:rPr/>
        <w:t>increase</w:t>
      </w:r>
      <w:r>
        <w:rPr>
          <w:spacing w:val="-13"/>
        </w:rPr>
        <w:t> </w:t>
      </w:r>
      <w:r>
        <w:rPr/>
        <w:t>is</w:t>
      </w:r>
      <w:r>
        <w:rPr>
          <w:spacing w:val="-13"/>
        </w:rPr>
        <w:t> </w:t>
      </w:r>
      <w:r>
        <w:rPr/>
        <w:t>due</w:t>
      </w:r>
      <w:r>
        <w:rPr>
          <w:spacing w:val="-12"/>
        </w:rPr>
        <w:t> </w:t>
      </w:r>
      <w:r>
        <w:rPr/>
        <w:t>to</w:t>
      </w:r>
      <w:r>
        <w:rPr>
          <w:spacing w:val="-11"/>
        </w:rPr>
        <w:t> </w:t>
      </w:r>
      <w:r>
        <w:rPr/>
        <w:t>improvements</w:t>
      </w:r>
      <w:r>
        <w:rPr>
          <w:spacing w:val="-12"/>
        </w:rPr>
        <w:t> </w:t>
      </w:r>
      <w:r>
        <w:rPr/>
        <w:t>in</w:t>
      </w:r>
      <w:r>
        <w:rPr>
          <w:spacing w:val="-11"/>
        </w:rPr>
        <w:t> </w:t>
      </w:r>
      <w:r>
        <w:rPr/>
        <w:t>the</w:t>
      </w:r>
      <w:r>
        <w:rPr>
          <w:spacing w:val="-12"/>
        </w:rPr>
        <w:t> </w:t>
      </w:r>
      <w:r>
        <w:rPr/>
        <w:t>tax</w:t>
      </w:r>
      <w:r>
        <w:rPr>
          <w:spacing w:val="-12"/>
        </w:rPr>
        <w:t> </w:t>
      </w:r>
      <w:r>
        <w:rPr/>
        <w:t>collection</w:t>
      </w:r>
      <w:r>
        <w:rPr>
          <w:spacing w:val="-11"/>
        </w:rPr>
        <w:t> </w:t>
      </w:r>
      <w:r>
        <w:rPr/>
        <w:t>process.</w:t>
      </w:r>
    </w:p>
    <w:p>
      <w:pPr>
        <w:pStyle w:val="Heading2"/>
        <w:spacing w:line="240" w:lineRule="auto" w:before="155"/>
        <w:ind w:right="0"/>
        <w:jc w:val="both"/>
        <w:rPr>
          <w:b w:val="0"/>
          <w:bCs w:val="0"/>
        </w:rPr>
      </w:pPr>
      <w:bookmarkStart w:name="_bookmark54" w:id="55"/>
      <w:bookmarkEnd w:id="55"/>
      <w:r>
        <w:rPr>
          <w:b w:val="0"/>
        </w:rPr>
      </w:r>
      <w:r>
        <w:rPr/>
        <w:t>The cruise</w:t>
      </w:r>
      <w:r>
        <w:rPr>
          <w:spacing w:val="-10"/>
        </w:rPr>
        <w:t> </w:t>
      </w:r>
      <w:r>
        <w:rPr/>
        <w:t>business</w:t>
      </w:r>
      <w:r>
        <w:rPr>
          <w:b w:val="0"/>
        </w:rPr>
      </w:r>
    </w:p>
    <w:p>
      <w:pPr>
        <w:pStyle w:val="BodyText"/>
        <w:spacing w:line="240" w:lineRule="auto" w:before="191"/>
        <w:ind w:right="1437"/>
        <w:jc w:val="both"/>
        <w:rPr>
          <w:rFonts w:ascii="Calibri" w:hAnsi="Calibri" w:cs="Calibri" w:eastAsia="Calibri" w:hint="default"/>
        </w:rPr>
      </w:pPr>
      <w:r>
        <w:rPr>
          <w:rFonts w:ascii="Calibri" w:hAnsi="Calibri" w:cs="Calibri" w:eastAsia="Calibri" w:hint="default"/>
        </w:rPr>
        <w:t>Curaçao’s tourism sector also includes </w:t>
      </w:r>
      <w:r>
        <w:rPr/>
        <w:t>cruise businesses. </w:t>
      </w:r>
      <w:r>
        <w:rPr>
          <w:rFonts w:ascii="Calibri" w:hAnsi="Calibri" w:cs="Calibri" w:eastAsia="Calibri" w:hint="default"/>
        </w:rPr>
        <w:t>Curaçao’s cruise business</w:t>
      </w:r>
      <w:r>
        <w:rPr/>
        <w:t>es have been thriving in the past few years. In 2013, Curaçao experienced a significant growth of 41% in cruise passengers compared to the year before. Figure 12 depicts the evolution of Curaçao</w:t>
      </w:r>
      <w:r>
        <w:rPr>
          <w:rFonts w:ascii="Calibri" w:hAnsi="Calibri" w:cs="Calibri" w:eastAsia="Calibri" w:hint="default"/>
        </w:rPr>
        <w:t>’s cruise busin</w:t>
      </w:r>
      <w:r>
        <w:rPr/>
        <w:t>esses over time. The increase in cruise passengers is a direct result of increased ports of call to Curaçao (see Figure 13). Consequently, for the first time, Curaçao was </w:t>
      </w:r>
      <w:r>
        <w:rPr>
          <w:rFonts w:ascii="Calibri" w:hAnsi="Calibri" w:cs="Calibri" w:eastAsia="Calibri" w:hint="default"/>
        </w:rPr>
        <w:t>ranked in the “World’s Top 50 Ports” by </w:t>
      </w:r>
      <w:r>
        <w:rPr>
          <w:rFonts w:ascii="Calibri" w:hAnsi="Calibri" w:cs="Calibri" w:eastAsia="Calibri" w:hint="default"/>
          <w:i/>
        </w:rPr>
        <w:t>Cruise Insight </w:t>
      </w:r>
      <w:r>
        <w:rPr>
          <w:rFonts w:ascii="Calibri" w:hAnsi="Calibri" w:cs="Calibri" w:eastAsia="Calibri" w:hint="default"/>
        </w:rPr>
        <w:t>magazine’s 2013 autumn</w:t>
      </w:r>
      <w:r>
        <w:rPr>
          <w:rFonts w:ascii="Calibri" w:hAnsi="Calibri" w:cs="Calibri" w:eastAsia="Calibri" w:hint="default"/>
          <w:spacing w:val="-26"/>
        </w:rPr>
        <w:t> </w:t>
      </w:r>
      <w:r>
        <w:rPr>
          <w:rFonts w:ascii="Calibri" w:hAnsi="Calibri" w:cs="Calibri" w:eastAsia="Calibri" w:hint="default"/>
        </w:rPr>
        <w:t>issue.</w:t>
      </w:r>
    </w:p>
    <w:p>
      <w:pPr>
        <w:spacing w:line="240" w:lineRule="auto"/>
        <w:ind w:left="144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5834947" cy="1945481"/>
            <wp:effectExtent l="0" t="0" r="0" b="0"/>
            <wp:docPr id="27" name="image17.png" descr=""/>
            <wp:cNvGraphicFramePr>
              <a:graphicFrameLocks noChangeAspect="1"/>
            </wp:cNvGraphicFramePr>
            <a:graphic>
              <a:graphicData uri="http://schemas.openxmlformats.org/drawingml/2006/picture">
                <pic:pic>
                  <pic:nvPicPr>
                    <pic:cNvPr id="28" name="image17.png"/>
                    <pic:cNvPicPr/>
                  </pic:nvPicPr>
                  <pic:blipFill>
                    <a:blip r:embed="rId30" cstate="print"/>
                    <a:stretch>
                      <a:fillRect/>
                    </a:stretch>
                  </pic:blipFill>
                  <pic:spPr>
                    <a:xfrm>
                      <a:off x="0" y="0"/>
                      <a:ext cx="5834947" cy="1945481"/>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56"/>
        <w:ind w:left="25" w:right="26"/>
        <w:jc w:val="center"/>
        <w:rPr>
          <w:b w:val="0"/>
          <w:bCs w:val="0"/>
        </w:rPr>
      </w:pPr>
      <w:bookmarkStart w:name="_bookmark55" w:id="56"/>
      <w:bookmarkEnd w:id="56"/>
      <w:r>
        <w:rPr>
          <w:b w:val="0"/>
          <w:bCs w:val="0"/>
        </w:rPr>
      </w:r>
      <w:r>
        <w:rPr/>
        <w:t>Figure 12:  </w:t>
      </w:r>
      <w:r>
        <w:rPr>
          <w:rFonts w:ascii="Calibri" w:hAnsi="Calibri" w:cs="Calibri" w:eastAsia="Calibri" w:hint="default"/>
        </w:rPr>
        <w:t>Curaçao’s </w:t>
      </w:r>
      <w:r>
        <w:rPr/>
        <w:t>cruise business over</w:t>
      </w:r>
      <w:r>
        <w:rPr>
          <w:spacing w:val="-22"/>
        </w:rPr>
        <w:t> </w:t>
      </w:r>
      <w:r>
        <w:rPr/>
        <w:t>time</w:t>
      </w:r>
      <w:r>
        <w:rPr>
          <w:b w:val="0"/>
          <w:bCs w:val="0"/>
        </w:rPr>
      </w:r>
    </w:p>
    <w:p>
      <w:pPr>
        <w:spacing w:line="240" w:lineRule="auto" w:before="1" w:after="0"/>
        <w:ind w:right="0"/>
        <w:rPr>
          <w:rFonts w:ascii="Calibri" w:hAnsi="Calibri" w:cs="Calibri" w:eastAsia="Calibri" w:hint="default"/>
          <w:b/>
          <w:bCs/>
          <w:sz w:val="20"/>
          <w:szCs w:val="20"/>
        </w:rPr>
      </w:pPr>
    </w:p>
    <w:p>
      <w:pPr>
        <w:spacing w:line="240" w:lineRule="auto"/>
        <w:ind w:left="144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5814276" cy="1879949"/>
            <wp:effectExtent l="0" t="0" r="0" b="0"/>
            <wp:docPr id="29" name="image18.png" descr=""/>
            <wp:cNvGraphicFramePr>
              <a:graphicFrameLocks noChangeAspect="1"/>
            </wp:cNvGraphicFramePr>
            <a:graphic>
              <a:graphicData uri="http://schemas.openxmlformats.org/drawingml/2006/picture">
                <pic:pic>
                  <pic:nvPicPr>
                    <pic:cNvPr id="30" name="image18.png"/>
                    <pic:cNvPicPr/>
                  </pic:nvPicPr>
                  <pic:blipFill>
                    <a:blip r:embed="rId31" cstate="print"/>
                    <a:stretch>
                      <a:fillRect/>
                    </a:stretch>
                  </pic:blipFill>
                  <pic:spPr>
                    <a:xfrm>
                      <a:off x="0" y="0"/>
                      <a:ext cx="5814276" cy="1879949"/>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69"/>
        <w:ind w:right="26"/>
        <w:jc w:val="center"/>
        <w:rPr>
          <w:b w:val="0"/>
          <w:bCs w:val="0"/>
        </w:rPr>
      </w:pPr>
      <w:bookmarkStart w:name="_bookmark56" w:id="57"/>
      <w:bookmarkEnd w:id="57"/>
      <w:r>
        <w:rPr>
          <w:b w:val="0"/>
        </w:rPr>
      </w:r>
      <w:r>
        <w:rPr/>
        <w:t>Figure 13:  Increase in ports of</w:t>
      </w:r>
      <w:r>
        <w:rPr>
          <w:spacing w:val="-15"/>
        </w:rPr>
        <w:t> </w:t>
      </w:r>
      <w:r>
        <w:rPr/>
        <w:t>call</w:t>
      </w:r>
      <w:r>
        <w:rPr>
          <w:b w:val="0"/>
        </w:rPr>
      </w:r>
    </w:p>
    <w:p>
      <w:pPr>
        <w:spacing w:line="240" w:lineRule="auto" w:before="1"/>
        <w:ind w:right="0"/>
        <w:rPr>
          <w:rFonts w:ascii="Calibri" w:hAnsi="Calibri" w:cs="Calibri" w:eastAsia="Calibri" w:hint="default"/>
          <w:b/>
          <w:bCs/>
          <w:sz w:val="20"/>
          <w:szCs w:val="20"/>
        </w:rPr>
      </w:pPr>
    </w:p>
    <w:p>
      <w:pPr>
        <w:pStyle w:val="BodyText"/>
        <w:spacing w:line="240" w:lineRule="auto"/>
        <w:ind w:right="1437"/>
        <w:jc w:val="both"/>
      </w:pPr>
      <w:r>
        <w:rPr>
          <w:rFonts w:ascii="Calibri" w:hAnsi="Calibri" w:cs="Calibri" w:eastAsia="Calibri" w:hint="default"/>
        </w:rPr>
        <w:t>Cruise</w:t>
      </w:r>
      <w:r>
        <w:rPr>
          <w:rFonts w:ascii="Calibri" w:hAnsi="Calibri" w:cs="Calibri" w:eastAsia="Calibri" w:hint="default"/>
          <w:spacing w:val="-10"/>
        </w:rPr>
        <w:t> </w:t>
      </w:r>
      <w:r>
        <w:rPr>
          <w:rFonts w:ascii="Calibri" w:hAnsi="Calibri" w:cs="Calibri" w:eastAsia="Calibri" w:hint="default"/>
        </w:rPr>
        <w:t>visitation</w:t>
      </w:r>
      <w:r>
        <w:rPr>
          <w:rFonts w:ascii="Calibri" w:hAnsi="Calibri" w:cs="Calibri" w:eastAsia="Calibri" w:hint="default"/>
          <w:spacing w:val="-11"/>
        </w:rPr>
        <w:t> </w:t>
      </w:r>
      <w:r>
        <w:rPr>
          <w:rFonts w:ascii="Calibri" w:hAnsi="Calibri" w:cs="Calibri" w:eastAsia="Calibri" w:hint="default"/>
        </w:rPr>
        <w:t>has</w:t>
      </w:r>
      <w:r>
        <w:rPr>
          <w:rFonts w:ascii="Calibri" w:hAnsi="Calibri" w:cs="Calibri" w:eastAsia="Calibri" w:hint="default"/>
          <w:spacing w:val="-12"/>
        </w:rPr>
        <w:t> </w:t>
      </w:r>
      <w:r>
        <w:rPr>
          <w:rFonts w:ascii="Calibri" w:hAnsi="Calibri" w:cs="Calibri" w:eastAsia="Calibri" w:hint="default"/>
        </w:rPr>
        <w:t>clearly</w:t>
      </w:r>
      <w:r>
        <w:rPr>
          <w:rFonts w:ascii="Calibri" w:hAnsi="Calibri" w:cs="Calibri" w:eastAsia="Calibri" w:hint="default"/>
          <w:spacing w:val="-11"/>
        </w:rPr>
        <w:t> </w:t>
      </w:r>
      <w:r>
        <w:rPr>
          <w:rFonts w:ascii="Calibri" w:hAnsi="Calibri" w:cs="Calibri" w:eastAsia="Calibri" w:hint="default"/>
        </w:rPr>
        <w:t>made</w:t>
      </w:r>
      <w:r>
        <w:rPr>
          <w:rFonts w:ascii="Calibri" w:hAnsi="Calibri" w:cs="Calibri" w:eastAsia="Calibri" w:hint="default"/>
          <w:spacing w:val="-12"/>
        </w:rPr>
        <w:t> </w:t>
      </w:r>
      <w:r>
        <w:rPr>
          <w:rFonts w:ascii="Calibri" w:hAnsi="Calibri" w:cs="Calibri" w:eastAsia="Calibri" w:hint="default"/>
        </w:rPr>
        <w:t>inroads</w:t>
      </w:r>
      <w:r>
        <w:rPr>
          <w:rFonts w:ascii="Calibri" w:hAnsi="Calibri" w:cs="Calibri" w:eastAsia="Calibri" w:hint="default"/>
          <w:spacing w:val="-13"/>
        </w:rPr>
        <w:t> </w:t>
      </w:r>
      <w:r>
        <w:rPr>
          <w:rFonts w:ascii="Calibri" w:hAnsi="Calibri" w:cs="Calibri" w:eastAsia="Calibri" w:hint="default"/>
        </w:rPr>
        <w:t>in</w:t>
      </w:r>
      <w:r>
        <w:rPr>
          <w:rFonts w:ascii="Calibri" w:hAnsi="Calibri" w:cs="Calibri" w:eastAsia="Calibri" w:hint="default"/>
          <w:spacing w:val="-11"/>
        </w:rPr>
        <w:t> </w:t>
      </w:r>
      <w:r>
        <w:rPr>
          <w:rFonts w:ascii="Calibri" w:hAnsi="Calibri" w:cs="Calibri" w:eastAsia="Calibri" w:hint="default"/>
        </w:rPr>
        <w:t>Curaçao’s</w:t>
      </w:r>
      <w:r>
        <w:rPr>
          <w:rFonts w:ascii="Calibri" w:hAnsi="Calibri" w:cs="Calibri" w:eastAsia="Calibri" w:hint="default"/>
          <w:spacing w:val="-13"/>
        </w:rPr>
        <w:t> </w:t>
      </w:r>
      <w:r>
        <w:rPr>
          <w:rFonts w:ascii="Calibri" w:hAnsi="Calibri" w:cs="Calibri" w:eastAsia="Calibri" w:hint="default"/>
        </w:rPr>
        <w:t>tourism</w:t>
      </w:r>
      <w:r>
        <w:rPr>
          <w:rFonts w:ascii="Calibri" w:hAnsi="Calibri" w:cs="Calibri" w:eastAsia="Calibri" w:hint="default"/>
          <w:spacing w:val="-12"/>
        </w:rPr>
        <w:t> </w:t>
      </w:r>
      <w:r>
        <w:rPr>
          <w:rFonts w:ascii="Calibri" w:hAnsi="Calibri" w:cs="Calibri" w:eastAsia="Calibri" w:hint="default"/>
        </w:rPr>
        <w:t>industry</w:t>
      </w:r>
      <w:r>
        <w:rPr>
          <w:rFonts w:ascii="Calibri" w:hAnsi="Calibri" w:cs="Calibri" w:eastAsia="Calibri" w:hint="default"/>
          <w:spacing w:val="-10"/>
        </w:rPr>
        <w:t> </w:t>
      </w:r>
      <w:r>
        <w:rPr>
          <w:rFonts w:ascii="Calibri" w:hAnsi="Calibri" w:cs="Calibri" w:eastAsia="Calibri" w:hint="default"/>
        </w:rPr>
        <w:t>over</w:t>
      </w:r>
      <w:r>
        <w:rPr>
          <w:rFonts w:ascii="Calibri" w:hAnsi="Calibri" w:cs="Calibri" w:eastAsia="Calibri" w:hint="default"/>
          <w:spacing w:val="-12"/>
        </w:rPr>
        <w:t> </w:t>
      </w:r>
      <w:r>
        <w:rPr>
          <w:rFonts w:ascii="Calibri" w:hAnsi="Calibri" w:cs="Calibri" w:eastAsia="Calibri" w:hint="default"/>
        </w:rPr>
        <w:t>the</w:t>
      </w:r>
      <w:r>
        <w:rPr>
          <w:rFonts w:ascii="Calibri" w:hAnsi="Calibri" w:cs="Calibri" w:eastAsia="Calibri" w:hint="default"/>
          <w:spacing w:val="-12"/>
        </w:rPr>
        <w:t> </w:t>
      </w:r>
      <w:r>
        <w:rPr>
          <w:rFonts w:ascii="Calibri" w:hAnsi="Calibri" w:cs="Calibri" w:eastAsia="Calibri" w:hint="default"/>
        </w:rPr>
        <w:t>past</w:t>
      </w:r>
      <w:r>
        <w:rPr>
          <w:rFonts w:ascii="Calibri" w:hAnsi="Calibri" w:cs="Calibri" w:eastAsia="Calibri" w:hint="default"/>
          <w:spacing w:val="-11"/>
        </w:rPr>
        <w:t> </w:t>
      </w:r>
      <w:r>
        <w:rPr>
          <w:rFonts w:ascii="Calibri" w:hAnsi="Calibri" w:cs="Calibri" w:eastAsia="Calibri" w:hint="default"/>
        </w:rPr>
        <w:t>fifteen</w:t>
      </w:r>
      <w:r>
        <w:rPr>
          <w:rFonts w:ascii="Calibri" w:hAnsi="Calibri" w:cs="Calibri" w:eastAsia="Calibri" w:hint="default"/>
          <w:spacing w:val="-11"/>
        </w:rPr>
        <w:t> </w:t>
      </w:r>
      <w:r>
        <w:rPr>
          <w:rFonts w:ascii="Calibri" w:hAnsi="Calibri" w:cs="Calibri" w:eastAsia="Calibri" w:hint="default"/>
        </w:rPr>
        <w:t>years.</w:t>
      </w:r>
      <w:r>
        <w:rPr>
          <w:rFonts w:ascii="Calibri" w:hAnsi="Calibri" w:cs="Calibri" w:eastAsia="Calibri" w:hint="default"/>
          <w:spacing w:val="-9"/>
        </w:rPr>
        <w:t> </w:t>
      </w:r>
      <w:r>
        <w:rPr>
          <w:rFonts w:ascii="Calibri" w:hAnsi="Calibri" w:cs="Calibri" w:eastAsia="Calibri" w:hint="default"/>
        </w:rPr>
        <w:t>Cruise</w:t>
      </w:r>
      <w:r>
        <w:rPr>
          <w:rFonts w:ascii="Calibri" w:hAnsi="Calibri" w:cs="Calibri" w:eastAsia="Calibri" w:hint="default"/>
          <w:spacing w:val="-12"/>
        </w:rPr>
        <w:t> </w:t>
      </w:r>
      <w:r>
        <w:rPr>
          <w:rFonts w:ascii="Calibri" w:hAnsi="Calibri" w:cs="Calibri" w:eastAsia="Calibri" w:hint="default"/>
        </w:rPr>
        <w:t>pas</w:t>
      </w:r>
      <w:r>
        <w:rPr/>
        <w:t>sengers increased</w:t>
      </w:r>
      <w:r>
        <w:rPr>
          <w:spacing w:val="-7"/>
        </w:rPr>
        <w:t> </w:t>
      </w:r>
      <w:r>
        <w:rPr/>
        <w:t>on</w:t>
      </w:r>
      <w:r>
        <w:rPr>
          <w:spacing w:val="-7"/>
        </w:rPr>
        <w:t> </w:t>
      </w:r>
      <w:r>
        <w:rPr/>
        <w:t>average</w:t>
      </w:r>
      <w:r>
        <w:rPr>
          <w:spacing w:val="-9"/>
        </w:rPr>
        <w:t> </w:t>
      </w:r>
      <w:r>
        <w:rPr/>
        <w:t>6%</w:t>
      </w:r>
      <w:r>
        <w:rPr>
          <w:spacing w:val="-9"/>
        </w:rPr>
        <w:t> </w:t>
      </w:r>
      <w:r>
        <w:rPr/>
        <w:t>per</w:t>
      </w:r>
      <w:r>
        <w:rPr>
          <w:spacing w:val="-8"/>
        </w:rPr>
        <w:t> </w:t>
      </w:r>
      <w:r>
        <w:rPr/>
        <w:t>year,</w:t>
      </w:r>
      <w:r>
        <w:rPr>
          <w:spacing w:val="-7"/>
        </w:rPr>
        <w:t> </w:t>
      </w:r>
      <w:r>
        <w:rPr/>
        <w:t>while</w:t>
      </w:r>
      <w:r>
        <w:rPr>
          <w:spacing w:val="-9"/>
        </w:rPr>
        <w:t> </w:t>
      </w:r>
      <w:r>
        <w:rPr/>
        <w:t>cruise</w:t>
      </w:r>
      <w:r>
        <w:rPr>
          <w:spacing w:val="-9"/>
        </w:rPr>
        <w:t> </w:t>
      </w:r>
      <w:r>
        <w:rPr/>
        <w:t>calls</w:t>
      </w:r>
      <w:r>
        <w:rPr>
          <w:spacing w:val="-9"/>
        </w:rPr>
        <w:t> </w:t>
      </w:r>
      <w:r>
        <w:rPr/>
        <w:t>increased</w:t>
      </w:r>
      <w:r>
        <w:rPr>
          <w:spacing w:val="-7"/>
        </w:rPr>
        <w:t> </w:t>
      </w:r>
      <w:r>
        <w:rPr/>
        <w:t>on</w:t>
      </w:r>
      <w:r>
        <w:rPr>
          <w:spacing w:val="-9"/>
        </w:rPr>
        <w:t> </w:t>
      </w:r>
      <w:r>
        <w:rPr/>
        <w:t>average</w:t>
      </w:r>
      <w:r>
        <w:rPr>
          <w:spacing w:val="-9"/>
        </w:rPr>
        <w:t> </w:t>
      </w:r>
      <w:r>
        <w:rPr/>
        <w:t>by</w:t>
      </w:r>
      <w:r>
        <w:rPr>
          <w:spacing w:val="-7"/>
        </w:rPr>
        <w:t> </w:t>
      </w:r>
      <w:r>
        <w:rPr/>
        <w:t>3.4%</w:t>
      </w:r>
      <w:r>
        <w:rPr>
          <w:spacing w:val="-9"/>
        </w:rPr>
        <w:t> </w:t>
      </w:r>
      <w:r>
        <w:rPr/>
        <w:t>per</w:t>
      </w:r>
      <w:r>
        <w:rPr>
          <w:spacing w:val="-8"/>
        </w:rPr>
        <w:t> </w:t>
      </w:r>
      <w:r>
        <w:rPr/>
        <w:t>year</w:t>
      </w:r>
      <w:r>
        <w:rPr>
          <w:spacing w:val="-7"/>
        </w:rPr>
        <w:t> </w:t>
      </w:r>
      <w:r>
        <w:rPr/>
        <w:t>over</w:t>
      </w:r>
      <w:r>
        <w:rPr>
          <w:spacing w:val="-8"/>
        </w:rPr>
        <w:t> </w:t>
      </w:r>
      <w:r>
        <w:rPr/>
        <w:t>the</w:t>
      </w:r>
      <w:r>
        <w:rPr>
          <w:spacing w:val="-9"/>
        </w:rPr>
        <w:t> </w:t>
      </w:r>
      <w:r>
        <w:rPr/>
        <w:t>same</w:t>
      </w:r>
      <w:r>
        <w:rPr>
          <w:spacing w:val="-9"/>
        </w:rPr>
        <w:t> </w:t>
      </w:r>
      <w:r>
        <w:rPr/>
        <w:t>time</w:t>
      </w:r>
      <w:r>
        <w:rPr>
          <w:spacing w:val="-9"/>
        </w:rPr>
        <w:t> </w:t>
      </w:r>
      <w:r>
        <w:rPr/>
        <w:t>span. </w:t>
      </w:r>
      <w:r>
        <w:rPr/>
        <w:t>Cruise business at the destination reveals two important characteristics, i.e., arrivals have been growing faster than calls</w:t>
      </w:r>
      <w:r>
        <w:rPr>
          <w:spacing w:val="-4"/>
        </w:rPr>
        <w:t> </w:t>
      </w:r>
      <w:r>
        <w:rPr/>
        <w:t>while</w:t>
      </w:r>
      <w:r>
        <w:rPr>
          <w:spacing w:val="-3"/>
        </w:rPr>
        <w:t> </w:t>
      </w:r>
      <w:r>
        <w:rPr/>
        <w:t>the</w:t>
      </w:r>
      <w:r>
        <w:rPr>
          <w:spacing w:val="-3"/>
        </w:rPr>
        <w:t> </w:t>
      </w:r>
      <w:r>
        <w:rPr/>
        <w:t>destination</w:t>
      </w:r>
      <w:r>
        <w:rPr>
          <w:spacing w:val="-2"/>
        </w:rPr>
        <w:t> </w:t>
      </w:r>
      <w:r>
        <w:rPr/>
        <w:t>has</w:t>
      </w:r>
      <w:r>
        <w:rPr>
          <w:spacing w:val="-3"/>
        </w:rPr>
        <w:t> </w:t>
      </w:r>
      <w:r>
        <w:rPr/>
        <w:t>displayed</w:t>
      </w:r>
      <w:r>
        <w:rPr>
          <w:spacing w:val="-2"/>
        </w:rPr>
        <w:t> </w:t>
      </w:r>
      <w:r>
        <w:rPr/>
        <w:t>one</w:t>
      </w:r>
      <w:r>
        <w:rPr>
          <w:spacing w:val="-3"/>
        </w:rPr>
        <w:t> </w:t>
      </w:r>
      <w:r>
        <w:rPr/>
        <w:t>of</w:t>
      </w:r>
      <w:r>
        <w:rPr>
          <w:spacing w:val="-4"/>
        </w:rPr>
        <w:t> </w:t>
      </w:r>
      <w:r>
        <w:rPr/>
        <w:t>the</w:t>
      </w:r>
      <w:r>
        <w:rPr>
          <w:spacing w:val="-3"/>
        </w:rPr>
        <w:t> </w:t>
      </w:r>
      <w:r>
        <w:rPr/>
        <w:t>strongest</w:t>
      </w:r>
      <w:r>
        <w:rPr>
          <w:spacing w:val="-2"/>
        </w:rPr>
        <w:t> </w:t>
      </w:r>
      <w:r>
        <w:rPr/>
        <w:t>cruise</w:t>
      </w:r>
      <w:r>
        <w:rPr>
          <w:spacing w:val="-3"/>
        </w:rPr>
        <w:t> </w:t>
      </w:r>
      <w:r>
        <w:rPr/>
        <w:t>passenger</w:t>
      </w:r>
      <w:r>
        <w:rPr>
          <w:spacing w:val="4"/>
        </w:rPr>
        <w:t> </w:t>
      </w:r>
      <w:r>
        <w:rPr/>
        <w:t>increases</w:t>
      </w:r>
      <w:r>
        <w:rPr>
          <w:spacing w:val="-3"/>
        </w:rPr>
        <w:t> </w:t>
      </w:r>
      <w:r>
        <w:rPr/>
        <w:t>in</w:t>
      </w:r>
      <w:r>
        <w:rPr>
          <w:spacing w:val="-2"/>
        </w:rPr>
        <w:t> </w:t>
      </w:r>
      <w:r>
        <w:rPr/>
        <w:t>the</w:t>
      </w:r>
      <w:r>
        <w:rPr>
          <w:spacing w:val="-3"/>
        </w:rPr>
        <w:t> </w:t>
      </w:r>
      <w:r>
        <w:rPr/>
        <w:t>region.</w:t>
      </w:r>
    </w:p>
    <w:p>
      <w:pPr>
        <w:spacing w:line="240" w:lineRule="auto" w:before="12"/>
        <w:ind w:right="0"/>
        <w:rPr>
          <w:rFonts w:ascii="Calibri" w:hAnsi="Calibri" w:cs="Calibri" w:eastAsia="Calibri" w:hint="default"/>
          <w:sz w:val="19"/>
          <w:szCs w:val="19"/>
        </w:rPr>
      </w:pPr>
    </w:p>
    <w:p>
      <w:pPr>
        <w:pStyle w:val="BodyText"/>
        <w:spacing w:line="240" w:lineRule="auto"/>
        <w:ind w:right="1436"/>
        <w:jc w:val="both"/>
      </w:pPr>
      <w:r>
        <w:rPr/>
        <w:t>Given the prominence of this industry subsector, the DPITS conducted a survey among cruise passengers and crew members in the months of January to March, 2015. The survey aimed to estimate the economic impact of the subsector,</w:t>
      </w:r>
      <w:r>
        <w:rPr>
          <w:spacing w:val="-4"/>
        </w:rPr>
        <w:t> </w:t>
      </w:r>
      <w:r>
        <w:rPr/>
        <w:t>the</w:t>
      </w:r>
      <w:r>
        <w:rPr>
          <w:spacing w:val="-5"/>
        </w:rPr>
        <w:t> </w:t>
      </w:r>
      <w:r>
        <w:rPr/>
        <w:t>level</w:t>
      </w:r>
      <w:r>
        <w:rPr>
          <w:spacing w:val="-5"/>
        </w:rPr>
        <w:t> </w:t>
      </w:r>
      <w:r>
        <w:rPr/>
        <w:t>of</w:t>
      </w:r>
      <w:r>
        <w:rPr>
          <w:spacing w:val="-2"/>
        </w:rPr>
        <w:t> </w:t>
      </w:r>
      <w:r>
        <w:rPr/>
        <w:t>visitor</w:t>
      </w:r>
      <w:r>
        <w:rPr>
          <w:spacing w:val="-2"/>
        </w:rPr>
        <w:t> </w:t>
      </w:r>
      <w:r>
        <w:rPr/>
        <w:t>satisfaction,</w:t>
      </w:r>
      <w:r>
        <w:rPr>
          <w:spacing w:val="-4"/>
        </w:rPr>
        <w:t> </w:t>
      </w:r>
      <w:r>
        <w:rPr/>
        <w:t>and</w:t>
      </w:r>
      <w:r>
        <w:rPr>
          <w:spacing w:val="-3"/>
        </w:rPr>
        <w:t> </w:t>
      </w:r>
      <w:r>
        <w:rPr>
          <w:rFonts w:ascii="Calibri" w:hAnsi="Calibri" w:cs="Calibri" w:eastAsia="Calibri" w:hint="default"/>
        </w:rPr>
        <w:t>the</w:t>
      </w:r>
      <w:r>
        <w:rPr>
          <w:rFonts w:ascii="Calibri" w:hAnsi="Calibri" w:cs="Calibri" w:eastAsia="Calibri" w:hint="default"/>
          <w:spacing w:val="-5"/>
        </w:rPr>
        <w:t> </w:t>
      </w:r>
      <w:r>
        <w:rPr>
          <w:rFonts w:ascii="Calibri" w:hAnsi="Calibri" w:cs="Calibri" w:eastAsia="Calibri" w:hint="default"/>
        </w:rPr>
        <w:t>cruise</w:t>
      </w:r>
      <w:r>
        <w:rPr>
          <w:rFonts w:ascii="Calibri" w:hAnsi="Calibri" w:cs="Calibri" w:eastAsia="Calibri" w:hint="default"/>
          <w:spacing w:val="-5"/>
        </w:rPr>
        <w:t> </w:t>
      </w:r>
      <w:r>
        <w:rPr>
          <w:rFonts w:ascii="Calibri" w:hAnsi="Calibri" w:cs="Calibri" w:eastAsia="Calibri" w:hint="default"/>
        </w:rPr>
        <w:t>passengers’</w:t>
      </w:r>
      <w:r>
        <w:rPr>
          <w:rFonts w:ascii="Calibri" w:hAnsi="Calibri" w:cs="Calibri" w:eastAsia="Calibri" w:hint="default"/>
          <w:spacing w:val="-2"/>
        </w:rPr>
        <w:t> </w:t>
      </w:r>
      <w:r>
        <w:rPr/>
        <w:t>intention</w:t>
      </w:r>
      <w:r>
        <w:rPr>
          <w:spacing w:val="-4"/>
        </w:rPr>
        <w:t> </w:t>
      </w:r>
      <w:r>
        <w:rPr/>
        <w:t>to</w:t>
      </w:r>
      <w:r>
        <w:rPr>
          <w:spacing w:val="-4"/>
        </w:rPr>
        <w:t> </w:t>
      </w:r>
      <w:r>
        <w:rPr/>
        <w:t>return</w:t>
      </w:r>
      <w:r>
        <w:rPr>
          <w:spacing w:val="-4"/>
        </w:rPr>
        <w:t> </w:t>
      </w:r>
      <w:r>
        <w:rPr/>
        <w:t>to</w:t>
      </w:r>
      <w:r>
        <w:rPr>
          <w:spacing w:val="-4"/>
        </w:rPr>
        <w:t> </w:t>
      </w:r>
      <w:r>
        <w:rPr/>
        <w:t>the</w:t>
      </w:r>
      <w:r>
        <w:rPr>
          <w:spacing w:val="-5"/>
        </w:rPr>
        <w:t> </w:t>
      </w:r>
      <w:r>
        <w:rPr/>
        <w:t>island.</w:t>
      </w:r>
      <w:r>
        <w:rPr>
          <w:spacing w:val="-1"/>
        </w:rPr>
        <w:t> </w:t>
      </w:r>
      <w:r>
        <w:rPr/>
        <w:t>A</w:t>
      </w:r>
      <w:r>
        <w:rPr>
          <w:spacing w:val="-5"/>
        </w:rPr>
        <w:t> </w:t>
      </w:r>
      <w:r>
        <w:rPr/>
        <w:t>total</w:t>
      </w:r>
      <w:r>
        <w:rPr>
          <w:spacing w:val="-5"/>
        </w:rPr>
        <w:t> </w:t>
      </w:r>
      <w:r>
        <w:rPr/>
        <w:t>of</w:t>
      </w:r>
      <w:r>
        <w:rPr>
          <w:spacing w:val="-5"/>
        </w:rPr>
        <w:t> </w:t>
      </w:r>
      <w:r>
        <w:rPr/>
        <w:t>897 </w:t>
      </w:r>
      <w:r>
        <w:rPr/>
        <w:t>cruise surveys were collected at the harbor.</w:t>
      </w:r>
      <w:r>
        <w:rPr>
          <w:position w:val="5"/>
          <w:sz w:val="12"/>
          <w:szCs w:val="12"/>
        </w:rPr>
        <w:t>25 </w:t>
      </w:r>
      <w:r>
        <w:rPr>
          <w:rFonts w:ascii="Calibri" w:hAnsi="Calibri" w:cs="Calibri" w:eastAsia="Calibri" w:hint="default"/>
        </w:rPr>
        <w:t>Cruise survey respondents’ spen</w:t>
      </w:r>
      <w:r>
        <w:rPr/>
        <w:t>ding behavior is revealed in Table 14. The spending per passenger amounted to US$71.19, while the spending per crew member accounted for US$100.38.</w:t>
      </w:r>
      <w:r>
        <w:rPr>
          <w:position w:val="5"/>
          <w:sz w:val="12"/>
          <w:szCs w:val="12"/>
        </w:rPr>
        <w:t>26    </w:t>
      </w:r>
      <w:r>
        <w:rPr/>
        <w:t>The total cruise business contribution to the local economy amounted to US$41.6 million based   </w:t>
      </w:r>
      <w:r>
        <w:rPr>
          <w:spacing w:val="1"/>
        </w:rPr>
        <w:t> </w:t>
      </w:r>
      <w:r>
        <w:rPr/>
        <w:t>on</w:t>
      </w:r>
    </w:p>
    <w:p>
      <w:pPr>
        <w:spacing w:line="240" w:lineRule="auto" w:before="9"/>
        <w:ind w:right="0"/>
        <w:rPr>
          <w:rFonts w:ascii="Calibri" w:hAnsi="Calibri" w:cs="Calibri" w:eastAsia="Calibri" w:hint="default"/>
          <w:sz w:val="12"/>
          <w:szCs w:val="12"/>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before="91"/>
        <w:ind w:left="1440" w:right="0" w:firstLine="0"/>
        <w:jc w:val="left"/>
        <w:rPr>
          <w:rFonts w:ascii="Calibri" w:hAnsi="Calibri" w:cs="Calibri" w:eastAsia="Calibri" w:hint="default"/>
          <w:sz w:val="16"/>
          <w:szCs w:val="16"/>
        </w:rPr>
      </w:pPr>
      <w:r>
        <w:rPr>
          <w:rFonts w:ascii="Calibri" w:hAnsi="Calibri"/>
          <w:position w:val="5"/>
          <w:sz w:val="12"/>
        </w:rPr>
        <w:t>25</w:t>
      </w:r>
      <w:r>
        <w:rPr>
          <w:rFonts w:ascii="Calibri" w:hAnsi="Calibri"/>
          <w:spacing w:val="6"/>
          <w:position w:val="5"/>
          <w:sz w:val="12"/>
        </w:rPr>
        <w:t> </w:t>
      </w:r>
      <w:r>
        <w:rPr>
          <w:rFonts w:ascii="Calibri" w:hAnsi="Calibri"/>
          <w:sz w:val="16"/>
        </w:rPr>
        <w:t>The</w:t>
      </w:r>
      <w:r>
        <w:rPr>
          <w:rFonts w:ascii="Calibri" w:hAnsi="Calibri"/>
          <w:spacing w:val="-4"/>
          <w:sz w:val="16"/>
        </w:rPr>
        <w:t> </w:t>
      </w:r>
      <w:r>
        <w:rPr>
          <w:rFonts w:ascii="Calibri" w:hAnsi="Calibri"/>
          <w:sz w:val="16"/>
        </w:rPr>
        <w:t>DPITS</w:t>
      </w:r>
      <w:r>
        <w:rPr>
          <w:rFonts w:ascii="Calibri" w:hAnsi="Calibri"/>
          <w:spacing w:val="-2"/>
          <w:sz w:val="16"/>
        </w:rPr>
        <w:t> </w:t>
      </w:r>
      <w:r>
        <w:rPr>
          <w:rFonts w:ascii="Calibri" w:hAnsi="Calibri"/>
          <w:sz w:val="16"/>
        </w:rPr>
        <w:t>is</w:t>
      </w:r>
      <w:r>
        <w:rPr>
          <w:rFonts w:ascii="Calibri" w:hAnsi="Calibri"/>
          <w:spacing w:val="-3"/>
          <w:sz w:val="16"/>
        </w:rPr>
        <w:t> </w:t>
      </w:r>
      <w:r>
        <w:rPr>
          <w:rFonts w:ascii="Calibri" w:hAnsi="Calibri"/>
          <w:sz w:val="16"/>
        </w:rPr>
        <w:t>indebted</w:t>
      </w:r>
      <w:r>
        <w:rPr>
          <w:rFonts w:ascii="Calibri" w:hAnsi="Calibri"/>
          <w:spacing w:val="-3"/>
          <w:sz w:val="16"/>
        </w:rPr>
        <w:t> </w:t>
      </w:r>
      <w:r>
        <w:rPr>
          <w:rFonts w:ascii="Calibri" w:hAnsi="Calibri"/>
          <w:sz w:val="16"/>
        </w:rPr>
        <w:t>to</w:t>
      </w:r>
      <w:r>
        <w:rPr>
          <w:rFonts w:ascii="Calibri" w:hAnsi="Calibri"/>
          <w:spacing w:val="-1"/>
          <w:sz w:val="16"/>
        </w:rPr>
        <w:t> </w:t>
      </w:r>
      <w:r>
        <w:rPr>
          <w:rFonts w:ascii="Calibri" w:hAnsi="Calibri"/>
          <w:sz w:val="16"/>
        </w:rPr>
        <w:t>the</w:t>
      </w:r>
      <w:r>
        <w:rPr>
          <w:rFonts w:ascii="Calibri" w:hAnsi="Calibri"/>
          <w:spacing w:val="-3"/>
          <w:sz w:val="16"/>
        </w:rPr>
        <w:t> </w:t>
      </w:r>
      <w:r>
        <w:rPr>
          <w:rFonts w:ascii="Calibri" w:hAnsi="Calibri"/>
          <w:sz w:val="16"/>
        </w:rPr>
        <w:t>Curaçao</w:t>
      </w:r>
      <w:r>
        <w:rPr>
          <w:rFonts w:ascii="Calibri" w:hAnsi="Calibri"/>
          <w:spacing w:val="-1"/>
          <w:sz w:val="16"/>
        </w:rPr>
        <w:t> </w:t>
      </w:r>
      <w:r>
        <w:rPr>
          <w:rFonts w:ascii="Calibri" w:hAnsi="Calibri"/>
          <w:sz w:val="16"/>
        </w:rPr>
        <w:t>Port</w:t>
      </w:r>
      <w:r>
        <w:rPr>
          <w:rFonts w:ascii="Calibri" w:hAnsi="Calibri"/>
          <w:spacing w:val="-3"/>
          <w:sz w:val="16"/>
        </w:rPr>
        <w:t> </w:t>
      </w:r>
      <w:r>
        <w:rPr>
          <w:rFonts w:ascii="Calibri" w:hAnsi="Calibri"/>
          <w:sz w:val="16"/>
        </w:rPr>
        <w:t>Authority</w:t>
      </w:r>
      <w:r>
        <w:rPr>
          <w:rFonts w:ascii="Calibri" w:hAnsi="Calibri"/>
          <w:spacing w:val="-3"/>
          <w:sz w:val="16"/>
        </w:rPr>
        <w:t> </w:t>
      </w:r>
      <w:r>
        <w:rPr>
          <w:rFonts w:ascii="Calibri" w:hAnsi="Calibri"/>
          <w:sz w:val="16"/>
        </w:rPr>
        <w:t>(CPA)</w:t>
      </w:r>
      <w:r>
        <w:rPr>
          <w:rFonts w:ascii="Calibri" w:hAnsi="Calibri"/>
          <w:spacing w:val="-3"/>
          <w:sz w:val="16"/>
        </w:rPr>
        <w:t> </w:t>
      </w:r>
      <w:r>
        <w:rPr>
          <w:rFonts w:ascii="Calibri" w:hAnsi="Calibri"/>
          <w:sz w:val="16"/>
        </w:rPr>
        <w:t>staff</w:t>
      </w:r>
      <w:r>
        <w:rPr>
          <w:rFonts w:ascii="Calibri" w:hAnsi="Calibri"/>
          <w:spacing w:val="-3"/>
          <w:sz w:val="16"/>
        </w:rPr>
        <w:t> </w:t>
      </w:r>
      <w:r>
        <w:rPr>
          <w:rFonts w:ascii="Calibri" w:hAnsi="Calibri"/>
          <w:sz w:val="16"/>
        </w:rPr>
        <w:t>for</w:t>
      </w:r>
      <w:r>
        <w:rPr>
          <w:rFonts w:ascii="Calibri" w:hAnsi="Calibri"/>
          <w:spacing w:val="-3"/>
          <w:sz w:val="16"/>
        </w:rPr>
        <w:t> </w:t>
      </w:r>
      <w:r>
        <w:rPr>
          <w:rFonts w:ascii="Calibri" w:hAnsi="Calibri"/>
          <w:sz w:val="16"/>
        </w:rPr>
        <w:t>their</w:t>
      </w:r>
      <w:r>
        <w:rPr>
          <w:rFonts w:ascii="Calibri" w:hAnsi="Calibri"/>
          <w:spacing w:val="-3"/>
          <w:sz w:val="16"/>
        </w:rPr>
        <w:t> </w:t>
      </w:r>
      <w:r>
        <w:rPr>
          <w:rFonts w:ascii="Calibri" w:hAnsi="Calibri"/>
          <w:sz w:val="16"/>
        </w:rPr>
        <w:t>valuable</w:t>
      </w:r>
      <w:r>
        <w:rPr>
          <w:rFonts w:ascii="Calibri" w:hAnsi="Calibri"/>
          <w:spacing w:val="-3"/>
          <w:sz w:val="16"/>
        </w:rPr>
        <w:t> </w:t>
      </w:r>
      <w:r>
        <w:rPr>
          <w:rFonts w:ascii="Calibri" w:hAnsi="Calibri"/>
          <w:sz w:val="16"/>
        </w:rPr>
        <w:t>assistance</w:t>
      </w:r>
      <w:r>
        <w:rPr>
          <w:rFonts w:ascii="Calibri" w:hAnsi="Calibri"/>
          <w:spacing w:val="-3"/>
          <w:sz w:val="16"/>
        </w:rPr>
        <w:t> </w:t>
      </w:r>
      <w:r>
        <w:rPr>
          <w:rFonts w:ascii="Calibri" w:hAnsi="Calibri"/>
          <w:sz w:val="16"/>
        </w:rPr>
        <w:t>in</w:t>
      </w:r>
      <w:r>
        <w:rPr>
          <w:rFonts w:ascii="Calibri" w:hAnsi="Calibri"/>
          <w:spacing w:val="-1"/>
          <w:sz w:val="16"/>
        </w:rPr>
        <w:t> </w:t>
      </w:r>
      <w:r>
        <w:rPr>
          <w:rFonts w:ascii="Calibri" w:hAnsi="Calibri"/>
          <w:sz w:val="16"/>
        </w:rPr>
        <w:t>the</w:t>
      </w:r>
      <w:r>
        <w:rPr>
          <w:rFonts w:ascii="Calibri" w:hAnsi="Calibri"/>
          <w:spacing w:val="-4"/>
          <w:sz w:val="16"/>
        </w:rPr>
        <w:t> </w:t>
      </w:r>
      <w:r>
        <w:rPr>
          <w:rFonts w:ascii="Calibri" w:hAnsi="Calibri"/>
          <w:sz w:val="16"/>
        </w:rPr>
        <w:t>administration</w:t>
      </w:r>
      <w:r>
        <w:rPr>
          <w:rFonts w:ascii="Calibri" w:hAnsi="Calibri"/>
          <w:spacing w:val="-3"/>
          <w:sz w:val="16"/>
        </w:rPr>
        <w:t> </w:t>
      </w:r>
      <w:r>
        <w:rPr>
          <w:rFonts w:ascii="Calibri" w:hAnsi="Calibri"/>
          <w:sz w:val="16"/>
        </w:rPr>
        <w:t>of</w:t>
      </w:r>
      <w:r>
        <w:rPr>
          <w:rFonts w:ascii="Calibri" w:hAnsi="Calibri"/>
          <w:spacing w:val="-3"/>
          <w:sz w:val="16"/>
        </w:rPr>
        <w:t> </w:t>
      </w:r>
      <w:r>
        <w:rPr>
          <w:rFonts w:ascii="Calibri" w:hAnsi="Calibri"/>
          <w:sz w:val="16"/>
        </w:rPr>
        <w:t>the</w:t>
      </w:r>
      <w:r>
        <w:rPr>
          <w:rFonts w:ascii="Calibri" w:hAnsi="Calibri"/>
          <w:spacing w:val="-4"/>
          <w:sz w:val="16"/>
        </w:rPr>
        <w:t> </w:t>
      </w:r>
      <w:r>
        <w:rPr>
          <w:rFonts w:ascii="Calibri" w:hAnsi="Calibri"/>
          <w:sz w:val="16"/>
        </w:rPr>
        <w:t>data</w:t>
      </w:r>
      <w:r>
        <w:rPr>
          <w:rFonts w:ascii="Calibri" w:hAnsi="Calibri"/>
          <w:spacing w:val="-3"/>
          <w:sz w:val="16"/>
        </w:rPr>
        <w:t> </w:t>
      </w:r>
      <w:r>
        <w:rPr>
          <w:rFonts w:ascii="Calibri" w:hAnsi="Calibri"/>
          <w:sz w:val="16"/>
        </w:rPr>
        <w:t>collection.</w:t>
      </w:r>
    </w:p>
    <w:p>
      <w:pPr>
        <w:spacing w:before="11"/>
        <w:ind w:left="1440" w:right="0" w:firstLine="0"/>
        <w:jc w:val="left"/>
        <w:rPr>
          <w:rFonts w:ascii="Calibri" w:hAnsi="Calibri" w:cs="Calibri" w:eastAsia="Calibri" w:hint="default"/>
          <w:sz w:val="16"/>
          <w:szCs w:val="16"/>
        </w:rPr>
      </w:pPr>
      <w:r>
        <w:rPr>
          <w:rFonts w:ascii="Calibri" w:hAnsi="Calibri"/>
          <w:position w:val="5"/>
          <w:sz w:val="12"/>
        </w:rPr>
        <w:t>26 </w:t>
      </w:r>
      <w:r>
        <w:rPr>
          <w:rFonts w:ascii="Calibri" w:hAnsi="Calibri"/>
          <w:sz w:val="16"/>
        </w:rPr>
        <w:t>The BREA report confirms that crew members spend more money on the island of</w:t>
      </w:r>
      <w:r>
        <w:rPr>
          <w:rFonts w:ascii="Calibri" w:hAnsi="Calibri"/>
          <w:spacing w:val="-25"/>
          <w:sz w:val="16"/>
        </w:rPr>
        <w:t> </w:t>
      </w:r>
      <w:r>
        <w:rPr>
          <w:rFonts w:ascii="Calibri" w:hAnsi="Calibri"/>
          <w:sz w:val="16"/>
        </w:rPr>
        <w:t>Curaçao.</w:t>
      </w:r>
    </w:p>
    <w:p>
      <w:pPr>
        <w:spacing w:after="0"/>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37" w:lineRule="auto" w:before="61"/>
        <w:ind w:right="1438"/>
        <w:jc w:val="both"/>
      </w:pPr>
      <w:r>
        <w:rPr/>
        <w:t>583,994 cruise passengers in 2013. The US$41.6 </w:t>
      </w:r>
      <w:r>
        <w:rPr>
          <w:rFonts w:ascii="Calibri" w:hAnsi="Calibri" w:cs="Calibri" w:eastAsia="Calibri" w:hint="default"/>
        </w:rPr>
        <w:t>million excludes crewmembers’ economic contribution and cruise </w:t>
      </w:r>
      <w:r>
        <w:rPr/>
        <w:t>line expenditures.</w:t>
      </w:r>
      <w:r>
        <w:rPr>
          <w:position w:val="7"/>
          <w:sz w:val="13"/>
          <w:szCs w:val="13"/>
        </w:rPr>
        <w:t>27 </w:t>
      </w:r>
      <w:r>
        <w:rPr/>
        <w:t>The total direct cruise spending (including crew members) equates to 8.1% of the total tourism </w:t>
      </w:r>
      <w:r>
        <w:rPr/>
        <w:t>receipts benefiting retail, restaurant, and transportation</w:t>
      </w:r>
      <w:r>
        <w:rPr>
          <w:spacing w:val="-23"/>
        </w:rPr>
        <w:t> </w:t>
      </w:r>
      <w:r>
        <w:rPr/>
        <w:t>industries.</w:t>
      </w:r>
    </w:p>
    <w:p>
      <w:pPr>
        <w:spacing w:line="240" w:lineRule="auto" w:before="2"/>
        <w:ind w:right="0"/>
        <w:rPr>
          <w:rFonts w:ascii="Calibri" w:hAnsi="Calibri" w:cs="Calibri" w:eastAsia="Calibri" w:hint="default"/>
          <w:sz w:val="20"/>
          <w:szCs w:val="20"/>
        </w:rPr>
      </w:pPr>
    </w:p>
    <w:p>
      <w:pPr>
        <w:pStyle w:val="BodyText"/>
        <w:spacing w:line="240" w:lineRule="auto"/>
        <w:ind w:right="1437"/>
        <w:jc w:val="both"/>
      </w:pPr>
      <w:r>
        <w:rPr/>
        <w:t>An</w:t>
      </w:r>
      <w:r>
        <w:rPr>
          <w:spacing w:val="-4"/>
        </w:rPr>
        <w:t> </w:t>
      </w:r>
      <w:r>
        <w:rPr/>
        <w:t>interesting</w:t>
      </w:r>
      <w:r>
        <w:rPr>
          <w:spacing w:val="-5"/>
        </w:rPr>
        <w:t> </w:t>
      </w:r>
      <w:r>
        <w:rPr/>
        <w:t>piece</w:t>
      </w:r>
      <w:r>
        <w:rPr>
          <w:spacing w:val="-5"/>
        </w:rPr>
        <w:t> </w:t>
      </w:r>
      <w:r>
        <w:rPr/>
        <w:t>of</w:t>
      </w:r>
      <w:r>
        <w:rPr>
          <w:spacing w:val="-5"/>
        </w:rPr>
        <w:t> </w:t>
      </w:r>
      <w:r>
        <w:rPr/>
        <w:t>information</w:t>
      </w:r>
      <w:r>
        <w:rPr>
          <w:spacing w:val="-4"/>
        </w:rPr>
        <w:t> </w:t>
      </w:r>
      <w:r>
        <w:rPr/>
        <w:t>extracted</w:t>
      </w:r>
      <w:r>
        <w:rPr>
          <w:spacing w:val="-4"/>
        </w:rPr>
        <w:t> </w:t>
      </w:r>
      <w:r>
        <w:rPr/>
        <w:t>from</w:t>
      </w:r>
      <w:r>
        <w:rPr>
          <w:spacing w:val="-3"/>
        </w:rPr>
        <w:t> </w:t>
      </w:r>
      <w:r>
        <w:rPr/>
        <w:t>Table</w:t>
      </w:r>
      <w:r>
        <w:rPr>
          <w:spacing w:val="-5"/>
        </w:rPr>
        <w:t> </w:t>
      </w:r>
      <w:r>
        <w:rPr/>
        <w:t>14</w:t>
      </w:r>
      <w:r>
        <w:rPr>
          <w:spacing w:val="-3"/>
        </w:rPr>
        <w:t> </w:t>
      </w:r>
      <w:r>
        <w:rPr/>
        <w:t>is</w:t>
      </w:r>
      <w:r>
        <w:rPr>
          <w:spacing w:val="-6"/>
        </w:rPr>
        <w:t> </w:t>
      </w:r>
      <w:r>
        <w:rPr/>
        <w:t>that</w:t>
      </w:r>
      <w:r>
        <w:rPr>
          <w:spacing w:val="-4"/>
        </w:rPr>
        <w:t> </w:t>
      </w:r>
      <w:r>
        <w:rPr/>
        <w:t>the</w:t>
      </w:r>
      <w:r>
        <w:rPr>
          <w:spacing w:val="-5"/>
        </w:rPr>
        <w:t> </w:t>
      </w:r>
      <w:r>
        <w:rPr/>
        <w:t>crew</w:t>
      </w:r>
      <w:r>
        <w:rPr>
          <w:spacing w:val="-3"/>
        </w:rPr>
        <w:t> </w:t>
      </w:r>
      <w:r>
        <w:rPr/>
        <w:t>members</w:t>
      </w:r>
      <w:r>
        <w:rPr>
          <w:spacing w:val="-5"/>
        </w:rPr>
        <w:t> </w:t>
      </w:r>
      <w:r>
        <w:rPr/>
        <w:t>are</w:t>
      </w:r>
      <w:r>
        <w:rPr>
          <w:spacing w:val="-3"/>
        </w:rPr>
        <w:t> </w:t>
      </w:r>
      <w:r>
        <w:rPr/>
        <w:t>spending</w:t>
      </w:r>
      <w:r>
        <w:rPr>
          <w:spacing w:val="-5"/>
        </w:rPr>
        <w:t> </w:t>
      </w:r>
      <w:r>
        <w:rPr/>
        <w:t>more</w:t>
      </w:r>
      <w:r>
        <w:rPr>
          <w:spacing w:val="-3"/>
        </w:rPr>
        <w:t> </w:t>
      </w:r>
      <w:r>
        <w:rPr/>
        <w:t>money</w:t>
      </w:r>
      <w:r>
        <w:rPr>
          <w:spacing w:val="-4"/>
        </w:rPr>
        <w:t> </w:t>
      </w:r>
      <w:r>
        <w:rPr/>
        <w:t>on </w:t>
      </w:r>
      <w:r>
        <w:rPr/>
        <w:t>the island of Curaçao than the actual cruise passengers. This information reveals that the subsector is not optimally performing. An examination of the data reveals that cruise passengers spend more money on watches and jewelry, clothing,</w:t>
      </w:r>
      <w:r>
        <w:rPr>
          <w:spacing w:val="-12"/>
        </w:rPr>
        <w:t> </w:t>
      </w:r>
      <w:r>
        <w:rPr/>
        <w:t>restaurants,</w:t>
      </w:r>
      <w:r>
        <w:rPr>
          <w:spacing w:val="-12"/>
        </w:rPr>
        <w:t> </w:t>
      </w:r>
      <w:r>
        <w:rPr/>
        <w:t>and</w:t>
      </w:r>
      <w:r>
        <w:rPr>
          <w:spacing w:val="-12"/>
        </w:rPr>
        <w:t> </w:t>
      </w:r>
      <w:r>
        <w:rPr/>
        <w:t>tours.</w:t>
      </w:r>
      <w:r>
        <w:rPr>
          <w:spacing w:val="21"/>
        </w:rPr>
        <w:t> </w:t>
      </w:r>
      <w:r>
        <w:rPr/>
        <w:t>An</w:t>
      </w:r>
      <w:r>
        <w:rPr>
          <w:spacing w:val="-12"/>
        </w:rPr>
        <w:t> </w:t>
      </w:r>
      <w:r>
        <w:rPr/>
        <w:t>interesting</w:t>
      </w:r>
      <w:r>
        <w:rPr>
          <w:spacing w:val="-13"/>
        </w:rPr>
        <w:t> </w:t>
      </w:r>
      <w:r>
        <w:rPr/>
        <w:t>note</w:t>
      </w:r>
      <w:r>
        <w:rPr>
          <w:spacing w:val="-13"/>
        </w:rPr>
        <w:t> </w:t>
      </w:r>
      <w:r>
        <w:rPr/>
        <w:t>is</w:t>
      </w:r>
      <w:r>
        <w:rPr>
          <w:spacing w:val="-14"/>
        </w:rPr>
        <w:t> </w:t>
      </w:r>
      <w:r>
        <w:rPr/>
        <w:t>that</w:t>
      </w:r>
      <w:r>
        <w:rPr>
          <w:spacing w:val="-12"/>
        </w:rPr>
        <w:t> </w:t>
      </w:r>
      <w:r>
        <w:rPr/>
        <w:t>crew</w:t>
      </w:r>
      <w:r>
        <w:rPr>
          <w:spacing w:val="-6"/>
        </w:rPr>
        <w:t> </w:t>
      </w:r>
      <w:r>
        <w:rPr/>
        <w:t>members</w:t>
      </w:r>
      <w:r>
        <w:rPr>
          <w:spacing w:val="-14"/>
        </w:rPr>
        <w:t> </w:t>
      </w:r>
      <w:r>
        <w:rPr/>
        <w:t>spend</w:t>
      </w:r>
      <w:r>
        <w:rPr>
          <w:spacing w:val="-12"/>
        </w:rPr>
        <w:t> </w:t>
      </w:r>
      <w:r>
        <w:rPr/>
        <w:t>more</w:t>
      </w:r>
      <w:r>
        <w:rPr>
          <w:spacing w:val="-13"/>
        </w:rPr>
        <w:t> </w:t>
      </w:r>
      <w:r>
        <w:rPr/>
        <w:t>money</w:t>
      </w:r>
      <w:r>
        <w:rPr>
          <w:spacing w:val="-12"/>
        </w:rPr>
        <w:t> </w:t>
      </w:r>
      <w:r>
        <w:rPr/>
        <w:t>in</w:t>
      </w:r>
      <w:r>
        <w:rPr>
          <w:spacing w:val="-12"/>
        </w:rPr>
        <w:t> </w:t>
      </w:r>
      <w:r>
        <w:rPr/>
        <w:t>restaurants</w:t>
      </w:r>
      <w:r>
        <w:rPr>
          <w:spacing w:val="-13"/>
        </w:rPr>
        <w:t> </w:t>
      </w:r>
      <w:r>
        <w:rPr/>
        <w:t>(almost </w:t>
      </w:r>
      <w:r>
        <w:rPr/>
        <w:t>five times more) than passengers. In addition, crew members spend nearly four times as much on perfumes when compared to cruise</w:t>
      </w:r>
      <w:r>
        <w:rPr>
          <w:spacing w:val="-11"/>
        </w:rPr>
        <w:t> </w:t>
      </w:r>
      <w:r>
        <w:rPr/>
        <w:t>passengers.</w:t>
      </w:r>
    </w:p>
    <w:p>
      <w:pPr>
        <w:pStyle w:val="Heading9"/>
        <w:tabs>
          <w:tab w:pos="4112" w:val="left" w:leader="none"/>
          <w:tab w:pos="10883" w:val="left" w:leader="none"/>
        </w:tabs>
        <w:spacing w:line="242" w:lineRule="exact" w:after="51"/>
        <w:ind w:left="1440" w:right="0"/>
        <w:jc w:val="both"/>
        <w:rPr>
          <w:b w:val="0"/>
          <w:bCs w:val="0"/>
        </w:rPr>
      </w:pPr>
      <w:bookmarkStart w:name="_bookmark57" w:id="58"/>
      <w:bookmarkEnd w:id="58"/>
      <w:r>
        <w:rPr>
          <w:b w:val="0"/>
        </w:rPr>
      </w:r>
      <w:r>
        <w:rPr>
          <w:w w:val="99"/>
        </w:rPr>
      </w:r>
      <w:r>
        <w:rPr>
          <w:w w:val="99"/>
          <w:u w:val="single" w:color="000000"/>
        </w:rPr>
        <w:t> </w:t>
      </w:r>
      <w:r>
        <w:rPr>
          <w:u w:val="single" w:color="000000"/>
        </w:rPr>
        <w:tab/>
        <w:t>Table 14:  Spending profile of the cruise</w:t>
      </w:r>
      <w:r>
        <w:rPr>
          <w:spacing w:val="-24"/>
          <w:u w:val="single" w:color="000000"/>
        </w:rPr>
        <w:t> </w:t>
      </w:r>
      <w:r>
        <w:rPr>
          <w:u w:val="single" w:color="000000"/>
        </w:rPr>
        <w:t>industry</w:t>
        <w:tab/>
      </w:r>
      <w:r>
        <w:rPr/>
      </w:r>
      <w:r>
        <w:rPr>
          <w:b w:val="0"/>
        </w:rPr>
      </w:r>
    </w:p>
    <w:tbl>
      <w:tblPr>
        <w:tblW w:w="0" w:type="auto"/>
        <w:jc w:val="left"/>
        <w:tblInd w:w="1440" w:type="dxa"/>
        <w:tblLayout w:type="fixed"/>
        <w:tblCellMar>
          <w:top w:w="0" w:type="dxa"/>
          <w:left w:w="0" w:type="dxa"/>
          <w:bottom w:w="0" w:type="dxa"/>
          <w:right w:w="0" w:type="dxa"/>
        </w:tblCellMar>
        <w:tblLook w:val="01E0"/>
      </w:tblPr>
      <w:tblGrid>
        <w:gridCol w:w="5571"/>
        <w:gridCol w:w="2536"/>
        <w:gridCol w:w="1336"/>
      </w:tblGrid>
      <w:tr>
        <w:trPr>
          <w:trHeight w:val="209" w:hRule="exact"/>
        </w:trPr>
        <w:tc>
          <w:tcPr>
            <w:tcW w:w="5571" w:type="dxa"/>
            <w:tcBorders>
              <w:top w:val="nil" w:sz="6" w:space="0" w:color="auto"/>
              <w:left w:val="nil" w:sz="6" w:space="0" w:color="auto"/>
              <w:bottom w:val="single" w:sz="4" w:space="0" w:color="000000"/>
              <w:right w:val="nil" w:sz="6" w:space="0" w:color="auto"/>
            </w:tcBorders>
          </w:tcPr>
          <w:p>
            <w:pPr>
              <w:pStyle w:val="TableParagraph"/>
              <w:spacing w:line="203" w:lineRule="exact"/>
              <w:ind w:left="115" w:right="0"/>
              <w:jc w:val="left"/>
              <w:rPr>
                <w:rFonts w:ascii="Calibri" w:hAnsi="Calibri" w:cs="Calibri" w:eastAsia="Calibri" w:hint="default"/>
                <w:sz w:val="20"/>
                <w:szCs w:val="20"/>
              </w:rPr>
            </w:pPr>
            <w:r>
              <w:rPr>
                <w:rFonts w:ascii="Calibri"/>
                <w:b/>
                <w:sz w:val="20"/>
              </w:rPr>
              <w:t>Spending</w:t>
            </w:r>
            <w:r>
              <w:rPr>
                <w:rFonts w:ascii="Calibri"/>
                <w:sz w:val="20"/>
              </w:rPr>
            </w:r>
          </w:p>
        </w:tc>
        <w:tc>
          <w:tcPr>
            <w:tcW w:w="2536" w:type="dxa"/>
            <w:tcBorders>
              <w:top w:val="nil" w:sz="6" w:space="0" w:color="auto"/>
              <w:left w:val="nil" w:sz="6" w:space="0" w:color="auto"/>
              <w:bottom w:val="single" w:sz="4" w:space="0" w:color="000000"/>
              <w:right w:val="nil" w:sz="6" w:space="0" w:color="auto"/>
            </w:tcBorders>
          </w:tcPr>
          <w:p>
            <w:pPr>
              <w:pStyle w:val="TableParagraph"/>
              <w:spacing w:line="203" w:lineRule="exact"/>
              <w:ind w:left="944" w:right="0"/>
              <w:jc w:val="center"/>
              <w:rPr>
                <w:rFonts w:ascii="Calibri" w:hAnsi="Calibri" w:cs="Calibri" w:eastAsia="Calibri" w:hint="default"/>
                <w:sz w:val="20"/>
                <w:szCs w:val="20"/>
              </w:rPr>
            </w:pPr>
            <w:r>
              <w:rPr>
                <w:rFonts w:ascii="Calibri"/>
                <w:b/>
                <w:sz w:val="20"/>
              </w:rPr>
              <w:t>Passengers</w:t>
            </w:r>
            <w:r>
              <w:rPr>
                <w:rFonts w:ascii="Calibri"/>
                <w:sz w:val="20"/>
              </w:rPr>
            </w:r>
          </w:p>
        </w:tc>
        <w:tc>
          <w:tcPr>
            <w:tcW w:w="1336" w:type="dxa"/>
            <w:tcBorders>
              <w:top w:val="nil" w:sz="6" w:space="0" w:color="auto"/>
              <w:left w:val="nil" w:sz="6" w:space="0" w:color="auto"/>
              <w:bottom w:val="single" w:sz="4" w:space="0" w:color="000000"/>
              <w:right w:val="nil" w:sz="6" w:space="0" w:color="auto"/>
            </w:tcBorders>
          </w:tcPr>
          <w:p>
            <w:pPr>
              <w:pStyle w:val="TableParagraph"/>
              <w:spacing w:line="203" w:lineRule="exact"/>
              <w:ind w:right="1"/>
              <w:jc w:val="center"/>
              <w:rPr>
                <w:rFonts w:ascii="Calibri" w:hAnsi="Calibri" w:cs="Calibri" w:eastAsia="Calibri" w:hint="default"/>
                <w:sz w:val="20"/>
                <w:szCs w:val="20"/>
              </w:rPr>
            </w:pPr>
            <w:r>
              <w:rPr>
                <w:rFonts w:ascii="Calibri"/>
                <w:b/>
                <w:sz w:val="20"/>
              </w:rPr>
              <w:t>Crew</w:t>
            </w:r>
            <w:r>
              <w:rPr>
                <w:rFonts w:ascii="Calibri"/>
                <w:sz w:val="20"/>
              </w:rPr>
            </w:r>
          </w:p>
        </w:tc>
      </w:tr>
      <w:tr>
        <w:trPr>
          <w:trHeight w:val="267" w:hRule="exact"/>
        </w:trPr>
        <w:tc>
          <w:tcPr>
            <w:tcW w:w="5571" w:type="dxa"/>
            <w:tcBorders>
              <w:top w:val="single" w:sz="4" w:space="0" w:color="000000"/>
              <w:left w:val="nil" w:sz="6" w:space="0" w:color="auto"/>
              <w:bottom w:val="nil" w:sz="6" w:space="0" w:color="auto"/>
              <w:right w:val="nil" w:sz="6" w:space="0" w:color="auto"/>
            </w:tcBorders>
          </w:tcPr>
          <w:p>
            <w:pPr>
              <w:pStyle w:val="TableParagraph"/>
              <w:spacing w:line="243" w:lineRule="exact"/>
              <w:ind w:left="69" w:right="0"/>
              <w:jc w:val="left"/>
              <w:rPr>
                <w:rFonts w:ascii="Calibri" w:hAnsi="Calibri" w:cs="Calibri" w:eastAsia="Calibri" w:hint="default"/>
                <w:sz w:val="20"/>
                <w:szCs w:val="20"/>
              </w:rPr>
            </w:pPr>
            <w:r>
              <w:rPr>
                <w:rFonts w:ascii="Calibri"/>
                <w:sz w:val="20"/>
              </w:rPr>
              <w:t>Food and Beverage at Restaurants and Bars (In</w:t>
            </w:r>
            <w:r>
              <w:rPr>
                <w:rFonts w:ascii="Calibri"/>
                <w:spacing w:val="-18"/>
                <w:sz w:val="20"/>
              </w:rPr>
              <w:t> </w:t>
            </w:r>
            <w:r>
              <w:rPr>
                <w:rFonts w:ascii="Calibri"/>
                <w:sz w:val="20"/>
              </w:rPr>
              <w:t>US$)</w:t>
            </w:r>
          </w:p>
        </w:tc>
        <w:tc>
          <w:tcPr>
            <w:tcW w:w="2536" w:type="dxa"/>
            <w:tcBorders>
              <w:top w:val="single" w:sz="4" w:space="0" w:color="000000"/>
              <w:left w:val="nil" w:sz="6" w:space="0" w:color="auto"/>
              <w:bottom w:val="nil" w:sz="6" w:space="0" w:color="auto"/>
              <w:right w:val="nil" w:sz="6" w:space="0" w:color="auto"/>
            </w:tcBorders>
          </w:tcPr>
          <w:p>
            <w:pPr>
              <w:pStyle w:val="TableParagraph"/>
              <w:spacing w:line="243" w:lineRule="exact"/>
              <w:ind w:left="947" w:right="0"/>
              <w:jc w:val="center"/>
              <w:rPr>
                <w:rFonts w:ascii="Calibri" w:hAnsi="Calibri" w:cs="Calibri" w:eastAsia="Calibri" w:hint="default"/>
                <w:sz w:val="20"/>
                <w:szCs w:val="20"/>
              </w:rPr>
            </w:pPr>
            <w:r>
              <w:rPr>
                <w:rFonts w:ascii="Calibri"/>
                <w:sz w:val="20"/>
              </w:rPr>
              <w:t>$10.67</w:t>
            </w:r>
          </w:p>
        </w:tc>
        <w:tc>
          <w:tcPr>
            <w:tcW w:w="1336" w:type="dxa"/>
            <w:tcBorders>
              <w:top w:val="single" w:sz="4" w:space="0" w:color="000000"/>
              <w:left w:val="nil" w:sz="6" w:space="0" w:color="auto"/>
              <w:bottom w:val="nil" w:sz="6" w:space="0" w:color="auto"/>
              <w:right w:val="nil" w:sz="6" w:space="0" w:color="auto"/>
            </w:tcBorders>
          </w:tcPr>
          <w:p>
            <w:pPr>
              <w:pStyle w:val="TableParagraph"/>
              <w:spacing w:line="243" w:lineRule="exact"/>
              <w:ind w:right="2"/>
              <w:jc w:val="center"/>
              <w:rPr>
                <w:rFonts w:ascii="Calibri" w:hAnsi="Calibri" w:cs="Calibri" w:eastAsia="Calibri" w:hint="default"/>
                <w:sz w:val="20"/>
                <w:szCs w:val="20"/>
              </w:rPr>
            </w:pPr>
            <w:r>
              <w:rPr>
                <w:rFonts w:ascii="Calibri"/>
                <w:sz w:val="20"/>
              </w:rPr>
              <w:t>$50.61</w:t>
            </w:r>
          </w:p>
        </w:tc>
      </w:tr>
      <w:tr>
        <w:trPr>
          <w:trHeight w:val="244" w:hRule="exact"/>
        </w:trPr>
        <w:tc>
          <w:tcPr>
            <w:tcW w:w="5571"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Sightseeing Tour (In</w:t>
            </w:r>
            <w:r>
              <w:rPr>
                <w:rFonts w:ascii="Calibri"/>
                <w:spacing w:val="-17"/>
                <w:sz w:val="20"/>
              </w:rPr>
              <w:t> </w:t>
            </w:r>
            <w:r>
              <w:rPr>
                <w:rFonts w:ascii="Calibri"/>
                <w:sz w:val="20"/>
              </w:rPr>
              <w:t>US$)</w:t>
            </w:r>
          </w:p>
        </w:tc>
        <w:tc>
          <w:tcPr>
            <w:tcW w:w="2536" w:type="dxa"/>
            <w:tcBorders>
              <w:top w:val="nil" w:sz="6" w:space="0" w:color="auto"/>
              <w:left w:val="nil" w:sz="6" w:space="0" w:color="auto"/>
              <w:bottom w:val="nil" w:sz="6" w:space="0" w:color="auto"/>
              <w:right w:val="nil" w:sz="6" w:space="0" w:color="auto"/>
            </w:tcBorders>
          </w:tcPr>
          <w:p>
            <w:pPr>
              <w:pStyle w:val="TableParagraph"/>
              <w:spacing w:line="226" w:lineRule="exact"/>
              <w:ind w:left="947" w:right="0"/>
              <w:jc w:val="center"/>
              <w:rPr>
                <w:rFonts w:ascii="Calibri" w:hAnsi="Calibri" w:cs="Calibri" w:eastAsia="Calibri" w:hint="default"/>
                <w:sz w:val="20"/>
                <w:szCs w:val="20"/>
              </w:rPr>
            </w:pPr>
            <w:r>
              <w:rPr>
                <w:rFonts w:ascii="Calibri"/>
                <w:sz w:val="20"/>
              </w:rPr>
              <w:t>$10.13</w:t>
            </w:r>
          </w:p>
        </w:tc>
        <w:tc>
          <w:tcPr>
            <w:tcW w:w="1336" w:type="dxa"/>
            <w:tcBorders>
              <w:top w:val="nil" w:sz="6" w:space="0" w:color="auto"/>
              <w:left w:val="nil" w:sz="6" w:space="0" w:color="auto"/>
              <w:bottom w:val="nil" w:sz="6" w:space="0" w:color="auto"/>
              <w:right w:val="nil" w:sz="6" w:space="0" w:color="auto"/>
            </w:tcBorders>
          </w:tcPr>
          <w:p>
            <w:pPr>
              <w:pStyle w:val="TableParagraph"/>
              <w:spacing w:line="226" w:lineRule="exact"/>
              <w:ind w:right="2"/>
              <w:jc w:val="center"/>
              <w:rPr>
                <w:rFonts w:ascii="Calibri" w:hAnsi="Calibri" w:cs="Calibri" w:eastAsia="Calibri" w:hint="default"/>
                <w:sz w:val="20"/>
                <w:szCs w:val="20"/>
              </w:rPr>
            </w:pPr>
            <w:r>
              <w:rPr>
                <w:rFonts w:ascii="Calibri"/>
                <w:sz w:val="20"/>
              </w:rPr>
              <w:t>$4.31</w:t>
            </w:r>
          </w:p>
        </w:tc>
      </w:tr>
      <w:tr>
        <w:trPr>
          <w:trHeight w:val="244" w:hRule="exact"/>
        </w:trPr>
        <w:tc>
          <w:tcPr>
            <w:tcW w:w="5571" w:type="dxa"/>
            <w:tcBorders>
              <w:top w:val="nil" w:sz="6" w:space="0" w:color="auto"/>
              <w:left w:val="nil" w:sz="6" w:space="0" w:color="auto"/>
              <w:bottom w:val="nil" w:sz="6" w:space="0" w:color="auto"/>
              <w:right w:val="nil" w:sz="6" w:space="0" w:color="auto"/>
            </w:tcBorders>
          </w:tcPr>
          <w:p>
            <w:pPr>
              <w:pStyle w:val="TableParagraph"/>
              <w:spacing w:line="225" w:lineRule="exact"/>
              <w:ind w:left="69" w:right="0"/>
              <w:jc w:val="left"/>
              <w:rPr>
                <w:rFonts w:ascii="Calibri" w:hAnsi="Calibri" w:cs="Calibri" w:eastAsia="Calibri" w:hint="default"/>
                <w:sz w:val="20"/>
                <w:szCs w:val="20"/>
              </w:rPr>
            </w:pPr>
            <w:r>
              <w:rPr>
                <w:rFonts w:ascii="Calibri"/>
                <w:sz w:val="20"/>
              </w:rPr>
              <w:t>Taxis/Ground Transportation (In</w:t>
            </w:r>
            <w:r>
              <w:rPr>
                <w:rFonts w:ascii="Calibri"/>
                <w:spacing w:val="-18"/>
                <w:sz w:val="20"/>
              </w:rPr>
              <w:t> </w:t>
            </w:r>
            <w:r>
              <w:rPr>
                <w:rFonts w:ascii="Calibri"/>
                <w:sz w:val="20"/>
              </w:rPr>
              <w:t>US$)</w:t>
            </w:r>
          </w:p>
        </w:tc>
        <w:tc>
          <w:tcPr>
            <w:tcW w:w="2536" w:type="dxa"/>
            <w:tcBorders>
              <w:top w:val="nil" w:sz="6" w:space="0" w:color="auto"/>
              <w:left w:val="nil" w:sz="6" w:space="0" w:color="auto"/>
              <w:bottom w:val="nil" w:sz="6" w:space="0" w:color="auto"/>
              <w:right w:val="nil" w:sz="6" w:space="0" w:color="auto"/>
            </w:tcBorders>
          </w:tcPr>
          <w:p>
            <w:pPr>
              <w:pStyle w:val="TableParagraph"/>
              <w:spacing w:line="225" w:lineRule="exact"/>
              <w:ind w:left="947" w:right="0"/>
              <w:jc w:val="center"/>
              <w:rPr>
                <w:rFonts w:ascii="Calibri" w:hAnsi="Calibri" w:cs="Calibri" w:eastAsia="Calibri" w:hint="default"/>
                <w:sz w:val="20"/>
                <w:szCs w:val="20"/>
              </w:rPr>
            </w:pPr>
            <w:r>
              <w:rPr>
                <w:rFonts w:ascii="Calibri"/>
                <w:sz w:val="20"/>
              </w:rPr>
              <w:t>$2.89</w:t>
            </w:r>
          </w:p>
        </w:tc>
        <w:tc>
          <w:tcPr>
            <w:tcW w:w="1336" w:type="dxa"/>
            <w:tcBorders>
              <w:top w:val="nil" w:sz="6" w:space="0" w:color="auto"/>
              <w:left w:val="nil" w:sz="6" w:space="0" w:color="auto"/>
              <w:bottom w:val="nil" w:sz="6" w:space="0" w:color="auto"/>
              <w:right w:val="nil" w:sz="6" w:space="0" w:color="auto"/>
            </w:tcBorders>
          </w:tcPr>
          <w:p>
            <w:pPr>
              <w:pStyle w:val="TableParagraph"/>
              <w:spacing w:line="225" w:lineRule="exact"/>
              <w:ind w:right="2"/>
              <w:jc w:val="center"/>
              <w:rPr>
                <w:rFonts w:ascii="Calibri" w:hAnsi="Calibri" w:cs="Calibri" w:eastAsia="Calibri" w:hint="default"/>
                <w:sz w:val="20"/>
                <w:szCs w:val="20"/>
              </w:rPr>
            </w:pPr>
            <w:r>
              <w:rPr>
                <w:rFonts w:ascii="Calibri"/>
                <w:sz w:val="20"/>
              </w:rPr>
              <w:t>$5.29</w:t>
            </w:r>
          </w:p>
        </w:tc>
      </w:tr>
      <w:tr>
        <w:trPr>
          <w:trHeight w:val="245" w:hRule="exact"/>
        </w:trPr>
        <w:tc>
          <w:tcPr>
            <w:tcW w:w="5571"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Retail Purchases of Watches &amp; Jewelry (In</w:t>
            </w:r>
            <w:r>
              <w:rPr>
                <w:rFonts w:ascii="Calibri"/>
                <w:spacing w:val="-20"/>
                <w:sz w:val="20"/>
              </w:rPr>
              <w:t> </w:t>
            </w:r>
            <w:r>
              <w:rPr>
                <w:rFonts w:ascii="Calibri"/>
                <w:sz w:val="20"/>
              </w:rPr>
              <w:t>US$)</w:t>
            </w:r>
          </w:p>
        </w:tc>
        <w:tc>
          <w:tcPr>
            <w:tcW w:w="2536" w:type="dxa"/>
            <w:tcBorders>
              <w:top w:val="nil" w:sz="6" w:space="0" w:color="auto"/>
              <w:left w:val="nil" w:sz="6" w:space="0" w:color="auto"/>
              <w:bottom w:val="nil" w:sz="6" w:space="0" w:color="auto"/>
              <w:right w:val="nil" w:sz="6" w:space="0" w:color="auto"/>
            </w:tcBorders>
          </w:tcPr>
          <w:p>
            <w:pPr>
              <w:pStyle w:val="TableParagraph"/>
              <w:spacing w:line="226" w:lineRule="exact"/>
              <w:ind w:left="947" w:right="0"/>
              <w:jc w:val="center"/>
              <w:rPr>
                <w:rFonts w:ascii="Calibri" w:hAnsi="Calibri" w:cs="Calibri" w:eastAsia="Calibri" w:hint="default"/>
                <w:sz w:val="20"/>
                <w:szCs w:val="20"/>
              </w:rPr>
            </w:pPr>
            <w:r>
              <w:rPr>
                <w:rFonts w:ascii="Calibri"/>
                <w:sz w:val="20"/>
              </w:rPr>
              <w:t>$16.43</w:t>
            </w:r>
          </w:p>
        </w:tc>
        <w:tc>
          <w:tcPr>
            <w:tcW w:w="1336" w:type="dxa"/>
            <w:tcBorders>
              <w:top w:val="nil" w:sz="6" w:space="0" w:color="auto"/>
              <w:left w:val="nil" w:sz="6" w:space="0" w:color="auto"/>
              <w:bottom w:val="nil" w:sz="6" w:space="0" w:color="auto"/>
              <w:right w:val="nil" w:sz="6" w:space="0" w:color="auto"/>
            </w:tcBorders>
          </w:tcPr>
          <w:p>
            <w:pPr>
              <w:pStyle w:val="TableParagraph"/>
              <w:spacing w:line="226" w:lineRule="exact"/>
              <w:ind w:right="2"/>
              <w:jc w:val="center"/>
              <w:rPr>
                <w:rFonts w:ascii="Calibri" w:hAnsi="Calibri" w:cs="Calibri" w:eastAsia="Calibri" w:hint="default"/>
                <w:sz w:val="20"/>
                <w:szCs w:val="20"/>
              </w:rPr>
            </w:pPr>
            <w:r>
              <w:rPr>
                <w:rFonts w:ascii="Calibri"/>
                <w:sz w:val="20"/>
              </w:rPr>
              <w:t>$4.59</w:t>
            </w:r>
          </w:p>
        </w:tc>
      </w:tr>
      <w:tr>
        <w:trPr>
          <w:trHeight w:val="245" w:hRule="exact"/>
        </w:trPr>
        <w:tc>
          <w:tcPr>
            <w:tcW w:w="5571"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Retail Purchases of Clothing (incl. T-shirts) (In</w:t>
            </w:r>
            <w:r>
              <w:rPr>
                <w:rFonts w:ascii="Calibri"/>
                <w:spacing w:val="-19"/>
                <w:sz w:val="20"/>
              </w:rPr>
              <w:t> </w:t>
            </w:r>
            <w:r>
              <w:rPr>
                <w:rFonts w:ascii="Calibri"/>
                <w:sz w:val="20"/>
              </w:rPr>
              <w:t>US$)</w:t>
            </w:r>
          </w:p>
        </w:tc>
        <w:tc>
          <w:tcPr>
            <w:tcW w:w="2536" w:type="dxa"/>
            <w:tcBorders>
              <w:top w:val="nil" w:sz="6" w:space="0" w:color="auto"/>
              <w:left w:val="nil" w:sz="6" w:space="0" w:color="auto"/>
              <w:bottom w:val="nil" w:sz="6" w:space="0" w:color="auto"/>
              <w:right w:val="nil" w:sz="6" w:space="0" w:color="auto"/>
            </w:tcBorders>
          </w:tcPr>
          <w:p>
            <w:pPr>
              <w:pStyle w:val="TableParagraph"/>
              <w:spacing w:line="226" w:lineRule="exact"/>
              <w:ind w:left="947" w:right="0"/>
              <w:jc w:val="center"/>
              <w:rPr>
                <w:rFonts w:ascii="Calibri" w:hAnsi="Calibri" w:cs="Calibri" w:eastAsia="Calibri" w:hint="default"/>
                <w:sz w:val="20"/>
                <w:szCs w:val="20"/>
              </w:rPr>
            </w:pPr>
            <w:r>
              <w:rPr>
                <w:rFonts w:ascii="Calibri"/>
                <w:sz w:val="20"/>
              </w:rPr>
              <w:t>$14.22</w:t>
            </w:r>
          </w:p>
        </w:tc>
        <w:tc>
          <w:tcPr>
            <w:tcW w:w="1336" w:type="dxa"/>
            <w:tcBorders>
              <w:top w:val="nil" w:sz="6" w:space="0" w:color="auto"/>
              <w:left w:val="nil" w:sz="6" w:space="0" w:color="auto"/>
              <w:bottom w:val="nil" w:sz="6" w:space="0" w:color="auto"/>
              <w:right w:val="nil" w:sz="6" w:space="0" w:color="auto"/>
            </w:tcBorders>
          </w:tcPr>
          <w:p>
            <w:pPr>
              <w:pStyle w:val="TableParagraph"/>
              <w:spacing w:line="226" w:lineRule="exact"/>
              <w:ind w:right="2"/>
              <w:jc w:val="center"/>
              <w:rPr>
                <w:rFonts w:ascii="Calibri" w:hAnsi="Calibri" w:cs="Calibri" w:eastAsia="Calibri" w:hint="default"/>
                <w:sz w:val="20"/>
                <w:szCs w:val="20"/>
              </w:rPr>
            </w:pPr>
            <w:r>
              <w:rPr>
                <w:rFonts w:ascii="Calibri"/>
                <w:sz w:val="20"/>
              </w:rPr>
              <w:t>$6.85</w:t>
            </w:r>
          </w:p>
        </w:tc>
      </w:tr>
      <w:tr>
        <w:trPr>
          <w:trHeight w:val="244" w:hRule="exact"/>
        </w:trPr>
        <w:tc>
          <w:tcPr>
            <w:tcW w:w="5571"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Entertainment Venues/Nightclubs/Casinos (In</w:t>
            </w:r>
            <w:r>
              <w:rPr>
                <w:rFonts w:ascii="Calibri"/>
                <w:spacing w:val="-25"/>
                <w:sz w:val="20"/>
              </w:rPr>
              <w:t> </w:t>
            </w:r>
            <w:r>
              <w:rPr>
                <w:rFonts w:ascii="Calibri"/>
                <w:sz w:val="20"/>
              </w:rPr>
              <w:t>US$)</w:t>
            </w:r>
          </w:p>
        </w:tc>
        <w:tc>
          <w:tcPr>
            <w:tcW w:w="2536" w:type="dxa"/>
            <w:tcBorders>
              <w:top w:val="nil" w:sz="6" w:space="0" w:color="auto"/>
              <w:left w:val="nil" w:sz="6" w:space="0" w:color="auto"/>
              <w:bottom w:val="nil" w:sz="6" w:space="0" w:color="auto"/>
              <w:right w:val="nil" w:sz="6" w:space="0" w:color="auto"/>
            </w:tcBorders>
          </w:tcPr>
          <w:p>
            <w:pPr>
              <w:pStyle w:val="TableParagraph"/>
              <w:spacing w:line="226" w:lineRule="exact"/>
              <w:ind w:left="947" w:right="0"/>
              <w:jc w:val="center"/>
              <w:rPr>
                <w:rFonts w:ascii="Calibri" w:hAnsi="Calibri" w:cs="Calibri" w:eastAsia="Calibri" w:hint="default"/>
                <w:sz w:val="20"/>
                <w:szCs w:val="20"/>
              </w:rPr>
            </w:pPr>
            <w:r>
              <w:rPr>
                <w:rFonts w:ascii="Calibri"/>
                <w:sz w:val="20"/>
              </w:rPr>
              <w:t>$0.48</w:t>
            </w:r>
          </w:p>
        </w:tc>
        <w:tc>
          <w:tcPr>
            <w:tcW w:w="1336" w:type="dxa"/>
            <w:tcBorders>
              <w:top w:val="nil" w:sz="6" w:space="0" w:color="auto"/>
              <w:left w:val="nil" w:sz="6" w:space="0" w:color="auto"/>
              <w:bottom w:val="nil" w:sz="6" w:space="0" w:color="auto"/>
              <w:right w:val="nil" w:sz="6" w:space="0" w:color="auto"/>
            </w:tcBorders>
          </w:tcPr>
          <w:p>
            <w:pPr>
              <w:pStyle w:val="TableParagraph"/>
              <w:spacing w:line="226" w:lineRule="exact"/>
              <w:ind w:right="2"/>
              <w:jc w:val="center"/>
              <w:rPr>
                <w:rFonts w:ascii="Calibri" w:hAnsi="Calibri" w:cs="Calibri" w:eastAsia="Calibri" w:hint="default"/>
                <w:sz w:val="20"/>
                <w:szCs w:val="20"/>
              </w:rPr>
            </w:pPr>
            <w:r>
              <w:rPr>
                <w:rFonts w:ascii="Calibri"/>
                <w:sz w:val="20"/>
              </w:rPr>
              <w:t>$1.28</w:t>
            </w:r>
          </w:p>
        </w:tc>
      </w:tr>
      <w:tr>
        <w:trPr>
          <w:trHeight w:val="244" w:hRule="exact"/>
        </w:trPr>
        <w:tc>
          <w:tcPr>
            <w:tcW w:w="5571" w:type="dxa"/>
            <w:tcBorders>
              <w:top w:val="nil" w:sz="6" w:space="0" w:color="auto"/>
              <w:left w:val="nil" w:sz="6" w:space="0" w:color="auto"/>
              <w:bottom w:val="nil" w:sz="6" w:space="0" w:color="auto"/>
              <w:right w:val="nil" w:sz="6" w:space="0" w:color="auto"/>
            </w:tcBorders>
          </w:tcPr>
          <w:p>
            <w:pPr>
              <w:pStyle w:val="TableParagraph"/>
              <w:spacing w:line="225" w:lineRule="exact"/>
              <w:ind w:left="69" w:right="0"/>
              <w:jc w:val="left"/>
              <w:rPr>
                <w:rFonts w:ascii="Calibri" w:hAnsi="Calibri" w:cs="Calibri" w:eastAsia="Calibri" w:hint="default"/>
                <w:sz w:val="20"/>
                <w:szCs w:val="20"/>
              </w:rPr>
            </w:pPr>
            <w:r>
              <w:rPr>
                <w:rFonts w:ascii="Calibri"/>
                <w:sz w:val="20"/>
              </w:rPr>
              <w:t>Retail Purchases of Perfumes &amp; Cosmetics (In</w:t>
            </w:r>
            <w:r>
              <w:rPr>
                <w:rFonts w:ascii="Calibri"/>
                <w:spacing w:val="-21"/>
                <w:sz w:val="20"/>
              </w:rPr>
              <w:t> </w:t>
            </w:r>
            <w:r>
              <w:rPr>
                <w:rFonts w:ascii="Calibri"/>
                <w:sz w:val="20"/>
              </w:rPr>
              <w:t>US$)</w:t>
            </w:r>
          </w:p>
        </w:tc>
        <w:tc>
          <w:tcPr>
            <w:tcW w:w="2536" w:type="dxa"/>
            <w:tcBorders>
              <w:top w:val="nil" w:sz="6" w:space="0" w:color="auto"/>
              <w:left w:val="nil" w:sz="6" w:space="0" w:color="auto"/>
              <w:bottom w:val="nil" w:sz="6" w:space="0" w:color="auto"/>
              <w:right w:val="nil" w:sz="6" w:space="0" w:color="auto"/>
            </w:tcBorders>
          </w:tcPr>
          <w:p>
            <w:pPr>
              <w:pStyle w:val="TableParagraph"/>
              <w:spacing w:line="225" w:lineRule="exact"/>
              <w:ind w:left="947" w:right="0"/>
              <w:jc w:val="center"/>
              <w:rPr>
                <w:rFonts w:ascii="Calibri" w:hAnsi="Calibri" w:cs="Calibri" w:eastAsia="Calibri" w:hint="default"/>
                <w:sz w:val="20"/>
                <w:szCs w:val="20"/>
              </w:rPr>
            </w:pPr>
            <w:r>
              <w:rPr>
                <w:rFonts w:ascii="Calibri"/>
                <w:sz w:val="20"/>
              </w:rPr>
              <w:t>$2.71</w:t>
            </w:r>
          </w:p>
        </w:tc>
        <w:tc>
          <w:tcPr>
            <w:tcW w:w="1336" w:type="dxa"/>
            <w:tcBorders>
              <w:top w:val="nil" w:sz="6" w:space="0" w:color="auto"/>
              <w:left w:val="nil" w:sz="6" w:space="0" w:color="auto"/>
              <w:bottom w:val="nil" w:sz="6" w:space="0" w:color="auto"/>
              <w:right w:val="nil" w:sz="6" w:space="0" w:color="auto"/>
            </w:tcBorders>
          </w:tcPr>
          <w:p>
            <w:pPr>
              <w:pStyle w:val="TableParagraph"/>
              <w:spacing w:line="225" w:lineRule="exact"/>
              <w:ind w:right="2"/>
              <w:jc w:val="center"/>
              <w:rPr>
                <w:rFonts w:ascii="Calibri" w:hAnsi="Calibri" w:cs="Calibri" w:eastAsia="Calibri" w:hint="default"/>
                <w:sz w:val="20"/>
                <w:szCs w:val="20"/>
              </w:rPr>
            </w:pPr>
            <w:r>
              <w:rPr>
                <w:rFonts w:ascii="Calibri"/>
                <w:sz w:val="20"/>
              </w:rPr>
              <w:t>$9.82</w:t>
            </w:r>
          </w:p>
        </w:tc>
      </w:tr>
      <w:tr>
        <w:trPr>
          <w:trHeight w:val="245" w:hRule="exact"/>
        </w:trPr>
        <w:tc>
          <w:tcPr>
            <w:tcW w:w="5571"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Telephone &amp; Internet Communications (In</w:t>
            </w:r>
            <w:r>
              <w:rPr>
                <w:rFonts w:ascii="Calibri"/>
                <w:spacing w:val="-21"/>
                <w:sz w:val="20"/>
              </w:rPr>
              <w:t> </w:t>
            </w:r>
            <w:r>
              <w:rPr>
                <w:rFonts w:ascii="Calibri"/>
                <w:sz w:val="20"/>
              </w:rPr>
              <w:t>US$)</w:t>
            </w:r>
          </w:p>
        </w:tc>
        <w:tc>
          <w:tcPr>
            <w:tcW w:w="2536" w:type="dxa"/>
            <w:tcBorders>
              <w:top w:val="nil" w:sz="6" w:space="0" w:color="auto"/>
              <w:left w:val="nil" w:sz="6" w:space="0" w:color="auto"/>
              <w:bottom w:val="nil" w:sz="6" w:space="0" w:color="auto"/>
              <w:right w:val="nil" w:sz="6" w:space="0" w:color="auto"/>
            </w:tcBorders>
          </w:tcPr>
          <w:p>
            <w:pPr>
              <w:pStyle w:val="TableParagraph"/>
              <w:spacing w:line="226" w:lineRule="exact"/>
              <w:ind w:left="947" w:right="0"/>
              <w:jc w:val="center"/>
              <w:rPr>
                <w:rFonts w:ascii="Calibri" w:hAnsi="Calibri" w:cs="Calibri" w:eastAsia="Calibri" w:hint="default"/>
                <w:sz w:val="20"/>
                <w:szCs w:val="20"/>
              </w:rPr>
            </w:pPr>
            <w:r>
              <w:rPr>
                <w:rFonts w:ascii="Calibri"/>
                <w:sz w:val="20"/>
              </w:rPr>
              <w:t>$0.11</w:t>
            </w:r>
          </w:p>
        </w:tc>
        <w:tc>
          <w:tcPr>
            <w:tcW w:w="1336" w:type="dxa"/>
            <w:tcBorders>
              <w:top w:val="nil" w:sz="6" w:space="0" w:color="auto"/>
              <w:left w:val="nil" w:sz="6" w:space="0" w:color="auto"/>
              <w:bottom w:val="nil" w:sz="6" w:space="0" w:color="auto"/>
              <w:right w:val="nil" w:sz="6" w:space="0" w:color="auto"/>
            </w:tcBorders>
          </w:tcPr>
          <w:p>
            <w:pPr>
              <w:pStyle w:val="TableParagraph"/>
              <w:spacing w:line="226" w:lineRule="exact"/>
              <w:ind w:right="2"/>
              <w:jc w:val="center"/>
              <w:rPr>
                <w:rFonts w:ascii="Calibri" w:hAnsi="Calibri" w:cs="Calibri" w:eastAsia="Calibri" w:hint="default"/>
                <w:sz w:val="20"/>
                <w:szCs w:val="20"/>
              </w:rPr>
            </w:pPr>
            <w:r>
              <w:rPr>
                <w:rFonts w:ascii="Calibri"/>
                <w:sz w:val="20"/>
              </w:rPr>
              <w:t>$1.65</w:t>
            </w:r>
          </w:p>
        </w:tc>
      </w:tr>
      <w:tr>
        <w:trPr>
          <w:trHeight w:val="245" w:hRule="exact"/>
        </w:trPr>
        <w:tc>
          <w:tcPr>
            <w:tcW w:w="5571"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Local Crafts and Souvenirs (In</w:t>
            </w:r>
            <w:r>
              <w:rPr>
                <w:rFonts w:ascii="Calibri"/>
                <w:spacing w:val="-22"/>
                <w:sz w:val="20"/>
              </w:rPr>
              <w:t> </w:t>
            </w:r>
            <w:r>
              <w:rPr>
                <w:rFonts w:ascii="Calibri"/>
                <w:sz w:val="20"/>
              </w:rPr>
              <w:t>US$)</w:t>
            </w:r>
          </w:p>
        </w:tc>
        <w:tc>
          <w:tcPr>
            <w:tcW w:w="2536" w:type="dxa"/>
            <w:tcBorders>
              <w:top w:val="nil" w:sz="6" w:space="0" w:color="auto"/>
              <w:left w:val="nil" w:sz="6" w:space="0" w:color="auto"/>
              <w:bottom w:val="nil" w:sz="6" w:space="0" w:color="auto"/>
              <w:right w:val="nil" w:sz="6" w:space="0" w:color="auto"/>
            </w:tcBorders>
          </w:tcPr>
          <w:p>
            <w:pPr>
              <w:pStyle w:val="TableParagraph"/>
              <w:spacing w:line="226" w:lineRule="exact"/>
              <w:ind w:left="947" w:right="0"/>
              <w:jc w:val="center"/>
              <w:rPr>
                <w:rFonts w:ascii="Calibri" w:hAnsi="Calibri" w:cs="Calibri" w:eastAsia="Calibri" w:hint="default"/>
                <w:sz w:val="20"/>
                <w:szCs w:val="20"/>
              </w:rPr>
            </w:pPr>
            <w:r>
              <w:rPr>
                <w:rFonts w:ascii="Calibri"/>
                <w:sz w:val="20"/>
              </w:rPr>
              <w:t>$5.73</w:t>
            </w:r>
          </w:p>
        </w:tc>
        <w:tc>
          <w:tcPr>
            <w:tcW w:w="1336" w:type="dxa"/>
            <w:tcBorders>
              <w:top w:val="nil" w:sz="6" w:space="0" w:color="auto"/>
              <w:left w:val="nil" w:sz="6" w:space="0" w:color="auto"/>
              <w:bottom w:val="nil" w:sz="6" w:space="0" w:color="auto"/>
              <w:right w:val="nil" w:sz="6" w:space="0" w:color="auto"/>
            </w:tcBorders>
          </w:tcPr>
          <w:p>
            <w:pPr>
              <w:pStyle w:val="TableParagraph"/>
              <w:spacing w:line="226" w:lineRule="exact"/>
              <w:ind w:right="2"/>
              <w:jc w:val="center"/>
              <w:rPr>
                <w:rFonts w:ascii="Calibri" w:hAnsi="Calibri" w:cs="Calibri" w:eastAsia="Calibri" w:hint="default"/>
                <w:sz w:val="20"/>
                <w:szCs w:val="20"/>
              </w:rPr>
            </w:pPr>
            <w:r>
              <w:rPr>
                <w:rFonts w:ascii="Calibri"/>
                <w:sz w:val="20"/>
              </w:rPr>
              <w:t>$7.52</w:t>
            </w:r>
          </w:p>
        </w:tc>
      </w:tr>
      <w:tr>
        <w:trPr>
          <w:trHeight w:val="244" w:hRule="exact"/>
        </w:trPr>
        <w:tc>
          <w:tcPr>
            <w:tcW w:w="5571"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Retail Purchases of Liquor (In</w:t>
            </w:r>
            <w:r>
              <w:rPr>
                <w:rFonts w:ascii="Calibri"/>
                <w:spacing w:val="-17"/>
                <w:sz w:val="20"/>
              </w:rPr>
              <w:t> </w:t>
            </w:r>
            <w:r>
              <w:rPr>
                <w:rFonts w:ascii="Calibri"/>
                <w:sz w:val="20"/>
              </w:rPr>
              <w:t>US$)</w:t>
            </w:r>
          </w:p>
        </w:tc>
        <w:tc>
          <w:tcPr>
            <w:tcW w:w="2536" w:type="dxa"/>
            <w:tcBorders>
              <w:top w:val="nil" w:sz="6" w:space="0" w:color="auto"/>
              <w:left w:val="nil" w:sz="6" w:space="0" w:color="auto"/>
              <w:bottom w:val="nil" w:sz="6" w:space="0" w:color="auto"/>
              <w:right w:val="nil" w:sz="6" w:space="0" w:color="auto"/>
            </w:tcBorders>
          </w:tcPr>
          <w:p>
            <w:pPr>
              <w:pStyle w:val="TableParagraph"/>
              <w:spacing w:line="226" w:lineRule="exact"/>
              <w:ind w:left="947" w:right="0"/>
              <w:jc w:val="center"/>
              <w:rPr>
                <w:rFonts w:ascii="Calibri" w:hAnsi="Calibri" w:cs="Calibri" w:eastAsia="Calibri" w:hint="default"/>
                <w:sz w:val="20"/>
                <w:szCs w:val="20"/>
              </w:rPr>
            </w:pPr>
            <w:r>
              <w:rPr>
                <w:rFonts w:ascii="Calibri"/>
                <w:sz w:val="20"/>
              </w:rPr>
              <w:t>$2.21</w:t>
            </w:r>
          </w:p>
        </w:tc>
        <w:tc>
          <w:tcPr>
            <w:tcW w:w="1336" w:type="dxa"/>
            <w:tcBorders>
              <w:top w:val="nil" w:sz="6" w:space="0" w:color="auto"/>
              <w:left w:val="nil" w:sz="6" w:space="0" w:color="auto"/>
              <w:bottom w:val="nil" w:sz="6" w:space="0" w:color="auto"/>
              <w:right w:val="nil" w:sz="6" w:space="0" w:color="auto"/>
            </w:tcBorders>
          </w:tcPr>
          <w:p>
            <w:pPr>
              <w:pStyle w:val="TableParagraph"/>
              <w:spacing w:line="226" w:lineRule="exact"/>
              <w:ind w:right="2"/>
              <w:jc w:val="center"/>
              <w:rPr>
                <w:rFonts w:ascii="Calibri" w:hAnsi="Calibri" w:cs="Calibri" w:eastAsia="Calibri" w:hint="default"/>
                <w:sz w:val="20"/>
                <w:szCs w:val="20"/>
              </w:rPr>
            </w:pPr>
            <w:r>
              <w:rPr>
                <w:rFonts w:ascii="Calibri"/>
                <w:sz w:val="20"/>
              </w:rPr>
              <w:t>$1.83</w:t>
            </w:r>
          </w:p>
        </w:tc>
      </w:tr>
      <w:tr>
        <w:trPr>
          <w:trHeight w:val="244" w:hRule="exact"/>
        </w:trPr>
        <w:tc>
          <w:tcPr>
            <w:tcW w:w="5571" w:type="dxa"/>
            <w:tcBorders>
              <w:top w:val="nil" w:sz="6" w:space="0" w:color="auto"/>
              <w:left w:val="nil" w:sz="6" w:space="0" w:color="auto"/>
              <w:bottom w:val="nil" w:sz="6" w:space="0" w:color="auto"/>
              <w:right w:val="nil" w:sz="6" w:space="0" w:color="auto"/>
            </w:tcBorders>
          </w:tcPr>
          <w:p>
            <w:pPr>
              <w:pStyle w:val="TableParagraph"/>
              <w:spacing w:line="225" w:lineRule="exact"/>
              <w:ind w:left="69" w:right="0"/>
              <w:jc w:val="left"/>
              <w:rPr>
                <w:rFonts w:ascii="Calibri" w:hAnsi="Calibri" w:cs="Calibri" w:eastAsia="Calibri" w:hint="default"/>
                <w:sz w:val="20"/>
                <w:szCs w:val="20"/>
              </w:rPr>
            </w:pPr>
            <w:r>
              <w:rPr>
                <w:rFonts w:ascii="Calibri"/>
                <w:sz w:val="20"/>
              </w:rPr>
              <w:t>Retail Purchases of Electronics (In</w:t>
            </w:r>
            <w:r>
              <w:rPr>
                <w:rFonts w:ascii="Calibri"/>
                <w:spacing w:val="-17"/>
                <w:sz w:val="20"/>
              </w:rPr>
              <w:t> </w:t>
            </w:r>
            <w:r>
              <w:rPr>
                <w:rFonts w:ascii="Calibri"/>
                <w:sz w:val="20"/>
              </w:rPr>
              <w:t>US$)</w:t>
            </w:r>
          </w:p>
        </w:tc>
        <w:tc>
          <w:tcPr>
            <w:tcW w:w="2536" w:type="dxa"/>
            <w:tcBorders>
              <w:top w:val="nil" w:sz="6" w:space="0" w:color="auto"/>
              <w:left w:val="nil" w:sz="6" w:space="0" w:color="auto"/>
              <w:bottom w:val="nil" w:sz="6" w:space="0" w:color="auto"/>
              <w:right w:val="nil" w:sz="6" w:space="0" w:color="auto"/>
            </w:tcBorders>
          </w:tcPr>
          <w:p>
            <w:pPr>
              <w:pStyle w:val="TableParagraph"/>
              <w:spacing w:line="225" w:lineRule="exact"/>
              <w:ind w:left="947" w:right="0"/>
              <w:jc w:val="center"/>
              <w:rPr>
                <w:rFonts w:ascii="Calibri" w:hAnsi="Calibri" w:cs="Calibri" w:eastAsia="Calibri" w:hint="default"/>
                <w:sz w:val="20"/>
                <w:szCs w:val="20"/>
              </w:rPr>
            </w:pPr>
            <w:r>
              <w:rPr>
                <w:rFonts w:ascii="Calibri"/>
                <w:sz w:val="20"/>
              </w:rPr>
              <w:t>-</w:t>
            </w:r>
          </w:p>
        </w:tc>
        <w:tc>
          <w:tcPr>
            <w:tcW w:w="1336" w:type="dxa"/>
            <w:tcBorders>
              <w:top w:val="nil" w:sz="6" w:space="0" w:color="auto"/>
              <w:left w:val="nil" w:sz="6" w:space="0" w:color="auto"/>
              <w:bottom w:val="nil" w:sz="6" w:space="0" w:color="auto"/>
              <w:right w:val="nil" w:sz="6" w:space="0" w:color="auto"/>
            </w:tcBorders>
          </w:tcPr>
          <w:p>
            <w:pPr>
              <w:pStyle w:val="TableParagraph"/>
              <w:spacing w:line="225" w:lineRule="exact"/>
              <w:ind w:right="2"/>
              <w:jc w:val="center"/>
              <w:rPr>
                <w:rFonts w:ascii="Calibri" w:hAnsi="Calibri" w:cs="Calibri" w:eastAsia="Calibri" w:hint="default"/>
                <w:sz w:val="20"/>
                <w:szCs w:val="20"/>
              </w:rPr>
            </w:pPr>
            <w:r>
              <w:rPr>
                <w:rFonts w:ascii="Calibri"/>
                <w:sz w:val="20"/>
              </w:rPr>
              <w:t>$2.25</w:t>
            </w:r>
          </w:p>
        </w:tc>
      </w:tr>
      <w:tr>
        <w:trPr>
          <w:trHeight w:val="232" w:hRule="exact"/>
        </w:trPr>
        <w:tc>
          <w:tcPr>
            <w:tcW w:w="5571" w:type="dxa"/>
            <w:tcBorders>
              <w:top w:val="nil" w:sz="6" w:space="0" w:color="auto"/>
              <w:left w:val="nil" w:sz="6" w:space="0" w:color="auto"/>
              <w:bottom w:val="single" w:sz="4" w:space="0" w:color="000000"/>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Any Other Purchases (In</w:t>
            </w:r>
            <w:r>
              <w:rPr>
                <w:rFonts w:ascii="Calibri"/>
                <w:spacing w:val="-16"/>
                <w:sz w:val="20"/>
              </w:rPr>
              <w:t> </w:t>
            </w:r>
            <w:r>
              <w:rPr>
                <w:rFonts w:ascii="Calibri"/>
                <w:sz w:val="20"/>
              </w:rPr>
              <w:t>US$)</w:t>
            </w:r>
          </w:p>
        </w:tc>
        <w:tc>
          <w:tcPr>
            <w:tcW w:w="2536" w:type="dxa"/>
            <w:tcBorders>
              <w:top w:val="nil" w:sz="6" w:space="0" w:color="auto"/>
              <w:left w:val="nil" w:sz="6" w:space="0" w:color="auto"/>
              <w:bottom w:val="single" w:sz="4" w:space="0" w:color="000000"/>
              <w:right w:val="nil" w:sz="6" w:space="0" w:color="auto"/>
            </w:tcBorders>
          </w:tcPr>
          <w:p>
            <w:pPr>
              <w:pStyle w:val="TableParagraph"/>
              <w:spacing w:line="226" w:lineRule="exact"/>
              <w:ind w:left="947" w:right="0"/>
              <w:jc w:val="center"/>
              <w:rPr>
                <w:rFonts w:ascii="Calibri" w:hAnsi="Calibri" w:cs="Calibri" w:eastAsia="Calibri" w:hint="default"/>
                <w:sz w:val="20"/>
                <w:szCs w:val="20"/>
              </w:rPr>
            </w:pPr>
            <w:r>
              <w:rPr>
                <w:rFonts w:ascii="Calibri"/>
                <w:sz w:val="20"/>
              </w:rPr>
              <w:t>$5.62</w:t>
            </w:r>
          </w:p>
        </w:tc>
        <w:tc>
          <w:tcPr>
            <w:tcW w:w="1336" w:type="dxa"/>
            <w:tcBorders>
              <w:top w:val="nil" w:sz="6" w:space="0" w:color="auto"/>
              <w:left w:val="nil" w:sz="6" w:space="0" w:color="auto"/>
              <w:bottom w:val="single" w:sz="4" w:space="0" w:color="000000"/>
              <w:right w:val="nil" w:sz="6" w:space="0" w:color="auto"/>
            </w:tcBorders>
          </w:tcPr>
          <w:p>
            <w:pPr>
              <w:pStyle w:val="TableParagraph"/>
              <w:spacing w:line="226" w:lineRule="exact"/>
              <w:ind w:right="2"/>
              <w:jc w:val="center"/>
              <w:rPr>
                <w:rFonts w:ascii="Calibri" w:hAnsi="Calibri" w:cs="Calibri" w:eastAsia="Calibri" w:hint="default"/>
                <w:sz w:val="20"/>
                <w:szCs w:val="20"/>
              </w:rPr>
            </w:pPr>
            <w:r>
              <w:rPr>
                <w:rFonts w:ascii="Calibri"/>
                <w:sz w:val="20"/>
              </w:rPr>
              <w:t>$4.36</w:t>
            </w:r>
          </w:p>
        </w:tc>
      </w:tr>
      <w:tr>
        <w:trPr>
          <w:trHeight w:val="254" w:hRule="exact"/>
        </w:trPr>
        <w:tc>
          <w:tcPr>
            <w:tcW w:w="5571" w:type="dxa"/>
            <w:tcBorders>
              <w:top w:val="single" w:sz="4" w:space="0" w:color="000000"/>
              <w:left w:val="nil" w:sz="6" w:space="0" w:color="auto"/>
              <w:bottom w:val="single" w:sz="4" w:space="0" w:color="000000"/>
              <w:right w:val="nil" w:sz="6" w:space="0" w:color="auto"/>
            </w:tcBorders>
          </w:tcPr>
          <w:p>
            <w:pPr>
              <w:pStyle w:val="TableParagraph"/>
              <w:spacing w:line="243" w:lineRule="exact"/>
              <w:ind w:left="69" w:right="0"/>
              <w:jc w:val="left"/>
              <w:rPr>
                <w:rFonts w:ascii="Calibri" w:hAnsi="Calibri" w:cs="Calibri" w:eastAsia="Calibri" w:hint="default"/>
                <w:sz w:val="20"/>
                <w:szCs w:val="20"/>
              </w:rPr>
            </w:pPr>
            <w:r>
              <w:rPr>
                <w:rFonts w:ascii="Calibri"/>
                <w:b/>
                <w:sz w:val="20"/>
              </w:rPr>
              <w:t>Total</w:t>
            </w:r>
            <w:r>
              <w:rPr>
                <w:rFonts w:ascii="Calibri"/>
                <w:sz w:val="20"/>
              </w:rPr>
            </w:r>
          </w:p>
        </w:tc>
        <w:tc>
          <w:tcPr>
            <w:tcW w:w="2536" w:type="dxa"/>
            <w:tcBorders>
              <w:top w:val="single" w:sz="4" w:space="0" w:color="000000"/>
              <w:left w:val="nil" w:sz="6" w:space="0" w:color="auto"/>
              <w:bottom w:val="single" w:sz="4" w:space="0" w:color="000000"/>
              <w:right w:val="nil" w:sz="6" w:space="0" w:color="auto"/>
            </w:tcBorders>
          </w:tcPr>
          <w:p>
            <w:pPr>
              <w:pStyle w:val="TableParagraph"/>
              <w:spacing w:line="243" w:lineRule="exact"/>
              <w:ind w:left="946" w:right="0"/>
              <w:jc w:val="center"/>
              <w:rPr>
                <w:rFonts w:ascii="Calibri" w:hAnsi="Calibri" w:cs="Calibri" w:eastAsia="Calibri" w:hint="default"/>
                <w:sz w:val="20"/>
                <w:szCs w:val="20"/>
              </w:rPr>
            </w:pPr>
            <w:r>
              <w:rPr>
                <w:rFonts w:ascii="Calibri"/>
                <w:sz w:val="20"/>
              </w:rPr>
              <w:t>$71.20</w:t>
            </w:r>
          </w:p>
        </w:tc>
        <w:tc>
          <w:tcPr>
            <w:tcW w:w="1336" w:type="dxa"/>
            <w:tcBorders>
              <w:top w:val="single" w:sz="4" w:space="0" w:color="000000"/>
              <w:left w:val="nil" w:sz="6" w:space="0" w:color="auto"/>
              <w:bottom w:val="single" w:sz="4" w:space="0" w:color="000000"/>
              <w:right w:val="nil" w:sz="6" w:space="0" w:color="auto"/>
            </w:tcBorders>
          </w:tcPr>
          <w:p>
            <w:pPr>
              <w:pStyle w:val="TableParagraph"/>
              <w:spacing w:line="243" w:lineRule="exact"/>
              <w:ind w:right="3"/>
              <w:jc w:val="center"/>
              <w:rPr>
                <w:rFonts w:ascii="Calibri" w:hAnsi="Calibri" w:cs="Calibri" w:eastAsia="Calibri" w:hint="default"/>
                <w:sz w:val="20"/>
                <w:szCs w:val="20"/>
              </w:rPr>
            </w:pPr>
            <w:r>
              <w:rPr>
                <w:rFonts w:ascii="Calibri"/>
                <w:sz w:val="20"/>
              </w:rPr>
              <w:t>$100.36</w:t>
            </w:r>
          </w:p>
        </w:tc>
      </w:tr>
    </w:tbl>
    <w:p>
      <w:pPr>
        <w:spacing w:line="240" w:lineRule="auto" w:before="2"/>
        <w:ind w:right="0"/>
        <w:rPr>
          <w:rFonts w:ascii="Calibri" w:hAnsi="Calibri" w:cs="Calibri" w:eastAsia="Calibri" w:hint="default"/>
          <w:b/>
          <w:bCs/>
          <w:sz w:val="15"/>
          <w:szCs w:val="15"/>
        </w:rPr>
      </w:pPr>
    </w:p>
    <w:p>
      <w:pPr>
        <w:pStyle w:val="BodyText"/>
        <w:spacing w:line="240" w:lineRule="auto" w:before="59"/>
        <w:ind w:right="1437"/>
        <w:jc w:val="both"/>
      </w:pPr>
      <w:r>
        <w:rPr/>
        <w:t>The results of the survey indicate that cruise passengers display a spending capacity as well as a potential source of stay-over</w:t>
      </w:r>
      <w:r>
        <w:rPr>
          <w:spacing w:val="-4"/>
        </w:rPr>
        <w:t> </w:t>
      </w:r>
      <w:r>
        <w:rPr/>
        <w:t>tourists.</w:t>
      </w:r>
      <w:r>
        <w:rPr>
          <w:spacing w:val="-3"/>
        </w:rPr>
        <w:t> </w:t>
      </w:r>
      <w:r>
        <w:rPr/>
        <w:t>Twenty-one</w:t>
      </w:r>
      <w:r>
        <w:rPr>
          <w:spacing w:val="-4"/>
        </w:rPr>
        <w:t> </w:t>
      </w:r>
      <w:r>
        <w:rPr/>
        <w:t>percent</w:t>
      </w:r>
      <w:r>
        <w:rPr>
          <w:spacing w:val="-3"/>
        </w:rPr>
        <w:t> </w:t>
      </w:r>
      <w:r>
        <w:rPr/>
        <w:t>of</w:t>
      </w:r>
      <w:r>
        <w:rPr>
          <w:spacing w:val="-5"/>
        </w:rPr>
        <w:t> </w:t>
      </w:r>
      <w:r>
        <w:rPr/>
        <w:t>cruise</w:t>
      </w:r>
      <w:r>
        <w:rPr>
          <w:spacing w:val="-3"/>
        </w:rPr>
        <w:t> </w:t>
      </w:r>
      <w:r>
        <w:rPr/>
        <w:t>passengers</w:t>
      </w:r>
      <w:r>
        <w:rPr>
          <w:spacing w:val="-4"/>
        </w:rPr>
        <w:t> </w:t>
      </w:r>
      <w:r>
        <w:rPr/>
        <w:t>indicated</w:t>
      </w:r>
      <w:r>
        <w:rPr>
          <w:spacing w:val="-4"/>
        </w:rPr>
        <w:t> </w:t>
      </w:r>
      <w:r>
        <w:rPr/>
        <w:t>that</w:t>
      </w:r>
      <w:r>
        <w:rPr>
          <w:spacing w:val="-4"/>
        </w:rPr>
        <w:t> </w:t>
      </w:r>
      <w:r>
        <w:rPr/>
        <w:t>they</w:t>
      </w:r>
      <w:r>
        <w:rPr>
          <w:spacing w:val="-4"/>
        </w:rPr>
        <w:t> </w:t>
      </w:r>
      <w:r>
        <w:rPr/>
        <w:t>are</w:t>
      </w:r>
      <w:r>
        <w:rPr>
          <w:spacing w:val="-3"/>
        </w:rPr>
        <w:t> </w:t>
      </w:r>
      <w:r>
        <w:rPr/>
        <w:t>willing</w:t>
      </w:r>
      <w:r>
        <w:rPr>
          <w:spacing w:val="-4"/>
        </w:rPr>
        <w:t> </w:t>
      </w:r>
      <w:r>
        <w:rPr/>
        <w:t>to</w:t>
      </w:r>
      <w:r>
        <w:rPr>
          <w:spacing w:val="-4"/>
        </w:rPr>
        <w:t> </w:t>
      </w:r>
      <w:r>
        <w:rPr/>
        <w:t>return</w:t>
      </w:r>
      <w:r>
        <w:rPr>
          <w:spacing w:val="-4"/>
        </w:rPr>
        <w:t> </w:t>
      </w:r>
      <w:r>
        <w:rPr/>
        <w:t>to</w:t>
      </w:r>
      <w:r>
        <w:rPr>
          <w:spacing w:val="-1"/>
        </w:rPr>
        <w:t> </w:t>
      </w:r>
      <w:r>
        <w:rPr/>
        <w:t>Curaçao</w:t>
      </w:r>
      <w:r>
        <w:rPr>
          <w:spacing w:val="-4"/>
        </w:rPr>
        <w:t> </w:t>
      </w:r>
      <w:r>
        <w:rPr/>
        <w:t>as</w:t>
      </w:r>
      <w:r>
        <w:rPr>
          <w:spacing w:val="-4"/>
        </w:rPr>
        <w:t> </w:t>
      </w:r>
      <w:r>
        <w:rPr/>
        <w:t>a </w:t>
      </w:r>
      <w:r>
        <w:rPr/>
        <w:t>stay-over tourist, stressing a conversion opportunity for the destination. This conversion opportunity represents a considerable potential economic impact for the destination. Consider the following example: if only 5% of cruise passengers decide to return to the destination as a stay-over tourist, this would mean an additional 30,000 tourists (29,831 based on 2014 cruise passenger arrival). Assuming these additional tourists would spend the same as the average</w:t>
      </w:r>
      <w:r>
        <w:rPr>
          <w:spacing w:val="-6"/>
        </w:rPr>
        <w:t> </w:t>
      </w:r>
      <w:r>
        <w:rPr/>
        <w:t>stay-over</w:t>
      </w:r>
      <w:r>
        <w:rPr>
          <w:spacing w:val="-5"/>
        </w:rPr>
        <w:t> </w:t>
      </w:r>
      <w:r>
        <w:rPr/>
        <w:t>tourists</w:t>
      </w:r>
      <w:r>
        <w:rPr>
          <w:spacing w:val="-6"/>
        </w:rPr>
        <w:t> </w:t>
      </w:r>
      <w:r>
        <w:rPr/>
        <w:t>in</w:t>
      </w:r>
      <w:r>
        <w:rPr>
          <w:spacing w:val="-5"/>
        </w:rPr>
        <w:t> </w:t>
      </w:r>
      <w:r>
        <w:rPr/>
        <w:t>the</w:t>
      </w:r>
      <w:r>
        <w:rPr>
          <w:spacing w:val="-6"/>
        </w:rPr>
        <w:t> </w:t>
      </w:r>
      <w:r>
        <w:rPr/>
        <w:t>amount</w:t>
      </w:r>
      <w:r>
        <w:rPr>
          <w:spacing w:val="-5"/>
        </w:rPr>
        <w:t> </w:t>
      </w:r>
      <w:r>
        <w:rPr/>
        <w:t>of</w:t>
      </w:r>
      <w:r>
        <w:rPr>
          <w:spacing w:val="-6"/>
        </w:rPr>
        <w:t> </w:t>
      </w:r>
      <w:r>
        <w:rPr/>
        <w:t>US925.5</w:t>
      </w:r>
      <w:r>
        <w:rPr>
          <w:spacing w:val="-6"/>
        </w:rPr>
        <w:t> </w:t>
      </w:r>
      <w:r>
        <w:rPr/>
        <w:t>per</w:t>
      </w:r>
      <w:r>
        <w:rPr>
          <w:spacing w:val="-5"/>
        </w:rPr>
        <w:t> </w:t>
      </w:r>
      <w:r>
        <w:rPr/>
        <w:t>trip,</w:t>
      </w:r>
      <w:r>
        <w:rPr>
          <w:spacing w:val="-5"/>
        </w:rPr>
        <w:t> </w:t>
      </w:r>
      <w:r>
        <w:rPr/>
        <w:t>the</w:t>
      </w:r>
      <w:r>
        <w:rPr>
          <w:spacing w:val="-9"/>
        </w:rPr>
        <w:t> </w:t>
      </w:r>
      <w:r>
        <w:rPr/>
        <w:t>direct</w:t>
      </w:r>
      <w:r>
        <w:rPr>
          <w:spacing w:val="-5"/>
        </w:rPr>
        <w:t> </w:t>
      </w:r>
      <w:r>
        <w:rPr/>
        <w:t>spending</w:t>
      </w:r>
      <w:r>
        <w:rPr>
          <w:spacing w:val="-6"/>
        </w:rPr>
        <w:t> </w:t>
      </w:r>
      <w:r>
        <w:rPr/>
        <w:t>would</w:t>
      </w:r>
      <w:r>
        <w:rPr>
          <w:spacing w:val="-5"/>
        </w:rPr>
        <w:t> </w:t>
      </w:r>
      <w:r>
        <w:rPr/>
        <w:t>add</w:t>
      </w:r>
      <w:r>
        <w:rPr>
          <w:spacing w:val="-5"/>
        </w:rPr>
        <w:t> </w:t>
      </w:r>
      <w:r>
        <w:rPr/>
        <w:t>to</w:t>
      </w:r>
      <w:r>
        <w:rPr>
          <w:spacing w:val="-7"/>
        </w:rPr>
        <w:t> </w:t>
      </w:r>
      <w:r>
        <w:rPr/>
        <w:t>US$27.6</w:t>
      </w:r>
      <w:r>
        <w:rPr>
          <w:spacing w:val="-6"/>
        </w:rPr>
        <w:t> </w:t>
      </w:r>
      <w:r>
        <w:rPr/>
        <w:t>million.</w:t>
      </w:r>
      <w:r>
        <w:rPr>
          <w:spacing w:val="-5"/>
        </w:rPr>
        <w:t> </w:t>
      </w:r>
      <w:r>
        <w:rPr/>
        <w:t>This </w:t>
      </w:r>
      <w:r>
        <w:rPr/>
        <w:t>is clearly a significant opportunity cost the destination would not pursue a tourist stay-over conversion</w:t>
      </w:r>
      <w:r>
        <w:rPr>
          <w:spacing w:val="-30"/>
        </w:rPr>
        <w:t> </w:t>
      </w:r>
      <w:r>
        <w:rPr/>
        <w:t>policy.</w:t>
      </w:r>
    </w:p>
    <w:p>
      <w:pPr>
        <w:pStyle w:val="Heading2"/>
        <w:spacing w:line="240" w:lineRule="auto" w:before="35"/>
        <w:ind w:right="0"/>
        <w:jc w:val="both"/>
        <w:rPr>
          <w:b w:val="0"/>
          <w:bCs w:val="0"/>
        </w:rPr>
      </w:pPr>
      <w:bookmarkStart w:name="_bookmark58" w:id="59"/>
      <w:bookmarkEnd w:id="59"/>
      <w:r>
        <w:rPr>
          <w:b w:val="0"/>
        </w:rPr>
      </w:r>
      <w:r>
        <w:rPr/>
        <w:t>The economic impact of</w:t>
      </w:r>
      <w:r>
        <w:rPr>
          <w:spacing w:val="-19"/>
        </w:rPr>
        <w:t> </w:t>
      </w:r>
      <w:r>
        <w:rPr/>
        <w:t>tourism</w:t>
      </w:r>
      <w:r>
        <w:rPr>
          <w:b w:val="0"/>
        </w:rPr>
      </w:r>
    </w:p>
    <w:p>
      <w:pPr>
        <w:pStyle w:val="BodyText"/>
        <w:spacing w:line="240" w:lineRule="auto" w:before="191"/>
        <w:ind w:right="1438"/>
        <w:jc w:val="both"/>
        <w:rPr>
          <w:sz w:val="12"/>
          <w:szCs w:val="12"/>
        </w:rPr>
      </w:pPr>
      <w:r>
        <w:rPr>
          <w:rFonts w:ascii="Calibri" w:hAnsi="Calibri" w:cs="Calibri" w:eastAsia="Calibri" w:hint="default"/>
        </w:rPr>
        <w:t>The economic contribution of tourism goes beyond the direct tourists’ spending. The economic impact analysis is </w:t>
      </w:r>
      <w:r>
        <w:rPr/>
        <w:t>based on the I-O model calibrated in the Tourism Economic Impact reported by the DPITS in 2010.</w:t>
      </w:r>
      <w:r>
        <w:rPr>
          <w:position w:val="5"/>
          <w:sz w:val="12"/>
          <w:szCs w:val="12"/>
        </w:rPr>
        <w:t>28 </w:t>
      </w:r>
      <w:r>
        <w:rPr/>
        <w:t>The direct </w:t>
      </w:r>
      <w:r>
        <w:rPr/>
        <w:t>spending was based on the information the DPITS received from the CTB and includes tourist spending in the magnitude of US$625.5 million. A leakage factor was included in the economic impact. The analysis made the assumption that a portion of the spending would be lost to other economies outside of Curaçao. Therefore, a leakage</w:t>
      </w:r>
      <w:r>
        <w:rPr>
          <w:spacing w:val="-3"/>
        </w:rPr>
        <w:t> </w:t>
      </w:r>
      <w:r>
        <w:rPr/>
        <w:t>factor</w:t>
      </w:r>
      <w:r>
        <w:rPr>
          <w:spacing w:val="-2"/>
        </w:rPr>
        <w:t> </w:t>
      </w:r>
      <w:r>
        <w:rPr/>
        <w:t>of</w:t>
      </w:r>
      <w:r>
        <w:rPr>
          <w:spacing w:val="-4"/>
        </w:rPr>
        <w:t> </w:t>
      </w:r>
      <w:r>
        <w:rPr/>
        <w:t>0.308 subtracted</w:t>
      </w:r>
      <w:r>
        <w:rPr>
          <w:spacing w:val="-2"/>
        </w:rPr>
        <w:t> </w:t>
      </w:r>
      <w:r>
        <w:rPr/>
        <w:t>this</w:t>
      </w:r>
      <w:r>
        <w:rPr>
          <w:spacing w:val="-4"/>
        </w:rPr>
        <w:t> </w:t>
      </w:r>
      <w:r>
        <w:rPr/>
        <w:t>fraction</w:t>
      </w:r>
      <w:r>
        <w:rPr>
          <w:spacing w:val="-2"/>
        </w:rPr>
        <w:t> </w:t>
      </w:r>
      <w:r>
        <w:rPr/>
        <w:t>from</w:t>
      </w:r>
      <w:r>
        <w:rPr>
          <w:spacing w:val="-3"/>
        </w:rPr>
        <w:t> </w:t>
      </w:r>
      <w:r>
        <w:rPr/>
        <w:t>the</w:t>
      </w:r>
      <w:r>
        <w:rPr>
          <w:spacing w:val="-3"/>
        </w:rPr>
        <w:t> </w:t>
      </w:r>
      <w:r>
        <w:rPr/>
        <w:t>total</w:t>
      </w:r>
      <w:r>
        <w:rPr>
          <w:spacing w:val="-3"/>
        </w:rPr>
        <w:t> </w:t>
      </w:r>
      <w:r>
        <w:rPr/>
        <w:t>direct</w:t>
      </w:r>
      <w:r>
        <w:rPr>
          <w:spacing w:val="-2"/>
        </w:rPr>
        <w:t> </w:t>
      </w:r>
      <w:r>
        <w:rPr/>
        <w:t>spending</w:t>
      </w:r>
      <w:r>
        <w:rPr>
          <w:spacing w:val="-3"/>
        </w:rPr>
        <w:t> </w:t>
      </w:r>
      <w:r>
        <w:rPr/>
        <w:t>of</w:t>
      </w:r>
      <w:r>
        <w:rPr>
          <w:spacing w:val="-4"/>
        </w:rPr>
        <w:t> </w:t>
      </w:r>
      <w:r>
        <w:rPr/>
        <w:t>tourists</w:t>
      </w:r>
      <w:r>
        <w:rPr>
          <w:spacing w:val="-4"/>
        </w:rPr>
        <w:t> </w:t>
      </w:r>
      <w:r>
        <w:rPr/>
        <w:t>to</w:t>
      </w:r>
      <w:r>
        <w:rPr>
          <w:spacing w:val="-2"/>
        </w:rPr>
        <w:t> </w:t>
      </w:r>
      <w:r>
        <w:rPr/>
        <w:t>the</w:t>
      </w:r>
      <w:r>
        <w:rPr>
          <w:spacing w:val="-3"/>
        </w:rPr>
        <w:t> </w:t>
      </w:r>
      <w:r>
        <w:rPr/>
        <w:t>island.</w:t>
      </w:r>
      <w:r>
        <w:rPr>
          <w:position w:val="5"/>
          <w:sz w:val="12"/>
          <w:szCs w:val="12"/>
        </w:rPr>
        <w:t>29</w:t>
      </w:r>
      <w:r>
        <w:rPr>
          <w:sz w:val="12"/>
          <w:szCs w:val="12"/>
        </w:rPr>
      </w:r>
    </w:p>
    <w:p>
      <w:pPr>
        <w:pStyle w:val="BodyText"/>
        <w:spacing w:line="240" w:lineRule="auto" w:before="159"/>
        <w:ind w:right="1437"/>
        <w:jc w:val="both"/>
      </w:pPr>
      <w:r>
        <w:rPr/>
        <w:t>The indirect economic impact was estimated at US$437.7 million, while the total economic contribution to the economy amounted to US$971.6 million (see Table 15). The multiplier effect is estimated at 1.82. The total amount of</w:t>
      </w:r>
      <w:r>
        <w:rPr>
          <w:spacing w:val="10"/>
        </w:rPr>
        <w:t> </w:t>
      </w:r>
      <w:r>
        <w:rPr/>
        <w:t>jobs</w:t>
      </w:r>
      <w:r>
        <w:rPr>
          <w:spacing w:val="10"/>
        </w:rPr>
        <w:t> </w:t>
      </w:r>
      <w:r>
        <w:rPr/>
        <w:t>spawned</w:t>
      </w:r>
      <w:r>
        <w:rPr>
          <w:spacing w:val="12"/>
        </w:rPr>
        <w:t> </w:t>
      </w:r>
      <w:r>
        <w:rPr/>
        <w:t>by</w:t>
      </w:r>
      <w:r>
        <w:rPr>
          <w:spacing w:val="12"/>
        </w:rPr>
        <w:t> </w:t>
      </w:r>
      <w:r>
        <w:rPr/>
        <w:t>this</w:t>
      </w:r>
      <w:r>
        <w:rPr>
          <w:spacing w:val="10"/>
        </w:rPr>
        <w:t> </w:t>
      </w:r>
      <w:r>
        <w:rPr/>
        <w:t>economic</w:t>
      </w:r>
      <w:r>
        <w:rPr>
          <w:spacing w:val="11"/>
        </w:rPr>
        <w:t> </w:t>
      </w:r>
      <w:r>
        <w:rPr/>
        <w:t>impact</w:t>
      </w:r>
      <w:r>
        <w:rPr>
          <w:spacing w:val="12"/>
        </w:rPr>
        <w:t> </w:t>
      </w:r>
      <w:r>
        <w:rPr/>
        <w:t>is</w:t>
      </w:r>
      <w:r>
        <w:rPr>
          <w:spacing w:val="10"/>
        </w:rPr>
        <w:t> </w:t>
      </w:r>
      <w:r>
        <w:rPr/>
        <w:t>16,503,</w:t>
      </w:r>
      <w:r>
        <w:rPr>
          <w:spacing w:val="12"/>
        </w:rPr>
        <w:t> </w:t>
      </w:r>
      <w:r>
        <w:rPr/>
        <w:t>which</w:t>
      </w:r>
      <w:r>
        <w:rPr>
          <w:spacing w:val="14"/>
        </w:rPr>
        <w:t> </w:t>
      </w:r>
      <w:r>
        <w:rPr/>
        <w:t>includes</w:t>
      </w:r>
      <w:r>
        <w:rPr>
          <w:spacing w:val="12"/>
        </w:rPr>
        <w:t> </w:t>
      </w:r>
      <w:r>
        <w:rPr/>
        <w:t>9,946</w:t>
      </w:r>
      <w:r>
        <w:rPr>
          <w:spacing w:val="11"/>
        </w:rPr>
        <w:t> </w:t>
      </w:r>
      <w:r>
        <w:rPr/>
        <w:t>direct</w:t>
      </w:r>
      <w:r>
        <w:rPr>
          <w:spacing w:val="11"/>
        </w:rPr>
        <w:t> </w:t>
      </w:r>
      <w:r>
        <w:rPr/>
        <w:t>jobs</w:t>
      </w:r>
      <w:r>
        <w:rPr>
          <w:spacing w:val="10"/>
        </w:rPr>
        <w:t> </w:t>
      </w:r>
      <w:r>
        <w:rPr/>
        <w:t>and</w:t>
      </w:r>
      <w:r>
        <w:rPr>
          <w:spacing w:val="13"/>
        </w:rPr>
        <w:t> </w:t>
      </w:r>
      <w:r>
        <w:rPr/>
        <w:t>6,557</w:t>
      </w:r>
      <w:r>
        <w:rPr>
          <w:spacing w:val="12"/>
        </w:rPr>
        <w:t> </w:t>
      </w:r>
      <w:r>
        <w:rPr/>
        <w:t>indirect</w:t>
      </w:r>
      <w:r>
        <w:rPr>
          <w:spacing w:val="11"/>
        </w:rPr>
        <w:t> </w:t>
      </w:r>
      <w:r>
        <w:rPr/>
        <w:t>jobs.</w:t>
      </w:r>
      <w:r>
        <w:rPr>
          <w:spacing w:val="11"/>
        </w:rPr>
        <w:t> </w:t>
      </w:r>
      <w:r>
        <w:rPr/>
        <w:t>The</w:t>
      </w:r>
    </w:p>
    <w:p>
      <w:pPr>
        <w:spacing w:line="240" w:lineRule="auto" w:before="1" w:after="0"/>
        <w:ind w:right="0"/>
        <w:rPr>
          <w:rFonts w:ascii="Calibri" w:hAnsi="Calibri" w:cs="Calibri" w:eastAsia="Calibri" w:hint="default"/>
          <w:sz w:val="24"/>
          <w:szCs w:val="24"/>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2" w:lineRule="auto" w:before="91"/>
        <w:ind w:left="1440" w:right="1431" w:firstLine="0"/>
        <w:jc w:val="left"/>
        <w:rPr>
          <w:rFonts w:ascii="Calibri" w:hAnsi="Calibri" w:cs="Calibri" w:eastAsia="Calibri" w:hint="default"/>
          <w:sz w:val="16"/>
          <w:szCs w:val="16"/>
        </w:rPr>
      </w:pPr>
      <w:r>
        <w:rPr>
          <w:rFonts w:ascii="Calibri"/>
          <w:position w:val="5"/>
          <w:sz w:val="12"/>
        </w:rPr>
        <w:t>27 </w:t>
      </w:r>
      <w:r>
        <w:rPr>
          <w:rFonts w:ascii="Calibri"/>
          <w:sz w:val="16"/>
        </w:rPr>
        <w:t>If the same amount of crew visits is used as reported by BREA, the crew expenditures would amount to US$6.8 million, which would bring the </w:t>
      </w:r>
      <w:r>
        <w:rPr>
          <w:rFonts w:ascii="Calibri"/>
          <w:sz w:val="16"/>
        </w:rPr>
        <w:t>total value of the cruise business to US$49.3 million. See BREA (2012). Economic contribution of cruise tourism to the destination economies. Volume 1. Report prepared for Florida-Caribbean Cruise</w:t>
      </w:r>
      <w:r>
        <w:rPr>
          <w:rFonts w:ascii="Calibri"/>
          <w:spacing w:val="-25"/>
          <w:sz w:val="16"/>
        </w:rPr>
        <w:t> </w:t>
      </w:r>
      <w:r>
        <w:rPr>
          <w:rFonts w:ascii="Calibri"/>
          <w:sz w:val="16"/>
        </w:rPr>
        <w:t>Association.</w:t>
      </w:r>
    </w:p>
    <w:p>
      <w:pPr>
        <w:spacing w:line="244" w:lineRule="auto" w:before="6"/>
        <w:ind w:left="1440" w:right="1846" w:firstLine="0"/>
        <w:jc w:val="left"/>
        <w:rPr>
          <w:rFonts w:ascii="Calibri" w:hAnsi="Calibri" w:cs="Calibri" w:eastAsia="Calibri" w:hint="default"/>
          <w:sz w:val="16"/>
          <w:szCs w:val="16"/>
        </w:rPr>
      </w:pPr>
      <w:r>
        <w:rPr>
          <w:rFonts w:ascii="Calibri" w:hAnsi="Calibri"/>
          <w:position w:val="5"/>
          <w:sz w:val="12"/>
        </w:rPr>
        <w:t>28 </w:t>
      </w:r>
      <w:r>
        <w:rPr>
          <w:rFonts w:ascii="Calibri" w:hAnsi="Calibri"/>
          <w:sz w:val="16"/>
        </w:rPr>
        <w:t>See Croes, R., Rivera, M. and Semrad, K. (2010). Curaçao Tourism Economic Impact 2007-2008, prepared for the Curaçao Tourist Board, </w:t>
      </w:r>
      <w:r>
        <w:rPr>
          <w:rFonts w:ascii="Calibri" w:hAnsi="Calibri"/>
          <w:sz w:val="16"/>
        </w:rPr>
        <w:t>DPITS, Orlando, September</w:t>
      </w:r>
      <w:r>
        <w:rPr>
          <w:rFonts w:ascii="Calibri" w:hAnsi="Calibri"/>
          <w:spacing w:val="-11"/>
          <w:sz w:val="16"/>
        </w:rPr>
        <w:t> </w:t>
      </w:r>
      <w:r>
        <w:rPr>
          <w:rFonts w:ascii="Calibri" w:hAnsi="Calibri"/>
          <w:sz w:val="16"/>
        </w:rPr>
        <w:t>15.</w:t>
      </w:r>
    </w:p>
    <w:p>
      <w:pPr>
        <w:spacing w:before="2"/>
        <w:ind w:left="1440" w:right="0" w:firstLine="0"/>
        <w:jc w:val="left"/>
        <w:rPr>
          <w:rFonts w:ascii="Calibri" w:hAnsi="Calibri" w:cs="Calibri" w:eastAsia="Calibri" w:hint="default"/>
          <w:sz w:val="16"/>
          <w:szCs w:val="16"/>
        </w:rPr>
      </w:pPr>
      <w:r>
        <w:rPr>
          <w:rFonts w:ascii="Calibri"/>
          <w:position w:val="5"/>
          <w:sz w:val="12"/>
        </w:rPr>
        <w:t>29 </w:t>
      </w:r>
      <w:r>
        <w:rPr>
          <w:rFonts w:ascii="Calibri"/>
          <w:sz w:val="16"/>
        </w:rPr>
        <w:t>The leakage factor was estimated based on a Keynesian</w:t>
      </w:r>
      <w:r>
        <w:rPr>
          <w:rFonts w:ascii="Calibri"/>
          <w:spacing w:val="-15"/>
          <w:sz w:val="16"/>
        </w:rPr>
        <w:t> </w:t>
      </w:r>
      <w:r>
        <w:rPr>
          <w:rFonts w:ascii="Calibri"/>
          <w:sz w:val="16"/>
        </w:rPr>
        <w:t>model.</w:t>
      </w:r>
    </w:p>
    <w:p>
      <w:pPr>
        <w:spacing w:after="0"/>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5"/>
        <w:jc w:val="left"/>
        <w:rPr>
          <w:sz w:val="12"/>
          <w:szCs w:val="12"/>
        </w:rPr>
      </w:pPr>
      <w:r>
        <w:rPr/>
        <w:t>total amount of jobs is equivalent to 22.6% of the total labor force in Curaçao. For every 44 tourists, one direct job is generated; whereas, one direct job as well as indirect jobs are generated for every 27</w:t>
      </w:r>
      <w:r>
        <w:rPr>
          <w:spacing w:val="-30"/>
        </w:rPr>
        <w:t> </w:t>
      </w:r>
      <w:r>
        <w:rPr/>
        <w:t>tourists.</w:t>
      </w:r>
      <w:r>
        <w:rPr>
          <w:position w:val="5"/>
          <w:sz w:val="12"/>
        </w:rPr>
        <w:t>30</w:t>
      </w:r>
      <w:r>
        <w:rPr>
          <w:sz w:val="12"/>
        </w:rPr>
      </w:r>
    </w:p>
    <w:p>
      <w:pPr>
        <w:pStyle w:val="Heading9"/>
        <w:tabs>
          <w:tab w:pos="4100" w:val="left" w:leader="none"/>
          <w:tab w:pos="10758" w:val="left" w:leader="none"/>
        </w:tabs>
        <w:spacing w:line="240" w:lineRule="auto" w:before="159" w:after="51"/>
        <w:ind w:left="1483" w:right="0"/>
        <w:jc w:val="left"/>
        <w:rPr>
          <w:rFonts w:ascii="Calibri" w:hAnsi="Calibri" w:cs="Calibri" w:eastAsia="Calibri" w:hint="default"/>
          <w:b w:val="0"/>
          <w:bCs w:val="0"/>
        </w:rPr>
      </w:pPr>
      <w:bookmarkStart w:name="_bookmark59" w:id="60"/>
      <w:bookmarkEnd w:id="60"/>
      <w:r>
        <w:rPr>
          <w:b w:val="0"/>
          <w:bCs w:val="0"/>
        </w:rPr>
      </w:r>
      <w:r>
        <w:rPr>
          <w:w w:val="99"/>
        </w:rPr>
      </w:r>
      <w:r>
        <w:rPr>
          <w:w w:val="99"/>
          <w:u w:val="single" w:color="000000"/>
        </w:rPr>
        <w:t> </w:t>
      </w:r>
      <w:r>
        <w:rPr>
          <w:u w:val="single" w:color="000000"/>
        </w:rPr>
        <w:tab/>
        <w:t>Table 15:  </w:t>
      </w:r>
      <w:r>
        <w:rPr>
          <w:rFonts w:ascii="Calibri" w:hAnsi="Calibri" w:cs="Calibri" w:eastAsia="Calibri" w:hint="default"/>
          <w:u w:val="single" w:color="000000"/>
        </w:rPr>
        <w:t>Tourism’s economic impact in</w:t>
      </w:r>
      <w:r>
        <w:rPr>
          <w:rFonts w:ascii="Calibri" w:hAnsi="Calibri" w:cs="Calibri" w:eastAsia="Calibri" w:hint="default"/>
          <w:spacing w:val="-20"/>
          <w:u w:val="single" w:color="000000"/>
        </w:rPr>
        <w:t> </w:t>
      </w:r>
      <w:r>
        <w:rPr>
          <w:rFonts w:ascii="Calibri" w:hAnsi="Calibri" w:cs="Calibri" w:eastAsia="Calibri" w:hint="default"/>
          <w:u w:val="single" w:color="000000"/>
        </w:rPr>
        <w:t>Curaçao</w:t>
        <w:tab/>
      </w:r>
      <w:r>
        <w:rPr>
          <w:rFonts w:ascii="Calibri" w:hAnsi="Calibri" w:cs="Calibri" w:eastAsia="Calibri" w:hint="default"/>
        </w:rPr>
      </w:r>
      <w:r>
        <w:rPr>
          <w:rFonts w:ascii="Calibri" w:hAnsi="Calibri" w:cs="Calibri" w:eastAsia="Calibri" w:hint="default"/>
          <w:b w:val="0"/>
          <w:bCs w:val="0"/>
        </w:rPr>
      </w:r>
    </w:p>
    <w:tbl>
      <w:tblPr>
        <w:tblW w:w="0" w:type="auto"/>
        <w:jc w:val="left"/>
        <w:tblInd w:w="1483" w:type="dxa"/>
        <w:tblLayout w:type="fixed"/>
        <w:tblCellMar>
          <w:top w:w="0" w:type="dxa"/>
          <w:left w:w="0" w:type="dxa"/>
          <w:bottom w:w="0" w:type="dxa"/>
          <w:right w:w="0" w:type="dxa"/>
        </w:tblCellMar>
        <w:tblLook w:val="01E0"/>
      </w:tblPr>
      <w:tblGrid>
        <w:gridCol w:w="3938"/>
        <w:gridCol w:w="5337"/>
      </w:tblGrid>
      <w:tr>
        <w:trPr>
          <w:trHeight w:val="209" w:hRule="exact"/>
        </w:trPr>
        <w:tc>
          <w:tcPr>
            <w:tcW w:w="3938" w:type="dxa"/>
            <w:tcBorders>
              <w:top w:val="nil" w:sz="6" w:space="0" w:color="auto"/>
              <w:left w:val="nil" w:sz="6" w:space="0" w:color="auto"/>
              <w:bottom w:val="single" w:sz="4" w:space="0" w:color="000000"/>
              <w:right w:val="nil" w:sz="6" w:space="0" w:color="auto"/>
            </w:tcBorders>
          </w:tcPr>
          <w:p>
            <w:pPr>
              <w:pStyle w:val="TableParagraph"/>
              <w:spacing w:line="203" w:lineRule="exact"/>
              <w:ind w:left="108" w:right="0"/>
              <w:jc w:val="left"/>
              <w:rPr>
                <w:rFonts w:ascii="Calibri" w:hAnsi="Calibri" w:cs="Calibri" w:eastAsia="Calibri" w:hint="default"/>
                <w:sz w:val="20"/>
                <w:szCs w:val="20"/>
              </w:rPr>
            </w:pPr>
            <w:r>
              <w:rPr>
                <w:rFonts w:ascii="Calibri"/>
                <w:b/>
                <w:sz w:val="20"/>
              </w:rPr>
              <w:t>Economic</w:t>
            </w:r>
            <w:r>
              <w:rPr>
                <w:rFonts w:ascii="Calibri"/>
                <w:b/>
                <w:spacing w:val="-8"/>
                <w:sz w:val="20"/>
              </w:rPr>
              <w:t> </w:t>
            </w:r>
            <w:r>
              <w:rPr>
                <w:rFonts w:ascii="Calibri"/>
                <w:b/>
                <w:sz w:val="20"/>
              </w:rPr>
              <w:t>Impact</w:t>
            </w:r>
            <w:r>
              <w:rPr>
                <w:rFonts w:ascii="Calibri"/>
                <w:sz w:val="20"/>
              </w:rPr>
            </w:r>
          </w:p>
        </w:tc>
        <w:tc>
          <w:tcPr>
            <w:tcW w:w="5337" w:type="dxa"/>
            <w:tcBorders>
              <w:top w:val="nil" w:sz="6" w:space="0" w:color="auto"/>
              <w:left w:val="nil" w:sz="6" w:space="0" w:color="auto"/>
              <w:bottom w:val="single" w:sz="4" w:space="0" w:color="000000"/>
              <w:right w:val="nil" w:sz="6" w:space="0" w:color="auto"/>
            </w:tcBorders>
          </w:tcPr>
          <w:p>
            <w:pPr>
              <w:pStyle w:val="TableParagraph"/>
              <w:spacing w:line="203" w:lineRule="exact"/>
              <w:ind w:right="10"/>
              <w:jc w:val="center"/>
              <w:rPr>
                <w:rFonts w:ascii="Calibri" w:hAnsi="Calibri" w:cs="Calibri" w:eastAsia="Calibri" w:hint="default"/>
                <w:sz w:val="20"/>
                <w:szCs w:val="20"/>
              </w:rPr>
            </w:pPr>
            <w:r>
              <w:rPr>
                <w:rFonts w:ascii="Calibri"/>
                <w:b/>
                <w:sz w:val="20"/>
              </w:rPr>
              <w:t>Totals</w:t>
            </w:r>
            <w:r>
              <w:rPr>
                <w:rFonts w:ascii="Calibri"/>
                <w:sz w:val="20"/>
              </w:rPr>
            </w:r>
          </w:p>
        </w:tc>
      </w:tr>
      <w:tr>
        <w:trPr>
          <w:trHeight w:val="267" w:hRule="exact"/>
        </w:trPr>
        <w:tc>
          <w:tcPr>
            <w:tcW w:w="3938" w:type="dxa"/>
            <w:tcBorders>
              <w:top w:val="single" w:sz="4" w:space="0" w:color="000000"/>
              <w:left w:val="nil" w:sz="6" w:space="0" w:color="auto"/>
              <w:bottom w:val="nil" w:sz="6" w:space="0" w:color="auto"/>
              <w:right w:val="nil" w:sz="6" w:space="0" w:color="auto"/>
            </w:tcBorders>
          </w:tcPr>
          <w:p>
            <w:pPr>
              <w:pStyle w:val="TableParagraph"/>
              <w:spacing w:line="243" w:lineRule="exact"/>
              <w:ind w:left="108" w:right="0"/>
              <w:jc w:val="left"/>
              <w:rPr>
                <w:rFonts w:ascii="Calibri" w:hAnsi="Calibri" w:cs="Calibri" w:eastAsia="Calibri" w:hint="default"/>
                <w:sz w:val="20"/>
                <w:szCs w:val="20"/>
              </w:rPr>
            </w:pPr>
            <w:r>
              <w:rPr>
                <w:rFonts w:ascii="Calibri"/>
                <w:sz w:val="20"/>
              </w:rPr>
              <w:t>Direct</w:t>
            </w:r>
            <w:r>
              <w:rPr>
                <w:rFonts w:ascii="Calibri"/>
                <w:spacing w:val="-9"/>
                <w:sz w:val="20"/>
              </w:rPr>
              <w:t> </w:t>
            </w:r>
            <w:r>
              <w:rPr>
                <w:rFonts w:ascii="Calibri"/>
                <w:sz w:val="20"/>
              </w:rPr>
              <w:t>Impact</w:t>
            </w:r>
          </w:p>
        </w:tc>
        <w:tc>
          <w:tcPr>
            <w:tcW w:w="5337" w:type="dxa"/>
            <w:tcBorders>
              <w:top w:val="single" w:sz="4" w:space="0" w:color="000000"/>
              <w:left w:val="nil" w:sz="6" w:space="0" w:color="auto"/>
              <w:bottom w:val="nil" w:sz="6" w:space="0" w:color="auto"/>
              <w:right w:val="nil" w:sz="6" w:space="0" w:color="auto"/>
            </w:tcBorders>
          </w:tcPr>
          <w:p>
            <w:pPr>
              <w:pStyle w:val="TableParagraph"/>
              <w:spacing w:line="243" w:lineRule="exact"/>
              <w:ind w:right="108"/>
              <w:jc w:val="right"/>
              <w:rPr>
                <w:rFonts w:ascii="Calibri" w:hAnsi="Calibri" w:cs="Calibri" w:eastAsia="Calibri" w:hint="default"/>
                <w:sz w:val="20"/>
                <w:szCs w:val="20"/>
              </w:rPr>
            </w:pPr>
            <w:r>
              <w:rPr>
                <w:rFonts w:ascii="Calibri"/>
                <w:w w:val="95"/>
                <w:sz w:val="20"/>
              </w:rPr>
              <w:t>$533,940,224.00</w:t>
            </w:r>
            <w:r>
              <w:rPr>
                <w:rFonts w:ascii="Calibri"/>
                <w:sz w:val="20"/>
              </w:rPr>
            </w:r>
          </w:p>
        </w:tc>
      </w:tr>
      <w:tr>
        <w:trPr>
          <w:trHeight w:val="244" w:hRule="exact"/>
        </w:trPr>
        <w:tc>
          <w:tcPr>
            <w:tcW w:w="3938"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Indirect</w:t>
            </w:r>
            <w:r>
              <w:rPr>
                <w:rFonts w:ascii="Calibri"/>
                <w:spacing w:val="-6"/>
                <w:sz w:val="20"/>
              </w:rPr>
              <w:t> </w:t>
            </w:r>
            <w:r>
              <w:rPr>
                <w:rFonts w:ascii="Calibri"/>
                <w:sz w:val="20"/>
              </w:rPr>
              <w:t>Impact</w:t>
            </w:r>
          </w:p>
        </w:tc>
        <w:tc>
          <w:tcPr>
            <w:tcW w:w="5337" w:type="dxa"/>
            <w:tcBorders>
              <w:top w:val="nil" w:sz="6" w:space="0" w:color="auto"/>
              <w:left w:val="nil" w:sz="6" w:space="0" w:color="auto"/>
              <w:bottom w:val="nil" w:sz="6" w:space="0" w:color="auto"/>
              <w:right w:val="nil" w:sz="6" w:space="0" w:color="auto"/>
            </w:tcBorders>
          </w:tcPr>
          <w:p>
            <w:pPr>
              <w:pStyle w:val="TableParagraph"/>
              <w:spacing w:line="226" w:lineRule="exact"/>
              <w:ind w:right="108"/>
              <w:jc w:val="right"/>
              <w:rPr>
                <w:rFonts w:ascii="Calibri" w:hAnsi="Calibri" w:cs="Calibri" w:eastAsia="Calibri" w:hint="default"/>
                <w:sz w:val="20"/>
                <w:szCs w:val="20"/>
              </w:rPr>
            </w:pPr>
            <w:r>
              <w:rPr>
                <w:rFonts w:ascii="Calibri"/>
                <w:w w:val="95"/>
                <w:sz w:val="20"/>
              </w:rPr>
              <w:t>$437,692,945</w:t>
            </w:r>
            <w:r>
              <w:rPr>
                <w:rFonts w:ascii="Calibri"/>
                <w:sz w:val="20"/>
              </w:rPr>
            </w:r>
          </w:p>
        </w:tc>
      </w:tr>
      <w:tr>
        <w:trPr>
          <w:trHeight w:val="244" w:hRule="exact"/>
        </w:trPr>
        <w:tc>
          <w:tcPr>
            <w:tcW w:w="3938" w:type="dxa"/>
            <w:tcBorders>
              <w:top w:val="nil" w:sz="6" w:space="0" w:color="auto"/>
              <w:left w:val="nil" w:sz="6" w:space="0" w:color="auto"/>
              <w:bottom w:val="nil" w:sz="6" w:space="0" w:color="auto"/>
              <w:right w:val="nil" w:sz="6" w:space="0" w:color="auto"/>
            </w:tcBorders>
          </w:tcPr>
          <w:p>
            <w:pPr>
              <w:pStyle w:val="TableParagraph"/>
              <w:spacing w:line="225" w:lineRule="exact"/>
              <w:ind w:left="108" w:right="0"/>
              <w:jc w:val="left"/>
              <w:rPr>
                <w:rFonts w:ascii="Calibri" w:hAnsi="Calibri" w:cs="Calibri" w:eastAsia="Calibri" w:hint="default"/>
                <w:sz w:val="20"/>
                <w:szCs w:val="20"/>
              </w:rPr>
            </w:pPr>
            <w:r>
              <w:rPr>
                <w:rFonts w:ascii="Calibri"/>
                <w:sz w:val="20"/>
              </w:rPr>
              <w:t>Total</w:t>
            </w:r>
            <w:r>
              <w:rPr>
                <w:rFonts w:ascii="Calibri"/>
                <w:spacing w:val="-7"/>
                <w:sz w:val="20"/>
              </w:rPr>
              <w:t> </w:t>
            </w:r>
            <w:r>
              <w:rPr>
                <w:rFonts w:ascii="Calibri"/>
                <w:sz w:val="20"/>
              </w:rPr>
              <w:t>Impact</w:t>
            </w:r>
          </w:p>
        </w:tc>
        <w:tc>
          <w:tcPr>
            <w:tcW w:w="5337" w:type="dxa"/>
            <w:tcBorders>
              <w:top w:val="nil" w:sz="6" w:space="0" w:color="auto"/>
              <w:left w:val="nil" w:sz="6" w:space="0" w:color="auto"/>
              <w:bottom w:val="nil" w:sz="6" w:space="0" w:color="auto"/>
              <w:right w:val="nil" w:sz="6" w:space="0" w:color="auto"/>
            </w:tcBorders>
          </w:tcPr>
          <w:p>
            <w:pPr>
              <w:pStyle w:val="TableParagraph"/>
              <w:spacing w:line="225" w:lineRule="exact"/>
              <w:ind w:right="108"/>
              <w:jc w:val="right"/>
              <w:rPr>
                <w:rFonts w:ascii="Calibri" w:hAnsi="Calibri" w:cs="Calibri" w:eastAsia="Calibri" w:hint="default"/>
                <w:sz w:val="20"/>
                <w:szCs w:val="20"/>
              </w:rPr>
            </w:pPr>
            <w:r>
              <w:rPr>
                <w:rFonts w:ascii="Calibri"/>
                <w:w w:val="95"/>
                <w:sz w:val="20"/>
              </w:rPr>
              <w:t>$971,633,168.66</w:t>
            </w:r>
            <w:r>
              <w:rPr>
                <w:rFonts w:ascii="Calibri"/>
                <w:sz w:val="20"/>
              </w:rPr>
            </w:r>
          </w:p>
        </w:tc>
      </w:tr>
      <w:tr>
        <w:trPr>
          <w:trHeight w:val="232" w:hRule="exact"/>
        </w:trPr>
        <w:tc>
          <w:tcPr>
            <w:tcW w:w="3938" w:type="dxa"/>
            <w:tcBorders>
              <w:top w:val="nil" w:sz="6" w:space="0" w:color="auto"/>
              <w:left w:val="nil" w:sz="6" w:space="0" w:color="auto"/>
              <w:bottom w:val="single" w:sz="4" w:space="0" w:color="000000"/>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Multiplier</w:t>
            </w:r>
            <w:r>
              <w:rPr>
                <w:rFonts w:ascii="Calibri"/>
                <w:spacing w:val="-9"/>
                <w:sz w:val="20"/>
              </w:rPr>
              <w:t> </w:t>
            </w:r>
            <w:r>
              <w:rPr>
                <w:rFonts w:ascii="Calibri"/>
                <w:sz w:val="20"/>
              </w:rPr>
              <w:t>Effect</w:t>
            </w:r>
          </w:p>
        </w:tc>
        <w:tc>
          <w:tcPr>
            <w:tcW w:w="5337" w:type="dxa"/>
            <w:tcBorders>
              <w:top w:val="nil" w:sz="6" w:space="0" w:color="auto"/>
              <w:left w:val="nil" w:sz="6" w:space="0" w:color="auto"/>
              <w:bottom w:val="single" w:sz="4" w:space="0" w:color="000000"/>
              <w:right w:val="nil" w:sz="6" w:space="0" w:color="auto"/>
            </w:tcBorders>
          </w:tcPr>
          <w:p>
            <w:pPr>
              <w:pStyle w:val="TableParagraph"/>
              <w:spacing w:line="226" w:lineRule="exact"/>
              <w:ind w:right="107"/>
              <w:jc w:val="right"/>
              <w:rPr>
                <w:rFonts w:ascii="Calibri" w:hAnsi="Calibri" w:cs="Calibri" w:eastAsia="Calibri" w:hint="default"/>
                <w:sz w:val="20"/>
                <w:szCs w:val="20"/>
              </w:rPr>
            </w:pPr>
            <w:r>
              <w:rPr>
                <w:rFonts w:ascii="Calibri"/>
                <w:w w:val="95"/>
                <w:sz w:val="20"/>
              </w:rPr>
              <w:t>1.82</w:t>
            </w:r>
            <w:r>
              <w:rPr>
                <w:rFonts w:ascii="Calibri"/>
                <w:sz w:val="20"/>
              </w:rPr>
            </w:r>
          </w:p>
        </w:tc>
      </w:tr>
    </w:tbl>
    <w:p>
      <w:pPr>
        <w:spacing w:line="240" w:lineRule="auto" w:before="2"/>
        <w:ind w:right="0"/>
        <w:rPr>
          <w:rFonts w:ascii="Calibri" w:hAnsi="Calibri" w:cs="Calibri" w:eastAsia="Calibri" w:hint="default"/>
          <w:b/>
          <w:bCs/>
          <w:sz w:val="15"/>
          <w:szCs w:val="15"/>
        </w:rPr>
      </w:pPr>
    </w:p>
    <w:p>
      <w:pPr>
        <w:pStyle w:val="Heading9"/>
        <w:tabs>
          <w:tab w:pos="4229" w:val="left" w:leader="none"/>
          <w:tab w:pos="10780" w:val="left" w:leader="none"/>
        </w:tabs>
        <w:spacing w:line="240" w:lineRule="auto" w:before="59" w:after="51"/>
        <w:ind w:left="1459" w:right="0"/>
        <w:jc w:val="left"/>
        <w:rPr>
          <w:b w:val="0"/>
          <w:bCs w:val="0"/>
        </w:rPr>
      </w:pPr>
      <w:bookmarkStart w:name="_bookmark60" w:id="61"/>
      <w:bookmarkEnd w:id="61"/>
      <w:r>
        <w:rPr>
          <w:b w:val="0"/>
          <w:bCs w:val="0"/>
        </w:rPr>
      </w:r>
      <w:r>
        <w:rPr>
          <w:w w:val="99"/>
        </w:rPr>
      </w:r>
      <w:r>
        <w:rPr>
          <w:w w:val="99"/>
          <w:u w:val="single" w:color="000000"/>
        </w:rPr>
        <w:t> </w:t>
      </w:r>
      <w:r>
        <w:rPr>
          <w:u w:val="single" w:color="000000"/>
        </w:rPr>
        <w:tab/>
        <w:t>Table 16:  Tourism</w:t>
      </w:r>
      <w:r>
        <w:rPr>
          <w:rFonts w:ascii="Calibri" w:hAnsi="Calibri" w:cs="Calibri" w:eastAsia="Calibri" w:hint="default"/>
          <w:u w:val="single" w:color="000000"/>
        </w:rPr>
        <w:t>’s </w:t>
      </w:r>
      <w:r>
        <w:rPr>
          <w:u w:val="single" w:color="000000"/>
        </w:rPr>
        <w:t>economic spillover</w:t>
      </w:r>
      <w:r>
        <w:rPr>
          <w:spacing w:val="-26"/>
          <w:u w:val="single" w:color="000000"/>
        </w:rPr>
        <w:t> </w:t>
      </w:r>
      <w:r>
        <w:rPr>
          <w:u w:val="single" w:color="000000"/>
        </w:rPr>
        <w:t>effect</w:t>
        <w:tab/>
      </w:r>
      <w:r>
        <w:rPr/>
      </w:r>
      <w:r>
        <w:rPr>
          <w:b w:val="0"/>
          <w:bCs w:val="0"/>
        </w:rPr>
      </w:r>
    </w:p>
    <w:tbl>
      <w:tblPr>
        <w:tblW w:w="0" w:type="auto"/>
        <w:jc w:val="left"/>
        <w:tblInd w:w="1445" w:type="dxa"/>
        <w:tblLayout w:type="fixed"/>
        <w:tblCellMar>
          <w:top w:w="0" w:type="dxa"/>
          <w:left w:w="0" w:type="dxa"/>
          <w:bottom w:w="0" w:type="dxa"/>
          <w:right w:w="0" w:type="dxa"/>
        </w:tblCellMar>
        <w:tblLook w:val="01E0"/>
      </w:tblPr>
      <w:tblGrid>
        <w:gridCol w:w="3627"/>
        <w:gridCol w:w="2195"/>
        <w:gridCol w:w="896"/>
        <w:gridCol w:w="1253"/>
        <w:gridCol w:w="1364"/>
      </w:tblGrid>
      <w:tr>
        <w:trPr>
          <w:trHeight w:val="207" w:hRule="exact"/>
        </w:trPr>
        <w:tc>
          <w:tcPr>
            <w:tcW w:w="3627" w:type="dxa"/>
            <w:tcBorders>
              <w:top w:val="nil" w:sz="6" w:space="0" w:color="auto"/>
              <w:left w:val="nil" w:sz="6" w:space="0" w:color="auto"/>
              <w:bottom w:val="single" w:sz="4" w:space="0" w:color="000000"/>
              <w:right w:val="nil" w:sz="6" w:space="0" w:color="auto"/>
            </w:tcBorders>
          </w:tcPr>
          <w:p>
            <w:pPr>
              <w:pStyle w:val="TableParagraph"/>
              <w:spacing w:line="203" w:lineRule="exact"/>
              <w:ind w:left="758" w:right="0"/>
              <w:jc w:val="left"/>
              <w:rPr>
                <w:rFonts w:ascii="Calibri" w:hAnsi="Calibri" w:cs="Calibri" w:eastAsia="Calibri" w:hint="default"/>
                <w:sz w:val="20"/>
                <w:szCs w:val="20"/>
              </w:rPr>
            </w:pPr>
            <w:r>
              <w:rPr>
                <w:rFonts w:ascii="Calibri"/>
                <w:b/>
                <w:sz w:val="20"/>
              </w:rPr>
              <w:t>Sector</w:t>
            </w:r>
            <w:r>
              <w:rPr>
                <w:rFonts w:ascii="Calibri"/>
                <w:sz w:val="20"/>
              </w:rPr>
            </w:r>
          </w:p>
        </w:tc>
        <w:tc>
          <w:tcPr>
            <w:tcW w:w="3091" w:type="dxa"/>
            <w:gridSpan w:val="2"/>
            <w:tcBorders>
              <w:top w:val="nil" w:sz="6" w:space="0" w:color="auto"/>
              <w:left w:val="nil" w:sz="6" w:space="0" w:color="auto"/>
              <w:bottom w:val="single" w:sz="4" w:space="0" w:color="000000"/>
              <w:right w:val="nil" w:sz="6" w:space="0" w:color="auto"/>
            </w:tcBorders>
          </w:tcPr>
          <w:p>
            <w:pPr>
              <w:pStyle w:val="TableParagraph"/>
              <w:spacing w:line="203" w:lineRule="exact"/>
              <w:ind w:left="988" w:right="0"/>
              <w:jc w:val="left"/>
              <w:rPr>
                <w:rFonts w:ascii="Calibri" w:hAnsi="Calibri" w:cs="Calibri" w:eastAsia="Calibri" w:hint="default"/>
                <w:sz w:val="20"/>
                <w:szCs w:val="20"/>
              </w:rPr>
            </w:pPr>
            <w:r>
              <w:rPr>
                <w:rFonts w:ascii="Calibri"/>
                <w:b/>
                <w:sz w:val="20"/>
              </w:rPr>
              <w:t>Direct and</w:t>
            </w:r>
            <w:r>
              <w:rPr>
                <w:rFonts w:ascii="Calibri"/>
                <w:b/>
                <w:spacing w:val="-8"/>
                <w:sz w:val="20"/>
              </w:rPr>
              <w:t> </w:t>
            </w:r>
            <w:r>
              <w:rPr>
                <w:rFonts w:ascii="Calibri"/>
                <w:b/>
                <w:sz w:val="20"/>
              </w:rPr>
              <w:t>Indirect</w:t>
            </w:r>
            <w:r>
              <w:rPr>
                <w:rFonts w:ascii="Calibri"/>
                <w:sz w:val="20"/>
              </w:rPr>
            </w:r>
          </w:p>
        </w:tc>
        <w:tc>
          <w:tcPr>
            <w:tcW w:w="1253" w:type="dxa"/>
            <w:tcBorders>
              <w:top w:val="nil" w:sz="6" w:space="0" w:color="auto"/>
              <w:left w:val="nil" w:sz="6" w:space="0" w:color="auto"/>
              <w:bottom w:val="single" w:sz="4" w:space="0" w:color="000000"/>
              <w:right w:val="nil" w:sz="6" w:space="0" w:color="auto"/>
            </w:tcBorders>
          </w:tcPr>
          <w:p>
            <w:pPr>
              <w:pStyle w:val="TableParagraph"/>
              <w:spacing w:line="203" w:lineRule="exact"/>
              <w:ind w:right="15"/>
              <w:jc w:val="center"/>
              <w:rPr>
                <w:rFonts w:ascii="Calibri" w:hAnsi="Calibri" w:cs="Calibri" w:eastAsia="Calibri" w:hint="default"/>
                <w:sz w:val="20"/>
                <w:szCs w:val="20"/>
              </w:rPr>
            </w:pPr>
            <w:r>
              <w:rPr>
                <w:rFonts w:ascii="Calibri"/>
                <w:b/>
                <w:sz w:val="20"/>
              </w:rPr>
              <w:t>Direct</w:t>
            </w:r>
            <w:r>
              <w:rPr>
                <w:rFonts w:ascii="Calibri"/>
                <w:b/>
                <w:spacing w:val="-8"/>
                <w:sz w:val="20"/>
              </w:rPr>
              <w:t> </w:t>
            </w:r>
            <w:r>
              <w:rPr>
                <w:rFonts w:ascii="Calibri"/>
                <w:b/>
                <w:sz w:val="20"/>
              </w:rPr>
              <w:t>Jobs</w:t>
            </w:r>
            <w:r>
              <w:rPr>
                <w:rFonts w:ascii="Calibri"/>
                <w:sz w:val="20"/>
              </w:rPr>
            </w:r>
          </w:p>
        </w:tc>
        <w:tc>
          <w:tcPr>
            <w:tcW w:w="1364" w:type="dxa"/>
            <w:tcBorders>
              <w:top w:val="nil" w:sz="6" w:space="0" w:color="auto"/>
              <w:left w:val="nil" w:sz="6" w:space="0" w:color="auto"/>
              <w:bottom w:val="single" w:sz="4" w:space="0" w:color="000000"/>
              <w:right w:val="nil" w:sz="6" w:space="0" w:color="auto"/>
            </w:tcBorders>
          </w:tcPr>
          <w:p>
            <w:pPr>
              <w:pStyle w:val="TableParagraph"/>
              <w:spacing w:line="203" w:lineRule="exact"/>
              <w:ind w:left="49" w:right="0"/>
              <w:jc w:val="center"/>
              <w:rPr>
                <w:rFonts w:ascii="Calibri" w:hAnsi="Calibri" w:cs="Calibri" w:eastAsia="Calibri" w:hint="default"/>
                <w:sz w:val="20"/>
                <w:szCs w:val="20"/>
              </w:rPr>
            </w:pPr>
            <w:r>
              <w:rPr>
                <w:rFonts w:ascii="Calibri"/>
                <w:b/>
                <w:sz w:val="20"/>
              </w:rPr>
              <w:t>Indirect</w:t>
            </w:r>
            <w:r>
              <w:rPr>
                <w:rFonts w:ascii="Calibri"/>
                <w:b/>
                <w:spacing w:val="-7"/>
                <w:sz w:val="20"/>
              </w:rPr>
              <w:t> </w:t>
            </w:r>
            <w:r>
              <w:rPr>
                <w:rFonts w:ascii="Calibri"/>
                <w:b/>
                <w:sz w:val="20"/>
              </w:rPr>
              <w:t>Jobs</w:t>
            </w:r>
            <w:r>
              <w:rPr>
                <w:rFonts w:ascii="Calibri"/>
                <w:sz w:val="20"/>
              </w:rPr>
            </w:r>
          </w:p>
        </w:tc>
      </w:tr>
      <w:tr>
        <w:trPr>
          <w:trHeight w:val="267" w:hRule="exact"/>
        </w:trPr>
        <w:tc>
          <w:tcPr>
            <w:tcW w:w="3627" w:type="dxa"/>
            <w:tcBorders>
              <w:top w:val="single" w:sz="4" w:space="0" w:color="000000"/>
              <w:left w:val="nil" w:sz="6" w:space="0" w:color="auto"/>
              <w:bottom w:val="nil" w:sz="6" w:space="0" w:color="auto"/>
              <w:right w:val="nil" w:sz="6" w:space="0" w:color="auto"/>
            </w:tcBorders>
          </w:tcPr>
          <w:p>
            <w:pPr>
              <w:pStyle w:val="TableParagraph"/>
              <w:spacing w:line="243" w:lineRule="exact"/>
              <w:ind w:left="122" w:right="0"/>
              <w:jc w:val="left"/>
              <w:rPr>
                <w:rFonts w:ascii="Calibri" w:hAnsi="Calibri" w:cs="Calibri" w:eastAsia="Calibri" w:hint="default"/>
                <w:sz w:val="20"/>
                <w:szCs w:val="20"/>
              </w:rPr>
            </w:pPr>
            <w:r>
              <w:rPr>
                <w:rFonts w:ascii="Calibri"/>
                <w:sz w:val="20"/>
              </w:rPr>
              <w:t>Agriculture, fishing,</w:t>
            </w:r>
            <w:r>
              <w:rPr>
                <w:rFonts w:ascii="Calibri"/>
                <w:spacing w:val="-13"/>
                <w:sz w:val="20"/>
              </w:rPr>
              <w:t> </w:t>
            </w:r>
            <w:r>
              <w:rPr>
                <w:rFonts w:ascii="Calibri"/>
                <w:sz w:val="20"/>
              </w:rPr>
              <w:t>mining</w:t>
            </w:r>
          </w:p>
        </w:tc>
        <w:tc>
          <w:tcPr>
            <w:tcW w:w="2195" w:type="dxa"/>
            <w:tcBorders>
              <w:top w:val="single" w:sz="4" w:space="0" w:color="000000"/>
              <w:left w:val="nil" w:sz="6" w:space="0" w:color="auto"/>
              <w:bottom w:val="nil" w:sz="6" w:space="0" w:color="auto"/>
              <w:right w:val="nil" w:sz="6" w:space="0" w:color="auto"/>
            </w:tcBorders>
          </w:tcPr>
          <w:p>
            <w:pPr>
              <w:pStyle w:val="TableParagraph"/>
              <w:spacing w:line="243" w:lineRule="exact"/>
              <w:ind w:right="285"/>
              <w:jc w:val="right"/>
              <w:rPr>
                <w:rFonts w:ascii="Calibri" w:hAnsi="Calibri" w:cs="Calibri" w:eastAsia="Calibri" w:hint="default"/>
                <w:sz w:val="20"/>
                <w:szCs w:val="20"/>
              </w:rPr>
            </w:pPr>
            <w:r>
              <w:rPr>
                <w:rFonts w:ascii="Calibri"/>
                <w:w w:val="95"/>
                <w:sz w:val="20"/>
              </w:rPr>
              <w:t>$28,291,163</w:t>
            </w:r>
            <w:r>
              <w:rPr>
                <w:rFonts w:ascii="Calibri"/>
                <w:sz w:val="20"/>
              </w:rPr>
            </w:r>
          </w:p>
        </w:tc>
        <w:tc>
          <w:tcPr>
            <w:tcW w:w="896" w:type="dxa"/>
            <w:tcBorders>
              <w:top w:val="single" w:sz="4" w:space="0" w:color="000000"/>
              <w:left w:val="nil" w:sz="6" w:space="0" w:color="auto"/>
              <w:bottom w:val="nil" w:sz="6" w:space="0" w:color="auto"/>
              <w:right w:val="nil" w:sz="6" w:space="0" w:color="auto"/>
            </w:tcBorders>
          </w:tcPr>
          <w:p>
            <w:pPr>
              <w:pStyle w:val="TableParagraph"/>
              <w:spacing w:line="243" w:lineRule="exact"/>
              <w:ind w:left="67" w:right="0"/>
              <w:jc w:val="center"/>
              <w:rPr>
                <w:rFonts w:ascii="Calibri" w:hAnsi="Calibri" w:cs="Calibri" w:eastAsia="Calibri" w:hint="default"/>
                <w:sz w:val="20"/>
                <w:szCs w:val="20"/>
              </w:rPr>
            </w:pPr>
            <w:r>
              <w:rPr>
                <w:rFonts w:ascii="Calibri"/>
                <w:sz w:val="20"/>
              </w:rPr>
              <w:t>2.9%</w:t>
            </w:r>
          </w:p>
        </w:tc>
        <w:tc>
          <w:tcPr>
            <w:tcW w:w="1253" w:type="dxa"/>
            <w:tcBorders>
              <w:top w:val="single" w:sz="4" w:space="0" w:color="000000"/>
              <w:left w:val="nil" w:sz="6" w:space="0" w:color="auto"/>
              <w:bottom w:val="nil" w:sz="6" w:space="0" w:color="auto"/>
              <w:right w:val="nil" w:sz="6" w:space="0" w:color="auto"/>
            </w:tcBorders>
          </w:tcPr>
          <w:p>
            <w:pPr>
              <w:pStyle w:val="TableParagraph"/>
              <w:spacing w:line="243" w:lineRule="exact"/>
              <w:ind w:right="11"/>
              <w:jc w:val="center"/>
              <w:rPr>
                <w:rFonts w:ascii="Calibri" w:hAnsi="Calibri" w:cs="Calibri" w:eastAsia="Calibri" w:hint="default"/>
                <w:sz w:val="20"/>
                <w:szCs w:val="20"/>
              </w:rPr>
            </w:pPr>
            <w:r>
              <w:rPr>
                <w:rFonts w:ascii="Calibri"/>
                <w:sz w:val="20"/>
              </w:rPr>
              <w:t>0</w:t>
            </w:r>
          </w:p>
        </w:tc>
        <w:tc>
          <w:tcPr>
            <w:tcW w:w="1364" w:type="dxa"/>
            <w:tcBorders>
              <w:top w:val="single" w:sz="4" w:space="0" w:color="000000"/>
              <w:left w:val="nil" w:sz="6" w:space="0" w:color="auto"/>
              <w:bottom w:val="nil" w:sz="6" w:space="0" w:color="auto"/>
              <w:right w:val="nil" w:sz="6" w:space="0" w:color="auto"/>
            </w:tcBorders>
          </w:tcPr>
          <w:p>
            <w:pPr>
              <w:pStyle w:val="TableParagraph"/>
              <w:spacing w:line="243" w:lineRule="exact"/>
              <w:ind w:left="48" w:right="0"/>
              <w:jc w:val="center"/>
              <w:rPr>
                <w:rFonts w:ascii="Calibri" w:hAnsi="Calibri" w:cs="Calibri" w:eastAsia="Calibri" w:hint="default"/>
                <w:sz w:val="20"/>
                <w:szCs w:val="20"/>
              </w:rPr>
            </w:pPr>
            <w:r>
              <w:rPr>
                <w:rFonts w:ascii="Calibri"/>
                <w:sz w:val="20"/>
              </w:rPr>
              <w:t>188</w:t>
            </w:r>
          </w:p>
        </w:tc>
      </w:tr>
      <w:tr>
        <w:trPr>
          <w:trHeight w:val="245" w:hRule="exact"/>
        </w:trPr>
        <w:tc>
          <w:tcPr>
            <w:tcW w:w="3627" w:type="dxa"/>
            <w:tcBorders>
              <w:top w:val="nil" w:sz="6" w:space="0" w:color="auto"/>
              <w:left w:val="nil" w:sz="6" w:space="0" w:color="auto"/>
              <w:bottom w:val="nil" w:sz="6" w:space="0" w:color="auto"/>
              <w:right w:val="nil" w:sz="6" w:space="0" w:color="auto"/>
            </w:tcBorders>
          </w:tcPr>
          <w:p>
            <w:pPr>
              <w:pStyle w:val="TableParagraph"/>
              <w:spacing w:line="226" w:lineRule="exact"/>
              <w:ind w:left="122" w:right="0"/>
              <w:jc w:val="left"/>
              <w:rPr>
                <w:rFonts w:ascii="Calibri" w:hAnsi="Calibri" w:cs="Calibri" w:eastAsia="Calibri" w:hint="default"/>
                <w:sz w:val="20"/>
                <w:szCs w:val="20"/>
              </w:rPr>
            </w:pPr>
            <w:r>
              <w:rPr>
                <w:rFonts w:ascii="Calibri"/>
                <w:sz w:val="20"/>
              </w:rPr>
              <w:t>Manufacturing</w:t>
            </w:r>
          </w:p>
        </w:tc>
        <w:tc>
          <w:tcPr>
            <w:tcW w:w="2195" w:type="dxa"/>
            <w:tcBorders>
              <w:top w:val="nil" w:sz="6" w:space="0" w:color="auto"/>
              <w:left w:val="nil" w:sz="6" w:space="0" w:color="auto"/>
              <w:bottom w:val="nil" w:sz="6" w:space="0" w:color="auto"/>
              <w:right w:val="nil" w:sz="6" w:space="0" w:color="auto"/>
            </w:tcBorders>
          </w:tcPr>
          <w:p>
            <w:pPr>
              <w:pStyle w:val="TableParagraph"/>
              <w:spacing w:line="226" w:lineRule="exact"/>
              <w:ind w:right="234"/>
              <w:jc w:val="right"/>
              <w:rPr>
                <w:rFonts w:ascii="Calibri" w:hAnsi="Calibri" w:cs="Calibri" w:eastAsia="Calibri" w:hint="default"/>
                <w:sz w:val="20"/>
                <w:szCs w:val="20"/>
              </w:rPr>
            </w:pPr>
            <w:r>
              <w:rPr>
                <w:rFonts w:ascii="Calibri"/>
                <w:w w:val="95"/>
                <w:sz w:val="20"/>
              </w:rPr>
              <w:t>$102,447,290</w:t>
            </w:r>
            <w:r>
              <w:rPr>
                <w:rFonts w:ascii="Calibri"/>
                <w:sz w:val="20"/>
              </w:rPr>
            </w:r>
          </w:p>
        </w:tc>
        <w:tc>
          <w:tcPr>
            <w:tcW w:w="896" w:type="dxa"/>
            <w:tcBorders>
              <w:top w:val="nil" w:sz="6" w:space="0" w:color="auto"/>
              <w:left w:val="nil" w:sz="6" w:space="0" w:color="auto"/>
              <w:bottom w:val="nil" w:sz="6" w:space="0" w:color="auto"/>
              <w:right w:val="nil" w:sz="6" w:space="0" w:color="auto"/>
            </w:tcBorders>
          </w:tcPr>
          <w:p>
            <w:pPr>
              <w:pStyle w:val="TableParagraph"/>
              <w:spacing w:line="226" w:lineRule="exact"/>
              <w:ind w:left="67" w:right="0"/>
              <w:jc w:val="center"/>
              <w:rPr>
                <w:rFonts w:ascii="Calibri" w:hAnsi="Calibri" w:cs="Calibri" w:eastAsia="Calibri" w:hint="default"/>
                <w:sz w:val="20"/>
                <w:szCs w:val="20"/>
              </w:rPr>
            </w:pPr>
            <w:r>
              <w:rPr>
                <w:rFonts w:ascii="Calibri"/>
                <w:sz w:val="20"/>
              </w:rPr>
              <w:t>10.5%</w:t>
            </w:r>
          </w:p>
        </w:tc>
        <w:tc>
          <w:tcPr>
            <w:tcW w:w="1253" w:type="dxa"/>
            <w:tcBorders>
              <w:top w:val="nil" w:sz="6" w:space="0" w:color="auto"/>
              <w:left w:val="nil" w:sz="6" w:space="0" w:color="auto"/>
              <w:bottom w:val="nil" w:sz="6" w:space="0" w:color="auto"/>
              <w:right w:val="nil" w:sz="6" w:space="0" w:color="auto"/>
            </w:tcBorders>
          </w:tcPr>
          <w:p>
            <w:pPr>
              <w:pStyle w:val="TableParagraph"/>
              <w:spacing w:line="226" w:lineRule="exact"/>
              <w:ind w:right="11"/>
              <w:jc w:val="center"/>
              <w:rPr>
                <w:rFonts w:ascii="Calibri" w:hAnsi="Calibri" w:cs="Calibri" w:eastAsia="Calibri" w:hint="default"/>
                <w:sz w:val="20"/>
                <w:szCs w:val="20"/>
              </w:rPr>
            </w:pPr>
            <w:r>
              <w:rPr>
                <w:rFonts w:ascii="Calibri"/>
                <w:sz w:val="20"/>
              </w:rPr>
              <w:t>0</w:t>
            </w:r>
          </w:p>
        </w:tc>
        <w:tc>
          <w:tcPr>
            <w:tcW w:w="1364" w:type="dxa"/>
            <w:tcBorders>
              <w:top w:val="nil" w:sz="6" w:space="0" w:color="auto"/>
              <w:left w:val="nil" w:sz="6" w:space="0" w:color="auto"/>
              <w:bottom w:val="nil" w:sz="6" w:space="0" w:color="auto"/>
              <w:right w:val="nil" w:sz="6" w:space="0" w:color="auto"/>
            </w:tcBorders>
          </w:tcPr>
          <w:p>
            <w:pPr>
              <w:pStyle w:val="TableParagraph"/>
              <w:spacing w:line="226" w:lineRule="exact"/>
              <w:ind w:left="46" w:right="0"/>
              <w:jc w:val="center"/>
              <w:rPr>
                <w:rFonts w:ascii="Calibri" w:hAnsi="Calibri" w:cs="Calibri" w:eastAsia="Calibri" w:hint="default"/>
                <w:sz w:val="20"/>
                <w:szCs w:val="20"/>
              </w:rPr>
            </w:pPr>
            <w:r>
              <w:rPr>
                <w:rFonts w:ascii="Calibri"/>
                <w:sz w:val="20"/>
              </w:rPr>
              <w:t>2,122</w:t>
            </w:r>
          </w:p>
        </w:tc>
      </w:tr>
      <w:tr>
        <w:trPr>
          <w:trHeight w:val="245" w:hRule="exact"/>
        </w:trPr>
        <w:tc>
          <w:tcPr>
            <w:tcW w:w="3627" w:type="dxa"/>
            <w:tcBorders>
              <w:top w:val="nil" w:sz="6" w:space="0" w:color="auto"/>
              <w:left w:val="nil" w:sz="6" w:space="0" w:color="auto"/>
              <w:bottom w:val="nil" w:sz="6" w:space="0" w:color="auto"/>
              <w:right w:val="nil" w:sz="6" w:space="0" w:color="auto"/>
            </w:tcBorders>
          </w:tcPr>
          <w:p>
            <w:pPr>
              <w:pStyle w:val="TableParagraph"/>
              <w:spacing w:line="226" w:lineRule="exact"/>
              <w:ind w:left="122" w:right="0"/>
              <w:jc w:val="left"/>
              <w:rPr>
                <w:rFonts w:ascii="Calibri" w:hAnsi="Calibri" w:cs="Calibri" w:eastAsia="Calibri" w:hint="default"/>
                <w:sz w:val="20"/>
                <w:szCs w:val="20"/>
              </w:rPr>
            </w:pPr>
            <w:r>
              <w:rPr>
                <w:rFonts w:ascii="Calibri"/>
                <w:sz w:val="20"/>
              </w:rPr>
              <w:t>Electricity, gas, and water</w:t>
            </w:r>
            <w:r>
              <w:rPr>
                <w:rFonts w:ascii="Calibri"/>
                <w:spacing w:val="-7"/>
                <w:sz w:val="20"/>
              </w:rPr>
              <w:t> </w:t>
            </w:r>
            <w:r>
              <w:rPr>
                <w:rFonts w:ascii="Calibri"/>
                <w:sz w:val="20"/>
              </w:rPr>
              <w:t>supply</w:t>
            </w:r>
          </w:p>
        </w:tc>
        <w:tc>
          <w:tcPr>
            <w:tcW w:w="2195" w:type="dxa"/>
            <w:tcBorders>
              <w:top w:val="nil" w:sz="6" w:space="0" w:color="auto"/>
              <w:left w:val="nil" w:sz="6" w:space="0" w:color="auto"/>
              <w:bottom w:val="nil" w:sz="6" w:space="0" w:color="auto"/>
              <w:right w:val="nil" w:sz="6" w:space="0" w:color="auto"/>
            </w:tcBorders>
          </w:tcPr>
          <w:p>
            <w:pPr>
              <w:pStyle w:val="TableParagraph"/>
              <w:spacing w:line="226" w:lineRule="exact"/>
              <w:ind w:right="285"/>
              <w:jc w:val="right"/>
              <w:rPr>
                <w:rFonts w:ascii="Calibri" w:hAnsi="Calibri" w:cs="Calibri" w:eastAsia="Calibri" w:hint="default"/>
                <w:sz w:val="20"/>
                <w:szCs w:val="20"/>
              </w:rPr>
            </w:pPr>
            <w:r>
              <w:rPr>
                <w:rFonts w:ascii="Calibri"/>
                <w:w w:val="95"/>
                <w:sz w:val="20"/>
              </w:rPr>
              <w:t>$44,777,159</w:t>
            </w:r>
            <w:r>
              <w:rPr>
                <w:rFonts w:ascii="Calibri"/>
                <w:sz w:val="20"/>
              </w:rPr>
            </w:r>
          </w:p>
        </w:tc>
        <w:tc>
          <w:tcPr>
            <w:tcW w:w="896" w:type="dxa"/>
            <w:tcBorders>
              <w:top w:val="nil" w:sz="6" w:space="0" w:color="auto"/>
              <w:left w:val="nil" w:sz="6" w:space="0" w:color="auto"/>
              <w:bottom w:val="nil" w:sz="6" w:space="0" w:color="auto"/>
              <w:right w:val="nil" w:sz="6" w:space="0" w:color="auto"/>
            </w:tcBorders>
          </w:tcPr>
          <w:p>
            <w:pPr>
              <w:pStyle w:val="TableParagraph"/>
              <w:spacing w:line="226" w:lineRule="exact"/>
              <w:ind w:left="67" w:right="0"/>
              <w:jc w:val="center"/>
              <w:rPr>
                <w:rFonts w:ascii="Calibri" w:hAnsi="Calibri" w:cs="Calibri" w:eastAsia="Calibri" w:hint="default"/>
                <w:sz w:val="20"/>
                <w:szCs w:val="20"/>
              </w:rPr>
            </w:pPr>
            <w:r>
              <w:rPr>
                <w:rFonts w:ascii="Calibri"/>
                <w:sz w:val="20"/>
              </w:rPr>
              <w:t>4.6%</w:t>
            </w:r>
          </w:p>
        </w:tc>
        <w:tc>
          <w:tcPr>
            <w:tcW w:w="1253" w:type="dxa"/>
            <w:tcBorders>
              <w:top w:val="nil" w:sz="6" w:space="0" w:color="auto"/>
              <w:left w:val="nil" w:sz="6" w:space="0" w:color="auto"/>
              <w:bottom w:val="nil" w:sz="6" w:space="0" w:color="auto"/>
              <w:right w:val="nil" w:sz="6" w:space="0" w:color="auto"/>
            </w:tcBorders>
          </w:tcPr>
          <w:p>
            <w:pPr>
              <w:pStyle w:val="TableParagraph"/>
              <w:spacing w:line="226" w:lineRule="exact"/>
              <w:ind w:right="11"/>
              <w:jc w:val="center"/>
              <w:rPr>
                <w:rFonts w:ascii="Calibri" w:hAnsi="Calibri" w:cs="Calibri" w:eastAsia="Calibri" w:hint="default"/>
                <w:sz w:val="20"/>
                <w:szCs w:val="20"/>
              </w:rPr>
            </w:pPr>
            <w:r>
              <w:rPr>
                <w:rFonts w:ascii="Calibri"/>
                <w:sz w:val="20"/>
              </w:rPr>
              <w:t>0</w:t>
            </w:r>
          </w:p>
        </w:tc>
        <w:tc>
          <w:tcPr>
            <w:tcW w:w="1364" w:type="dxa"/>
            <w:tcBorders>
              <w:top w:val="nil" w:sz="6" w:space="0" w:color="auto"/>
              <w:left w:val="nil" w:sz="6" w:space="0" w:color="auto"/>
              <w:bottom w:val="nil" w:sz="6" w:space="0" w:color="auto"/>
              <w:right w:val="nil" w:sz="6" w:space="0" w:color="auto"/>
            </w:tcBorders>
          </w:tcPr>
          <w:p>
            <w:pPr>
              <w:pStyle w:val="TableParagraph"/>
              <w:spacing w:line="226" w:lineRule="exact"/>
              <w:ind w:left="48" w:right="0"/>
              <w:jc w:val="center"/>
              <w:rPr>
                <w:rFonts w:ascii="Calibri" w:hAnsi="Calibri" w:cs="Calibri" w:eastAsia="Calibri" w:hint="default"/>
                <w:sz w:val="20"/>
                <w:szCs w:val="20"/>
              </w:rPr>
            </w:pPr>
            <w:r>
              <w:rPr>
                <w:rFonts w:ascii="Calibri"/>
                <w:sz w:val="20"/>
              </w:rPr>
              <w:t>114</w:t>
            </w:r>
          </w:p>
        </w:tc>
      </w:tr>
      <w:tr>
        <w:trPr>
          <w:trHeight w:val="244" w:hRule="exact"/>
        </w:trPr>
        <w:tc>
          <w:tcPr>
            <w:tcW w:w="3627" w:type="dxa"/>
            <w:tcBorders>
              <w:top w:val="nil" w:sz="6" w:space="0" w:color="auto"/>
              <w:left w:val="nil" w:sz="6" w:space="0" w:color="auto"/>
              <w:bottom w:val="nil" w:sz="6" w:space="0" w:color="auto"/>
              <w:right w:val="nil" w:sz="6" w:space="0" w:color="auto"/>
            </w:tcBorders>
          </w:tcPr>
          <w:p>
            <w:pPr>
              <w:pStyle w:val="TableParagraph"/>
              <w:spacing w:line="226" w:lineRule="exact"/>
              <w:ind w:left="122" w:right="0"/>
              <w:jc w:val="left"/>
              <w:rPr>
                <w:rFonts w:ascii="Calibri" w:hAnsi="Calibri" w:cs="Calibri" w:eastAsia="Calibri" w:hint="default"/>
                <w:sz w:val="20"/>
                <w:szCs w:val="20"/>
              </w:rPr>
            </w:pPr>
            <w:r>
              <w:rPr>
                <w:rFonts w:ascii="Calibri"/>
                <w:sz w:val="20"/>
              </w:rPr>
              <w:t>Construction</w:t>
            </w:r>
          </w:p>
        </w:tc>
        <w:tc>
          <w:tcPr>
            <w:tcW w:w="2195" w:type="dxa"/>
            <w:tcBorders>
              <w:top w:val="nil" w:sz="6" w:space="0" w:color="auto"/>
              <w:left w:val="nil" w:sz="6" w:space="0" w:color="auto"/>
              <w:bottom w:val="nil" w:sz="6" w:space="0" w:color="auto"/>
              <w:right w:val="nil" w:sz="6" w:space="0" w:color="auto"/>
            </w:tcBorders>
          </w:tcPr>
          <w:p>
            <w:pPr>
              <w:pStyle w:val="TableParagraph"/>
              <w:spacing w:line="226" w:lineRule="exact"/>
              <w:ind w:right="335"/>
              <w:jc w:val="right"/>
              <w:rPr>
                <w:rFonts w:ascii="Calibri" w:hAnsi="Calibri" w:cs="Calibri" w:eastAsia="Calibri" w:hint="default"/>
                <w:sz w:val="20"/>
                <w:szCs w:val="20"/>
              </w:rPr>
            </w:pPr>
            <w:r>
              <w:rPr>
                <w:rFonts w:ascii="Calibri"/>
                <w:w w:val="95"/>
                <w:sz w:val="20"/>
              </w:rPr>
              <w:t>$8,391,525</w:t>
            </w:r>
            <w:r>
              <w:rPr>
                <w:rFonts w:ascii="Calibri"/>
                <w:sz w:val="20"/>
              </w:rPr>
            </w:r>
          </w:p>
        </w:tc>
        <w:tc>
          <w:tcPr>
            <w:tcW w:w="896" w:type="dxa"/>
            <w:tcBorders>
              <w:top w:val="nil" w:sz="6" w:space="0" w:color="auto"/>
              <w:left w:val="nil" w:sz="6" w:space="0" w:color="auto"/>
              <w:bottom w:val="nil" w:sz="6" w:space="0" w:color="auto"/>
              <w:right w:val="nil" w:sz="6" w:space="0" w:color="auto"/>
            </w:tcBorders>
          </w:tcPr>
          <w:p>
            <w:pPr>
              <w:pStyle w:val="TableParagraph"/>
              <w:spacing w:line="226" w:lineRule="exact"/>
              <w:ind w:left="67" w:right="0"/>
              <w:jc w:val="center"/>
              <w:rPr>
                <w:rFonts w:ascii="Calibri" w:hAnsi="Calibri" w:cs="Calibri" w:eastAsia="Calibri" w:hint="default"/>
                <w:sz w:val="20"/>
                <w:szCs w:val="20"/>
              </w:rPr>
            </w:pPr>
            <w:r>
              <w:rPr>
                <w:rFonts w:ascii="Calibri"/>
                <w:sz w:val="20"/>
              </w:rPr>
              <w:t>0.9%</w:t>
            </w:r>
          </w:p>
        </w:tc>
        <w:tc>
          <w:tcPr>
            <w:tcW w:w="1253" w:type="dxa"/>
            <w:tcBorders>
              <w:top w:val="nil" w:sz="6" w:space="0" w:color="auto"/>
              <w:left w:val="nil" w:sz="6" w:space="0" w:color="auto"/>
              <w:bottom w:val="nil" w:sz="6" w:space="0" w:color="auto"/>
              <w:right w:val="nil" w:sz="6" w:space="0" w:color="auto"/>
            </w:tcBorders>
          </w:tcPr>
          <w:p>
            <w:pPr>
              <w:pStyle w:val="TableParagraph"/>
              <w:spacing w:line="226" w:lineRule="exact"/>
              <w:ind w:right="11"/>
              <w:jc w:val="center"/>
              <w:rPr>
                <w:rFonts w:ascii="Calibri" w:hAnsi="Calibri" w:cs="Calibri" w:eastAsia="Calibri" w:hint="default"/>
                <w:sz w:val="20"/>
                <w:szCs w:val="20"/>
              </w:rPr>
            </w:pPr>
            <w:r>
              <w:rPr>
                <w:rFonts w:ascii="Calibri"/>
                <w:sz w:val="20"/>
              </w:rPr>
              <w:t>0</w:t>
            </w:r>
          </w:p>
        </w:tc>
        <w:tc>
          <w:tcPr>
            <w:tcW w:w="1364" w:type="dxa"/>
            <w:tcBorders>
              <w:top w:val="nil" w:sz="6" w:space="0" w:color="auto"/>
              <w:left w:val="nil" w:sz="6" w:space="0" w:color="auto"/>
              <w:bottom w:val="nil" w:sz="6" w:space="0" w:color="auto"/>
              <w:right w:val="nil" w:sz="6" w:space="0" w:color="auto"/>
            </w:tcBorders>
          </w:tcPr>
          <w:p>
            <w:pPr>
              <w:pStyle w:val="TableParagraph"/>
              <w:spacing w:line="226" w:lineRule="exact"/>
              <w:ind w:left="48" w:right="0"/>
              <w:jc w:val="center"/>
              <w:rPr>
                <w:rFonts w:ascii="Calibri" w:hAnsi="Calibri" w:cs="Calibri" w:eastAsia="Calibri" w:hint="default"/>
                <w:sz w:val="20"/>
                <w:szCs w:val="20"/>
              </w:rPr>
            </w:pPr>
            <w:r>
              <w:rPr>
                <w:rFonts w:ascii="Calibri"/>
                <w:sz w:val="20"/>
              </w:rPr>
              <w:t>92</w:t>
            </w:r>
          </w:p>
        </w:tc>
      </w:tr>
      <w:tr>
        <w:trPr>
          <w:trHeight w:val="244" w:hRule="exact"/>
        </w:trPr>
        <w:tc>
          <w:tcPr>
            <w:tcW w:w="3627" w:type="dxa"/>
            <w:tcBorders>
              <w:top w:val="nil" w:sz="6" w:space="0" w:color="auto"/>
              <w:left w:val="nil" w:sz="6" w:space="0" w:color="auto"/>
              <w:bottom w:val="nil" w:sz="6" w:space="0" w:color="auto"/>
              <w:right w:val="nil" w:sz="6" w:space="0" w:color="auto"/>
            </w:tcBorders>
          </w:tcPr>
          <w:p>
            <w:pPr>
              <w:pStyle w:val="TableParagraph"/>
              <w:spacing w:line="225" w:lineRule="exact"/>
              <w:ind w:left="122" w:right="0"/>
              <w:jc w:val="left"/>
              <w:rPr>
                <w:rFonts w:ascii="Calibri" w:hAnsi="Calibri" w:cs="Calibri" w:eastAsia="Calibri" w:hint="default"/>
                <w:sz w:val="20"/>
                <w:szCs w:val="20"/>
              </w:rPr>
            </w:pPr>
            <w:r>
              <w:rPr>
                <w:rFonts w:ascii="Calibri"/>
                <w:sz w:val="20"/>
              </w:rPr>
              <w:t>Wholesale/Retail/Trade</w:t>
            </w:r>
          </w:p>
        </w:tc>
        <w:tc>
          <w:tcPr>
            <w:tcW w:w="2195" w:type="dxa"/>
            <w:tcBorders>
              <w:top w:val="nil" w:sz="6" w:space="0" w:color="auto"/>
              <w:left w:val="nil" w:sz="6" w:space="0" w:color="auto"/>
              <w:bottom w:val="nil" w:sz="6" w:space="0" w:color="auto"/>
              <w:right w:val="nil" w:sz="6" w:space="0" w:color="auto"/>
            </w:tcBorders>
          </w:tcPr>
          <w:p>
            <w:pPr>
              <w:pStyle w:val="TableParagraph"/>
              <w:spacing w:line="225" w:lineRule="exact"/>
              <w:ind w:right="234"/>
              <w:jc w:val="right"/>
              <w:rPr>
                <w:rFonts w:ascii="Calibri" w:hAnsi="Calibri" w:cs="Calibri" w:eastAsia="Calibri" w:hint="default"/>
                <w:sz w:val="20"/>
                <w:szCs w:val="20"/>
              </w:rPr>
            </w:pPr>
            <w:r>
              <w:rPr>
                <w:rFonts w:ascii="Calibri"/>
                <w:w w:val="95"/>
                <w:sz w:val="20"/>
              </w:rPr>
              <w:t>$141,102,926</w:t>
            </w:r>
            <w:r>
              <w:rPr>
                <w:rFonts w:ascii="Calibri"/>
                <w:sz w:val="20"/>
              </w:rPr>
            </w:r>
          </w:p>
        </w:tc>
        <w:tc>
          <w:tcPr>
            <w:tcW w:w="896" w:type="dxa"/>
            <w:tcBorders>
              <w:top w:val="nil" w:sz="6" w:space="0" w:color="auto"/>
              <w:left w:val="nil" w:sz="6" w:space="0" w:color="auto"/>
              <w:bottom w:val="nil" w:sz="6" w:space="0" w:color="auto"/>
              <w:right w:val="nil" w:sz="6" w:space="0" w:color="auto"/>
            </w:tcBorders>
          </w:tcPr>
          <w:p>
            <w:pPr>
              <w:pStyle w:val="TableParagraph"/>
              <w:spacing w:line="225" w:lineRule="exact"/>
              <w:ind w:left="67" w:right="0"/>
              <w:jc w:val="center"/>
              <w:rPr>
                <w:rFonts w:ascii="Calibri" w:hAnsi="Calibri" w:cs="Calibri" w:eastAsia="Calibri" w:hint="default"/>
                <w:sz w:val="20"/>
                <w:szCs w:val="20"/>
              </w:rPr>
            </w:pPr>
            <w:r>
              <w:rPr>
                <w:rFonts w:ascii="Calibri"/>
                <w:sz w:val="20"/>
              </w:rPr>
              <w:t>14.5%</w:t>
            </w:r>
          </w:p>
        </w:tc>
        <w:tc>
          <w:tcPr>
            <w:tcW w:w="1253" w:type="dxa"/>
            <w:tcBorders>
              <w:top w:val="nil" w:sz="6" w:space="0" w:color="auto"/>
              <w:left w:val="nil" w:sz="6" w:space="0" w:color="auto"/>
              <w:bottom w:val="nil" w:sz="6" w:space="0" w:color="auto"/>
              <w:right w:val="nil" w:sz="6" w:space="0" w:color="auto"/>
            </w:tcBorders>
          </w:tcPr>
          <w:p>
            <w:pPr>
              <w:pStyle w:val="TableParagraph"/>
              <w:spacing w:line="225" w:lineRule="exact"/>
              <w:ind w:right="13"/>
              <w:jc w:val="center"/>
              <w:rPr>
                <w:rFonts w:ascii="Calibri" w:hAnsi="Calibri" w:cs="Calibri" w:eastAsia="Calibri" w:hint="default"/>
                <w:sz w:val="20"/>
                <w:szCs w:val="20"/>
              </w:rPr>
            </w:pPr>
            <w:r>
              <w:rPr>
                <w:rFonts w:ascii="Calibri"/>
                <w:sz w:val="20"/>
              </w:rPr>
              <w:t>4,641</w:t>
            </w:r>
          </w:p>
        </w:tc>
        <w:tc>
          <w:tcPr>
            <w:tcW w:w="1364" w:type="dxa"/>
            <w:tcBorders>
              <w:top w:val="nil" w:sz="6" w:space="0" w:color="auto"/>
              <w:left w:val="nil" w:sz="6" w:space="0" w:color="auto"/>
              <w:bottom w:val="nil" w:sz="6" w:space="0" w:color="auto"/>
              <w:right w:val="nil" w:sz="6" w:space="0" w:color="auto"/>
            </w:tcBorders>
          </w:tcPr>
          <w:p>
            <w:pPr>
              <w:pStyle w:val="TableParagraph"/>
              <w:spacing w:line="225" w:lineRule="exact"/>
              <w:ind w:left="48" w:right="0"/>
              <w:jc w:val="center"/>
              <w:rPr>
                <w:rFonts w:ascii="Calibri" w:hAnsi="Calibri" w:cs="Calibri" w:eastAsia="Calibri" w:hint="default"/>
                <w:sz w:val="20"/>
                <w:szCs w:val="20"/>
              </w:rPr>
            </w:pPr>
            <w:r>
              <w:rPr>
                <w:rFonts w:ascii="Calibri"/>
                <w:sz w:val="20"/>
              </w:rPr>
              <w:t>0</w:t>
            </w:r>
          </w:p>
        </w:tc>
      </w:tr>
      <w:tr>
        <w:trPr>
          <w:trHeight w:val="245" w:hRule="exact"/>
        </w:trPr>
        <w:tc>
          <w:tcPr>
            <w:tcW w:w="3627" w:type="dxa"/>
            <w:tcBorders>
              <w:top w:val="nil" w:sz="6" w:space="0" w:color="auto"/>
              <w:left w:val="nil" w:sz="6" w:space="0" w:color="auto"/>
              <w:bottom w:val="nil" w:sz="6" w:space="0" w:color="auto"/>
              <w:right w:val="nil" w:sz="6" w:space="0" w:color="auto"/>
            </w:tcBorders>
          </w:tcPr>
          <w:p>
            <w:pPr>
              <w:pStyle w:val="TableParagraph"/>
              <w:spacing w:line="226" w:lineRule="exact"/>
              <w:ind w:left="122" w:right="0"/>
              <w:jc w:val="left"/>
              <w:rPr>
                <w:rFonts w:ascii="Calibri" w:hAnsi="Calibri" w:cs="Calibri" w:eastAsia="Calibri" w:hint="default"/>
                <w:sz w:val="20"/>
                <w:szCs w:val="20"/>
              </w:rPr>
            </w:pPr>
            <w:r>
              <w:rPr>
                <w:rFonts w:ascii="Calibri"/>
                <w:sz w:val="20"/>
              </w:rPr>
              <w:t>HORECA</w:t>
            </w:r>
          </w:p>
        </w:tc>
        <w:tc>
          <w:tcPr>
            <w:tcW w:w="2195" w:type="dxa"/>
            <w:tcBorders>
              <w:top w:val="nil" w:sz="6" w:space="0" w:color="auto"/>
              <w:left w:val="nil" w:sz="6" w:space="0" w:color="auto"/>
              <w:bottom w:val="nil" w:sz="6" w:space="0" w:color="auto"/>
              <w:right w:val="nil" w:sz="6" w:space="0" w:color="auto"/>
            </w:tcBorders>
          </w:tcPr>
          <w:p>
            <w:pPr>
              <w:pStyle w:val="TableParagraph"/>
              <w:spacing w:line="226" w:lineRule="exact"/>
              <w:ind w:right="234"/>
              <w:jc w:val="right"/>
              <w:rPr>
                <w:rFonts w:ascii="Calibri" w:hAnsi="Calibri" w:cs="Calibri" w:eastAsia="Calibri" w:hint="default"/>
                <w:sz w:val="20"/>
                <w:szCs w:val="20"/>
              </w:rPr>
            </w:pPr>
            <w:r>
              <w:rPr>
                <w:rFonts w:ascii="Calibri"/>
                <w:w w:val="95"/>
                <w:sz w:val="20"/>
              </w:rPr>
              <w:t>$348,431,191</w:t>
            </w:r>
            <w:r>
              <w:rPr>
                <w:rFonts w:ascii="Calibri"/>
                <w:sz w:val="20"/>
              </w:rPr>
            </w:r>
          </w:p>
        </w:tc>
        <w:tc>
          <w:tcPr>
            <w:tcW w:w="896" w:type="dxa"/>
            <w:tcBorders>
              <w:top w:val="nil" w:sz="6" w:space="0" w:color="auto"/>
              <w:left w:val="nil" w:sz="6" w:space="0" w:color="auto"/>
              <w:bottom w:val="nil" w:sz="6" w:space="0" w:color="auto"/>
              <w:right w:val="nil" w:sz="6" w:space="0" w:color="auto"/>
            </w:tcBorders>
          </w:tcPr>
          <w:p>
            <w:pPr>
              <w:pStyle w:val="TableParagraph"/>
              <w:spacing w:line="226" w:lineRule="exact"/>
              <w:ind w:left="67" w:right="0"/>
              <w:jc w:val="center"/>
              <w:rPr>
                <w:rFonts w:ascii="Calibri" w:hAnsi="Calibri" w:cs="Calibri" w:eastAsia="Calibri" w:hint="default"/>
                <w:sz w:val="20"/>
                <w:szCs w:val="20"/>
              </w:rPr>
            </w:pPr>
            <w:r>
              <w:rPr>
                <w:rFonts w:ascii="Calibri"/>
                <w:sz w:val="20"/>
              </w:rPr>
              <w:t>35.9%</w:t>
            </w:r>
          </w:p>
        </w:tc>
        <w:tc>
          <w:tcPr>
            <w:tcW w:w="1253" w:type="dxa"/>
            <w:tcBorders>
              <w:top w:val="nil" w:sz="6" w:space="0" w:color="auto"/>
              <w:left w:val="nil" w:sz="6" w:space="0" w:color="auto"/>
              <w:bottom w:val="nil" w:sz="6" w:space="0" w:color="auto"/>
              <w:right w:val="nil" w:sz="6" w:space="0" w:color="auto"/>
            </w:tcBorders>
          </w:tcPr>
          <w:p>
            <w:pPr>
              <w:pStyle w:val="TableParagraph"/>
              <w:spacing w:line="226" w:lineRule="exact"/>
              <w:ind w:right="13"/>
              <w:jc w:val="center"/>
              <w:rPr>
                <w:rFonts w:ascii="Calibri" w:hAnsi="Calibri" w:cs="Calibri" w:eastAsia="Calibri" w:hint="default"/>
                <w:sz w:val="20"/>
                <w:szCs w:val="20"/>
              </w:rPr>
            </w:pPr>
            <w:r>
              <w:rPr>
                <w:rFonts w:ascii="Calibri"/>
                <w:sz w:val="20"/>
              </w:rPr>
              <w:t>4,591</w:t>
            </w:r>
          </w:p>
        </w:tc>
        <w:tc>
          <w:tcPr>
            <w:tcW w:w="1364" w:type="dxa"/>
            <w:tcBorders>
              <w:top w:val="nil" w:sz="6" w:space="0" w:color="auto"/>
              <w:left w:val="nil" w:sz="6" w:space="0" w:color="auto"/>
              <w:bottom w:val="nil" w:sz="6" w:space="0" w:color="auto"/>
              <w:right w:val="nil" w:sz="6" w:space="0" w:color="auto"/>
            </w:tcBorders>
          </w:tcPr>
          <w:p>
            <w:pPr>
              <w:pStyle w:val="TableParagraph"/>
              <w:spacing w:line="226" w:lineRule="exact"/>
              <w:ind w:left="48" w:right="0"/>
              <w:jc w:val="center"/>
              <w:rPr>
                <w:rFonts w:ascii="Calibri" w:hAnsi="Calibri" w:cs="Calibri" w:eastAsia="Calibri" w:hint="default"/>
                <w:sz w:val="20"/>
                <w:szCs w:val="20"/>
              </w:rPr>
            </w:pPr>
            <w:r>
              <w:rPr>
                <w:rFonts w:ascii="Calibri"/>
                <w:sz w:val="20"/>
              </w:rPr>
              <w:t>236</w:t>
            </w:r>
          </w:p>
        </w:tc>
      </w:tr>
      <w:tr>
        <w:trPr>
          <w:trHeight w:val="245" w:hRule="exact"/>
        </w:trPr>
        <w:tc>
          <w:tcPr>
            <w:tcW w:w="3627" w:type="dxa"/>
            <w:tcBorders>
              <w:top w:val="nil" w:sz="6" w:space="0" w:color="auto"/>
              <w:left w:val="nil" w:sz="6" w:space="0" w:color="auto"/>
              <w:bottom w:val="nil" w:sz="6" w:space="0" w:color="auto"/>
              <w:right w:val="nil" w:sz="6" w:space="0" w:color="auto"/>
            </w:tcBorders>
          </w:tcPr>
          <w:p>
            <w:pPr>
              <w:pStyle w:val="TableParagraph"/>
              <w:spacing w:line="226" w:lineRule="exact"/>
              <w:ind w:left="122" w:right="0"/>
              <w:jc w:val="left"/>
              <w:rPr>
                <w:rFonts w:ascii="Calibri" w:hAnsi="Calibri" w:cs="Calibri" w:eastAsia="Calibri" w:hint="default"/>
                <w:sz w:val="20"/>
                <w:szCs w:val="20"/>
              </w:rPr>
            </w:pPr>
            <w:r>
              <w:rPr>
                <w:rFonts w:ascii="Calibri"/>
                <w:sz w:val="20"/>
              </w:rPr>
              <w:t>Transport and</w:t>
            </w:r>
            <w:r>
              <w:rPr>
                <w:rFonts w:ascii="Calibri"/>
                <w:spacing w:val="-12"/>
                <w:sz w:val="20"/>
              </w:rPr>
              <w:t> </w:t>
            </w:r>
            <w:r>
              <w:rPr>
                <w:rFonts w:ascii="Calibri"/>
                <w:sz w:val="20"/>
              </w:rPr>
              <w:t>communication</w:t>
            </w:r>
          </w:p>
        </w:tc>
        <w:tc>
          <w:tcPr>
            <w:tcW w:w="2195" w:type="dxa"/>
            <w:tcBorders>
              <w:top w:val="nil" w:sz="6" w:space="0" w:color="auto"/>
              <w:left w:val="nil" w:sz="6" w:space="0" w:color="auto"/>
              <w:bottom w:val="nil" w:sz="6" w:space="0" w:color="auto"/>
              <w:right w:val="nil" w:sz="6" w:space="0" w:color="auto"/>
            </w:tcBorders>
          </w:tcPr>
          <w:p>
            <w:pPr>
              <w:pStyle w:val="TableParagraph"/>
              <w:spacing w:line="226" w:lineRule="exact"/>
              <w:ind w:right="234"/>
              <w:jc w:val="right"/>
              <w:rPr>
                <w:rFonts w:ascii="Calibri" w:hAnsi="Calibri" w:cs="Calibri" w:eastAsia="Calibri" w:hint="default"/>
                <w:sz w:val="20"/>
                <w:szCs w:val="20"/>
              </w:rPr>
            </w:pPr>
            <w:r>
              <w:rPr>
                <w:rFonts w:ascii="Calibri"/>
                <w:w w:val="95"/>
                <w:sz w:val="20"/>
              </w:rPr>
              <w:t>$105,354,262</w:t>
            </w:r>
            <w:r>
              <w:rPr>
                <w:rFonts w:ascii="Calibri"/>
                <w:sz w:val="20"/>
              </w:rPr>
            </w:r>
          </w:p>
        </w:tc>
        <w:tc>
          <w:tcPr>
            <w:tcW w:w="896" w:type="dxa"/>
            <w:tcBorders>
              <w:top w:val="nil" w:sz="6" w:space="0" w:color="auto"/>
              <w:left w:val="nil" w:sz="6" w:space="0" w:color="auto"/>
              <w:bottom w:val="nil" w:sz="6" w:space="0" w:color="auto"/>
              <w:right w:val="nil" w:sz="6" w:space="0" w:color="auto"/>
            </w:tcBorders>
          </w:tcPr>
          <w:p>
            <w:pPr>
              <w:pStyle w:val="TableParagraph"/>
              <w:spacing w:line="226" w:lineRule="exact"/>
              <w:ind w:left="67" w:right="0"/>
              <w:jc w:val="center"/>
              <w:rPr>
                <w:rFonts w:ascii="Calibri" w:hAnsi="Calibri" w:cs="Calibri" w:eastAsia="Calibri" w:hint="default"/>
                <w:sz w:val="20"/>
                <w:szCs w:val="20"/>
              </w:rPr>
            </w:pPr>
            <w:r>
              <w:rPr>
                <w:rFonts w:ascii="Calibri"/>
                <w:sz w:val="20"/>
              </w:rPr>
              <w:t>10.8%</w:t>
            </w:r>
          </w:p>
        </w:tc>
        <w:tc>
          <w:tcPr>
            <w:tcW w:w="1253" w:type="dxa"/>
            <w:tcBorders>
              <w:top w:val="nil" w:sz="6" w:space="0" w:color="auto"/>
              <w:left w:val="nil" w:sz="6" w:space="0" w:color="auto"/>
              <w:bottom w:val="nil" w:sz="6" w:space="0" w:color="auto"/>
              <w:right w:val="nil" w:sz="6" w:space="0" w:color="auto"/>
            </w:tcBorders>
          </w:tcPr>
          <w:p>
            <w:pPr>
              <w:pStyle w:val="TableParagraph"/>
              <w:spacing w:line="226" w:lineRule="exact"/>
              <w:ind w:right="11"/>
              <w:jc w:val="center"/>
              <w:rPr>
                <w:rFonts w:ascii="Calibri" w:hAnsi="Calibri" w:cs="Calibri" w:eastAsia="Calibri" w:hint="default"/>
                <w:sz w:val="20"/>
                <w:szCs w:val="20"/>
              </w:rPr>
            </w:pPr>
            <w:r>
              <w:rPr>
                <w:rFonts w:ascii="Calibri"/>
                <w:sz w:val="20"/>
              </w:rPr>
              <w:t>714</w:t>
            </w:r>
          </w:p>
        </w:tc>
        <w:tc>
          <w:tcPr>
            <w:tcW w:w="1364" w:type="dxa"/>
            <w:tcBorders>
              <w:top w:val="nil" w:sz="6" w:space="0" w:color="auto"/>
              <w:left w:val="nil" w:sz="6" w:space="0" w:color="auto"/>
              <w:bottom w:val="nil" w:sz="6" w:space="0" w:color="auto"/>
              <w:right w:val="nil" w:sz="6" w:space="0" w:color="auto"/>
            </w:tcBorders>
          </w:tcPr>
          <w:p>
            <w:pPr>
              <w:pStyle w:val="TableParagraph"/>
              <w:spacing w:line="226" w:lineRule="exact"/>
              <w:ind w:left="48" w:right="0"/>
              <w:jc w:val="center"/>
              <w:rPr>
                <w:rFonts w:ascii="Calibri" w:hAnsi="Calibri" w:cs="Calibri" w:eastAsia="Calibri" w:hint="default"/>
                <w:sz w:val="20"/>
                <w:szCs w:val="20"/>
              </w:rPr>
            </w:pPr>
            <w:r>
              <w:rPr>
                <w:rFonts w:ascii="Calibri"/>
                <w:sz w:val="20"/>
              </w:rPr>
              <w:t>511</w:t>
            </w:r>
          </w:p>
        </w:tc>
      </w:tr>
      <w:tr>
        <w:trPr>
          <w:trHeight w:val="244" w:hRule="exact"/>
        </w:trPr>
        <w:tc>
          <w:tcPr>
            <w:tcW w:w="3627" w:type="dxa"/>
            <w:tcBorders>
              <w:top w:val="nil" w:sz="6" w:space="0" w:color="auto"/>
              <w:left w:val="nil" w:sz="6" w:space="0" w:color="auto"/>
              <w:bottom w:val="nil" w:sz="6" w:space="0" w:color="auto"/>
              <w:right w:val="nil" w:sz="6" w:space="0" w:color="auto"/>
            </w:tcBorders>
          </w:tcPr>
          <w:p>
            <w:pPr>
              <w:pStyle w:val="TableParagraph"/>
              <w:spacing w:line="226" w:lineRule="exact"/>
              <w:ind w:left="122" w:right="0"/>
              <w:jc w:val="left"/>
              <w:rPr>
                <w:rFonts w:ascii="Calibri" w:hAnsi="Calibri" w:cs="Calibri" w:eastAsia="Calibri" w:hint="default"/>
                <w:sz w:val="20"/>
                <w:szCs w:val="20"/>
              </w:rPr>
            </w:pPr>
            <w:r>
              <w:rPr>
                <w:rFonts w:ascii="Calibri"/>
                <w:sz w:val="20"/>
              </w:rPr>
              <w:t>Financial</w:t>
            </w:r>
            <w:r>
              <w:rPr>
                <w:rFonts w:ascii="Calibri"/>
                <w:spacing w:val="-13"/>
                <w:sz w:val="20"/>
              </w:rPr>
              <w:t> </w:t>
            </w:r>
            <w:r>
              <w:rPr>
                <w:rFonts w:ascii="Calibri"/>
                <w:sz w:val="20"/>
              </w:rPr>
              <w:t>Intermediation</w:t>
            </w:r>
          </w:p>
        </w:tc>
        <w:tc>
          <w:tcPr>
            <w:tcW w:w="2195" w:type="dxa"/>
            <w:tcBorders>
              <w:top w:val="nil" w:sz="6" w:space="0" w:color="auto"/>
              <w:left w:val="nil" w:sz="6" w:space="0" w:color="auto"/>
              <w:bottom w:val="nil" w:sz="6" w:space="0" w:color="auto"/>
              <w:right w:val="nil" w:sz="6" w:space="0" w:color="auto"/>
            </w:tcBorders>
          </w:tcPr>
          <w:p>
            <w:pPr>
              <w:pStyle w:val="TableParagraph"/>
              <w:spacing w:line="226" w:lineRule="exact"/>
              <w:ind w:right="234"/>
              <w:jc w:val="right"/>
              <w:rPr>
                <w:rFonts w:ascii="Calibri" w:hAnsi="Calibri" w:cs="Calibri" w:eastAsia="Calibri" w:hint="default"/>
                <w:sz w:val="20"/>
                <w:szCs w:val="20"/>
              </w:rPr>
            </w:pPr>
            <w:r>
              <w:rPr>
                <w:rFonts w:ascii="Calibri"/>
                <w:w w:val="95"/>
                <w:sz w:val="20"/>
              </w:rPr>
              <w:t>$103,294,583</w:t>
            </w:r>
            <w:r>
              <w:rPr>
                <w:rFonts w:ascii="Calibri"/>
                <w:sz w:val="20"/>
              </w:rPr>
            </w:r>
          </w:p>
        </w:tc>
        <w:tc>
          <w:tcPr>
            <w:tcW w:w="896" w:type="dxa"/>
            <w:tcBorders>
              <w:top w:val="nil" w:sz="6" w:space="0" w:color="auto"/>
              <w:left w:val="nil" w:sz="6" w:space="0" w:color="auto"/>
              <w:bottom w:val="nil" w:sz="6" w:space="0" w:color="auto"/>
              <w:right w:val="nil" w:sz="6" w:space="0" w:color="auto"/>
            </w:tcBorders>
          </w:tcPr>
          <w:p>
            <w:pPr>
              <w:pStyle w:val="TableParagraph"/>
              <w:spacing w:line="226" w:lineRule="exact"/>
              <w:ind w:left="67" w:right="0"/>
              <w:jc w:val="center"/>
              <w:rPr>
                <w:rFonts w:ascii="Calibri" w:hAnsi="Calibri" w:cs="Calibri" w:eastAsia="Calibri" w:hint="default"/>
                <w:sz w:val="20"/>
                <w:szCs w:val="20"/>
              </w:rPr>
            </w:pPr>
            <w:r>
              <w:rPr>
                <w:rFonts w:ascii="Calibri"/>
                <w:sz w:val="20"/>
              </w:rPr>
              <w:t>10.6%</w:t>
            </w:r>
          </w:p>
        </w:tc>
        <w:tc>
          <w:tcPr>
            <w:tcW w:w="1253" w:type="dxa"/>
            <w:tcBorders>
              <w:top w:val="nil" w:sz="6" w:space="0" w:color="auto"/>
              <w:left w:val="nil" w:sz="6" w:space="0" w:color="auto"/>
              <w:bottom w:val="nil" w:sz="6" w:space="0" w:color="auto"/>
              <w:right w:val="nil" w:sz="6" w:space="0" w:color="auto"/>
            </w:tcBorders>
          </w:tcPr>
          <w:p>
            <w:pPr>
              <w:pStyle w:val="TableParagraph"/>
              <w:spacing w:line="226" w:lineRule="exact"/>
              <w:ind w:right="11"/>
              <w:jc w:val="center"/>
              <w:rPr>
                <w:rFonts w:ascii="Calibri" w:hAnsi="Calibri" w:cs="Calibri" w:eastAsia="Calibri" w:hint="default"/>
                <w:sz w:val="20"/>
                <w:szCs w:val="20"/>
              </w:rPr>
            </w:pPr>
            <w:r>
              <w:rPr>
                <w:rFonts w:ascii="Calibri"/>
                <w:sz w:val="20"/>
              </w:rPr>
              <w:t>0</w:t>
            </w:r>
          </w:p>
        </w:tc>
        <w:tc>
          <w:tcPr>
            <w:tcW w:w="1364" w:type="dxa"/>
            <w:tcBorders>
              <w:top w:val="nil" w:sz="6" w:space="0" w:color="auto"/>
              <w:left w:val="nil" w:sz="6" w:space="0" w:color="auto"/>
              <w:bottom w:val="nil" w:sz="6" w:space="0" w:color="auto"/>
              <w:right w:val="nil" w:sz="6" w:space="0" w:color="auto"/>
            </w:tcBorders>
          </w:tcPr>
          <w:p>
            <w:pPr>
              <w:pStyle w:val="TableParagraph"/>
              <w:spacing w:line="226" w:lineRule="exact"/>
              <w:ind w:left="46" w:right="0"/>
              <w:jc w:val="center"/>
              <w:rPr>
                <w:rFonts w:ascii="Calibri" w:hAnsi="Calibri" w:cs="Calibri" w:eastAsia="Calibri" w:hint="default"/>
                <w:sz w:val="20"/>
                <w:szCs w:val="20"/>
              </w:rPr>
            </w:pPr>
            <w:r>
              <w:rPr>
                <w:rFonts w:ascii="Calibri"/>
                <w:sz w:val="20"/>
              </w:rPr>
              <w:t>1,404</w:t>
            </w:r>
          </w:p>
        </w:tc>
      </w:tr>
      <w:tr>
        <w:trPr>
          <w:trHeight w:val="244" w:hRule="exact"/>
        </w:trPr>
        <w:tc>
          <w:tcPr>
            <w:tcW w:w="3627" w:type="dxa"/>
            <w:tcBorders>
              <w:top w:val="nil" w:sz="6" w:space="0" w:color="auto"/>
              <w:left w:val="nil" w:sz="6" w:space="0" w:color="auto"/>
              <w:bottom w:val="nil" w:sz="6" w:space="0" w:color="auto"/>
              <w:right w:val="nil" w:sz="6" w:space="0" w:color="auto"/>
            </w:tcBorders>
          </w:tcPr>
          <w:p>
            <w:pPr>
              <w:pStyle w:val="TableParagraph"/>
              <w:spacing w:line="225" w:lineRule="exact"/>
              <w:ind w:left="122" w:right="0"/>
              <w:jc w:val="left"/>
              <w:rPr>
                <w:rFonts w:ascii="Calibri" w:hAnsi="Calibri" w:cs="Calibri" w:eastAsia="Calibri" w:hint="default"/>
                <w:sz w:val="20"/>
                <w:szCs w:val="20"/>
              </w:rPr>
            </w:pPr>
            <w:r>
              <w:rPr>
                <w:rFonts w:ascii="Calibri"/>
                <w:sz w:val="20"/>
              </w:rPr>
              <w:t>Other real estate</w:t>
            </w:r>
            <w:r>
              <w:rPr>
                <w:rFonts w:ascii="Calibri"/>
                <w:spacing w:val="-12"/>
                <w:sz w:val="20"/>
              </w:rPr>
              <w:t> </w:t>
            </w:r>
            <w:r>
              <w:rPr>
                <w:rFonts w:ascii="Calibri"/>
                <w:sz w:val="20"/>
              </w:rPr>
              <w:t>activities</w:t>
            </w:r>
          </w:p>
        </w:tc>
        <w:tc>
          <w:tcPr>
            <w:tcW w:w="2195" w:type="dxa"/>
            <w:tcBorders>
              <w:top w:val="nil" w:sz="6" w:space="0" w:color="auto"/>
              <w:left w:val="nil" w:sz="6" w:space="0" w:color="auto"/>
              <w:bottom w:val="nil" w:sz="6" w:space="0" w:color="auto"/>
              <w:right w:val="nil" w:sz="6" w:space="0" w:color="auto"/>
            </w:tcBorders>
          </w:tcPr>
          <w:p>
            <w:pPr>
              <w:pStyle w:val="TableParagraph"/>
              <w:spacing w:line="225" w:lineRule="exact"/>
              <w:ind w:right="285"/>
              <w:jc w:val="right"/>
              <w:rPr>
                <w:rFonts w:ascii="Calibri" w:hAnsi="Calibri" w:cs="Calibri" w:eastAsia="Calibri" w:hint="default"/>
                <w:sz w:val="20"/>
                <w:szCs w:val="20"/>
              </w:rPr>
            </w:pPr>
            <w:r>
              <w:rPr>
                <w:rFonts w:ascii="Calibri"/>
                <w:w w:val="95"/>
                <w:sz w:val="20"/>
              </w:rPr>
              <w:t>$44,668,442</w:t>
            </w:r>
            <w:r>
              <w:rPr>
                <w:rFonts w:ascii="Calibri"/>
                <w:sz w:val="20"/>
              </w:rPr>
            </w:r>
          </w:p>
        </w:tc>
        <w:tc>
          <w:tcPr>
            <w:tcW w:w="896" w:type="dxa"/>
            <w:tcBorders>
              <w:top w:val="nil" w:sz="6" w:space="0" w:color="auto"/>
              <w:left w:val="nil" w:sz="6" w:space="0" w:color="auto"/>
              <w:bottom w:val="nil" w:sz="6" w:space="0" w:color="auto"/>
              <w:right w:val="nil" w:sz="6" w:space="0" w:color="auto"/>
            </w:tcBorders>
          </w:tcPr>
          <w:p>
            <w:pPr>
              <w:pStyle w:val="TableParagraph"/>
              <w:spacing w:line="225" w:lineRule="exact"/>
              <w:ind w:left="67" w:right="0"/>
              <w:jc w:val="center"/>
              <w:rPr>
                <w:rFonts w:ascii="Calibri" w:hAnsi="Calibri" w:cs="Calibri" w:eastAsia="Calibri" w:hint="default"/>
                <w:sz w:val="20"/>
                <w:szCs w:val="20"/>
              </w:rPr>
            </w:pPr>
            <w:r>
              <w:rPr>
                <w:rFonts w:ascii="Calibri"/>
                <w:sz w:val="20"/>
              </w:rPr>
              <w:t>4.6%</w:t>
            </w:r>
          </w:p>
        </w:tc>
        <w:tc>
          <w:tcPr>
            <w:tcW w:w="1253" w:type="dxa"/>
            <w:tcBorders>
              <w:top w:val="nil" w:sz="6" w:space="0" w:color="auto"/>
              <w:left w:val="nil" w:sz="6" w:space="0" w:color="auto"/>
              <w:bottom w:val="nil" w:sz="6" w:space="0" w:color="auto"/>
              <w:right w:val="nil" w:sz="6" w:space="0" w:color="auto"/>
            </w:tcBorders>
          </w:tcPr>
          <w:p>
            <w:pPr>
              <w:pStyle w:val="TableParagraph"/>
              <w:spacing w:line="225" w:lineRule="exact"/>
              <w:ind w:right="11"/>
              <w:jc w:val="center"/>
              <w:rPr>
                <w:rFonts w:ascii="Calibri" w:hAnsi="Calibri" w:cs="Calibri" w:eastAsia="Calibri" w:hint="default"/>
                <w:sz w:val="20"/>
                <w:szCs w:val="20"/>
              </w:rPr>
            </w:pPr>
            <w:r>
              <w:rPr>
                <w:rFonts w:ascii="Calibri"/>
                <w:sz w:val="20"/>
              </w:rPr>
              <w:t>0</w:t>
            </w:r>
          </w:p>
        </w:tc>
        <w:tc>
          <w:tcPr>
            <w:tcW w:w="1364" w:type="dxa"/>
            <w:tcBorders>
              <w:top w:val="nil" w:sz="6" w:space="0" w:color="auto"/>
              <w:left w:val="nil" w:sz="6" w:space="0" w:color="auto"/>
              <w:bottom w:val="nil" w:sz="6" w:space="0" w:color="auto"/>
              <w:right w:val="nil" w:sz="6" w:space="0" w:color="auto"/>
            </w:tcBorders>
          </w:tcPr>
          <w:p>
            <w:pPr>
              <w:pStyle w:val="TableParagraph"/>
              <w:spacing w:line="225" w:lineRule="exact"/>
              <w:ind w:left="48" w:right="0"/>
              <w:jc w:val="center"/>
              <w:rPr>
                <w:rFonts w:ascii="Calibri" w:hAnsi="Calibri" w:cs="Calibri" w:eastAsia="Calibri" w:hint="default"/>
                <w:sz w:val="20"/>
                <w:szCs w:val="20"/>
              </w:rPr>
            </w:pPr>
            <w:r>
              <w:rPr>
                <w:rFonts w:ascii="Calibri"/>
                <w:sz w:val="20"/>
              </w:rPr>
              <w:t>824</w:t>
            </w:r>
          </w:p>
        </w:tc>
      </w:tr>
      <w:tr>
        <w:trPr>
          <w:trHeight w:val="245" w:hRule="exact"/>
        </w:trPr>
        <w:tc>
          <w:tcPr>
            <w:tcW w:w="3627" w:type="dxa"/>
            <w:tcBorders>
              <w:top w:val="nil" w:sz="6" w:space="0" w:color="auto"/>
              <w:left w:val="nil" w:sz="6" w:space="0" w:color="auto"/>
              <w:bottom w:val="nil" w:sz="6" w:space="0" w:color="auto"/>
              <w:right w:val="nil" w:sz="6" w:space="0" w:color="auto"/>
            </w:tcBorders>
          </w:tcPr>
          <w:p>
            <w:pPr>
              <w:pStyle w:val="TableParagraph"/>
              <w:spacing w:line="226" w:lineRule="exact"/>
              <w:ind w:left="122" w:right="0"/>
              <w:jc w:val="left"/>
              <w:rPr>
                <w:rFonts w:ascii="Calibri" w:hAnsi="Calibri" w:cs="Calibri" w:eastAsia="Calibri" w:hint="default"/>
                <w:sz w:val="20"/>
                <w:szCs w:val="20"/>
              </w:rPr>
            </w:pPr>
            <w:r>
              <w:rPr>
                <w:rFonts w:ascii="Calibri"/>
                <w:sz w:val="20"/>
              </w:rPr>
              <w:t>Education</w:t>
            </w:r>
          </w:p>
        </w:tc>
        <w:tc>
          <w:tcPr>
            <w:tcW w:w="2195" w:type="dxa"/>
            <w:tcBorders>
              <w:top w:val="nil" w:sz="6" w:space="0" w:color="auto"/>
              <w:left w:val="nil" w:sz="6" w:space="0" w:color="auto"/>
              <w:bottom w:val="nil" w:sz="6" w:space="0" w:color="auto"/>
              <w:right w:val="nil" w:sz="6" w:space="0" w:color="auto"/>
            </w:tcBorders>
          </w:tcPr>
          <w:p>
            <w:pPr>
              <w:pStyle w:val="TableParagraph"/>
              <w:spacing w:line="226" w:lineRule="exact"/>
              <w:ind w:right="335"/>
              <w:jc w:val="right"/>
              <w:rPr>
                <w:rFonts w:ascii="Calibri" w:hAnsi="Calibri" w:cs="Calibri" w:eastAsia="Calibri" w:hint="default"/>
                <w:sz w:val="20"/>
                <w:szCs w:val="20"/>
              </w:rPr>
            </w:pPr>
            <w:r>
              <w:rPr>
                <w:rFonts w:ascii="Calibri"/>
                <w:w w:val="95"/>
                <w:sz w:val="20"/>
              </w:rPr>
              <w:t>$1,433,091</w:t>
            </w:r>
            <w:r>
              <w:rPr>
                <w:rFonts w:ascii="Calibri"/>
                <w:sz w:val="20"/>
              </w:rPr>
            </w:r>
          </w:p>
        </w:tc>
        <w:tc>
          <w:tcPr>
            <w:tcW w:w="896" w:type="dxa"/>
            <w:tcBorders>
              <w:top w:val="nil" w:sz="6" w:space="0" w:color="auto"/>
              <w:left w:val="nil" w:sz="6" w:space="0" w:color="auto"/>
              <w:bottom w:val="nil" w:sz="6" w:space="0" w:color="auto"/>
              <w:right w:val="nil" w:sz="6" w:space="0" w:color="auto"/>
            </w:tcBorders>
          </w:tcPr>
          <w:p>
            <w:pPr>
              <w:pStyle w:val="TableParagraph"/>
              <w:spacing w:line="226" w:lineRule="exact"/>
              <w:ind w:left="67" w:right="0"/>
              <w:jc w:val="center"/>
              <w:rPr>
                <w:rFonts w:ascii="Calibri" w:hAnsi="Calibri" w:cs="Calibri" w:eastAsia="Calibri" w:hint="default"/>
                <w:sz w:val="20"/>
                <w:szCs w:val="20"/>
              </w:rPr>
            </w:pPr>
            <w:r>
              <w:rPr>
                <w:rFonts w:ascii="Calibri"/>
                <w:sz w:val="20"/>
              </w:rPr>
              <w:t>0.1%</w:t>
            </w:r>
          </w:p>
        </w:tc>
        <w:tc>
          <w:tcPr>
            <w:tcW w:w="1253" w:type="dxa"/>
            <w:tcBorders>
              <w:top w:val="nil" w:sz="6" w:space="0" w:color="auto"/>
              <w:left w:val="nil" w:sz="6" w:space="0" w:color="auto"/>
              <w:bottom w:val="nil" w:sz="6" w:space="0" w:color="auto"/>
              <w:right w:val="nil" w:sz="6" w:space="0" w:color="auto"/>
            </w:tcBorders>
          </w:tcPr>
          <w:p>
            <w:pPr>
              <w:pStyle w:val="TableParagraph"/>
              <w:spacing w:line="226" w:lineRule="exact"/>
              <w:ind w:right="11"/>
              <w:jc w:val="center"/>
              <w:rPr>
                <w:rFonts w:ascii="Calibri" w:hAnsi="Calibri" w:cs="Calibri" w:eastAsia="Calibri" w:hint="default"/>
                <w:sz w:val="20"/>
                <w:szCs w:val="20"/>
              </w:rPr>
            </w:pPr>
            <w:r>
              <w:rPr>
                <w:rFonts w:ascii="Calibri"/>
                <w:sz w:val="20"/>
              </w:rPr>
              <w:t>0</w:t>
            </w:r>
          </w:p>
        </w:tc>
        <w:tc>
          <w:tcPr>
            <w:tcW w:w="1364" w:type="dxa"/>
            <w:tcBorders>
              <w:top w:val="nil" w:sz="6" w:space="0" w:color="auto"/>
              <w:left w:val="nil" w:sz="6" w:space="0" w:color="auto"/>
              <w:bottom w:val="nil" w:sz="6" w:space="0" w:color="auto"/>
              <w:right w:val="nil" w:sz="6" w:space="0" w:color="auto"/>
            </w:tcBorders>
          </w:tcPr>
          <w:p>
            <w:pPr>
              <w:pStyle w:val="TableParagraph"/>
              <w:spacing w:line="226" w:lineRule="exact"/>
              <w:ind w:left="48" w:right="0"/>
              <w:jc w:val="center"/>
              <w:rPr>
                <w:rFonts w:ascii="Calibri" w:hAnsi="Calibri" w:cs="Calibri" w:eastAsia="Calibri" w:hint="default"/>
                <w:sz w:val="20"/>
                <w:szCs w:val="20"/>
              </w:rPr>
            </w:pPr>
            <w:r>
              <w:rPr>
                <w:rFonts w:ascii="Calibri"/>
                <w:sz w:val="20"/>
              </w:rPr>
              <w:t>13</w:t>
            </w:r>
          </w:p>
        </w:tc>
      </w:tr>
      <w:tr>
        <w:trPr>
          <w:trHeight w:val="244" w:hRule="exact"/>
        </w:trPr>
        <w:tc>
          <w:tcPr>
            <w:tcW w:w="3627" w:type="dxa"/>
            <w:tcBorders>
              <w:top w:val="nil" w:sz="6" w:space="0" w:color="auto"/>
              <w:left w:val="nil" w:sz="6" w:space="0" w:color="auto"/>
              <w:bottom w:val="nil" w:sz="6" w:space="0" w:color="auto"/>
              <w:right w:val="nil" w:sz="6" w:space="0" w:color="auto"/>
            </w:tcBorders>
          </w:tcPr>
          <w:p>
            <w:pPr>
              <w:pStyle w:val="TableParagraph"/>
              <w:spacing w:line="226" w:lineRule="exact"/>
              <w:ind w:left="122" w:right="0"/>
              <w:jc w:val="left"/>
              <w:rPr>
                <w:rFonts w:ascii="Calibri" w:hAnsi="Calibri" w:cs="Calibri" w:eastAsia="Calibri" w:hint="default"/>
                <w:sz w:val="20"/>
                <w:szCs w:val="20"/>
              </w:rPr>
            </w:pPr>
            <w:r>
              <w:rPr>
                <w:rFonts w:ascii="Calibri"/>
                <w:sz w:val="20"/>
              </w:rPr>
              <w:t>Health</w:t>
            </w:r>
          </w:p>
        </w:tc>
        <w:tc>
          <w:tcPr>
            <w:tcW w:w="2195" w:type="dxa"/>
            <w:tcBorders>
              <w:top w:val="nil" w:sz="6" w:space="0" w:color="auto"/>
              <w:left w:val="nil" w:sz="6" w:space="0" w:color="auto"/>
              <w:bottom w:val="nil" w:sz="6" w:space="0" w:color="auto"/>
              <w:right w:val="nil" w:sz="6" w:space="0" w:color="auto"/>
            </w:tcBorders>
          </w:tcPr>
          <w:p>
            <w:pPr>
              <w:pStyle w:val="TableParagraph"/>
              <w:spacing w:line="226" w:lineRule="exact"/>
              <w:ind w:right="335"/>
              <w:jc w:val="right"/>
              <w:rPr>
                <w:rFonts w:ascii="Calibri" w:hAnsi="Calibri" w:cs="Calibri" w:eastAsia="Calibri" w:hint="default"/>
                <w:sz w:val="20"/>
                <w:szCs w:val="20"/>
              </w:rPr>
            </w:pPr>
            <w:r>
              <w:rPr>
                <w:rFonts w:ascii="Calibri"/>
                <w:w w:val="95"/>
                <w:sz w:val="20"/>
              </w:rPr>
              <w:t>$1,264,905</w:t>
            </w:r>
            <w:r>
              <w:rPr>
                <w:rFonts w:ascii="Calibri"/>
                <w:sz w:val="20"/>
              </w:rPr>
            </w:r>
          </w:p>
        </w:tc>
        <w:tc>
          <w:tcPr>
            <w:tcW w:w="896" w:type="dxa"/>
            <w:tcBorders>
              <w:top w:val="nil" w:sz="6" w:space="0" w:color="auto"/>
              <w:left w:val="nil" w:sz="6" w:space="0" w:color="auto"/>
              <w:bottom w:val="nil" w:sz="6" w:space="0" w:color="auto"/>
              <w:right w:val="nil" w:sz="6" w:space="0" w:color="auto"/>
            </w:tcBorders>
          </w:tcPr>
          <w:p>
            <w:pPr>
              <w:pStyle w:val="TableParagraph"/>
              <w:spacing w:line="226" w:lineRule="exact"/>
              <w:ind w:left="67" w:right="0"/>
              <w:jc w:val="center"/>
              <w:rPr>
                <w:rFonts w:ascii="Calibri" w:hAnsi="Calibri" w:cs="Calibri" w:eastAsia="Calibri" w:hint="default"/>
                <w:sz w:val="20"/>
                <w:szCs w:val="20"/>
              </w:rPr>
            </w:pPr>
            <w:r>
              <w:rPr>
                <w:rFonts w:ascii="Calibri"/>
                <w:sz w:val="20"/>
              </w:rPr>
              <w:t>0.1%</w:t>
            </w:r>
          </w:p>
        </w:tc>
        <w:tc>
          <w:tcPr>
            <w:tcW w:w="1253" w:type="dxa"/>
            <w:tcBorders>
              <w:top w:val="nil" w:sz="6" w:space="0" w:color="auto"/>
              <w:left w:val="nil" w:sz="6" w:space="0" w:color="auto"/>
              <w:bottom w:val="nil" w:sz="6" w:space="0" w:color="auto"/>
              <w:right w:val="nil" w:sz="6" w:space="0" w:color="auto"/>
            </w:tcBorders>
          </w:tcPr>
          <w:p>
            <w:pPr>
              <w:pStyle w:val="TableParagraph"/>
              <w:spacing w:line="226" w:lineRule="exact"/>
              <w:ind w:right="11"/>
              <w:jc w:val="center"/>
              <w:rPr>
                <w:rFonts w:ascii="Calibri" w:hAnsi="Calibri" w:cs="Calibri" w:eastAsia="Calibri" w:hint="default"/>
                <w:sz w:val="20"/>
                <w:szCs w:val="20"/>
              </w:rPr>
            </w:pPr>
            <w:r>
              <w:rPr>
                <w:rFonts w:ascii="Calibri"/>
                <w:sz w:val="20"/>
              </w:rPr>
              <w:t>0</w:t>
            </w:r>
          </w:p>
        </w:tc>
        <w:tc>
          <w:tcPr>
            <w:tcW w:w="1364" w:type="dxa"/>
            <w:tcBorders>
              <w:top w:val="nil" w:sz="6" w:space="0" w:color="auto"/>
              <w:left w:val="nil" w:sz="6" w:space="0" w:color="auto"/>
              <w:bottom w:val="nil" w:sz="6" w:space="0" w:color="auto"/>
              <w:right w:val="nil" w:sz="6" w:space="0" w:color="auto"/>
            </w:tcBorders>
          </w:tcPr>
          <w:p>
            <w:pPr>
              <w:pStyle w:val="TableParagraph"/>
              <w:spacing w:line="226" w:lineRule="exact"/>
              <w:ind w:left="48" w:right="0"/>
              <w:jc w:val="center"/>
              <w:rPr>
                <w:rFonts w:ascii="Calibri" w:hAnsi="Calibri" w:cs="Calibri" w:eastAsia="Calibri" w:hint="default"/>
                <w:sz w:val="20"/>
                <w:szCs w:val="20"/>
              </w:rPr>
            </w:pPr>
            <w:r>
              <w:rPr>
                <w:rFonts w:ascii="Calibri"/>
                <w:sz w:val="20"/>
              </w:rPr>
              <w:t>21</w:t>
            </w:r>
          </w:p>
        </w:tc>
      </w:tr>
      <w:tr>
        <w:trPr>
          <w:trHeight w:val="231" w:hRule="exact"/>
        </w:trPr>
        <w:tc>
          <w:tcPr>
            <w:tcW w:w="3627" w:type="dxa"/>
            <w:tcBorders>
              <w:top w:val="nil" w:sz="6" w:space="0" w:color="auto"/>
              <w:left w:val="nil" w:sz="6" w:space="0" w:color="auto"/>
              <w:bottom w:val="single" w:sz="4" w:space="0" w:color="000000"/>
              <w:right w:val="nil" w:sz="6" w:space="0" w:color="auto"/>
            </w:tcBorders>
          </w:tcPr>
          <w:p>
            <w:pPr>
              <w:pStyle w:val="TableParagraph"/>
              <w:spacing w:line="225" w:lineRule="exact"/>
              <w:ind w:left="122" w:right="0"/>
              <w:jc w:val="left"/>
              <w:rPr>
                <w:rFonts w:ascii="Calibri" w:hAnsi="Calibri" w:cs="Calibri" w:eastAsia="Calibri" w:hint="default"/>
                <w:sz w:val="20"/>
                <w:szCs w:val="20"/>
              </w:rPr>
            </w:pPr>
            <w:r>
              <w:rPr>
                <w:rFonts w:ascii="Calibri"/>
                <w:sz w:val="20"/>
              </w:rPr>
              <w:t>Other</w:t>
            </w:r>
            <w:r>
              <w:rPr>
                <w:rFonts w:ascii="Calibri"/>
                <w:spacing w:val="-9"/>
                <w:sz w:val="20"/>
              </w:rPr>
              <w:t> </w:t>
            </w:r>
            <w:r>
              <w:rPr>
                <w:rFonts w:ascii="Calibri"/>
                <w:sz w:val="20"/>
              </w:rPr>
              <w:t>services</w:t>
            </w:r>
          </w:p>
        </w:tc>
        <w:tc>
          <w:tcPr>
            <w:tcW w:w="2195" w:type="dxa"/>
            <w:tcBorders>
              <w:top w:val="nil" w:sz="6" w:space="0" w:color="auto"/>
              <w:left w:val="nil" w:sz="6" w:space="0" w:color="auto"/>
              <w:bottom w:val="single" w:sz="4" w:space="0" w:color="000000"/>
              <w:right w:val="nil" w:sz="6" w:space="0" w:color="auto"/>
            </w:tcBorders>
          </w:tcPr>
          <w:p>
            <w:pPr>
              <w:pStyle w:val="TableParagraph"/>
              <w:spacing w:line="225" w:lineRule="exact"/>
              <w:ind w:right="285"/>
              <w:jc w:val="right"/>
              <w:rPr>
                <w:rFonts w:ascii="Calibri" w:hAnsi="Calibri" w:cs="Calibri" w:eastAsia="Calibri" w:hint="default"/>
                <w:sz w:val="20"/>
                <w:szCs w:val="20"/>
              </w:rPr>
            </w:pPr>
            <w:r>
              <w:rPr>
                <w:rFonts w:ascii="Calibri"/>
                <w:w w:val="95"/>
                <w:sz w:val="20"/>
              </w:rPr>
              <w:t>$42,176,633</w:t>
            </w:r>
            <w:r>
              <w:rPr>
                <w:rFonts w:ascii="Calibri"/>
                <w:sz w:val="20"/>
              </w:rPr>
            </w:r>
          </w:p>
        </w:tc>
        <w:tc>
          <w:tcPr>
            <w:tcW w:w="896" w:type="dxa"/>
            <w:tcBorders>
              <w:top w:val="nil" w:sz="6" w:space="0" w:color="auto"/>
              <w:left w:val="nil" w:sz="6" w:space="0" w:color="auto"/>
              <w:bottom w:val="single" w:sz="4" w:space="0" w:color="000000"/>
              <w:right w:val="nil" w:sz="6" w:space="0" w:color="auto"/>
            </w:tcBorders>
          </w:tcPr>
          <w:p>
            <w:pPr>
              <w:pStyle w:val="TableParagraph"/>
              <w:spacing w:line="225" w:lineRule="exact"/>
              <w:ind w:left="67" w:right="0"/>
              <w:jc w:val="center"/>
              <w:rPr>
                <w:rFonts w:ascii="Calibri" w:hAnsi="Calibri" w:cs="Calibri" w:eastAsia="Calibri" w:hint="default"/>
                <w:sz w:val="20"/>
                <w:szCs w:val="20"/>
              </w:rPr>
            </w:pPr>
            <w:r>
              <w:rPr>
                <w:rFonts w:ascii="Calibri"/>
                <w:sz w:val="20"/>
              </w:rPr>
              <w:t>4.5%</w:t>
            </w:r>
          </w:p>
        </w:tc>
        <w:tc>
          <w:tcPr>
            <w:tcW w:w="1253" w:type="dxa"/>
            <w:tcBorders>
              <w:top w:val="nil" w:sz="6" w:space="0" w:color="auto"/>
              <w:left w:val="nil" w:sz="6" w:space="0" w:color="auto"/>
              <w:bottom w:val="single" w:sz="4" w:space="0" w:color="000000"/>
              <w:right w:val="nil" w:sz="6" w:space="0" w:color="auto"/>
            </w:tcBorders>
          </w:tcPr>
          <w:p>
            <w:pPr>
              <w:pStyle w:val="TableParagraph"/>
              <w:spacing w:line="225" w:lineRule="exact"/>
              <w:ind w:right="11"/>
              <w:jc w:val="center"/>
              <w:rPr>
                <w:rFonts w:ascii="Calibri" w:hAnsi="Calibri" w:cs="Calibri" w:eastAsia="Calibri" w:hint="default"/>
                <w:sz w:val="20"/>
                <w:szCs w:val="20"/>
              </w:rPr>
            </w:pPr>
            <w:r>
              <w:rPr>
                <w:rFonts w:ascii="Calibri"/>
                <w:sz w:val="20"/>
              </w:rPr>
              <w:t>0</w:t>
            </w:r>
          </w:p>
        </w:tc>
        <w:tc>
          <w:tcPr>
            <w:tcW w:w="1364" w:type="dxa"/>
            <w:tcBorders>
              <w:top w:val="nil" w:sz="6" w:space="0" w:color="auto"/>
              <w:left w:val="nil" w:sz="6" w:space="0" w:color="auto"/>
              <w:bottom w:val="single" w:sz="4" w:space="0" w:color="000000"/>
              <w:right w:val="nil" w:sz="6" w:space="0" w:color="auto"/>
            </w:tcBorders>
          </w:tcPr>
          <w:p>
            <w:pPr>
              <w:pStyle w:val="TableParagraph"/>
              <w:spacing w:line="225" w:lineRule="exact"/>
              <w:ind w:left="46" w:right="0"/>
              <w:jc w:val="center"/>
              <w:rPr>
                <w:rFonts w:ascii="Calibri" w:hAnsi="Calibri" w:cs="Calibri" w:eastAsia="Calibri" w:hint="default"/>
                <w:sz w:val="20"/>
                <w:szCs w:val="20"/>
              </w:rPr>
            </w:pPr>
            <w:r>
              <w:rPr>
                <w:rFonts w:ascii="Calibri"/>
                <w:sz w:val="20"/>
              </w:rPr>
              <w:t>1,033</w:t>
            </w:r>
          </w:p>
        </w:tc>
      </w:tr>
      <w:tr>
        <w:trPr>
          <w:trHeight w:val="254" w:hRule="exact"/>
        </w:trPr>
        <w:tc>
          <w:tcPr>
            <w:tcW w:w="3627" w:type="dxa"/>
            <w:tcBorders>
              <w:top w:val="single" w:sz="4" w:space="0" w:color="000000"/>
              <w:left w:val="nil" w:sz="6" w:space="0" w:color="auto"/>
              <w:bottom w:val="single" w:sz="4" w:space="0" w:color="000000"/>
              <w:right w:val="nil" w:sz="6" w:space="0" w:color="auto"/>
            </w:tcBorders>
          </w:tcPr>
          <w:p>
            <w:pPr>
              <w:pStyle w:val="TableParagraph"/>
              <w:spacing w:line="243" w:lineRule="exact"/>
              <w:ind w:left="122" w:right="0"/>
              <w:jc w:val="left"/>
              <w:rPr>
                <w:rFonts w:ascii="Calibri" w:hAnsi="Calibri" w:cs="Calibri" w:eastAsia="Calibri" w:hint="default"/>
                <w:sz w:val="20"/>
                <w:szCs w:val="20"/>
              </w:rPr>
            </w:pPr>
            <w:r>
              <w:rPr>
                <w:rFonts w:ascii="Calibri"/>
                <w:b/>
                <w:sz w:val="20"/>
              </w:rPr>
              <w:t>Total</w:t>
            </w:r>
            <w:r>
              <w:rPr>
                <w:rFonts w:ascii="Calibri"/>
                <w:sz w:val="20"/>
              </w:rPr>
            </w:r>
          </w:p>
        </w:tc>
        <w:tc>
          <w:tcPr>
            <w:tcW w:w="2195" w:type="dxa"/>
            <w:tcBorders>
              <w:top w:val="single" w:sz="4" w:space="0" w:color="000000"/>
              <w:left w:val="nil" w:sz="6" w:space="0" w:color="auto"/>
              <w:bottom w:val="single" w:sz="4" w:space="0" w:color="000000"/>
              <w:right w:val="nil" w:sz="6" w:space="0" w:color="auto"/>
            </w:tcBorders>
          </w:tcPr>
          <w:p>
            <w:pPr>
              <w:pStyle w:val="TableParagraph"/>
              <w:spacing w:line="243" w:lineRule="exact"/>
              <w:ind w:right="233"/>
              <w:jc w:val="right"/>
              <w:rPr>
                <w:rFonts w:ascii="Calibri" w:hAnsi="Calibri" w:cs="Calibri" w:eastAsia="Calibri" w:hint="default"/>
                <w:sz w:val="20"/>
                <w:szCs w:val="20"/>
              </w:rPr>
            </w:pPr>
            <w:r>
              <w:rPr>
                <w:rFonts w:ascii="Calibri"/>
                <w:b/>
                <w:spacing w:val="-1"/>
                <w:sz w:val="20"/>
              </w:rPr>
              <w:t>$971,633,170</w:t>
            </w:r>
            <w:r>
              <w:rPr>
                <w:rFonts w:ascii="Calibri"/>
                <w:sz w:val="20"/>
              </w:rPr>
            </w:r>
          </w:p>
        </w:tc>
        <w:tc>
          <w:tcPr>
            <w:tcW w:w="896" w:type="dxa"/>
            <w:tcBorders>
              <w:top w:val="single" w:sz="4" w:space="0" w:color="000000"/>
              <w:left w:val="nil" w:sz="6" w:space="0" w:color="auto"/>
              <w:bottom w:val="single" w:sz="4" w:space="0" w:color="000000"/>
              <w:right w:val="nil" w:sz="6" w:space="0" w:color="auto"/>
            </w:tcBorders>
          </w:tcPr>
          <w:p>
            <w:pPr>
              <w:pStyle w:val="TableParagraph"/>
              <w:spacing w:line="243" w:lineRule="exact"/>
              <w:ind w:left="67" w:right="0"/>
              <w:jc w:val="center"/>
              <w:rPr>
                <w:rFonts w:ascii="Calibri" w:hAnsi="Calibri" w:cs="Calibri" w:eastAsia="Calibri" w:hint="default"/>
                <w:sz w:val="20"/>
                <w:szCs w:val="20"/>
              </w:rPr>
            </w:pPr>
            <w:r>
              <w:rPr>
                <w:rFonts w:ascii="Calibri"/>
                <w:b/>
                <w:sz w:val="20"/>
              </w:rPr>
              <w:t>100%</w:t>
            </w:r>
            <w:r>
              <w:rPr>
                <w:rFonts w:ascii="Calibri"/>
                <w:sz w:val="20"/>
              </w:rPr>
            </w:r>
          </w:p>
        </w:tc>
        <w:tc>
          <w:tcPr>
            <w:tcW w:w="1253" w:type="dxa"/>
            <w:tcBorders>
              <w:top w:val="single" w:sz="4" w:space="0" w:color="000000"/>
              <w:left w:val="nil" w:sz="6" w:space="0" w:color="auto"/>
              <w:bottom w:val="single" w:sz="4" w:space="0" w:color="000000"/>
              <w:right w:val="nil" w:sz="6" w:space="0" w:color="auto"/>
            </w:tcBorders>
          </w:tcPr>
          <w:p>
            <w:pPr>
              <w:pStyle w:val="TableParagraph"/>
              <w:spacing w:line="243" w:lineRule="exact"/>
              <w:ind w:right="13"/>
              <w:jc w:val="center"/>
              <w:rPr>
                <w:rFonts w:ascii="Calibri" w:hAnsi="Calibri" w:cs="Calibri" w:eastAsia="Calibri" w:hint="default"/>
                <w:sz w:val="20"/>
                <w:szCs w:val="20"/>
              </w:rPr>
            </w:pPr>
            <w:r>
              <w:rPr>
                <w:rFonts w:ascii="Calibri"/>
                <w:b/>
                <w:sz w:val="20"/>
              </w:rPr>
              <w:t>9,946</w:t>
            </w:r>
            <w:r>
              <w:rPr>
                <w:rFonts w:ascii="Calibri"/>
                <w:sz w:val="20"/>
              </w:rPr>
            </w:r>
          </w:p>
        </w:tc>
        <w:tc>
          <w:tcPr>
            <w:tcW w:w="1364" w:type="dxa"/>
            <w:tcBorders>
              <w:top w:val="single" w:sz="4" w:space="0" w:color="000000"/>
              <w:left w:val="nil" w:sz="6" w:space="0" w:color="auto"/>
              <w:bottom w:val="single" w:sz="4" w:space="0" w:color="000000"/>
              <w:right w:val="nil" w:sz="6" w:space="0" w:color="auto"/>
            </w:tcBorders>
          </w:tcPr>
          <w:p>
            <w:pPr>
              <w:pStyle w:val="TableParagraph"/>
              <w:spacing w:line="243" w:lineRule="exact"/>
              <w:ind w:left="46" w:right="0"/>
              <w:jc w:val="center"/>
              <w:rPr>
                <w:rFonts w:ascii="Calibri" w:hAnsi="Calibri" w:cs="Calibri" w:eastAsia="Calibri" w:hint="default"/>
                <w:sz w:val="20"/>
                <w:szCs w:val="20"/>
              </w:rPr>
            </w:pPr>
            <w:r>
              <w:rPr>
                <w:rFonts w:ascii="Calibri"/>
                <w:b/>
                <w:sz w:val="20"/>
              </w:rPr>
              <w:t>6,558</w:t>
            </w:r>
            <w:r>
              <w:rPr>
                <w:rFonts w:ascii="Calibri"/>
                <w:sz w:val="20"/>
              </w:rPr>
            </w:r>
          </w:p>
        </w:tc>
      </w:tr>
    </w:tbl>
    <w:p>
      <w:pPr>
        <w:spacing w:line="240" w:lineRule="auto" w:before="2"/>
        <w:ind w:right="0"/>
        <w:rPr>
          <w:rFonts w:ascii="Calibri" w:hAnsi="Calibri" w:cs="Calibri" w:eastAsia="Calibri" w:hint="default"/>
          <w:b/>
          <w:bCs/>
          <w:sz w:val="15"/>
          <w:szCs w:val="15"/>
        </w:rPr>
      </w:pPr>
    </w:p>
    <w:p>
      <w:pPr>
        <w:pStyle w:val="BodyText"/>
        <w:spacing w:line="240" w:lineRule="auto" w:before="59"/>
        <w:ind w:right="1437"/>
        <w:jc w:val="both"/>
      </w:pPr>
      <w:r>
        <w:rPr/>
        <w:t>The</w:t>
      </w:r>
      <w:r>
        <w:rPr>
          <w:spacing w:val="-5"/>
        </w:rPr>
        <w:t> </w:t>
      </w:r>
      <w:r>
        <w:rPr/>
        <w:t>economic</w:t>
      </w:r>
      <w:r>
        <w:rPr>
          <w:spacing w:val="-5"/>
        </w:rPr>
        <w:t> </w:t>
      </w:r>
      <w:r>
        <w:rPr/>
        <w:t>benefits</w:t>
      </w:r>
      <w:r>
        <w:rPr>
          <w:spacing w:val="-6"/>
        </w:rPr>
        <w:t> </w:t>
      </w:r>
      <w:r>
        <w:rPr/>
        <w:t>accruing</w:t>
      </w:r>
      <w:r>
        <w:rPr>
          <w:spacing w:val="-7"/>
        </w:rPr>
        <w:t> </w:t>
      </w:r>
      <w:r>
        <w:rPr/>
        <w:t>to</w:t>
      </w:r>
      <w:r>
        <w:rPr>
          <w:spacing w:val="-6"/>
        </w:rPr>
        <w:t> </w:t>
      </w:r>
      <w:r>
        <w:rPr/>
        <w:t>the</w:t>
      </w:r>
      <w:r>
        <w:rPr>
          <w:spacing w:val="-8"/>
        </w:rPr>
        <w:t> </w:t>
      </w:r>
      <w:r>
        <w:rPr/>
        <w:t>local</w:t>
      </w:r>
      <w:r>
        <w:rPr>
          <w:spacing w:val="-5"/>
        </w:rPr>
        <w:t> </w:t>
      </w:r>
      <w:r>
        <w:rPr/>
        <w:t>economy</w:t>
      </w:r>
      <w:r>
        <w:rPr>
          <w:spacing w:val="-4"/>
        </w:rPr>
        <w:t> </w:t>
      </w:r>
      <w:r>
        <w:rPr/>
        <w:t>go</w:t>
      </w:r>
      <w:r>
        <w:rPr>
          <w:spacing w:val="-7"/>
        </w:rPr>
        <w:t> </w:t>
      </w:r>
      <w:r>
        <w:rPr/>
        <w:t>beyond</w:t>
      </w:r>
      <w:r>
        <w:rPr>
          <w:spacing w:val="-6"/>
        </w:rPr>
        <w:t> </w:t>
      </w:r>
      <w:r>
        <w:rPr/>
        <w:t>the</w:t>
      </w:r>
      <w:r>
        <w:rPr>
          <w:spacing w:val="-8"/>
        </w:rPr>
        <w:t> </w:t>
      </w:r>
      <w:r>
        <w:rPr/>
        <w:t>conventional</w:t>
      </w:r>
      <w:r>
        <w:rPr>
          <w:spacing w:val="-6"/>
        </w:rPr>
        <w:t> </w:t>
      </w:r>
      <w:r>
        <w:rPr/>
        <w:t>tourist</w:t>
      </w:r>
      <w:r>
        <w:rPr>
          <w:spacing w:val="-4"/>
        </w:rPr>
        <w:t> </w:t>
      </w:r>
      <w:r>
        <w:rPr/>
        <w:t>industry</w:t>
      </w:r>
      <w:r>
        <w:rPr>
          <w:spacing w:val="-5"/>
        </w:rPr>
        <w:t> </w:t>
      </w:r>
      <w:r>
        <w:rPr/>
        <w:t>and</w:t>
      </w:r>
      <w:r>
        <w:rPr>
          <w:spacing w:val="-6"/>
        </w:rPr>
        <w:t> </w:t>
      </w:r>
      <w:r>
        <w:rPr/>
        <w:t>spread</w:t>
      </w:r>
      <w:r>
        <w:rPr>
          <w:spacing w:val="-6"/>
        </w:rPr>
        <w:t> </w:t>
      </w:r>
      <w:r>
        <w:rPr/>
        <w:t>to</w:t>
      </w:r>
      <w:r>
        <w:rPr>
          <w:spacing w:val="-6"/>
        </w:rPr>
        <w:t> </w:t>
      </w:r>
      <w:r>
        <w:rPr/>
        <w:t>the </w:t>
      </w:r>
      <w:r>
        <w:rPr/>
        <w:t>banks, utilities, telecommunications, and manufacturing sectors. For example, for every US$100 spent by tourists visiting the island, manufacturing receives US$19.19, utilities obtain US$8.39, and </w:t>
      </w:r>
      <w:r>
        <w:rPr>
          <w:spacing w:val="2"/>
        </w:rPr>
        <w:t>the </w:t>
      </w:r>
      <w:r>
        <w:rPr/>
        <w:t>banking sector accumulates </w:t>
      </w:r>
      <w:r>
        <w:rPr/>
        <w:t>US$19.35.</w:t>
      </w:r>
      <w:r>
        <w:rPr>
          <w:spacing w:val="25"/>
        </w:rPr>
        <w:t> </w:t>
      </w:r>
      <w:r>
        <w:rPr/>
        <w:t>It</w:t>
      </w:r>
      <w:r>
        <w:rPr>
          <w:spacing w:val="-10"/>
        </w:rPr>
        <w:t> </w:t>
      </w:r>
      <w:r>
        <w:rPr/>
        <w:t>seems</w:t>
      </w:r>
      <w:r>
        <w:rPr>
          <w:spacing w:val="-11"/>
        </w:rPr>
        <w:t> </w:t>
      </w:r>
      <w:r>
        <w:rPr/>
        <w:t>logical</w:t>
      </w:r>
      <w:r>
        <w:rPr>
          <w:spacing w:val="-11"/>
        </w:rPr>
        <w:t> </w:t>
      </w:r>
      <w:r>
        <w:rPr/>
        <w:t>that</w:t>
      </w:r>
      <w:r>
        <w:rPr>
          <w:spacing w:val="-9"/>
        </w:rPr>
        <w:t> </w:t>
      </w:r>
      <w:r>
        <w:rPr/>
        <w:t>these</w:t>
      </w:r>
      <w:r>
        <w:rPr>
          <w:spacing w:val="-11"/>
        </w:rPr>
        <w:t> </w:t>
      </w:r>
      <w:r>
        <w:rPr/>
        <w:t>sectors</w:t>
      </w:r>
      <w:r>
        <w:rPr>
          <w:spacing w:val="-11"/>
        </w:rPr>
        <w:t> </w:t>
      </w:r>
      <w:r>
        <w:rPr/>
        <w:t>should</w:t>
      </w:r>
      <w:r>
        <w:rPr>
          <w:spacing w:val="-10"/>
        </w:rPr>
        <w:t> </w:t>
      </w:r>
      <w:r>
        <w:rPr/>
        <w:t>have</w:t>
      </w:r>
      <w:r>
        <w:rPr>
          <w:spacing w:val="-11"/>
        </w:rPr>
        <w:t> </w:t>
      </w:r>
      <w:r>
        <w:rPr/>
        <w:t>the</w:t>
      </w:r>
      <w:r>
        <w:rPr>
          <w:spacing w:val="-11"/>
        </w:rPr>
        <w:t> </w:t>
      </w:r>
      <w:r>
        <w:rPr/>
        <w:t>incentives</w:t>
      </w:r>
      <w:r>
        <w:rPr>
          <w:spacing w:val="-11"/>
        </w:rPr>
        <w:t> </w:t>
      </w:r>
      <w:r>
        <w:rPr/>
        <w:t>to</w:t>
      </w:r>
      <w:r>
        <w:rPr>
          <w:spacing w:val="-10"/>
        </w:rPr>
        <w:t> </w:t>
      </w:r>
      <w:r>
        <w:rPr/>
        <w:t>participate</w:t>
      </w:r>
      <w:r>
        <w:rPr>
          <w:spacing w:val="-11"/>
        </w:rPr>
        <w:t> </w:t>
      </w:r>
      <w:r>
        <w:rPr/>
        <w:t>in</w:t>
      </w:r>
      <w:r>
        <w:rPr>
          <w:spacing w:val="-12"/>
        </w:rPr>
        <w:t> </w:t>
      </w:r>
      <w:r>
        <w:rPr/>
        <w:t>any</w:t>
      </w:r>
      <w:r>
        <w:rPr>
          <w:spacing w:val="-9"/>
        </w:rPr>
        <w:t> </w:t>
      </w:r>
      <w:r>
        <w:rPr/>
        <w:t>tourism</w:t>
      </w:r>
      <w:r>
        <w:rPr>
          <w:spacing w:val="-11"/>
        </w:rPr>
        <w:t> </w:t>
      </w:r>
      <w:r>
        <w:rPr/>
        <w:t>funding</w:t>
      </w:r>
      <w:r>
        <w:rPr>
          <w:spacing w:val="-10"/>
        </w:rPr>
        <w:t> </w:t>
      </w:r>
      <w:r>
        <w:rPr/>
        <w:t>system </w:t>
      </w:r>
      <w:r>
        <w:rPr/>
        <w:t>that would be used to permit the allocation of tourism financial resources over time</w:t>
      </w:r>
      <w:r>
        <w:rPr>
          <w:spacing w:val="-30"/>
        </w:rPr>
        <w:t> </w:t>
      </w:r>
      <w:r>
        <w:rPr/>
        <w:t>(Table 16).</w:t>
      </w:r>
    </w:p>
    <w:p>
      <w:pPr>
        <w:pStyle w:val="Heading2"/>
        <w:spacing w:line="240" w:lineRule="auto" w:before="37"/>
        <w:ind w:right="0"/>
        <w:jc w:val="both"/>
        <w:rPr>
          <w:rFonts w:ascii="Calibri" w:hAnsi="Calibri" w:cs="Calibri" w:eastAsia="Calibri" w:hint="default"/>
          <w:b w:val="0"/>
          <w:bCs w:val="0"/>
        </w:rPr>
      </w:pPr>
      <w:bookmarkStart w:name="_bookmark61" w:id="62"/>
      <w:bookmarkEnd w:id="62"/>
      <w:r>
        <w:rPr>
          <w:b w:val="0"/>
          <w:bCs w:val="0"/>
        </w:rPr>
      </w:r>
      <w:r>
        <w:rPr>
          <w:rFonts w:ascii="Calibri" w:hAnsi="Calibri" w:cs="Calibri" w:eastAsia="Calibri" w:hint="default"/>
        </w:rPr>
        <w:t>Residents’ </w:t>
      </w:r>
      <w:r>
        <w:rPr/>
        <w:t>perceptions </w:t>
      </w:r>
      <w:r>
        <w:rPr>
          <w:rFonts w:ascii="Calibri" w:hAnsi="Calibri" w:cs="Calibri" w:eastAsia="Calibri" w:hint="default"/>
        </w:rPr>
        <w:t>of tourism’s</w:t>
      </w:r>
      <w:r>
        <w:rPr>
          <w:rFonts w:ascii="Calibri" w:hAnsi="Calibri" w:cs="Calibri" w:eastAsia="Calibri" w:hint="default"/>
          <w:spacing w:val="-13"/>
        </w:rPr>
        <w:t> </w:t>
      </w:r>
      <w:r>
        <w:rPr>
          <w:rFonts w:ascii="Calibri" w:hAnsi="Calibri" w:cs="Calibri" w:eastAsia="Calibri" w:hint="default"/>
        </w:rPr>
        <w:t>contribution</w:t>
      </w:r>
      <w:r>
        <w:rPr>
          <w:rFonts w:ascii="Calibri" w:hAnsi="Calibri" w:cs="Calibri" w:eastAsia="Calibri" w:hint="default"/>
          <w:b w:val="0"/>
          <w:bCs w:val="0"/>
        </w:rPr>
      </w:r>
    </w:p>
    <w:p>
      <w:pPr>
        <w:pStyle w:val="BodyText"/>
        <w:spacing w:line="240" w:lineRule="auto" w:before="189"/>
        <w:ind w:right="1437"/>
        <w:jc w:val="both"/>
      </w:pPr>
      <w:r>
        <w:rPr/>
        <w:t>Residents may entertain feelings and emotions that do not align with the objective reality previously discussed. Therefore, it is imperative to detect and understand residents</w:t>
      </w:r>
      <w:r>
        <w:rPr>
          <w:rFonts w:ascii="Calibri" w:hAnsi="Calibri" w:cs="Calibri" w:eastAsia="Calibri" w:hint="default"/>
        </w:rPr>
        <w:t>’ </w:t>
      </w:r>
      <w:r>
        <w:rPr/>
        <w:t>perceptions regarding tourism development. While it</w:t>
      </w:r>
      <w:r>
        <w:rPr>
          <w:spacing w:val="-9"/>
        </w:rPr>
        <w:t> </w:t>
      </w:r>
      <w:r>
        <w:rPr/>
        <w:t>is</w:t>
      </w:r>
      <w:r>
        <w:rPr>
          <w:spacing w:val="-11"/>
        </w:rPr>
        <w:t> </w:t>
      </w:r>
      <w:r>
        <w:rPr/>
        <w:t>clear</w:t>
      </w:r>
      <w:r>
        <w:rPr>
          <w:spacing w:val="-9"/>
        </w:rPr>
        <w:t> </w:t>
      </w:r>
      <w:r>
        <w:rPr/>
        <w:t>that</w:t>
      </w:r>
      <w:r>
        <w:rPr>
          <w:spacing w:val="-8"/>
        </w:rPr>
        <w:t> </w:t>
      </w:r>
      <w:r>
        <w:rPr/>
        <w:t>the</w:t>
      </w:r>
      <w:r>
        <w:rPr>
          <w:spacing w:val="-10"/>
        </w:rPr>
        <w:t> </w:t>
      </w:r>
      <w:r>
        <w:rPr/>
        <w:t>tourism</w:t>
      </w:r>
      <w:r>
        <w:rPr>
          <w:spacing w:val="-8"/>
        </w:rPr>
        <w:t> </w:t>
      </w:r>
      <w:r>
        <w:rPr/>
        <w:t>sector</w:t>
      </w:r>
      <w:r>
        <w:rPr>
          <w:spacing w:val="-9"/>
        </w:rPr>
        <w:t> </w:t>
      </w:r>
      <w:r>
        <w:rPr/>
        <w:t>made</w:t>
      </w:r>
      <w:r>
        <w:rPr>
          <w:spacing w:val="-10"/>
        </w:rPr>
        <w:t> </w:t>
      </w:r>
      <w:r>
        <w:rPr/>
        <w:t>enormous</w:t>
      </w:r>
      <w:r>
        <w:rPr>
          <w:spacing w:val="-10"/>
        </w:rPr>
        <w:t> </w:t>
      </w:r>
      <w:r>
        <w:rPr/>
        <w:t>strides</w:t>
      </w:r>
      <w:r>
        <w:rPr>
          <w:spacing w:val="-10"/>
        </w:rPr>
        <w:t> </w:t>
      </w:r>
      <w:r>
        <w:rPr/>
        <w:t>in</w:t>
      </w:r>
      <w:r>
        <w:rPr>
          <w:spacing w:val="-9"/>
        </w:rPr>
        <w:t> </w:t>
      </w:r>
      <w:r>
        <w:rPr/>
        <w:t>its</w:t>
      </w:r>
      <w:r>
        <w:rPr>
          <w:spacing w:val="-10"/>
        </w:rPr>
        <w:t> </w:t>
      </w:r>
      <w:r>
        <w:rPr/>
        <w:t>economic</w:t>
      </w:r>
      <w:r>
        <w:rPr>
          <w:spacing w:val="-10"/>
        </w:rPr>
        <w:t> </w:t>
      </w:r>
      <w:r>
        <w:rPr/>
        <w:t>contribution</w:t>
      </w:r>
      <w:r>
        <w:rPr>
          <w:spacing w:val="-9"/>
        </w:rPr>
        <w:t> </w:t>
      </w:r>
      <w:r>
        <w:rPr/>
        <w:t>according</w:t>
      </w:r>
      <w:r>
        <w:rPr>
          <w:spacing w:val="-9"/>
        </w:rPr>
        <w:t> </w:t>
      </w:r>
      <w:r>
        <w:rPr/>
        <w:t>to</w:t>
      </w:r>
      <w:r>
        <w:rPr>
          <w:spacing w:val="-9"/>
        </w:rPr>
        <w:t> </w:t>
      </w:r>
      <w:r>
        <w:rPr/>
        <w:t>all</w:t>
      </w:r>
      <w:r>
        <w:rPr>
          <w:spacing w:val="-9"/>
        </w:rPr>
        <w:t> </w:t>
      </w:r>
      <w:r>
        <w:rPr/>
        <w:t>of</w:t>
      </w:r>
      <w:r>
        <w:rPr>
          <w:spacing w:val="-10"/>
        </w:rPr>
        <w:t> </w:t>
      </w:r>
      <w:r>
        <w:rPr/>
        <w:t>the</w:t>
      </w:r>
      <w:r>
        <w:rPr>
          <w:spacing w:val="-10"/>
        </w:rPr>
        <w:t> </w:t>
      </w:r>
      <w:r>
        <w:rPr/>
        <w:t>previous </w:t>
      </w:r>
      <w:r>
        <w:rPr/>
        <w:t>economic analyses, the DPITS also gauged whether the economic contribution of tourism was positively perceived by island residents. For this purpose, a quality of life survey during the months of March and April, 2015 was conducted in different barrios and according to the island census. A total of 1,054 surveys were collected, of which 1,024 were considered</w:t>
      </w:r>
      <w:r>
        <w:rPr>
          <w:spacing w:val="-7"/>
        </w:rPr>
        <w:t> </w:t>
      </w:r>
      <w:r>
        <w:rPr/>
        <w:t>usable.</w:t>
      </w:r>
    </w:p>
    <w:p>
      <w:pPr>
        <w:pStyle w:val="Heading9"/>
        <w:tabs>
          <w:tab w:pos="3708" w:val="left" w:leader="none"/>
          <w:tab w:pos="10737" w:val="left" w:leader="none"/>
        </w:tabs>
        <w:spacing w:line="242" w:lineRule="exact" w:after="51"/>
        <w:ind w:left="1505" w:right="0"/>
        <w:jc w:val="both"/>
        <w:rPr>
          <w:b w:val="0"/>
          <w:bCs w:val="0"/>
        </w:rPr>
      </w:pPr>
      <w:bookmarkStart w:name="_bookmark62" w:id="63"/>
      <w:bookmarkEnd w:id="63"/>
      <w:r>
        <w:rPr>
          <w:b w:val="0"/>
          <w:bCs w:val="0"/>
        </w:rPr>
      </w:r>
      <w:r>
        <w:rPr>
          <w:w w:val="99"/>
        </w:rPr>
      </w:r>
      <w:r>
        <w:rPr>
          <w:w w:val="99"/>
          <w:u w:val="single" w:color="000000"/>
        </w:rPr>
        <w:t> </w:t>
      </w:r>
      <w:r>
        <w:rPr>
          <w:u w:val="single" w:color="000000"/>
        </w:rPr>
        <w:tab/>
        <w:t>Table 17:  Resident</w:t>
      </w:r>
      <w:r>
        <w:rPr>
          <w:rFonts w:ascii="Calibri" w:hAnsi="Calibri" w:cs="Calibri" w:eastAsia="Calibri" w:hint="default"/>
          <w:u w:val="single" w:color="000000"/>
        </w:rPr>
        <w:t>s’ </w:t>
      </w:r>
      <w:r>
        <w:rPr>
          <w:u w:val="single" w:color="000000"/>
        </w:rPr>
        <w:t>perceptions of tourism</w:t>
      </w:r>
      <w:r>
        <w:rPr>
          <w:spacing w:val="-27"/>
          <w:u w:val="single" w:color="000000"/>
        </w:rPr>
        <w:t> </w:t>
      </w:r>
      <w:r>
        <w:rPr>
          <w:u w:val="single" w:color="000000"/>
        </w:rPr>
        <w:t>opportunities</w:t>
        <w:tab/>
      </w:r>
      <w:r>
        <w:rPr/>
      </w:r>
      <w:r>
        <w:rPr>
          <w:b w:val="0"/>
          <w:bCs w:val="0"/>
        </w:rPr>
      </w:r>
    </w:p>
    <w:tbl>
      <w:tblPr>
        <w:tblW w:w="0" w:type="auto"/>
        <w:jc w:val="left"/>
        <w:tblInd w:w="1490" w:type="dxa"/>
        <w:tblLayout w:type="fixed"/>
        <w:tblCellMar>
          <w:top w:w="0" w:type="dxa"/>
          <w:left w:w="0" w:type="dxa"/>
          <w:bottom w:w="0" w:type="dxa"/>
          <w:right w:w="0" w:type="dxa"/>
        </w:tblCellMar>
        <w:tblLook w:val="01E0"/>
      </w:tblPr>
      <w:tblGrid>
        <w:gridCol w:w="3052"/>
        <w:gridCol w:w="1289"/>
        <w:gridCol w:w="1158"/>
        <w:gridCol w:w="1348"/>
        <w:gridCol w:w="1043"/>
        <w:gridCol w:w="1357"/>
      </w:tblGrid>
      <w:tr>
        <w:trPr>
          <w:trHeight w:val="717" w:hRule="exact"/>
        </w:trPr>
        <w:tc>
          <w:tcPr>
            <w:tcW w:w="3052" w:type="dxa"/>
            <w:tcBorders>
              <w:top w:val="nil" w:sz="6" w:space="0" w:color="auto"/>
              <w:left w:val="nil" w:sz="6" w:space="0" w:color="auto"/>
              <w:bottom w:val="nil" w:sz="6" w:space="0" w:color="auto"/>
              <w:right w:val="nil" w:sz="6" w:space="0" w:color="auto"/>
            </w:tcBorders>
          </w:tcPr>
          <w:p>
            <w:pPr/>
          </w:p>
        </w:tc>
        <w:tc>
          <w:tcPr>
            <w:tcW w:w="1289" w:type="dxa"/>
            <w:tcBorders>
              <w:top w:val="nil" w:sz="6" w:space="0" w:color="auto"/>
              <w:left w:val="nil" w:sz="6" w:space="0" w:color="auto"/>
              <w:bottom w:val="nil" w:sz="6" w:space="0" w:color="auto"/>
              <w:right w:val="nil" w:sz="6" w:space="0" w:color="auto"/>
            </w:tcBorders>
          </w:tcPr>
          <w:p>
            <w:pPr>
              <w:pStyle w:val="TableParagraph"/>
              <w:spacing w:line="240" w:lineRule="auto" w:before="81"/>
              <w:ind w:left="253" w:right="201" w:hanging="113"/>
              <w:jc w:val="left"/>
              <w:rPr>
                <w:rFonts w:ascii="Calibri" w:hAnsi="Calibri" w:cs="Calibri" w:eastAsia="Calibri" w:hint="default"/>
                <w:sz w:val="20"/>
                <w:szCs w:val="20"/>
              </w:rPr>
            </w:pPr>
            <w:r>
              <w:rPr>
                <w:rFonts w:ascii="Calibri"/>
                <w:b/>
                <w:w w:val="95"/>
                <w:sz w:val="20"/>
              </w:rPr>
              <w:t>Completely </w:t>
            </w:r>
            <w:r>
              <w:rPr>
                <w:rFonts w:ascii="Calibri"/>
                <w:b/>
                <w:sz w:val="20"/>
              </w:rPr>
              <w:t>Disagree</w:t>
            </w:r>
            <w:r>
              <w:rPr>
                <w:rFonts w:ascii="Calibri"/>
                <w:sz w:val="20"/>
              </w:rPr>
            </w:r>
          </w:p>
        </w:tc>
        <w:tc>
          <w:tcPr>
            <w:tcW w:w="1158" w:type="dxa"/>
            <w:tcBorders>
              <w:top w:val="nil" w:sz="6" w:space="0" w:color="auto"/>
              <w:left w:val="nil" w:sz="6" w:space="0" w:color="auto"/>
              <w:bottom w:val="nil" w:sz="6" w:space="0" w:color="auto"/>
              <w:right w:val="nil" w:sz="6" w:space="0" w:color="auto"/>
            </w:tcBorders>
          </w:tcPr>
          <w:p>
            <w:pPr>
              <w:pStyle w:val="TableParagraph"/>
              <w:spacing w:line="240" w:lineRule="auto" w:before="9"/>
              <w:ind w:right="0"/>
              <w:jc w:val="left"/>
              <w:rPr>
                <w:rFonts w:ascii="Calibri" w:hAnsi="Calibri" w:cs="Calibri" w:eastAsia="Calibri" w:hint="default"/>
                <w:b/>
                <w:bCs/>
                <w:sz w:val="16"/>
                <w:szCs w:val="16"/>
              </w:rPr>
            </w:pPr>
          </w:p>
          <w:p>
            <w:pPr>
              <w:pStyle w:val="TableParagraph"/>
              <w:spacing w:line="240" w:lineRule="auto"/>
              <w:ind w:right="30"/>
              <w:jc w:val="center"/>
              <w:rPr>
                <w:rFonts w:ascii="Calibri" w:hAnsi="Calibri" w:cs="Calibri" w:eastAsia="Calibri" w:hint="default"/>
                <w:sz w:val="20"/>
                <w:szCs w:val="20"/>
              </w:rPr>
            </w:pPr>
            <w:r>
              <w:rPr>
                <w:rFonts w:ascii="Calibri"/>
                <w:b/>
                <w:sz w:val="20"/>
              </w:rPr>
              <w:t>Disagree</w:t>
            </w:r>
            <w:r>
              <w:rPr>
                <w:rFonts w:ascii="Calibri"/>
                <w:sz w:val="20"/>
              </w:rPr>
            </w:r>
          </w:p>
        </w:tc>
        <w:tc>
          <w:tcPr>
            <w:tcW w:w="1348" w:type="dxa"/>
            <w:tcBorders>
              <w:top w:val="nil" w:sz="6" w:space="0" w:color="auto"/>
              <w:left w:val="nil" w:sz="6" w:space="0" w:color="auto"/>
              <w:bottom w:val="nil" w:sz="6" w:space="0" w:color="auto"/>
              <w:right w:val="nil" w:sz="6" w:space="0" w:color="auto"/>
            </w:tcBorders>
          </w:tcPr>
          <w:p>
            <w:pPr>
              <w:pStyle w:val="TableParagraph"/>
              <w:spacing w:line="203" w:lineRule="exact"/>
              <w:ind w:left="235" w:right="0" w:firstLine="93"/>
              <w:jc w:val="left"/>
              <w:rPr>
                <w:rFonts w:ascii="Calibri" w:hAnsi="Calibri" w:cs="Calibri" w:eastAsia="Calibri" w:hint="default"/>
                <w:sz w:val="20"/>
                <w:szCs w:val="20"/>
              </w:rPr>
            </w:pPr>
            <w:r>
              <w:rPr>
                <w:rFonts w:ascii="Calibri"/>
                <w:b/>
                <w:sz w:val="20"/>
              </w:rPr>
              <w:t>Neither</w:t>
            </w:r>
            <w:r>
              <w:rPr>
                <w:rFonts w:ascii="Calibri"/>
                <w:sz w:val="20"/>
              </w:rPr>
            </w:r>
          </w:p>
          <w:p>
            <w:pPr>
              <w:pStyle w:val="TableParagraph"/>
              <w:spacing w:line="240" w:lineRule="auto" w:before="1"/>
              <w:ind w:left="235" w:right="0"/>
              <w:jc w:val="left"/>
              <w:rPr>
                <w:rFonts w:ascii="Calibri" w:hAnsi="Calibri" w:cs="Calibri" w:eastAsia="Calibri" w:hint="default"/>
                <w:sz w:val="20"/>
                <w:szCs w:val="20"/>
              </w:rPr>
            </w:pPr>
            <w:r>
              <w:rPr>
                <w:rFonts w:ascii="Calibri"/>
                <w:b/>
                <w:sz w:val="20"/>
              </w:rPr>
              <w:t>Agree</w:t>
            </w:r>
            <w:r>
              <w:rPr>
                <w:rFonts w:ascii="Calibri"/>
                <w:b/>
                <w:spacing w:val="-5"/>
                <w:sz w:val="20"/>
              </w:rPr>
              <w:t> </w:t>
            </w:r>
            <w:r>
              <w:rPr>
                <w:rFonts w:ascii="Calibri"/>
                <w:b/>
                <w:sz w:val="20"/>
              </w:rPr>
              <w:t>nor</w:t>
            </w:r>
            <w:r>
              <w:rPr>
                <w:rFonts w:ascii="Calibri"/>
                <w:sz w:val="20"/>
              </w:rPr>
            </w:r>
          </w:p>
          <w:p>
            <w:pPr>
              <w:pStyle w:val="TableParagraph"/>
              <w:tabs>
                <w:tab w:pos="286" w:val="left" w:leader="none"/>
                <w:tab w:pos="3747" w:val="left" w:leader="none"/>
              </w:tabs>
              <w:spacing w:line="240" w:lineRule="auto"/>
              <w:ind w:left="-5485" w:right="-2400"/>
              <w:jc w:val="left"/>
              <w:rPr>
                <w:rFonts w:ascii="Calibri" w:hAnsi="Calibri" w:cs="Calibri" w:eastAsia="Calibri" w:hint="default"/>
                <w:sz w:val="20"/>
                <w:szCs w:val="20"/>
              </w:rPr>
            </w:pPr>
            <w:r>
              <w:rPr>
                <w:rFonts w:ascii="Calibri"/>
                <w:b/>
                <w:w w:val="99"/>
                <w:sz w:val="20"/>
              </w:rPr>
            </w:r>
            <w:r>
              <w:rPr>
                <w:rFonts w:ascii="Calibri"/>
                <w:b/>
                <w:w w:val="99"/>
                <w:sz w:val="20"/>
                <w:u w:val="single" w:color="000000"/>
              </w:rPr>
              <w:t> </w:t>
            </w:r>
            <w:r>
              <w:rPr>
                <w:rFonts w:ascii="Calibri"/>
                <w:b/>
                <w:sz w:val="20"/>
                <w:u w:val="single" w:color="000000"/>
              </w:rPr>
              <w:tab/>
              <w:t>Disagree</w:t>
              <w:tab/>
            </w:r>
            <w:r>
              <w:rPr>
                <w:rFonts w:ascii="Calibri"/>
                <w:b/>
                <w:sz w:val="20"/>
              </w:rPr>
            </w:r>
            <w:r>
              <w:rPr>
                <w:rFonts w:ascii="Calibri"/>
                <w:sz w:val="20"/>
              </w:rPr>
            </w:r>
          </w:p>
        </w:tc>
        <w:tc>
          <w:tcPr>
            <w:tcW w:w="1043" w:type="dxa"/>
            <w:tcBorders>
              <w:top w:val="nil" w:sz="6" w:space="0" w:color="auto"/>
              <w:left w:val="nil" w:sz="6" w:space="0" w:color="auto"/>
              <w:bottom w:val="nil" w:sz="6" w:space="0" w:color="auto"/>
              <w:right w:val="nil" w:sz="6" w:space="0" w:color="auto"/>
            </w:tcBorders>
          </w:tcPr>
          <w:p>
            <w:pPr>
              <w:pStyle w:val="TableParagraph"/>
              <w:spacing w:line="240" w:lineRule="auto" w:before="9"/>
              <w:ind w:right="0"/>
              <w:jc w:val="left"/>
              <w:rPr>
                <w:rFonts w:ascii="Calibri" w:hAnsi="Calibri" w:cs="Calibri" w:eastAsia="Calibri" w:hint="default"/>
                <w:b/>
                <w:bCs/>
                <w:sz w:val="16"/>
                <w:szCs w:val="16"/>
              </w:rPr>
            </w:pPr>
          </w:p>
          <w:p>
            <w:pPr>
              <w:pStyle w:val="TableParagraph"/>
              <w:spacing w:line="240" w:lineRule="auto"/>
              <w:ind w:left="31" w:right="0"/>
              <w:jc w:val="center"/>
              <w:rPr>
                <w:rFonts w:ascii="Calibri" w:hAnsi="Calibri" w:cs="Calibri" w:eastAsia="Calibri" w:hint="default"/>
                <w:sz w:val="20"/>
                <w:szCs w:val="20"/>
              </w:rPr>
            </w:pPr>
            <w:r>
              <w:rPr>
                <w:rFonts w:ascii="Calibri"/>
                <w:b/>
                <w:sz w:val="20"/>
              </w:rPr>
              <w:t>Agree</w:t>
            </w:r>
            <w:r>
              <w:rPr>
                <w:rFonts w:ascii="Calibri"/>
                <w:sz w:val="20"/>
              </w:rPr>
            </w:r>
          </w:p>
        </w:tc>
        <w:tc>
          <w:tcPr>
            <w:tcW w:w="1357" w:type="dxa"/>
            <w:tcBorders>
              <w:top w:val="nil" w:sz="6" w:space="0" w:color="auto"/>
              <w:left w:val="nil" w:sz="6" w:space="0" w:color="auto"/>
              <w:bottom w:val="nil" w:sz="6" w:space="0" w:color="auto"/>
              <w:right w:val="nil" w:sz="6" w:space="0" w:color="auto"/>
            </w:tcBorders>
          </w:tcPr>
          <w:p>
            <w:pPr>
              <w:pStyle w:val="TableParagraph"/>
              <w:spacing w:line="240" w:lineRule="auto" w:before="81"/>
              <w:ind w:left="490" w:right="147" w:hanging="228"/>
              <w:jc w:val="left"/>
              <w:rPr>
                <w:rFonts w:ascii="Calibri" w:hAnsi="Calibri" w:cs="Calibri" w:eastAsia="Calibri" w:hint="default"/>
                <w:sz w:val="20"/>
                <w:szCs w:val="20"/>
              </w:rPr>
            </w:pPr>
            <w:r>
              <w:rPr>
                <w:rFonts w:ascii="Calibri"/>
                <w:b/>
                <w:w w:val="95"/>
                <w:sz w:val="20"/>
              </w:rPr>
              <w:t>Completely </w:t>
            </w:r>
            <w:r>
              <w:rPr>
                <w:rFonts w:ascii="Calibri"/>
                <w:b/>
                <w:sz w:val="20"/>
              </w:rPr>
              <w:t>Agree</w:t>
            </w:r>
            <w:r>
              <w:rPr>
                <w:rFonts w:ascii="Calibri"/>
                <w:sz w:val="20"/>
              </w:rPr>
            </w:r>
          </w:p>
        </w:tc>
      </w:tr>
      <w:tr>
        <w:trPr>
          <w:trHeight w:val="248" w:hRule="exact"/>
        </w:trPr>
        <w:tc>
          <w:tcPr>
            <w:tcW w:w="3052" w:type="dxa"/>
            <w:tcBorders>
              <w:top w:val="nil" w:sz="6" w:space="0" w:color="auto"/>
              <w:left w:val="nil" w:sz="6" w:space="0" w:color="auto"/>
              <w:bottom w:val="nil" w:sz="6" w:space="0" w:color="auto"/>
              <w:right w:val="nil" w:sz="6" w:space="0" w:color="auto"/>
            </w:tcBorders>
          </w:tcPr>
          <w:p>
            <w:pPr>
              <w:pStyle w:val="TableParagraph"/>
              <w:spacing w:line="231" w:lineRule="exact"/>
              <w:ind w:left="84" w:right="0"/>
              <w:jc w:val="left"/>
              <w:rPr>
                <w:rFonts w:ascii="Calibri" w:hAnsi="Calibri" w:cs="Calibri" w:eastAsia="Calibri" w:hint="default"/>
                <w:sz w:val="20"/>
                <w:szCs w:val="20"/>
              </w:rPr>
            </w:pPr>
            <w:r>
              <w:rPr>
                <w:rFonts w:ascii="Calibri"/>
                <w:sz w:val="20"/>
              </w:rPr>
              <w:t>Employment</w:t>
            </w:r>
            <w:r>
              <w:rPr>
                <w:rFonts w:ascii="Calibri"/>
                <w:spacing w:val="-11"/>
                <w:sz w:val="20"/>
              </w:rPr>
              <w:t> </w:t>
            </w:r>
            <w:r>
              <w:rPr>
                <w:rFonts w:ascii="Calibri"/>
                <w:sz w:val="20"/>
              </w:rPr>
              <w:t>opportunities</w:t>
            </w:r>
          </w:p>
        </w:tc>
        <w:tc>
          <w:tcPr>
            <w:tcW w:w="1289" w:type="dxa"/>
            <w:tcBorders>
              <w:top w:val="nil" w:sz="6" w:space="0" w:color="auto"/>
              <w:left w:val="nil" w:sz="6" w:space="0" w:color="auto"/>
              <w:bottom w:val="nil" w:sz="6" w:space="0" w:color="auto"/>
              <w:right w:val="nil" w:sz="6" w:space="0" w:color="auto"/>
            </w:tcBorders>
          </w:tcPr>
          <w:p>
            <w:pPr>
              <w:pStyle w:val="TableParagraph"/>
              <w:spacing w:line="231" w:lineRule="exact"/>
              <w:ind w:left="490" w:right="0"/>
              <w:jc w:val="left"/>
              <w:rPr>
                <w:rFonts w:ascii="Calibri" w:hAnsi="Calibri" w:cs="Calibri" w:eastAsia="Calibri" w:hint="default"/>
                <w:sz w:val="20"/>
                <w:szCs w:val="20"/>
              </w:rPr>
            </w:pPr>
            <w:r>
              <w:rPr>
                <w:rFonts w:ascii="Calibri"/>
                <w:sz w:val="20"/>
              </w:rPr>
              <w:t>8%</w:t>
            </w:r>
          </w:p>
        </w:tc>
        <w:tc>
          <w:tcPr>
            <w:tcW w:w="1158" w:type="dxa"/>
            <w:tcBorders>
              <w:top w:val="nil" w:sz="6" w:space="0" w:color="auto"/>
              <w:left w:val="nil" w:sz="6" w:space="0" w:color="auto"/>
              <w:bottom w:val="nil" w:sz="6" w:space="0" w:color="auto"/>
              <w:right w:val="nil" w:sz="6" w:space="0" w:color="auto"/>
            </w:tcBorders>
          </w:tcPr>
          <w:p>
            <w:pPr>
              <w:pStyle w:val="TableParagraph"/>
              <w:spacing w:line="231" w:lineRule="exact"/>
              <w:ind w:right="31"/>
              <w:jc w:val="center"/>
              <w:rPr>
                <w:rFonts w:ascii="Calibri" w:hAnsi="Calibri" w:cs="Calibri" w:eastAsia="Calibri" w:hint="default"/>
                <w:sz w:val="20"/>
                <w:szCs w:val="20"/>
              </w:rPr>
            </w:pPr>
            <w:r>
              <w:rPr>
                <w:rFonts w:ascii="Calibri"/>
                <w:sz w:val="20"/>
              </w:rPr>
              <w:t>13%</w:t>
            </w:r>
          </w:p>
        </w:tc>
        <w:tc>
          <w:tcPr>
            <w:tcW w:w="1348" w:type="dxa"/>
            <w:tcBorders>
              <w:top w:val="nil" w:sz="6" w:space="0" w:color="auto"/>
              <w:left w:val="nil" w:sz="6" w:space="0" w:color="auto"/>
              <w:bottom w:val="nil" w:sz="6" w:space="0" w:color="auto"/>
              <w:right w:val="nil" w:sz="6" w:space="0" w:color="auto"/>
            </w:tcBorders>
          </w:tcPr>
          <w:p>
            <w:pPr>
              <w:pStyle w:val="TableParagraph"/>
              <w:spacing w:line="231" w:lineRule="exact"/>
              <w:ind w:right="55"/>
              <w:jc w:val="center"/>
              <w:rPr>
                <w:rFonts w:ascii="Calibri" w:hAnsi="Calibri" w:cs="Calibri" w:eastAsia="Calibri" w:hint="default"/>
                <w:sz w:val="20"/>
                <w:szCs w:val="20"/>
              </w:rPr>
            </w:pPr>
            <w:r>
              <w:rPr>
                <w:rFonts w:ascii="Calibri"/>
                <w:sz w:val="20"/>
              </w:rPr>
              <w:t>33%</w:t>
            </w:r>
          </w:p>
        </w:tc>
        <w:tc>
          <w:tcPr>
            <w:tcW w:w="1043" w:type="dxa"/>
            <w:tcBorders>
              <w:top w:val="nil" w:sz="6" w:space="0" w:color="auto"/>
              <w:left w:val="nil" w:sz="6" w:space="0" w:color="auto"/>
              <w:bottom w:val="nil" w:sz="6" w:space="0" w:color="auto"/>
              <w:right w:val="nil" w:sz="6" w:space="0" w:color="auto"/>
            </w:tcBorders>
          </w:tcPr>
          <w:p>
            <w:pPr>
              <w:pStyle w:val="TableParagraph"/>
              <w:spacing w:line="231" w:lineRule="exact"/>
              <w:ind w:left="33" w:right="0"/>
              <w:jc w:val="center"/>
              <w:rPr>
                <w:rFonts w:ascii="Calibri" w:hAnsi="Calibri" w:cs="Calibri" w:eastAsia="Calibri" w:hint="default"/>
                <w:sz w:val="20"/>
                <w:szCs w:val="20"/>
              </w:rPr>
            </w:pPr>
            <w:r>
              <w:rPr>
                <w:rFonts w:ascii="Calibri"/>
                <w:sz w:val="20"/>
              </w:rPr>
              <w:t>26%</w:t>
            </w:r>
          </w:p>
        </w:tc>
        <w:tc>
          <w:tcPr>
            <w:tcW w:w="1357" w:type="dxa"/>
            <w:tcBorders>
              <w:top w:val="nil" w:sz="6" w:space="0" w:color="auto"/>
              <w:left w:val="nil" w:sz="6" w:space="0" w:color="auto"/>
              <w:bottom w:val="nil" w:sz="6" w:space="0" w:color="auto"/>
              <w:right w:val="nil" w:sz="6" w:space="0" w:color="auto"/>
            </w:tcBorders>
          </w:tcPr>
          <w:p>
            <w:pPr>
              <w:pStyle w:val="TableParagraph"/>
              <w:spacing w:line="231" w:lineRule="exact"/>
              <w:ind w:right="448"/>
              <w:jc w:val="right"/>
              <w:rPr>
                <w:rFonts w:ascii="Calibri" w:hAnsi="Calibri" w:cs="Calibri" w:eastAsia="Calibri" w:hint="default"/>
                <w:sz w:val="20"/>
                <w:szCs w:val="20"/>
              </w:rPr>
            </w:pPr>
            <w:r>
              <w:rPr>
                <w:rFonts w:ascii="Calibri"/>
                <w:spacing w:val="-1"/>
                <w:w w:val="95"/>
                <w:sz w:val="20"/>
              </w:rPr>
              <w:t>20%</w:t>
            </w:r>
            <w:r>
              <w:rPr>
                <w:rFonts w:ascii="Calibri"/>
                <w:sz w:val="20"/>
              </w:rPr>
            </w:r>
          </w:p>
        </w:tc>
      </w:tr>
      <w:tr>
        <w:trPr>
          <w:trHeight w:val="231" w:hRule="exact"/>
        </w:trPr>
        <w:tc>
          <w:tcPr>
            <w:tcW w:w="3052" w:type="dxa"/>
            <w:tcBorders>
              <w:top w:val="nil" w:sz="6" w:space="0" w:color="auto"/>
              <w:left w:val="nil" w:sz="6" w:space="0" w:color="auto"/>
              <w:bottom w:val="single" w:sz="4" w:space="0" w:color="000000"/>
              <w:right w:val="nil" w:sz="6" w:space="0" w:color="auto"/>
            </w:tcBorders>
          </w:tcPr>
          <w:p>
            <w:pPr>
              <w:pStyle w:val="TableParagraph"/>
              <w:spacing w:line="225" w:lineRule="exact"/>
              <w:ind w:left="84" w:right="0"/>
              <w:jc w:val="left"/>
              <w:rPr>
                <w:rFonts w:ascii="Calibri" w:hAnsi="Calibri" w:cs="Calibri" w:eastAsia="Calibri" w:hint="default"/>
                <w:sz w:val="20"/>
                <w:szCs w:val="20"/>
              </w:rPr>
            </w:pPr>
            <w:r>
              <w:rPr>
                <w:rFonts w:ascii="Calibri"/>
                <w:sz w:val="20"/>
              </w:rPr>
              <w:t>Increase the standards of</w:t>
            </w:r>
            <w:r>
              <w:rPr>
                <w:rFonts w:ascii="Calibri"/>
                <w:spacing w:val="-16"/>
                <w:sz w:val="20"/>
              </w:rPr>
              <w:t> </w:t>
            </w:r>
            <w:r>
              <w:rPr>
                <w:rFonts w:ascii="Calibri"/>
                <w:sz w:val="20"/>
              </w:rPr>
              <w:t>living</w:t>
            </w:r>
          </w:p>
        </w:tc>
        <w:tc>
          <w:tcPr>
            <w:tcW w:w="1289" w:type="dxa"/>
            <w:tcBorders>
              <w:top w:val="nil" w:sz="6" w:space="0" w:color="auto"/>
              <w:left w:val="nil" w:sz="6" w:space="0" w:color="auto"/>
              <w:bottom w:val="single" w:sz="4" w:space="0" w:color="000000"/>
              <w:right w:val="nil" w:sz="6" w:space="0" w:color="auto"/>
            </w:tcBorders>
          </w:tcPr>
          <w:p>
            <w:pPr>
              <w:pStyle w:val="TableParagraph"/>
              <w:spacing w:line="225" w:lineRule="exact"/>
              <w:ind w:left="440" w:right="0"/>
              <w:jc w:val="left"/>
              <w:rPr>
                <w:rFonts w:ascii="Calibri" w:hAnsi="Calibri" w:cs="Calibri" w:eastAsia="Calibri" w:hint="default"/>
                <w:sz w:val="20"/>
                <w:szCs w:val="20"/>
              </w:rPr>
            </w:pPr>
            <w:r>
              <w:rPr>
                <w:rFonts w:ascii="Calibri"/>
                <w:sz w:val="20"/>
              </w:rPr>
              <w:t>10%</w:t>
            </w:r>
          </w:p>
        </w:tc>
        <w:tc>
          <w:tcPr>
            <w:tcW w:w="1158" w:type="dxa"/>
            <w:tcBorders>
              <w:top w:val="nil" w:sz="6" w:space="0" w:color="auto"/>
              <w:left w:val="nil" w:sz="6" w:space="0" w:color="auto"/>
              <w:bottom w:val="single" w:sz="4" w:space="0" w:color="000000"/>
              <w:right w:val="nil" w:sz="6" w:space="0" w:color="auto"/>
            </w:tcBorders>
          </w:tcPr>
          <w:p>
            <w:pPr>
              <w:pStyle w:val="TableParagraph"/>
              <w:spacing w:line="225" w:lineRule="exact"/>
              <w:ind w:right="31"/>
              <w:jc w:val="center"/>
              <w:rPr>
                <w:rFonts w:ascii="Calibri" w:hAnsi="Calibri" w:cs="Calibri" w:eastAsia="Calibri" w:hint="default"/>
                <w:sz w:val="20"/>
                <w:szCs w:val="20"/>
              </w:rPr>
            </w:pPr>
            <w:r>
              <w:rPr>
                <w:rFonts w:ascii="Calibri"/>
                <w:sz w:val="20"/>
              </w:rPr>
              <w:t>14%</w:t>
            </w:r>
          </w:p>
        </w:tc>
        <w:tc>
          <w:tcPr>
            <w:tcW w:w="1348" w:type="dxa"/>
            <w:tcBorders>
              <w:top w:val="nil" w:sz="6" w:space="0" w:color="auto"/>
              <w:left w:val="nil" w:sz="6" w:space="0" w:color="auto"/>
              <w:bottom w:val="single" w:sz="4" w:space="0" w:color="000000"/>
              <w:right w:val="nil" w:sz="6" w:space="0" w:color="auto"/>
            </w:tcBorders>
          </w:tcPr>
          <w:p>
            <w:pPr>
              <w:pStyle w:val="TableParagraph"/>
              <w:spacing w:line="225" w:lineRule="exact"/>
              <w:ind w:right="55"/>
              <w:jc w:val="center"/>
              <w:rPr>
                <w:rFonts w:ascii="Calibri" w:hAnsi="Calibri" w:cs="Calibri" w:eastAsia="Calibri" w:hint="default"/>
                <w:sz w:val="20"/>
                <w:szCs w:val="20"/>
              </w:rPr>
            </w:pPr>
            <w:r>
              <w:rPr>
                <w:rFonts w:ascii="Calibri"/>
                <w:sz w:val="20"/>
              </w:rPr>
              <w:t>38%</w:t>
            </w:r>
          </w:p>
        </w:tc>
        <w:tc>
          <w:tcPr>
            <w:tcW w:w="1043" w:type="dxa"/>
            <w:tcBorders>
              <w:top w:val="nil" w:sz="6" w:space="0" w:color="auto"/>
              <w:left w:val="nil" w:sz="6" w:space="0" w:color="auto"/>
              <w:bottom w:val="single" w:sz="4" w:space="0" w:color="000000"/>
              <w:right w:val="nil" w:sz="6" w:space="0" w:color="auto"/>
            </w:tcBorders>
          </w:tcPr>
          <w:p>
            <w:pPr>
              <w:pStyle w:val="TableParagraph"/>
              <w:spacing w:line="225" w:lineRule="exact"/>
              <w:ind w:left="33" w:right="0"/>
              <w:jc w:val="center"/>
              <w:rPr>
                <w:rFonts w:ascii="Calibri" w:hAnsi="Calibri" w:cs="Calibri" w:eastAsia="Calibri" w:hint="default"/>
                <w:sz w:val="20"/>
                <w:szCs w:val="20"/>
              </w:rPr>
            </w:pPr>
            <w:r>
              <w:rPr>
                <w:rFonts w:ascii="Calibri"/>
                <w:sz w:val="20"/>
              </w:rPr>
              <w:t>20%</w:t>
            </w:r>
          </w:p>
        </w:tc>
        <w:tc>
          <w:tcPr>
            <w:tcW w:w="1357" w:type="dxa"/>
            <w:tcBorders>
              <w:top w:val="nil" w:sz="6" w:space="0" w:color="auto"/>
              <w:left w:val="nil" w:sz="6" w:space="0" w:color="auto"/>
              <w:bottom w:val="single" w:sz="4" w:space="0" w:color="000000"/>
              <w:right w:val="nil" w:sz="6" w:space="0" w:color="auto"/>
            </w:tcBorders>
          </w:tcPr>
          <w:p>
            <w:pPr>
              <w:pStyle w:val="TableParagraph"/>
              <w:spacing w:line="225" w:lineRule="exact"/>
              <w:ind w:right="448"/>
              <w:jc w:val="right"/>
              <w:rPr>
                <w:rFonts w:ascii="Calibri" w:hAnsi="Calibri" w:cs="Calibri" w:eastAsia="Calibri" w:hint="default"/>
                <w:sz w:val="20"/>
                <w:szCs w:val="20"/>
              </w:rPr>
            </w:pPr>
            <w:r>
              <w:rPr>
                <w:rFonts w:ascii="Calibri"/>
                <w:spacing w:val="-1"/>
                <w:w w:val="95"/>
                <w:sz w:val="20"/>
              </w:rPr>
              <w:t>18%</w:t>
            </w:r>
            <w:r>
              <w:rPr>
                <w:rFonts w:ascii="Calibri"/>
                <w:sz w:val="20"/>
              </w:rPr>
            </w:r>
          </w:p>
        </w:tc>
      </w:tr>
    </w:tbl>
    <w:p>
      <w:pPr>
        <w:spacing w:line="240" w:lineRule="auto" w:before="2"/>
        <w:ind w:right="0"/>
        <w:rPr>
          <w:rFonts w:ascii="Calibri" w:hAnsi="Calibri" w:cs="Calibri" w:eastAsia="Calibri" w:hint="default"/>
          <w:b/>
          <w:bCs/>
          <w:sz w:val="15"/>
          <w:szCs w:val="15"/>
        </w:rPr>
      </w:pPr>
    </w:p>
    <w:p>
      <w:pPr>
        <w:pStyle w:val="BodyText"/>
        <w:spacing w:line="240" w:lineRule="auto" w:before="59"/>
        <w:ind w:right="1435"/>
        <w:jc w:val="left"/>
      </w:pPr>
      <w:r>
        <w:rPr/>
        <w:t>Table 17 shows that about half (46%) of the local respondents agree that the tourism sector provides employment opportunities;</w:t>
      </w:r>
      <w:r>
        <w:rPr>
          <w:spacing w:val="13"/>
        </w:rPr>
        <w:t> </w:t>
      </w:r>
      <w:r>
        <w:rPr/>
        <w:t>whereas,</w:t>
      </w:r>
      <w:r>
        <w:rPr>
          <w:spacing w:val="14"/>
        </w:rPr>
        <w:t> </w:t>
      </w:r>
      <w:r>
        <w:rPr/>
        <w:t>21%</w:t>
      </w:r>
      <w:r>
        <w:rPr>
          <w:spacing w:val="15"/>
        </w:rPr>
        <w:t> </w:t>
      </w:r>
      <w:r>
        <w:rPr/>
        <w:t>of</w:t>
      </w:r>
      <w:r>
        <w:rPr>
          <w:spacing w:val="13"/>
        </w:rPr>
        <w:t> </w:t>
      </w:r>
      <w:r>
        <w:rPr/>
        <w:t>the</w:t>
      </w:r>
      <w:r>
        <w:rPr>
          <w:spacing w:val="13"/>
        </w:rPr>
        <w:t> </w:t>
      </w:r>
      <w:r>
        <w:rPr/>
        <w:t>respondents</w:t>
      </w:r>
      <w:r>
        <w:rPr>
          <w:spacing w:val="13"/>
        </w:rPr>
        <w:t> </w:t>
      </w:r>
      <w:r>
        <w:rPr/>
        <w:t>did</w:t>
      </w:r>
      <w:r>
        <w:rPr>
          <w:spacing w:val="14"/>
        </w:rPr>
        <w:t> </w:t>
      </w:r>
      <w:r>
        <w:rPr/>
        <w:t>not</w:t>
      </w:r>
      <w:r>
        <w:rPr>
          <w:spacing w:val="14"/>
        </w:rPr>
        <w:t> </w:t>
      </w:r>
      <w:r>
        <w:rPr/>
        <w:t>agree</w:t>
      </w:r>
      <w:r>
        <w:rPr>
          <w:spacing w:val="13"/>
        </w:rPr>
        <w:t> </w:t>
      </w:r>
      <w:r>
        <w:rPr/>
        <w:t>that</w:t>
      </w:r>
      <w:r>
        <w:rPr>
          <w:spacing w:val="14"/>
        </w:rPr>
        <w:t> </w:t>
      </w:r>
      <w:r>
        <w:rPr/>
        <w:t>tourism</w:t>
      </w:r>
      <w:r>
        <w:rPr>
          <w:spacing w:val="13"/>
        </w:rPr>
        <w:t> </w:t>
      </w:r>
      <w:r>
        <w:rPr/>
        <w:t>provides</w:t>
      </w:r>
      <w:r>
        <w:rPr>
          <w:spacing w:val="12"/>
        </w:rPr>
        <w:t> </w:t>
      </w:r>
      <w:r>
        <w:rPr/>
        <w:t>employment</w:t>
      </w:r>
      <w:r>
        <w:rPr>
          <w:spacing w:val="14"/>
        </w:rPr>
        <w:t> </w:t>
      </w:r>
      <w:r>
        <w:rPr/>
        <w:t>opportunities.</w:t>
      </w:r>
    </w:p>
    <w:p>
      <w:pPr>
        <w:spacing w:line="240" w:lineRule="auto" w:before="1" w:after="0"/>
        <w:ind w:right="0"/>
        <w:rPr>
          <w:rFonts w:ascii="Calibri" w:hAnsi="Calibri" w:cs="Calibri" w:eastAsia="Calibri" w:hint="default"/>
          <w:sz w:val="27"/>
          <w:szCs w:val="27"/>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7" w:lineRule="auto" w:before="91"/>
        <w:ind w:left="1440" w:right="1545" w:firstLine="0"/>
        <w:jc w:val="left"/>
        <w:rPr>
          <w:rFonts w:ascii="Calibri" w:hAnsi="Calibri" w:cs="Calibri" w:eastAsia="Calibri" w:hint="default"/>
          <w:sz w:val="16"/>
          <w:szCs w:val="16"/>
        </w:rPr>
      </w:pPr>
      <w:r>
        <w:rPr>
          <w:rFonts w:ascii="Calibri"/>
          <w:position w:val="5"/>
          <w:sz w:val="12"/>
        </w:rPr>
        <w:t>30 </w:t>
      </w:r>
      <w:r>
        <w:rPr>
          <w:rFonts w:ascii="Calibri"/>
          <w:sz w:val="16"/>
        </w:rPr>
        <w:t>The economic effects should be larger if induced effects are considered in the I-O model. However, the induced effects were not included in </w:t>
      </w:r>
      <w:r>
        <w:rPr>
          <w:rFonts w:ascii="Calibri"/>
          <w:sz w:val="16"/>
        </w:rPr>
        <w:t>the estimation due to the lack of household income</w:t>
      </w:r>
      <w:r>
        <w:rPr>
          <w:rFonts w:ascii="Calibri"/>
          <w:spacing w:val="-20"/>
          <w:sz w:val="16"/>
        </w:rPr>
        <w:t> </w:t>
      </w:r>
      <w:r>
        <w:rPr>
          <w:rFonts w:ascii="Calibri"/>
          <w:sz w:val="16"/>
        </w:rPr>
        <w:t>data.</w:t>
      </w:r>
    </w:p>
    <w:p>
      <w:pPr>
        <w:spacing w:after="0" w:line="247" w:lineRule="auto"/>
        <w:jc w:val="left"/>
        <w:rPr>
          <w:rFonts w:ascii="Calibri" w:hAnsi="Calibri" w:cs="Calibri" w:eastAsia="Calibri" w:hint="default"/>
          <w:sz w:val="16"/>
          <w:szCs w:val="16"/>
        </w:rPr>
        <w:sectPr>
          <w:footerReference w:type="default" r:id="rId32"/>
          <w:pgSz w:w="12240" w:h="15840"/>
          <w:pgMar w:footer="533" w:header="0"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8"/>
        <w:jc w:val="both"/>
      </w:pPr>
      <w:r>
        <w:rPr/>
        <w:t>The interesting value is that 33% of the respondents could not agree, nor disagree, if the tourism sector would provide employment opportunities. </w:t>
      </w:r>
      <w:r>
        <w:rPr>
          <w:rFonts w:ascii="Calibri" w:hAnsi="Calibri" w:cs="Calibri" w:eastAsia="Calibri" w:hint="default"/>
        </w:rPr>
        <w:t>This means that the island residents are not aware of tourism’s impact on job </w:t>
      </w:r>
      <w:r>
        <w:rPr/>
        <w:t>opportunities in Curaçao. Therefore, Curaçao must make valiant efforts to educate the local population regarding perspective jobs and employment options within the tourism</w:t>
      </w:r>
      <w:r>
        <w:rPr>
          <w:spacing w:val="-28"/>
        </w:rPr>
        <w:t> </w:t>
      </w:r>
      <w:r>
        <w:rPr/>
        <w:t>sector.</w:t>
      </w:r>
    </w:p>
    <w:p>
      <w:pPr>
        <w:spacing w:line="240" w:lineRule="auto" w:before="1"/>
        <w:ind w:right="0"/>
        <w:rPr>
          <w:rFonts w:ascii="Calibri" w:hAnsi="Calibri" w:cs="Calibri" w:eastAsia="Calibri" w:hint="default"/>
          <w:sz w:val="20"/>
          <w:szCs w:val="20"/>
        </w:rPr>
      </w:pPr>
    </w:p>
    <w:p>
      <w:pPr>
        <w:pStyle w:val="BodyText"/>
        <w:spacing w:line="240" w:lineRule="auto"/>
        <w:ind w:right="1435"/>
        <w:jc w:val="both"/>
      </w:pPr>
      <w:r>
        <w:rPr/>
        <w:t>With regard </w:t>
      </w:r>
      <w:r>
        <w:rPr>
          <w:rFonts w:ascii="Calibri" w:hAnsi="Calibri" w:cs="Calibri" w:eastAsia="Calibri" w:hint="default"/>
        </w:rPr>
        <w:t>to tourism’s ability to contribute to increasing residents’ standards of living, </w:t>
      </w:r>
      <w:r>
        <w:rPr/>
        <w:t>again nearly half (48%) of the respondents indicated that they agree that tourism can increase the standards of living on the island. Twenty- four percent of the respondents did not agree that tourism could enhance the standards of living in Curaçao; and more than 1/3 of the respondents (38%) were un</w:t>
      </w:r>
      <w:r>
        <w:rPr>
          <w:rFonts w:ascii="Calibri" w:hAnsi="Calibri" w:cs="Calibri" w:eastAsia="Calibri" w:hint="default"/>
        </w:rPr>
        <w:t>aware of tourism’s ability to contribute to the increase in the </w:t>
      </w:r>
      <w:r>
        <w:rPr/>
        <w:t>standards of living in</w:t>
      </w:r>
      <w:r>
        <w:rPr>
          <w:spacing w:val="-17"/>
        </w:rPr>
        <w:t> </w:t>
      </w:r>
      <w:r>
        <w:rPr/>
        <w:t>Curaçao.</w:t>
      </w:r>
    </w:p>
    <w:p>
      <w:pPr>
        <w:spacing w:line="240" w:lineRule="auto" w:before="11"/>
        <w:ind w:right="0"/>
        <w:rPr>
          <w:rFonts w:ascii="Calibri" w:hAnsi="Calibri" w:cs="Calibri" w:eastAsia="Calibri" w:hint="default"/>
          <w:sz w:val="19"/>
          <w:szCs w:val="19"/>
        </w:rPr>
      </w:pPr>
    </w:p>
    <w:p>
      <w:pPr>
        <w:pStyle w:val="BodyText"/>
        <w:spacing w:line="240" w:lineRule="auto"/>
        <w:ind w:right="1437"/>
        <w:jc w:val="both"/>
      </w:pPr>
      <w:r>
        <w:rPr/>
        <w:t>Again, Curaçao must make valiant efforts to educate the local population on employment opportunities and </w:t>
      </w:r>
      <w:r>
        <w:rPr>
          <w:rFonts w:ascii="Calibri" w:hAnsi="Calibri" w:cs="Calibri" w:eastAsia="Calibri" w:hint="default"/>
        </w:rPr>
        <w:t>tourism’s overall ability to increase the standards </w:t>
      </w:r>
      <w:r>
        <w:rPr/>
        <w:t>of living in Curaçao. The educational efforts could be conducted through</w:t>
      </w:r>
      <w:r>
        <w:rPr>
          <w:spacing w:val="-11"/>
        </w:rPr>
        <w:t> </w:t>
      </w:r>
      <w:r>
        <w:rPr/>
        <w:t>public</w:t>
      </w:r>
      <w:r>
        <w:rPr>
          <w:spacing w:val="-12"/>
        </w:rPr>
        <w:t> </w:t>
      </w:r>
      <w:r>
        <w:rPr/>
        <w:t>relations</w:t>
      </w:r>
      <w:r>
        <w:rPr>
          <w:spacing w:val="-13"/>
        </w:rPr>
        <w:t> </w:t>
      </w:r>
      <w:r>
        <w:rPr/>
        <w:t>and</w:t>
      </w:r>
      <w:r>
        <w:rPr>
          <w:spacing w:val="-11"/>
        </w:rPr>
        <w:t> </w:t>
      </w:r>
      <w:r>
        <w:rPr/>
        <w:t>advertising</w:t>
      </w:r>
      <w:r>
        <w:rPr>
          <w:spacing w:val="-12"/>
        </w:rPr>
        <w:t> </w:t>
      </w:r>
      <w:r>
        <w:rPr/>
        <w:t>campaigns</w:t>
      </w:r>
      <w:r>
        <w:rPr>
          <w:spacing w:val="-13"/>
        </w:rPr>
        <w:t> </w:t>
      </w:r>
      <w:r>
        <w:rPr/>
        <w:t>that</w:t>
      </w:r>
      <w:r>
        <w:rPr>
          <w:spacing w:val="-11"/>
        </w:rPr>
        <w:t> </w:t>
      </w:r>
      <w:r>
        <w:rPr/>
        <w:t>teach</w:t>
      </w:r>
      <w:r>
        <w:rPr>
          <w:spacing w:val="-11"/>
        </w:rPr>
        <w:t> </w:t>
      </w:r>
      <w:r>
        <w:rPr/>
        <w:t>the</w:t>
      </w:r>
      <w:r>
        <w:rPr>
          <w:spacing w:val="-12"/>
        </w:rPr>
        <w:t> </w:t>
      </w:r>
      <w:r>
        <w:rPr/>
        <w:t>public</w:t>
      </w:r>
      <w:r>
        <w:rPr>
          <w:spacing w:val="-12"/>
        </w:rPr>
        <w:t> </w:t>
      </w:r>
      <w:r>
        <w:rPr/>
        <w:t>about</w:t>
      </w:r>
      <w:r>
        <w:rPr>
          <w:spacing w:val="-11"/>
        </w:rPr>
        <w:t> </w:t>
      </w:r>
      <w:r>
        <w:rPr/>
        <w:t>the</w:t>
      </w:r>
      <w:r>
        <w:rPr>
          <w:spacing w:val="-12"/>
        </w:rPr>
        <w:t> </w:t>
      </w:r>
      <w:r>
        <w:rPr/>
        <w:t>socioeconomic</w:t>
      </w:r>
      <w:r>
        <w:rPr>
          <w:spacing w:val="-12"/>
        </w:rPr>
        <w:t> </w:t>
      </w:r>
      <w:r>
        <w:rPr/>
        <w:t>contributions</w:t>
      </w:r>
      <w:r>
        <w:rPr>
          <w:spacing w:val="-13"/>
        </w:rPr>
        <w:t> </w:t>
      </w:r>
      <w:r>
        <w:rPr/>
        <w:t>that </w:t>
      </w:r>
      <w:r>
        <w:rPr/>
        <w:t>tourism will make to</w:t>
      </w:r>
      <w:r>
        <w:rPr>
          <w:spacing w:val="-12"/>
        </w:rPr>
        <w:t> </w:t>
      </w:r>
      <w:r>
        <w:rPr/>
        <w:t>Curaçao.</w:t>
      </w:r>
    </w:p>
    <w:p>
      <w:pPr>
        <w:spacing w:line="240" w:lineRule="auto" w:before="2"/>
        <w:ind w:right="0"/>
        <w:rPr>
          <w:rFonts w:ascii="Calibri" w:hAnsi="Calibri" w:cs="Calibri" w:eastAsia="Calibri" w:hint="default"/>
          <w:sz w:val="20"/>
          <w:szCs w:val="20"/>
        </w:rPr>
      </w:pPr>
    </w:p>
    <w:p>
      <w:pPr>
        <w:pStyle w:val="BodyText"/>
        <w:spacing w:line="240" w:lineRule="auto"/>
        <w:ind w:right="1437"/>
        <w:jc w:val="both"/>
      </w:pPr>
      <w:r>
        <w:rPr/>
        <w:t>In order to further understand the differences between those respondents who agreed or disagreed that tourism could</w:t>
      </w:r>
      <w:r>
        <w:rPr>
          <w:spacing w:val="-6"/>
        </w:rPr>
        <w:t> </w:t>
      </w:r>
      <w:r>
        <w:rPr/>
        <w:t>make</w:t>
      </w:r>
      <w:r>
        <w:rPr>
          <w:spacing w:val="-8"/>
        </w:rPr>
        <w:t> </w:t>
      </w:r>
      <w:r>
        <w:rPr/>
        <w:t>positive</w:t>
      </w:r>
      <w:r>
        <w:rPr>
          <w:spacing w:val="-8"/>
        </w:rPr>
        <w:t> </w:t>
      </w:r>
      <w:r>
        <w:rPr/>
        <w:t>contributions</w:t>
      </w:r>
      <w:r>
        <w:rPr>
          <w:spacing w:val="-8"/>
        </w:rPr>
        <w:t> </w:t>
      </w:r>
      <w:r>
        <w:rPr/>
        <w:t>to</w:t>
      </w:r>
      <w:r>
        <w:rPr>
          <w:spacing w:val="-6"/>
        </w:rPr>
        <w:t> </w:t>
      </w:r>
      <w:r>
        <w:rPr/>
        <w:t>the</w:t>
      </w:r>
      <w:r>
        <w:rPr>
          <w:spacing w:val="-5"/>
        </w:rPr>
        <w:t> </w:t>
      </w:r>
      <w:r>
        <w:rPr/>
        <w:t>socioeconomic</w:t>
      </w:r>
      <w:r>
        <w:rPr>
          <w:spacing w:val="-5"/>
        </w:rPr>
        <w:t> </w:t>
      </w:r>
      <w:r>
        <w:rPr/>
        <w:t>conditions</w:t>
      </w:r>
      <w:r>
        <w:rPr>
          <w:spacing w:val="-8"/>
        </w:rPr>
        <w:t> </w:t>
      </w:r>
      <w:r>
        <w:rPr/>
        <w:t>in</w:t>
      </w:r>
      <w:r>
        <w:rPr>
          <w:spacing w:val="-6"/>
        </w:rPr>
        <w:t> </w:t>
      </w:r>
      <w:r>
        <w:rPr/>
        <w:t>Curaçao,</w:t>
      </w:r>
      <w:r>
        <w:rPr>
          <w:spacing w:val="-6"/>
        </w:rPr>
        <w:t> </w:t>
      </w:r>
      <w:r>
        <w:rPr/>
        <w:t>the</w:t>
      </w:r>
      <w:r>
        <w:rPr>
          <w:spacing w:val="-8"/>
        </w:rPr>
        <w:t> </w:t>
      </w:r>
      <w:r>
        <w:rPr/>
        <w:t>data</w:t>
      </w:r>
      <w:r>
        <w:rPr>
          <w:spacing w:val="-4"/>
        </w:rPr>
        <w:t> </w:t>
      </w:r>
      <w:r>
        <w:rPr/>
        <w:t>was</w:t>
      </w:r>
      <w:r>
        <w:rPr>
          <w:spacing w:val="-7"/>
        </w:rPr>
        <w:t> </w:t>
      </w:r>
      <w:r>
        <w:rPr/>
        <w:t>further</w:t>
      </w:r>
      <w:r>
        <w:rPr>
          <w:spacing w:val="-4"/>
        </w:rPr>
        <w:t> </w:t>
      </w:r>
      <w:r>
        <w:rPr/>
        <w:t>segregated</w:t>
      </w:r>
      <w:r>
        <w:rPr>
          <w:spacing w:val="-6"/>
        </w:rPr>
        <w:t> </w:t>
      </w:r>
      <w:r>
        <w:rPr/>
        <w:t>into </w:t>
      </w:r>
      <w:r>
        <w:rPr/>
        <w:t>generational cohorts (i.e. Baby Boomers, Generation X, Generation Y, and Generation Z). Analysis of variance (ANOVA)</w:t>
      </w:r>
      <w:r>
        <w:rPr>
          <w:spacing w:val="-3"/>
        </w:rPr>
        <w:t> </w:t>
      </w:r>
      <w:r>
        <w:rPr/>
        <w:t>tests</w:t>
      </w:r>
      <w:r>
        <w:rPr>
          <w:spacing w:val="-5"/>
        </w:rPr>
        <w:t> </w:t>
      </w:r>
      <w:r>
        <w:rPr/>
        <w:t>were</w:t>
      </w:r>
      <w:r>
        <w:rPr>
          <w:spacing w:val="-4"/>
        </w:rPr>
        <w:t> </w:t>
      </w:r>
      <w:r>
        <w:rPr/>
        <w:t>used</w:t>
      </w:r>
      <w:r>
        <w:rPr>
          <w:spacing w:val="-3"/>
        </w:rPr>
        <w:t> </w:t>
      </w:r>
      <w:r>
        <w:rPr/>
        <w:t>to</w:t>
      </w:r>
      <w:r>
        <w:rPr>
          <w:spacing w:val="-3"/>
        </w:rPr>
        <w:t> </w:t>
      </w:r>
      <w:r>
        <w:rPr/>
        <w:t>determine</w:t>
      </w:r>
      <w:r>
        <w:rPr>
          <w:spacing w:val="-4"/>
        </w:rPr>
        <w:t> </w:t>
      </w:r>
      <w:r>
        <w:rPr/>
        <w:t>statistical</w:t>
      </w:r>
      <w:r>
        <w:rPr>
          <w:spacing w:val="-3"/>
        </w:rPr>
        <w:t> </w:t>
      </w:r>
      <w:r>
        <w:rPr/>
        <w:t>differences</w:t>
      </w:r>
      <w:r>
        <w:rPr>
          <w:spacing w:val="-5"/>
        </w:rPr>
        <w:t> </w:t>
      </w:r>
      <w:r>
        <w:rPr/>
        <w:t>between</w:t>
      </w:r>
      <w:r>
        <w:rPr>
          <w:spacing w:val="-3"/>
        </w:rPr>
        <w:t> </w:t>
      </w:r>
      <w:r>
        <w:rPr/>
        <w:t>the</w:t>
      </w:r>
      <w:r>
        <w:rPr>
          <w:spacing w:val="-4"/>
        </w:rPr>
        <w:t> </w:t>
      </w:r>
      <w:r>
        <w:rPr/>
        <w:t>generations.</w:t>
      </w:r>
    </w:p>
    <w:p>
      <w:pPr>
        <w:spacing w:line="240" w:lineRule="auto" w:before="11"/>
        <w:ind w:right="0"/>
        <w:rPr>
          <w:rFonts w:ascii="Calibri" w:hAnsi="Calibri" w:cs="Calibri" w:eastAsia="Calibri" w:hint="default"/>
          <w:sz w:val="19"/>
          <w:szCs w:val="19"/>
        </w:rPr>
      </w:pPr>
    </w:p>
    <w:p>
      <w:pPr>
        <w:pStyle w:val="BodyText"/>
        <w:spacing w:line="240" w:lineRule="auto"/>
        <w:ind w:right="1434"/>
        <w:jc w:val="both"/>
      </w:pPr>
      <w:r>
        <w:rPr/>
        <w:t>According to the results, those local residents who responded to the survey that were from Generation Z (age 20 years and less) were significantly different than Generation Y (ages 21-37) when asked if they felt that tourism provides many good employment opportunities for residents. This is an interes</w:t>
      </w:r>
      <w:r>
        <w:rPr>
          <w:rFonts w:ascii="Calibri" w:hAnsi="Calibri" w:cs="Calibri" w:eastAsia="Calibri" w:hint="default"/>
        </w:rPr>
        <w:t>ting finding in that Curaçao’s </w:t>
      </w:r>
      <w:r>
        <w:rPr/>
        <w:t>Generation Y currently possesses the highest level of unemployment on the island and seems to believe that there may not be employment opportunities available/desirable in any sector. However, the new upcoming Generation Z does have a favorable outlook on the tourism sector</w:t>
      </w:r>
      <w:r>
        <w:rPr>
          <w:rFonts w:ascii="Calibri" w:hAnsi="Calibri" w:cs="Calibri" w:eastAsia="Calibri" w:hint="default"/>
        </w:rPr>
        <w:t>’s ability to provide </w:t>
      </w:r>
      <w:r>
        <w:rPr/>
        <w:t>many good employment opportunities for residents.</w:t>
      </w:r>
    </w:p>
    <w:p>
      <w:pPr>
        <w:pStyle w:val="Heading2"/>
        <w:spacing w:line="240" w:lineRule="auto" w:before="35"/>
        <w:ind w:right="0"/>
        <w:jc w:val="both"/>
        <w:rPr>
          <w:rFonts w:ascii="Calibri" w:hAnsi="Calibri" w:cs="Calibri" w:eastAsia="Calibri" w:hint="default"/>
          <w:b w:val="0"/>
          <w:bCs w:val="0"/>
        </w:rPr>
      </w:pPr>
      <w:bookmarkStart w:name="_bookmark63" w:id="64"/>
      <w:bookmarkEnd w:id="64"/>
      <w:r>
        <w:rPr>
          <w:b w:val="0"/>
          <w:bCs w:val="0"/>
        </w:rPr>
      </w:r>
      <w:r>
        <w:rPr>
          <w:rFonts w:ascii="Calibri" w:hAnsi="Calibri" w:cs="Calibri" w:eastAsia="Calibri" w:hint="default"/>
        </w:rPr>
        <w:t>Employees’</w:t>
      </w:r>
      <w:r>
        <w:rPr>
          <w:rFonts w:ascii="Calibri" w:hAnsi="Calibri" w:cs="Calibri" w:eastAsia="Calibri" w:hint="default"/>
          <w:spacing w:val="-8"/>
        </w:rPr>
        <w:t> </w:t>
      </w:r>
      <w:r>
        <w:rPr>
          <w:rFonts w:ascii="Calibri" w:hAnsi="Calibri" w:cs="Calibri" w:eastAsia="Calibri" w:hint="default"/>
        </w:rPr>
        <w:t>perceptions</w:t>
      </w:r>
      <w:r>
        <w:rPr>
          <w:rFonts w:ascii="Calibri" w:hAnsi="Calibri" w:cs="Calibri" w:eastAsia="Calibri" w:hint="default"/>
          <w:spacing w:val="-13"/>
        </w:rPr>
        <w:t> </w:t>
      </w:r>
      <w:r>
        <w:rPr>
          <w:rFonts w:ascii="Calibri" w:hAnsi="Calibri" w:cs="Calibri" w:eastAsia="Calibri" w:hint="default"/>
        </w:rPr>
        <w:t>of</w:t>
      </w:r>
      <w:r>
        <w:rPr>
          <w:rFonts w:ascii="Calibri" w:hAnsi="Calibri" w:cs="Calibri" w:eastAsia="Calibri" w:hint="default"/>
          <w:spacing w:val="-11"/>
        </w:rPr>
        <w:t> </w:t>
      </w:r>
      <w:r>
        <w:rPr>
          <w:rFonts w:ascii="Calibri" w:hAnsi="Calibri" w:cs="Calibri" w:eastAsia="Calibri" w:hint="default"/>
        </w:rPr>
        <w:t>career</w:t>
      </w:r>
      <w:r>
        <w:rPr>
          <w:rFonts w:ascii="Calibri" w:hAnsi="Calibri" w:cs="Calibri" w:eastAsia="Calibri" w:hint="default"/>
          <w:spacing w:val="-13"/>
        </w:rPr>
        <w:t> </w:t>
      </w:r>
      <w:r>
        <w:rPr>
          <w:rFonts w:ascii="Calibri" w:hAnsi="Calibri" w:cs="Calibri" w:eastAsia="Calibri" w:hint="default"/>
        </w:rPr>
        <w:t>opportunities</w:t>
      </w:r>
      <w:r>
        <w:rPr>
          <w:rFonts w:ascii="Calibri" w:hAnsi="Calibri" w:cs="Calibri" w:eastAsia="Calibri" w:hint="default"/>
          <w:spacing w:val="-12"/>
        </w:rPr>
        <w:t> </w:t>
      </w:r>
      <w:r>
        <w:rPr>
          <w:rFonts w:ascii="Calibri" w:hAnsi="Calibri" w:cs="Calibri" w:eastAsia="Calibri" w:hint="default"/>
        </w:rPr>
        <w:t>in</w:t>
      </w:r>
      <w:r>
        <w:rPr>
          <w:rFonts w:ascii="Calibri" w:hAnsi="Calibri" w:cs="Calibri" w:eastAsia="Calibri" w:hint="default"/>
          <w:spacing w:val="-11"/>
        </w:rPr>
        <w:t> </w:t>
      </w:r>
      <w:r>
        <w:rPr>
          <w:rFonts w:ascii="Calibri" w:hAnsi="Calibri" w:cs="Calibri" w:eastAsia="Calibri" w:hint="default"/>
        </w:rPr>
        <w:t>the</w:t>
      </w:r>
      <w:r>
        <w:rPr>
          <w:rFonts w:ascii="Calibri" w:hAnsi="Calibri" w:cs="Calibri" w:eastAsia="Calibri" w:hint="default"/>
          <w:spacing w:val="-12"/>
        </w:rPr>
        <w:t> </w:t>
      </w:r>
      <w:r>
        <w:rPr>
          <w:rFonts w:ascii="Calibri" w:hAnsi="Calibri" w:cs="Calibri" w:eastAsia="Calibri" w:hint="default"/>
        </w:rPr>
        <w:t>tourism</w:t>
      </w:r>
      <w:r>
        <w:rPr>
          <w:rFonts w:ascii="Calibri" w:hAnsi="Calibri" w:cs="Calibri" w:eastAsia="Calibri" w:hint="default"/>
          <w:spacing w:val="-13"/>
        </w:rPr>
        <w:t> </w:t>
      </w:r>
      <w:r>
        <w:rPr>
          <w:rFonts w:ascii="Calibri" w:hAnsi="Calibri" w:cs="Calibri" w:eastAsia="Calibri" w:hint="default"/>
        </w:rPr>
        <w:t>industry</w:t>
      </w:r>
      <w:r>
        <w:rPr>
          <w:rFonts w:ascii="Calibri" w:hAnsi="Calibri" w:cs="Calibri" w:eastAsia="Calibri" w:hint="default"/>
          <w:b w:val="0"/>
          <w:bCs w:val="0"/>
        </w:rPr>
      </w:r>
    </w:p>
    <w:p>
      <w:pPr>
        <w:pStyle w:val="BodyText"/>
        <w:spacing w:line="240" w:lineRule="auto" w:before="191"/>
        <w:ind w:right="1437"/>
        <w:jc w:val="both"/>
      </w:pPr>
      <w:r>
        <w:rPr/>
        <w:t>Tourism economic impact is also potentially correlated with the perception of career opportunities. The DPITS examined a sample of 518 workers from different hospitality and tourism- related occupations to determine their perceptions of the availability of career opportunities in the tourism industry. A survey was distributed and a total of 518 responses were received. The individuals who responded to the survey worked in the hotel industry (55%), restaurants</w:t>
      </w:r>
      <w:r>
        <w:rPr>
          <w:spacing w:val="-11"/>
        </w:rPr>
        <w:t> </w:t>
      </w:r>
      <w:r>
        <w:rPr/>
        <w:t>(16%),</w:t>
      </w:r>
      <w:r>
        <w:rPr>
          <w:spacing w:val="-12"/>
        </w:rPr>
        <w:t> </w:t>
      </w:r>
      <w:r>
        <w:rPr/>
        <w:t>transportation</w:t>
      </w:r>
      <w:r>
        <w:rPr>
          <w:spacing w:val="-12"/>
        </w:rPr>
        <w:t> </w:t>
      </w:r>
      <w:r>
        <w:rPr/>
        <w:t>(8%),</w:t>
      </w:r>
      <w:r>
        <w:rPr>
          <w:spacing w:val="-12"/>
        </w:rPr>
        <w:t> </w:t>
      </w:r>
      <w:r>
        <w:rPr/>
        <w:t>tour</w:t>
      </w:r>
      <w:r>
        <w:rPr>
          <w:spacing w:val="-13"/>
        </w:rPr>
        <w:t> </w:t>
      </w:r>
      <w:r>
        <w:rPr/>
        <w:t>operators</w:t>
      </w:r>
      <w:r>
        <w:rPr>
          <w:spacing w:val="-11"/>
        </w:rPr>
        <w:t> </w:t>
      </w:r>
      <w:r>
        <w:rPr/>
        <w:t>(4%),</w:t>
      </w:r>
      <w:r>
        <w:rPr>
          <w:spacing w:val="-10"/>
        </w:rPr>
        <w:t> </w:t>
      </w:r>
      <w:r>
        <w:rPr/>
        <w:t>and</w:t>
      </w:r>
      <w:r>
        <w:rPr>
          <w:spacing w:val="-12"/>
        </w:rPr>
        <w:t> </w:t>
      </w:r>
      <w:r>
        <w:rPr/>
        <w:t>retail</w:t>
      </w:r>
      <w:r>
        <w:rPr>
          <w:spacing w:val="-13"/>
        </w:rPr>
        <w:t> </w:t>
      </w:r>
      <w:r>
        <w:rPr/>
        <w:t>(7%),</w:t>
      </w:r>
      <w:r>
        <w:rPr>
          <w:spacing w:val="-12"/>
        </w:rPr>
        <w:t> </w:t>
      </w:r>
      <w:r>
        <w:rPr/>
        <w:t>among</w:t>
      </w:r>
      <w:r>
        <w:rPr>
          <w:spacing w:val="-13"/>
        </w:rPr>
        <w:t> </w:t>
      </w:r>
      <w:r>
        <w:rPr/>
        <w:t>other</w:t>
      </w:r>
      <w:r>
        <w:rPr>
          <w:spacing w:val="-13"/>
        </w:rPr>
        <w:t> </w:t>
      </w:r>
      <w:r>
        <w:rPr/>
        <w:t>tourism-related</w:t>
      </w:r>
      <w:r>
        <w:rPr>
          <w:spacing w:val="-12"/>
        </w:rPr>
        <w:t> </w:t>
      </w:r>
      <w:r>
        <w:rPr/>
        <w:t>industries. </w:t>
      </w:r>
      <w:r>
        <w:rPr/>
        <w:t>Males represented 40% of those surveyed, whereas females comprised 60% of the sample. Most individuals were single (56%), followed by married individuals (28%) and divorced individuals (5%), with 48% of the respondents having</w:t>
      </w:r>
      <w:r>
        <w:rPr>
          <w:spacing w:val="-4"/>
        </w:rPr>
        <w:t> </w:t>
      </w:r>
      <w:r>
        <w:rPr/>
        <w:t>children.</w:t>
      </w:r>
      <w:r>
        <w:rPr>
          <w:spacing w:val="-3"/>
        </w:rPr>
        <w:t> </w:t>
      </w:r>
      <w:r>
        <w:rPr/>
        <w:t>The</w:t>
      </w:r>
      <w:r>
        <w:rPr>
          <w:spacing w:val="-4"/>
        </w:rPr>
        <w:t> </w:t>
      </w:r>
      <w:r>
        <w:rPr/>
        <w:t>average</w:t>
      </w:r>
      <w:r>
        <w:rPr>
          <w:spacing w:val="-4"/>
        </w:rPr>
        <w:t> </w:t>
      </w:r>
      <w:r>
        <w:rPr/>
        <w:t>respondent</w:t>
      </w:r>
      <w:r>
        <w:rPr>
          <w:spacing w:val="-3"/>
        </w:rPr>
        <w:t> </w:t>
      </w:r>
      <w:r>
        <w:rPr/>
        <w:t>was</w:t>
      </w:r>
      <w:r>
        <w:rPr>
          <w:spacing w:val="-2"/>
        </w:rPr>
        <w:t> </w:t>
      </w:r>
      <w:r>
        <w:rPr/>
        <w:t>35</w:t>
      </w:r>
      <w:r>
        <w:rPr>
          <w:spacing w:val="-4"/>
        </w:rPr>
        <w:t> </w:t>
      </w:r>
      <w:r>
        <w:rPr/>
        <w:t>years</w:t>
      </w:r>
      <w:r>
        <w:rPr>
          <w:spacing w:val="-4"/>
        </w:rPr>
        <w:t> </w:t>
      </w:r>
      <w:r>
        <w:rPr/>
        <w:t>old</w:t>
      </w:r>
      <w:r>
        <w:rPr>
          <w:spacing w:val="-3"/>
        </w:rPr>
        <w:t> </w:t>
      </w:r>
      <w:r>
        <w:rPr/>
        <w:t>and</w:t>
      </w:r>
      <w:r>
        <w:rPr>
          <w:spacing w:val="-3"/>
        </w:rPr>
        <w:t> </w:t>
      </w:r>
      <w:r>
        <w:rPr/>
        <w:t>worked</w:t>
      </w:r>
      <w:r>
        <w:rPr>
          <w:spacing w:val="-3"/>
        </w:rPr>
        <w:t> </w:t>
      </w:r>
      <w:r>
        <w:rPr/>
        <w:t>an</w:t>
      </w:r>
      <w:r>
        <w:rPr>
          <w:spacing w:val="-3"/>
        </w:rPr>
        <w:t> </w:t>
      </w:r>
      <w:r>
        <w:rPr/>
        <w:t>average</w:t>
      </w:r>
      <w:r>
        <w:rPr>
          <w:spacing w:val="-4"/>
        </w:rPr>
        <w:t> </w:t>
      </w:r>
      <w:r>
        <w:rPr/>
        <w:t>of</w:t>
      </w:r>
      <w:r>
        <w:rPr>
          <w:spacing w:val="-2"/>
        </w:rPr>
        <w:t> </w:t>
      </w:r>
      <w:r>
        <w:rPr/>
        <w:t>38</w:t>
      </w:r>
      <w:r>
        <w:rPr>
          <w:spacing w:val="-4"/>
        </w:rPr>
        <w:t> </w:t>
      </w:r>
      <w:r>
        <w:rPr/>
        <w:t>hours</w:t>
      </w:r>
      <w:r>
        <w:rPr>
          <w:spacing w:val="-4"/>
        </w:rPr>
        <w:t> </w:t>
      </w:r>
      <w:r>
        <w:rPr/>
        <w:t>per</w:t>
      </w:r>
      <w:r>
        <w:rPr>
          <w:spacing w:val="-3"/>
        </w:rPr>
        <w:t> </w:t>
      </w:r>
      <w:r>
        <w:rPr/>
        <w:t>week.</w:t>
      </w:r>
    </w:p>
    <w:p>
      <w:pPr>
        <w:spacing w:line="240" w:lineRule="auto" w:before="11"/>
        <w:ind w:right="0"/>
        <w:rPr>
          <w:rFonts w:ascii="Calibri" w:hAnsi="Calibri" w:cs="Calibri" w:eastAsia="Calibri" w:hint="default"/>
          <w:sz w:val="19"/>
          <w:szCs w:val="19"/>
        </w:rPr>
      </w:pPr>
    </w:p>
    <w:p>
      <w:pPr>
        <w:pStyle w:val="Heading9"/>
        <w:tabs>
          <w:tab w:pos="3693" w:val="left" w:leader="none"/>
          <w:tab w:pos="10801" w:val="left" w:leader="none"/>
        </w:tabs>
        <w:spacing w:line="240" w:lineRule="auto" w:after="51"/>
        <w:ind w:left="1440" w:right="0"/>
        <w:jc w:val="both"/>
        <w:rPr>
          <w:b w:val="0"/>
          <w:bCs w:val="0"/>
        </w:rPr>
      </w:pPr>
      <w:bookmarkStart w:name="_bookmark64" w:id="65"/>
      <w:bookmarkEnd w:id="65"/>
      <w:r>
        <w:rPr>
          <w:b w:val="0"/>
        </w:rPr>
      </w:r>
      <w:r>
        <w:rPr>
          <w:w w:val="99"/>
        </w:rPr>
      </w:r>
      <w:r>
        <w:rPr>
          <w:w w:val="99"/>
          <w:u w:val="single" w:color="000000"/>
        </w:rPr>
        <w:t> </w:t>
      </w:r>
      <w:r>
        <w:rPr>
          <w:u w:val="single" w:color="000000"/>
        </w:rPr>
        <w:tab/>
        <w:t>Table 18:  Attitudes towards tourism and customer</w:t>
      </w:r>
      <w:r>
        <w:rPr>
          <w:spacing w:val="-31"/>
          <w:u w:val="single" w:color="000000"/>
        </w:rPr>
        <w:t> </w:t>
      </w:r>
      <w:r>
        <w:rPr>
          <w:u w:val="single" w:color="000000"/>
        </w:rPr>
        <w:t>service</w:t>
        <w:tab/>
      </w:r>
      <w:r>
        <w:rPr/>
      </w:r>
      <w:r>
        <w:rPr>
          <w:b w:val="0"/>
        </w:rPr>
      </w:r>
    </w:p>
    <w:tbl>
      <w:tblPr>
        <w:tblW w:w="0" w:type="auto"/>
        <w:jc w:val="left"/>
        <w:tblInd w:w="1440" w:type="dxa"/>
        <w:tblLayout w:type="fixed"/>
        <w:tblCellMar>
          <w:top w:w="0" w:type="dxa"/>
          <w:left w:w="0" w:type="dxa"/>
          <w:bottom w:w="0" w:type="dxa"/>
          <w:right w:w="0" w:type="dxa"/>
        </w:tblCellMar>
        <w:tblLook w:val="01E0"/>
      </w:tblPr>
      <w:tblGrid>
        <w:gridCol w:w="7170"/>
        <w:gridCol w:w="2192"/>
      </w:tblGrid>
      <w:tr>
        <w:trPr>
          <w:trHeight w:val="209" w:hRule="exact"/>
        </w:trPr>
        <w:tc>
          <w:tcPr>
            <w:tcW w:w="7170" w:type="dxa"/>
            <w:tcBorders>
              <w:top w:val="nil" w:sz="6" w:space="0" w:color="auto"/>
              <w:left w:val="nil" w:sz="6" w:space="0" w:color="auto"/>
              <w:bottom w:val="single" w:sz="4" w:space="0" w:color="000000"/>
              <w:right w:val="nil" w:sz="6" w:space="0" w:color="auto"/>
            </w:tcBorders>
          </w:tcPr>
          <w:p>
            <w:pPr>
              <w:pStyle w:val="TableParagraph"/>
              <w:spacing w:line="203" w:lineRule="exact"/>
              <w:ind w:left="108" w:right="0"/>
              <w:jc w:val="left"/>
              <w:rPr>
                <w:rFonts w:ascii="Calibri" w:hAnsi="Calibri" w:cs="Calibri" w:eastAsia="Calibri" w:hint="default"/>
                <w:sz w:val="20"/>
                <w:szCs w:val="20"/>
              </w:rPr>
            </w:pPr>
            <w:r>
              <w:rPr>
                <w:rFonts w:ascii="Calibri"/>
                <w:b/>
                <w:sz w:val="20"/>
              </w:rPr>
              <w:t>Statement</w:t>
            </w:r>
            <w:r>
              <w:rPr>
                <w:rFonts w:ascii="Calibri"/>
                <w:sz w:val="20"/>
              </w:rPr>
            </w:r>
          </w:p>
        </w:tc>
        <w:tc>
          <w:tcPr>
            <w:tcW w:w="2192" w:type="dxa"/>
            <w:tcBorders>
              <w:top w:val="nil" w:sz="6" w:space="0" w:color="auto"/>
              <w:left w:val="nil" w:sz="6" w:space="0" w:color="auto"/>
              <w:bottom w:val="single" w:sz="4" w:space="0" w:color="000000"/>
              <w:right w:val="nil" w:sz="6" w:space="0" w:color="auto"/>
            </w:tcBorders>
          </w:tcPr>
          <w:p>
            <w:pPr>
              <w:pStyle w:val="TableParagraph"/>
              <w:spacing w:line="203" w:lineRule="exact"/>
              <w:ind w:right="779"/>
              <w:jc w:val="right"/>
              <w:rPr>
                <w:rFonts w:ascii="Calibri" w:hAnsi="Calibri" w:cs="Calibri" w:eastAsia="Calibri" w:hint="default"/>
                <w:sz w:val="20"/>
                <w:szCs w:val="20"/>
              </w:rPr>
            </w:pPr>
            <w:r>
              <w:rPr>
                <w:rFonts w:ascii="Calibri"/>
                <w:b/>
                <w:w w:val="95"/>
                <w:sz w:val="20"/>
              </w:rPr>
              <w:t>Mean</w:t>
            </w:r>
            <w:r>
              <w:rPr>
                <w:rFonts w:ascii="Calibri"/>
                <w:sz w:val="20"/>
              </w:rPr>
            </w:r>
          </w:p>
        </w:tc>
      </w:tr>
      <w:tr>
        <w:trPr>
          <w:trHeight w:val="267" w:hRule="exact"/>
        </w:trPr>
        <w:tc>
          <w:tcPr>
            <w:tcW w:w="7170" w:type="dxa"/>
            <w:tcBorders>
              <w:top w:val="single" w:sz="4" w:space="0" w:color="000000"/>
              <w:left w:val="nil" w:sz="6" w:space="0" w:color="auto"/>
              <w:bottom w:val="nil" w:sz="6" w:space="0" w:color="auto"/>
              <w:right w:val="nil" w:sz="6" w:space="0" w:color="auto"/>
            </w:tcBorders>
          </w:tcPr>
          <w:p>
            <w:pPr>
              <w:pStyle w:val="TableParagraph"/>
              <w:spacing w:line="243" w:lineRule="exact"/>
              <w:ind w:left="108" w:right="0"/>
              <w:jc w:val="left"/>
              <w:rPr>
                <w:rFonts w:ascii="Calibri" w:hAnsi="Calibri" w:cs="Calibri" w:eastAsia="Calibri" w:hint="default"/>
                <w:sz w:val="20"/>
                <w:szCs w:val="20"/>
              </w:rPr>
            </w:pPr>
            <w:r>
              <w:rPr>
                <w:rFonts w:ascii="Calibri"/>
                <w:sz w:val="20"/>
              </w:rPr>
              <w:t>I think my personality fits a career in the tourism</w:t>
            </w:r>
            <w:r>
              <w:rPr>
                <w:rFonts w:ascii="Calibri"/>
                <w:spacing w:val="-26"/>
                <w:sz w:val="20"/>
              </w:rPr>
              <w:t> </w:t>
            </w:r>
            <w:r>
              <w:rPr>
                <w:rFonts w:ascii="Calibri"/>
                <w:sz w:val="20"/>
              </w:rPr>
              <w:t>industry</w:t>
            </w:r>
          </w:p>
        </w:tc>
        <w:tc>
          <w:tcPr>
            <w:tcW w:w="2192" w:type="dxa"/>
            <w:tcBorders>
              <w:top w:val="single" w:sz="4" w:space="0" w:color="000000"/>
              <w:left w:val="nil" w:sz="6" w:space="0" w:color="auto"/>
              <w:bottom w:val="nil" w:sz="6" w:space="0" w:color="auto"/>
              <w:right w:val="nil" w:sz="6" w:space="0" w:color="auto"/>
            </w:tcBorders>
          </w:tcPr>
          <w:p>
            <w:pPr>
              <w:pStyle w:val="TableParagraph"/>
              <w:spacing w:line="243" w:lineRule="exact"/>
              <w:ind w:right="803"/>
              <w:jc w:val="right"/>
              <w:rPr>
                <w:rFonts w:ascii="Calibri" w:hAnsi="Calibri" w:cs="Calibri" w:eastAsia="Calibri" w:hint="default"/>
                <w:sz w:val="20"/>
                <w:szCs w:val="20"/>
              </w:rPr>
            </w:pPr>
            <w:r>
              <w:rPr>
                <w:rFonts w:ascii="Calibri"/>
                <w:w w:val="95"/>
                <w:sz w:val="20"/>
              </w:rPr>
              <w:t>4.08</w:t>
            </w:r>
            <w:r>
              <w:rPr>
                <w:rFonts w:ascii="Calibri"/>
                <w:sz w:val="20"/>
              </w:rPr>
            </w:r>
          </w:p>
        </w:tc>
      </w:tr>
      <w:tr>
        <w:trPr>
          <w:trHeight w:val="245" w:hRule="exact"/>
        </w:trPr>
        <w:tc>
          <w:tcPr>
            <w:tcW w:w="7170"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At work, I consider myself a hospitable</w:t>
            </w:r>
            <w:r>
              <w:rPr>
                <w:rFonts w:ascii="Calibri"/>
                <w:spacing w:val="-20"/>
                <w:sz w:val="20"/>
              </w:rPr>
              <w:t> </w:t>
            </w:r>
            <w:r>
              <w:rPr>
                <w:rFonts w:ascii="Calibri"/>
                <w:sz w:val="20"/>
              </w:rPr>
              <w:t>person</w:t>
            </w:r>
          </w:p>
        </w:tc>
        <w:tc>
          <w:tcPr>
            <w:tcW w:w="2192" w:type="dxa"/>
            <w:tcBorders>
              <w:top w:val="nil" w:sz="6" w:space="0" w:color="auto"/>
              <w:left w:val="nil" w:sz="6" w:space="0" w:color="auto"/>
              <w:bottom w:val="nil" w:sz="6" w:space="0" w:color="auto"/>
              <w:right w:val="nil" w:sz="6" w:space="0" w:color="auto"/>
            </w:tcBorders>
          </w:tcPr>
          <w:p>
            <w:pPr>
              <w:pStyle w:val="TableParagraph"/>
              <w:spacing w:line="226" w:lineRule="exact"/>
              <w:ind w:right="803"/>
              <w:jc w:val="right"/>
              <w:rPr>
                <w:rFonts w:ascii="Calibri" w:hAnsi="Calibri" w:cs="Calibri" w:eastAsia="Calibri" w:hint="default"/>
                <w:sz w:val="20"/>
                <w:szCs w:val="20"/>
              </w:rPr>
            </w:pPr>
            <w:r>
              <w:rPr>
                <w:rFonts w:ascii="Calibri"/>
                <w:w w:val="95"/>
                <w:sz w:val="20"/>
              </w:rPr>
              <w:t>4.34</w:t>
            </w:r>
            <w:r>
              <w:rPr>
                <w:rFonts w:ascii="Calibri"/>
                <w:sz w:val="20"/>
              </w:rPr>
            </w:r>
          </w:p>
        </w:tc>
      </w:tr>
      <w:tr>
        <w:trPr>
          <w:trHeight w:val="244" w:hRule="exact"/>
        </w:trPr>
        <w:tc>
          <w:tcPr>
            <w:tcW w:w="7170"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I can use my skills and abilities in the tourism</w:t>
            </w:r>
            <w:r>
              <w:rPr>
                <w:rFonts w:ascii="Calibri"/>
                <w:spacing w:val="-22"/>
                <w:sz w:val="20"/>
              </w:rPr>
              <w:t> </w:t>
            </w:r>
            <w:r>
              <w:rPr>
                <w:rFonts w:ascii="Calibri"/>
                <w:sz w:val="20"/>
              </w:rPr>
              <w:t>industry</w:t>
            </w:r>
          </w:p>
        </w:tc>
        <w:tc>
          <w:tcPr>
            <w:tcW w:w="2192" w:type="dxa"/>
            <w:tcBorders>
              <w:top w:val="nil" w:sz="6" w:space="0" w:color="auto"/>
              <w:left w:val="nil" w:sz="6" w:space="0" w:color="auto"/>
              <w:bottom w:val="nil" w:sz="6" w:space="0" w:color="auto"/>
              <w:right w:val="nil" w:sz="6" w:space="0" w:color="auto"/>
            </w:tcBorders>
          </w:tcPr>
          <w:p>
            <w:pPr>
              <w:pStyle w:val="TableParagraph"/>
              <w:spacing w:line="226" w:lineRule="exact"/>
              <w:ind w:right="803"/>
              <w:jc w:val="right"/>
              <w:rPr>
                <w:rFonts w:ascii="Calibri" w:hAnsi="Calibri" w:cs="Calibri" w:eastAsia="Calibri" w:hint="default"/>
                <w:sz w:val="20"/>
                <w:szCs w:val="20"/>
              </w:rPr>
            </w:pPr>
            <w:r>
              <w:rPr>
                <w:rFonts w:ascii="Calibri"/>
                <w:w w:val="95"/>
                <w:sz w:val="20"/>
              </w:rPr>
              <w:t>4.29</w:t>
            </w:r>
            <w:r>
              <w:rPr>
                <w:rFonts w:ascii="Calibri"/>
                <w:sz w:val="20"/>
              </w:rPr>
            </w:r>
          </w:p>
        </w:tc>
      </w:tr>
      <w:tr>
        <w:trPr>
          <w:trHeight w:val="244" w:hRule="exact"/>
        </w:trPr>
        <w:tc>
          <w:tcPr>
            <w:tcW w:w="7170" w:type="dxa"/>
            <w:tcBorders>
              <w:top w:val="nil" w:sz="6" w:space="0" w:color="auto"/>
              <w:left w:val="nil" w:sz="6" w:space="0" w:color="auto"/>
              <w:bottom w:val="nil" w:sz="6" w:space="0" w:color="auto"/>
              <w:right w:val="nil" w:sz="6" w:space="0" w:color="auto"/>
            </w:tcBorders>
          </w:tcPr>
          <w:p>
            <w:pPr>
              <w:pStyle w:val="TableParagraph"/>
              <w:spacing w:line="225" w:lineRule="exact"/>
              <w:ind w:left="108" w:right="0"/>
              <w:jc w:val="left"/>
              <w:rPr>
                <w:rFonts w:ascii="Calibri" w:hAnsi="Calibri" w:cs="Calibri" w:eastAsia="Calibri" w:hint="default"/>
                <w:sz w:val="20"/>
                <w:szCs w:val="20"/>
              </w:rPr>
            </w:pPr>
            <w:r>
              <w:rPr>
                <w:rFonts w:ascii="Calibri"/>
                <w:sz w:val="20"/>
              </w:rPr>
              <w:t>I get pleasure working in the tourism</w:t>
            </w:r>
            <w:r>
              <w:rPr>
                <w:rFonts w:ascii="Calibri"/>
                <w:spacing w:val="-20"/>
                <w:sz w:val="20"/>
              </w:rPr>
              <w:t> </w:t>
            </w:r>
            <w:r>
              <w:rPr>
                <w:rFonts w:ascii="Calibri"/>
                <w:sz w:val="20"/>
              </w:rPr>
              <w:t>industry</w:t>
            </w:r>
          </w:p>
        </w:tc>
        <w:tc>
          <w:tcPr>
            <w:tcW w:w="2192" w:type="dxa"/>
            <w:tcBorders>
              <w:top w:val="nil" w:sz="6" w:space="0" w:color="auto"/>
              <w:left w:val="nil" w:sz="6" w:space="0" w:color="auto"/>
              <w:bottom w:val="nil" w:sz="6" w:space="0" w:color="auto"/>
              <w:right w:val="nil" w:sz="6" w:space="0" w:color="auto"/>
            </w:tcBorders>
          </w:tcPr>
          <w:p>
            <w:pPr>
              <w:pStyle w:val="TableParagraph"/>
              <w:spacing w:line="225" w:lineRule="exact"/>
              <w:ind w:right="803"/>
              <w:jc w:val="right"/>
              <w:rPr>
                <w:rFonts w:ascii="Calibri" w:hAnsi="Calibri" w:cs="Calibri" w:eastAsia="Calibri" w:hint="default"/>
                <w:sz w:val="20"/>
                <w:szCs w:val="20"/>
              </w:rPr>
            </w:pPr>
            <w:r>
              <w:rPr>
                <w:rFonts w:ascii="Calibri"/>
                <w:w w:val="95"/>
                <w:sz w:val="20"/>
              </w:rPr>
              <w:t>4.24</w:t>
            </w:r>
            <w:r>
              <w:rPr>
                <w:rFonts w:ascii="Calibri"/>
                <w:sz w:val="20"/>
              </w:rPr>
            </w:r>
          </w:p>
        </w:tc>
      </w:tr>
      <w:tr>
        <w:trPr>
          <w:trHeight w:val="245" w:hRule="exact"/>
        </w:trPr>
        <w:tc>
          <w:tcPr>
            <w:tcW w:w="7170"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I take pride in seeing satisfied</w:t>
            </w:r>
            <w:r>
              <w:rPr>
                <w:rFonts w:ascii="Calibri"/>
                <w:spacing w:val="-17"/>
                <w:sz w:val="20"/>
              </w:rPr>
              <w:t> </w:t>
            </w:r>
            <w:r>
              <w:rPr>
                <w:rFonts w:ascii="Calibri"/>
                <w:sz w:val="20"/>
              </w:rPr>
              <w:t>customers</w:t>
            </w:r>
          </w:p>
        </w:tc>
        <w:tc>
          <w:tcPr>
            <w:tcW w:w="2192" w:type="dxa"/>
            <w:tcBorders>
              <w:top w:val="nil" w:sz="6" w:space="0" w:color="auto"/>
              <w:left w:val="nil" w:sz="6" w:space="0" w:color="auto"/>
              <w:bottom w:val="nil" w:sz="6" w:space="0" w:color="auto"/>
              <w:right w:val="nil" w:sz="6" w:space="0" w:color="auto"/>
            </w:tcBorders>
          </w:tcPr>
          <w:p>
            <w:pPr>
              <w:pStyle w:val="TableParagraph"/>
              <w:spacing w:line="226" w:lineRule="exact"/>
              <w:ind w:right="803"/>
              <w:jc w:val="right"/>
              <w:rPr>
                <w:rFonts w:ascii="Calibri" w:hAnsi="Calibri" w:cs="Calibri" w:eastAsia="Calibri" w:hint="default"/>
                <w:sz w:val="20"/>
                <w:szCs w:val="20"/>
              </w:rPr>
            </w:pPr>
            <w:r>
              <w:rPr>
                <w:rFonts w:ascii="Calibri"/>
                <w:w w:val="95"/>
                <w:sz w:val="20"/>
              </w:rPr>
              <w:t>4.50</w:t>
            </w:r>
            <w:r>
              <w:rPr>
                <w:rFonts w:ascii="Calibri"/>
                <w:sz w:val="20"/>
              </w:rPr>
            </w:r>
          </w:p>
        </w:tc>
      </w:tr>
      <w:tr>
        <w:trPr>
          <w:trHeight w:val="232" w:hRule="exact"/>
        </w:trPr>
        <w:tc>
          <w:tcPr>
            <w:tcW w:w="7170" w:type="dxa"/>
            <w:tcBorders>
              <w:top w:val="nil" w:sz="6" w:space="0" w:color="auto"/>
              <w:left w:val="nil" w:sz="6" w:space="0" w:color="auto"/>
              <w:bottom w:val="single" w:sz="4" w:space="0" w:color="000000"/>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I like a job that allows me to interact with people from various</w:t>
            </w:r>
            <w:r>
              <w:rPr>
                <w:rFonts w:ascii="Calibri"/>
                <w:spacing w:val="-29"/>
                <w:sz w:val="20"/>
              </w:rPr>
              <w:t> </w:t>
            </w:r>
            <w:r>
              <w:rPr>
                <w:rFonts w:ascii="Calibri"/>
                <w:sz w:val="20"/>
              </w:rPr>
              <w:t>backgrounds</w:t>
            </w:r>
          </w:p>
        </w:tc>
        <w:tc>
          <w:tcPr>
            <w:tcW w:w="2192" w:type="dxa"/>
            <w:tcBorders>
              <w:top w:val="nil" w:sz="6" w:space="0" w:color="auto"/>
              <w:left w:val="nil" w:sz="6" w:space="0" w:color="auto"/>
              <w:bottom w:val="single" w:sz="4" w:space="0" w:color="000000"/>
              <w:right w:val="nil" w:sz="6" w:space="0" w:color="auto"/>
            </w:tcBorders>
          </w:tcPr>
          <w:p>
            <w:pPr>
              <w:pStyle w:val="TableParagraph"/>
              <w:spacing w:line="226" w:lineRule="exact"/>
              <w:ind w:right="803"/>
              <w:jc w:val="right"/>
              <w:rPr>
                <w:rFonts w:ascii="Calibri" w:hAnsi="Calibri" w:cs="Calibri" w:eastAsia="Calibri" w:hint="default"/>
                <w:sz w:val="20"/>
                <w:szCs w:val="20"/>
              </w:rPr>
            </w:pPr>
            <w:r>
              <w:rPr>
                <w:rFonts w:ascii="Calibri"/>
                <w:w w:val="95"/>
                <w:sz w:val="20"/>
              </w:rPr>
              <w:t>4.44</w:t>
            </w:r>
            <w:r>
              <w:rPr>
                <w:rFonts w:ascii="Calibri"/>
                <w:sz w:val="20"/>
              </w:rPr>
            </w:r>
          </w:p>
        </w:tc>
      </w:tr>
    </w:tbl>
    <w:p>
      <w:pPr>
        <w:spacing w:line="240" w:lineRule="auto" w:before="12"/>
        <w:ind w:right="0"/>
        <w:rPr>
          <w:rFonts w:ascii="Calibri" w:hAnsi="Calibri" w:cs="Calibri" w:eastAsia="Calibri" w:hint="default"/>
          <w:b/>
          <w:bCs/>
          <w:sz w:val="14"/>
          <w:szCs w:val="14"/>
        </w:rPr>
      </w:pPr>
    </w:p>
    <w:p>
      <w:pPr>
        <w:spacing w:before="59"/>
        <w:ind w:left="1440" w:right="1434" w:firstLine="0"/>
        <w:jc w:val="both"/>
        <w:rPr>
          <w:rFonts w:ascii="Calibri" w:hAnsi="Calibri" w:cs="Calibri" w:eastAsia="Calibri" w:hint="default"/>
          <w:sz w:val="20"/>
          <w:szCs w:val="20"/>
        </w:rPr>
      </w:pPr>
      <w:r>
        <w:rPr>
          <w:rFonts w:ascii="Calibri" w:hAnsi="Calibri" w:cs="Calibri" w:eastAsia="Calibri" w:hint="default"/>
          <w:sz w:val="20"/>
          <w:szCs w:val="20"/>
        </w:rPr>
        <w:t>Employees</w:t>
      </w:r>
      <w:r>
        <w:rPr>
          <w:rFonts w:ascii="Calibri" w:hAnsi="Calibri" w:cs="Calibri" w:eastAsia="Calibri" w:hint="default"/>
          <w:spacing w:val="-10"/>
          <w:sz w:val="20"/>
          <w:szCs w:val="20"/>
        </w:rPr>
        <w:t> </w:t>
      </w:r>
      <w:r>
        <w:rPr>
          <w:rFonts w:ascii="Calibri" w:hAnsi="Calibri" w:cs="Calibri" w:eastAsia="Calibri" w:hint="default"/>
          <w:sz w:val="20"/>
          <w:szCs w:val="20"/>
        </w:rPr>
        <w:t>in</w:t>
      </w:r>
      <w:r>
        <w:rPr>
          <w:rFonts w:ascii="Calibri" w:hAnsi="Calibri" w:cs="Calibri" w:eastAsia="Calibri" w:hint="default"/>
          <w:spacing w:val="-11"/>
          <w:sz w:val="20"/>
          <w:szCs w:val="20"/>
        </w:rPr>
        <w:t> </w:t>
      </w:r>
      <w:r>
        <w:rPr>
          <w:rFonts w:ascii="Calibri" w:hAnsi="Calibri" w:cs="Calibri" w:eastAsia="Calibri" w:hint="default"/>
          <w:sz w:val="20"/>
          <w:szCs w:val="20"/>
        </w:rPr>
        <w:t>the</w:t>
      </w:r>
      <w:r>
        <w:rPr>
          <w:rFonts w:ascii="Calibri" w:hAnsi="Calibri" w:cs="Calibri" w:eastAsia="Calibri" w:hint="default"/>
          <w:spacing w:val="-12"/>
          <w:sz w:val="20"/>
          <w:szCs w:val="20"/>
        </w:rPr>
        <w:t> </w:t>
      </w:r>
      <w:r>
        <w:rPr>
          <w:rFonts w:ascii="Calibri" w:hAnsi="Calibri" w:cs="Calibri" w:eastAsia="Calibri" w:hint="default"/>
          <w:sz w:val="20"/>
          <w:szCs w:val="20"/>
        </w:rPr>
        <w:t>tourism</w:t>
      </w:r>
      <w:r>
        <w:rPr>
          <w:rFonts w:ascii="Calibri" w:hAnsi="Calibri" w:cs="Calibri" w:eastAsia="Calibri" w:hint="default"/>
          <w:spacing w:val="-12"/>
          <w:sz w:val="20"/>
          <w:szCs w:val="20"/>
        </w:rPr>
        <w:t> </w:t>
      </w:r>
      <w:r>
        <w:rPr>
          <w:rFonts w:ascii="Calibri" w:hAnsi="Calibri" w:cs="Calibri" w:eastAsia="Calibri" w:hint="default"/>
          <w:sz w:val="20"/>
          <w:szCs w:val="20"/>
        </w:rPr>
        <w:t>industry</w:t>
      </w:r>
      <w:r>
        <w:rPr>
          <w:rFonts w:ascii="Calibri" w:hAnsi="Calibri" w:cs="Calibri" w:eastAsia="Calibri" w:hint="default"/>
          <w:spacing w:val="-10"/>
          <w:sz w:val="20"/>
          <w:szCs w:val="20"/>
        </w:rPr>
        <w:t> </w:t>
      </w:r>
      <w:r>
        <w:rPr>
          <w:rFonts w:ascii="Calibri" w:hAnsi="Calibri" w:cs="Calibri" w:eastAsia="Calibri" w:hint="default"/>
          <w:sz w:val="20"/>
          <w:szCs w:val="20"/>
        </w:rPr>
        <w:t>had</w:t>
      </w:r>
      <w:r>
        <w:rPr>
          <w:rFonts w:ascii="Calibri" w:hAnsi="Calibri" w:cs="Calibri" w:eastAsia="Calibri" w:hint="default"/>
          <w:spacing w:val="-10"/>
          <w:sz w:val="20"/>
          <w:szCs w:val="20"/>
        </w:rPr>
        <w:t> </w:t>
      </w:r>
      <w:r>
        <w:rPr>
          <w:rFonts w:ascii="Calibri" w:hAnsi="Calibri" w:cs="Calibri" w:eastAsia="Calibri" w:hint="default"/>
          <w:sz w:val="20"/>
          <w:szCs w:val="20"/>
        </w:rPr>
        <w:t>a</w:t>
      </w:r>
      <w:r>
        <w:rPr>
          <w:rFonts w:ascii="Calibri" w:hAnsi="Calibri" w:cs="Calibri" w:eastAsia="Calibri" w:hint="default"/>
          <w:spacing w:val="-11"/>
          <w:sz w:val="20"/>
          <w:szCs w:val="20"/>
        </w:rPr>
        <w:t> </w:t>
      </w:r>
      <w:r>
        <w:rPr>
          <w:rFonts w:ascii="Calibri" w:hAnsi="Calibri" w:cs="Calibri" w:eastAsia="Calibri" w:hint="default"/>
          <w:sz w:val="20"/>
          <w:szCs w:val="20"/>
        </w:rPr>
        <w:t>favorable</w:t>
      </w:r>
      <w:r>
        <w:rPr>
          <w:rFonts w:ascii="Calibri" w:hAnsi="Calibri" w:cs="Calibri" w:eastAsia="Calibri" w:hint="default"/>
          <w:spacing w:val="-8"/>
          <w:sz w:val="20"/>
          <w:szCs w:val="20"/>
        </w:rPr>
        <w:t> </w:t>
      </w:r>
      <w:r>
        <w:rPr>
          <w:rFonts w:ascii="Calibri" w:hAnsi="Calibri" w:cs="Calibri" w:eastAsia="Calibri" w:hint="default"/>
          <w:sz w:val="20"/>
          <w:szCs w:val="20"/>
        </w:rPr>
        <w:t>perception</w:t>
      </w:r>
      <w:r>
        <w:rPr>
          <w:rFonts w:ascii="Calibri" w:hAnsi="Calibri" w:cs="Calibri" w:eastAsia="Calibri" w:hint="default"/>
          <w:spacing w:val="-11"/>
          <w:sz w:val="20"/>
          <w:szCs w:val="20"/>
        </w:rPr>
        <w:t> </w:t>
      </w:r>
      <w:r>
        <w:rPr>
          <w:rFonts w:ascii="Calibri" w:hAnsi="Calibri" w:cs="Calibri" w:eastAsia="Calibri" w:hint="default"/>
          <w:sz w:val="20"/>
          <w:szCs w:val="20"/>
        </w:rPr>
        <w:t>of</w:t>
      </w:r>
      <w:r>
        <w:rPr>
          <w:rFonts w:ascii="Calibri" w:hAnsi="Calibri" w:cs="Calibri" w:eastAsia="Calibri" w:hint="default"/>
          <w:spacing w:val="-12"/>
          <w:sz w:val="20"/>
          <w:szCs w:val="20"/>
        </w:rPr>
        <w:t> </w:t>
      </w:r>
      <w:r>
        <w:rPr>
          <w:rFonts w:ascii="Calibri" w:hAnsi="Calibri" w:cs="Calibri" w:eastAsia="Calibri" w:hint="default"/>
          <w:sz w:val="20"/>
          <w:szCs w:val="20"/>
        </w:rPr>
        <w:t>the</w:t>
      </w:r>
      <w:r>
        <w:rPr>
          <w:rFonts w:ascii="Calibri" w:hAnsi="Calibri" w:cs="Calibri" w:eastAsia="Calibri" w:hint="default"/>
          <w:spacing w:val="-12"/>
          <w:sz w:val="20"/>
          <w:szCs w:val="20"/>
        </w:rPr>
        <w:t> </w:t>
      </w:r>
      <w:r>
        <w:rPr>
          <w:rFonts w:ascii="Calibri" w:hAnsi="Calibri" w:cs="Calibri" w:eastAsia="Calibri" w:hint="default"/>
          <w:sz w:val="20"/>
          <w:szCs w:val="20"/>
        </w:rPr>
        <w:t>tourism</w:t>
      </w:r>
      <w:r>
        <w:rPr>
          <w:rFonts w:ascii="Calibri" w:hAnsi="Calibri" w:cs="Calibri" w:eastAsia="Calibri" w:hint="default"/>
          <w:spacing w:val="-12"/>
          <w:sz w:val="20"/>
          <w:szCs w:val="20"/>
        </w:rPr>
        <w:t> </w:t>
      </w:r>
      <w:r>
        <w:rPr>
          <w:rFonts w:ascii="Calibri" w:hAnsi="Calibri" w:cs="Calibri" w:eastAsia="Calibri" w:hint="default"/>
          <w:sz w:val="20"/>
          <w:szCs w:val="20"/>
        </w:rPr>
        <w:t>industry.</w:t>
      </w:r>
      <w:r>
        <w:rPr>
          <w:rFonts w:ascii="Calibri" w:hAnsi="Calibri" w:cs="Calibri" w:eastAsia="Calibri" w:hint="default"/>
          <w:spacing w:val="26"/>
          <w:sz w:val="20"/>
          <w:szCs w:val="20"/>
        </w:rPr>
        <w:t> </w:t>
      </w:r>
      <w:r>
        <w:rPr>
          <w:rFonts w:ascii="Calibri" w:hAnsi="Calibri" w:cs="Calibri" w:eastAsia="Calibri" w:hint="default"/>
          <w:sz w:val="20"/>
          <w:szCs w:val="20"/>
        </w:rPr>
        <w:t>For</w:t>
      </w:r>
      <w:r>
        <w:rPr>
          <w:rFonts w:ascii="Calibri" w:hAnsi="Calibri" w:cs="Calibri" w:eastAsia="Calibri" w:hint="default"/>
          <w:spacing w:val="-9"/>
          <w:sz w:val="20"/>
          <w:szCs w:val="20"/>
        </w:rPr>
        <w:t> </w:t>
      </w:r>
      <w:r>
        <w:rPr>
          <w:rFonts w:ascii="Calibri" w:hAnsi="Calibri" w:cs="Calibri" w:eastAsia="Calibri" w:hint="default"/>
          <w:sz w:val="20"/>
          <w:szCs w:val="20"/>
        </w:rPr>
        <w:t>example,</w:t>
      </w:r>
      <w:r>
        <w:rPr>
          <w:rFonts w:ascii="Calibri" w:hAnsi="Calibri" w:cs="Calibri" w:eastAsia="Calibri" w:hint="default"/>
          <w:spacing w:val="-11"/>
          <w:sz w:val="20"/>
          <w:szCs w:val="20"/>
        </w:rPr>
        <w:t> </w:t>
      </w:r>
      <w:r>
        <w:rPr>
          <w:rFonts w:ascii="Calibri" w:hAnsi="Calibri" w:cs="Calibri" w:eastAsia="Calibri" w:hint="default"/>
          <w:sz w:val="20"/>
          <w:szCs w:val="20"/>
        </w:rPr>
        <w:t>the</w:t>
      </w:r>
      <w:r>
        <w:rPr>
          <w:rFonts w:ascii="Calibri" w:hAnsi="Calibri" w:cs="Calibri" w:eastAsia="Calibri" w:hint="default"/>
          <w:spacing w:val="-12"/>
          <w:sz w:val="20"/>
          <w:szCs w:val="20"/>
        </w:rPr>
        <w:t> </w:t>
      </w:r>
      <w:r>
        <w:rPr>
          <w:rFonts w:ascii="Calibri" w:hAnsi="Calibri" w:cs="Calibri" w:eastAsia="Calibri" w:hint="default"/>
          <w:sz w:val="20"/>
          <w:szCs w:val="20"/>
        </w:rPr>
        <w:t>mean</w:t>
      </w:r>
      <w:r>
        <w:rPr>
          <w:rFonts w:ascii="Calibri" w:hAnsi="Calibri" w:cs="Calibri" w:eastAsia="Calibri" w:hint="default"/>
          <w:spacing w:val="-10"/>
          <w:sz w:val="20"/>
          <w:szCs w:val="20"/>
        </w:rPr>
        <w:t> </w:t>
      </w:r>
      <w:r>
        <w:rPr>
          <w:rFonts w:ascii="Calibri" w:hAnsi="Calibri" w:cs="Calibri" w:eastAsia="Calibri" w:hint="default"/>
          <w:sz w:val="20"/>
          <w:szCs w:val="20"/>
        </w:rPr>
        <w:t>scores </w:t>
      </w:r>
      <w:r>
        <w:rPr>
          <w:rFonts w:ascii="Calibri" w:hAnsi="Calibri" w:cs="Calibri" w:eastAsia="Calibri" w:hint="default"/>
          <w:sz w:val="20"/>
          <w:szCs w:val="20"/>
        </w:rPr>
        <w:t>for, </w:t>
      </w:r>
      <w:r>
        <w:rPr>
          <w:rFonts w:ascii="Calibri" w:hAnsi="Calibri" w:cs="Calibri" w:eastAsia="Calibri" w:hint="default"/>
          <w:i/>
          <w:sz w:val="20"/>
          <w:szCs w:val="20"/>
        </w:rPr>
        <w:t>“A job in the tourism industry is creative and meaningful</w:t>
      </w:r>
      <w:r>
        <w:rPr>
          <w:rFonts w:ascii="Calibri" w:hAnsi="Calibri" w:cs="Calibri" w:eastAsia="Calibri" w:hint="default"/>
          <w:i/>
          <w:sz w:val="20"/>
          <w:szCs w:val="20"/>
        </w:rPr>
        <w:t>.</w:t>
      </w:r>
      <w:r>
        <w:rPr>
          <w:rFonts w:ascii="Calibri" w:hAnsi="Calibri" w:cs="Calibri" w:eastAsia="Calibri" w:hint="default"/>
          <w:i/>
          <w:sz w:val="20"/>
          <w:szCs w:val="20"/>
        </w:rPr>
        <w:t>” </w:t>
      </w:r>
      <w:r>
        <w:rPr>
          <w:rFonts w:ascii="Calibri" w:hAnsi="Calibri" w:cs="Calibri" w:eastAsia="Calibri" w:hint="default"/>
          <w:sz w:val="20"/>
          <w:szCs w:val="20"/>
        </w:rPr>
        <w:t>and, </w:t>
      </w:r>
      <w:r>
        <w:rPr>
          <w:rFonts w:ascii="Calibri" w:hAnsi="Calibri" w:cs="Calibri" w:eastAsia="Calibri" w:hint="default"/>
          <w:i/>
          <w:sz w:val="20"/>
          <w:szCs w:val="20"/>
        </w:rPr>
        <w:t>“A job in the tourism industry is challenging</w:t>
      </w:r>
      <w:r>
        <w:rPr>
          <w:rFonts w:ascii="Calibri" w:hAnsi="Calibri" w:cs="Calibri" w:eastAsia="Calibri" w:hint="default"/>
          <w:i/>
          <w:sz w:val="20"/>
          <w:szCs w:val="20"/>
        </w:rPr>
        <w:t>.</w:t>
      </w:r>
      <w:r>
        <w:rPr>
          <w:rFonts w:ascii="Calibri" w:hAnsi="Calibri" w:cs="Calibri" w:eastAsia="Calibri" w:hint="default"/>
          <w:i/>
          <w:sz w:val="20"/>
          <w:szCs w:val="20"/>
        </w:rPr>
        <w:t>” </w:t>
      </w:r>
      <w:r>
        <w:rPr>
          <w:rFonts w:ascii="Calibri" w:hAnsi="Calibri" w:cs="Calibri" w:eastAsia="Calibri" w:hint="default"/>
          <w:sz w:val="20"/>
          <w:szCs w:val="20"/>
        </w:rPr>
        <w:t>were 4.11 on a 5-point Likert scale. Similarly, respondents were favorably disposed to, </w:t>
      </w:r>
      <w:r>
        <w:rPr>
          <w:rFonts w:ascii="Calibri" w:hAnsi="Calibri" w:cs="Calibri" w:eastAsia="Calibri" w:hint="default"/>
          <w:i/>
          <w:sz w:val="20"/>
          <w:szCs w:val="20"/>
        </w:rPr>
        <w:t>“I am proud to work in the tourism</w:t>
      </w:r>
      <w:r>
        <w:rPr>
          <w:rFonts w:ascii="Calibri" w:hAnsi="Calibri" w:cs="Calibri" w:eastAsia="Calibri" w:hint="default"/>
          <w:i/>
          <w:spacing w:val="7"/>
          <w:sz w:val="20"/>
          <w:szCs w:val="20"/>
        </w:rPr>
        <w:t> </w:t>
      </w:r>
      <w:r>
        <w:rPr>
          <w:rFonts w:ascii="Calibri" w:hAnsi="Calibri" w:cs="Calibri" w:eastAsia="Calibri" w:hint="default"/>
          <w:i/>
          <w:sz w:val="20"/>
          <w:szCs w:val="20"/>
        </w:rPr>
        <w:t>industry.”</w:t>
      </w:r>
      <w:r>
        <w:rPr>
          <w:rFonts w:ascii="Calibri" w:hAnsi="Calibri" w:cs="Calibri" w:eastAsia="Calibri" w:hint="default"/>
          <w:i/>
          <w:spacing w:val="11"/>
          <w:sz w:val="20"/>
          <w:szCs w:val="20"/>
        </w:rPr>
        <w:t> </w:t>
      </w:r>
      <w:r>
        <w:rPr>
          <w:rFonts w:ascii="Calibri" w:hAnsi="Calibri" w:cs="Calibri" w:eastAsia="Calibri" w:hint="default"/>
          <w:sz w:val="20"/>
          <w:szCs w:val="20"/>
        </w:rPr>
        <w:t>with</w:t>
      </w:r>
      <w:r>
        <w:rPr>
          <w:rFonts w:ascii="Calibri" w:hAnsi="Calibri" w:cs="Calibri" w:eastAsia="Calibri" w:hint="default"/>
          <w:spacing w:val="7"/>
          <w:sz w:val="20"/>
          <w:szCs w:val="20"/>
        </w:rPr>
        <w:t> </w:t>
      </w:r>
      <w:r>
        <w:rPr>
          <w:rFonts w:ascii="Calibri" w:hAnsi="Calibri" w:cs="Calibri" w:eastAsia="Calibri" w:hint="default"/>
          <w:sz w:val="20"/>
          <w:szCs w:val="20"/>
        </w:rPr>
        <w:t>a</w:t>
      </w:r>
      <w:r>
        <w:rPr>
          <w:rFonts w:ascii="Calibri" w:hAnsi="Calibri" w:cs="Calibri" w:eastAsia="Calibri" w:hint="default"/>
          <w:spacing w:val="7"/>
          <w:sz w:val="20"/>
          <w:szCs w:val="20"/>
        </w:rPr>
        <w:t> </w:t>
      </w:r>
      <w:r>
        <w:rPr>
          <w:rFonts w:ascii="Calibri" w:hAnsi="Calibri" w:cs="Calibri" w:eastAsia="Calibri" w:hint="default"/>
          <w:sz w:val="20"/>
          <w:szCs w:val="20"/>
        </w:rPr>
        <w:t>mean</w:t>
      </w:r>
      <w:r>
        <w:rPr>
          <w:rFonts w:ascii="Calibri" w:hAnsi="Calibri" w:cs="Calibri" w:eastAsia="Calibri" w:hint="default"/>
          <w:spacing w:val="7"/>
          <w:sz w:val="20"/>
          <w:szCs w:val="20"/>
        </w:rPr>
        <w:t> </w:t>
      </w:r>
      <w:r>
        <w:rPr>
          <w:rFonts w:ascii="Calibri" w:hAnsi="Calibri" w:cs="Calibri" w:eastAsia="Calibri" w:hint="default"/>
          <w:sz w:val="20"/>
          <w:szCs w:val="20"/>
        </w:rPr>
        <w:t>score</w:t>
      </w:r>
      <w:r>
        <w:rPr>
          <w:rFonts w:ascii="Calibri" w:hAnsi="Calibri" w:cs="Calibri" w:eastAsia="Calibri" w:hint="default"/>
          <w:spacing w:val="6"/>
          <w:sz w:val="20"/>
          <w:szCs w:val="20"/>
        </w:rPr>
        <w:t> </w:t>
      </w:r>
      <w:r>
        <w:rPr>
          <w:rFonts w:ascii="Calibri" w:hAnsi="Calibri" w:cs="Calibri" w:eastAsia="Calibri" w:hint="default"/>
          <w:sz w:val="20"/>
          <w:szCs w:val="20"/>
        </w:rPr>
        <w:t>of</w:t>
      </w:r>
      <w:r>
        <w:rPr>
          <w:rFonts w:ascii="Calibri" w:hAnsi="Calibri" w:cs="Calibri" w:eastAsia="Calibri" w:hint="default"/>
          <w:spacing w:val="5"/>
          <w:sz w:val="20"/>
          <w:szCs w:val="20"/>
        </w:rPr>
        <w:t> </w:t>
      </w:r>
      <w:r>
        <w:rPr>
          <w:rFonts w:ascii="Calibri" w:hAnsi="Calibri" w:cs="Calibri" w:eastAsia="Calibri" w:hint="default"/>
          <w:sz w:val="20"/>
          <w:szCs w:val="20"/>
        </w:rPr>
        <w:t>4.19,</w:t>
      </w:r>
      <w:r>
        <w:rPr>
          <w:rFonts w:ascii="Calibri" w:hAnsi="Calibri" w:cs="Calibri" w:eastAsia="Calibri" w:hint="default"/>
          <w:spacing w:val="7"/>
          <w:sz w:val="20"/>
          <w:szCs w:val="20"/>
        </w:rPr>
        <w:t> </w:t>
      </w:r>
      <w:r>
        <w:rPr>
          <w:rFonts w:ascii="Calibri" w:hAnsi="Calibri" w:cs="Calibri" w:eastAsia="Calibri" w:hint="default"/>
          <w:sz w:val="20"/>
          <w:szCs w:val="20"/>
        </w:rPr>
        <w:t>as</w:t>
      </w:r>
      <w:r>
        <w:rPr>
          <w:rFonts w:ascii="Calibri" w:hAnsi="Calibri" w:cs="Calibri" w:eastAsia="Calibri" w:hint="default"/>
          <w:spacing w:val="6"/>
          <w:sz w:val="20"/>
          <w:szCs w:val="20"/>
        </w:rPr>
        <w:t> </w:t>
      </w:r>
      <w:r>
        <w:rPr>
          <w:rFonts w:ascii="Calibri" w:hAnsi="Calibri" w:cs="Calibri" w:eastAsia="Calibri" w:hint="default"/>
          <w:sz w:val="20"/>
          <w:szCs w:val="20"/>
        </w:rPr>
        <w:t>well</w:t>
      </w:r>
      <w:r>
        <w:rPr>
          <w:rFonts w:ascii="Calibri" w:hAnsi="Calibri" w:cs="Calibri" w:eastAsia="Calibri" w:hint="default"/>
          <w:spacing w:val="6"/>
          <w:sz w:val="20"/>
          <w:szCs w:val="20"/>
        </w:rPr>
        <w:t> </w:t>
      </w:r>
      <w:r>
        <w:rPr>
          <w:rFonts w:ascii="Calibri" w:hAnsi="Calibri" w:cs="Calibri" w:eastAsia="Calibri" w:hint="default"/>
          <w:sz w:val="20"/>
          <w:szCs w:val="20"/>
        </w:rPr>
        <w:t>as,</w:t>
      </w:r>
      <w:r>
        <w:rPr>
          <w:rFonts w:ascii="Calibri" w:hAnsi="Calibri" w:cs="Calibri" w:eastAsia="Calibri" w:hint="default"/>
          <w:spacing w:val="10"/>
          <w:sz w:val="20"/>
          <w:szCs w:val="20"/>
        </w:rPr>
        <w:t> </w:t>
      </w:r>
      <w:r>
        <w:rPr>
          <w:rFonts w:ascii="Calibri" w:hAnsi="Calibri" w:cs="Calibri" w:eastAsia="Calibri" w:hint="default"/>
          <w:i/>
          <w:sz w:val="20"/>
          <w:szCs w:val="20"/>
        </w:rPr>
        <w:t>“A</w:t>
      </w:r>
      <w:r>
        <w:rPr>
          <w:rFonts w:ascii="Calibri" w:hAnsi="Calibri" w:cs="Calibri" w:eastAsia="Calibri" w:hint="default"/>
          <w:i/>
          <w:spacing w:val="8"/>
          <w:sz w:val="20"/>
          <w:szCs w:val="20"/>
        </w:rPr>
        <w:t> </w:t>
      </w:r>
      <w:r>
        <w:rPr>
          <w:rFonts w:ascii="Calibri" w:hAnsi="Calibri" w:cs="Calibri" w:eastAsia="Calibri" w:hint="default"/>
          <w:i/>
          <w:sz w:val="20"/>
          <w:szCs w:val="20"/>
        </w:rPr>
        <w:t>job</w:t>
      </w:r>
      <w:r>
        <w:rPr>
          <w:rFonts w:ascii="Calibri" w:hAnsi="Calibri" w:cs="Calibri" w:eastAsia="Calibri" w:hint="default"/>
          <w:i/>
          <w:spacing w:val="7"/>
          <w:sz w:val="20"/>
          <w:szCs w:val="20"/>
        </w:rPr>
        <w:t> </w:t>
      </w:r>
      <w:r>
        <w:rPr>
          <w:rFonts w:ascii="Calibri" w:hAnsi="Calibri" w:cs="Calibri" w:eastAsia="Calibri" w:hint="default"/>
          <w:i/>
          <w:sz w:val="20"/>
          <w:szCs w:val="20"/>
        </w:rPr>
        <w:t>in</w:t>
      </w:r>
      <w:r>
        <w:rPr>
          <w:rFonts w:ascii="Calibri" w:hAnsi="Calibri" w:cs="Calibri" w:eastAsia="Calibri" w:hint="default"/>
          <w:i/>
          <w:spacing w:val="7"/>
          <w:sz w:val="20"/>
          <w:szCs w:val="20"/>
        </w:rPr>
        <w:t> </w:t>
      </w:r>
      <w:r>
        <w:rPr>
          <w:rFonts w:ascii="Calibri" w:hAnsi="Calibri" w:cs="Calibri" w:eastAsia="Calibri" w:hint="default"/>
          <w:i/>
          <w:sz w:val="20"/>
          <w:szCs w:val="20"/>
        </w:rPr>
        <w:t>the</w:t>
      </w:r>
      <w:r>
        <w:rPr>
          <w:rFonts w:ascii="Calibri" w:hAnsi="Calibri" w:cs="Calibri" w:eastAsia="Calibri" w:hint="default"/>
          <w:i/>
          <w:spacing w:val="7"/>
          <w:sz w:val="20"/>
          <w:szCs w:val="20"/>
        </w:rPr>
        <w:t> </w:t>
      </w:r>
      <w:r>
        <w:rPr>
          <w:rFonts w:ascii="Calibri" w:hAnsi="Calibri" w:cs="Calibri" w:eastAsia="Calibri" w:hint="default"/>
          <w:i/>
          <w:sz w:val="20"/>
          <w:szCs w:val="20"/>
        </w:rPr>
        <w:t>tourism</w:t>
      </w:r>
      <w:r>
        <w:rPr>
          <w:rFonts w:ascii="Calibri" w:hAnsi="Calibri" w:cs="Calibri" w:eastAsia="Calibri" w:hint="default"/>
          <w:i/>
          <w:spacing w:val="7"/>
          <w:sz w:val="20"/>
          <w:szCs w:val="20"/>
        </w:rPr>
        <w:t> </w:t>
      </w:r>
      <w:r>
        <w:rPr>
          <w:rFonts w:ascii="Calibri" w:hAnsi="Calibri" w:cs="Calibri" w:eastAsia="Calibri" w:hint="default"/>
          <w:i/>
          <w:sz w:val="20"/>
          <w:szCs w:val="20"/>
        </w:rPr>
        <w:t>industry</w:t>
      </w:r>
      <w:r>
        <w:rPr>
          <w:rFonts w:ascii="Calibri" w:hAnsi="Calibri" w:cs="Calibri" w:eastAsia="Calibri" w:hint="default"/>
          <w:i/>
          <w:spacing w:val="6"/>
          <w:sz w:val="20"/>
          <w:szCs w:val="20"/>
        </w:rPr>
        <w:t> </w:t>
      </w:r>
      <w:r>
        <w:rPr>
          <w:rFonts w:ascii="Calibri" w:hAnsi="Calibri" w:cs="Calibri" w:eastAsia="Calibri" w:hint="default"/>
          <w:i/>
          <w:sz w:val="20"/>
          <w:szCs w:val="20"/>
        </w:rPr>
        <w:t>is</w:t>
      </w:r>
      <w:r>
        <w:rPr>
          <w:rFonts w:ascii="Calibri" w:hAnsi="Calibri" w:cs="Calibri" w:eastAsia="Calibri" w:hint="default"/>
          <w:i/>
          <w:spacing w:val="8"/>
          <w:sz w:val="20"/>
          <w:szCs w:val="20"/>
        </w:rPr>
        <w:t> </w:t>
      </w:r>
      <w:r>
        <w:rPr>
          <w:rFonts w:ascii="Calibri" w:hAnsi="Calibri" w:cs="Calibri" w:eastAsia="Calibri" w:hint="default"/>
          <w:i/>
          <w:sz w:val="20"/>
          <w:szCs w:val="20"/>
        </w:rPr>
        <w:t>important.”</w:t>
      </w:r>
      <w:r>
        <w:rPr>
          <w:rFonts w:ascii="Calibri" w:hAnsi="Calibri" w:cs="Calibri" w:eastAsia="Calibri" w:hint="default"/>
          <w:i/>
          <w:spacing w:val="14"/>
          <w:sz w:val="20"/>
          <w:szCs w:val="20"/>
        </w:rPr>
        <w:t> </w:t>
      </w:r>
      <w:r>
        <w:rPr>
          <w:rFonts w:ascii="Calibri" w:hAnsi="Calibri" w:cs="Calibri" w:eastAsia="Calibri" w:hint="default"/>
          <w:sz w:val="20"/>
          <w:szCs w:val="20"/>
        </w:rPr>
        <w:t>with</w:t>
      </w:r>
      <w:r>
        <w:rPr>
          <w:rFonts w:ascii="Calibri" w:hAnsi="Calibri" w:cs="Calibri" w:eastAsia="Calibri" w:hint="default"/>
          <w:spacing w:val="7"/>
          <w:sz w:val="20"/>
          <w:szCs w:val="20"/>
        </w:rPr>
        <w:t> </w:t>
      </w:r>
      <w:r>
        <w:rPr>
          <w:rFonts w:ascii="Calibri" w:hAnsi="Calibri" w:cs="Calibri" w:eastAsia="Calibri" w:hint="default"/>
          <w:sz w:val="20"/>
          <w:szCs w:val="20"/>
        </w:rPr>
        <w:t>a</w:t>
      </w:r>
      <w:r>
        <w:rPr>
          <w:rFonts w:ascii="Calibri" w:hAnsi="Calibri" w:cs="Calibri" w:eastAsia="Calibri" w:hint="default"/>
          <w:spacing w:val="7"/>
          <w:sz w:val="20"/>
          <w:szCs w:val="20"/>
        </w:rPr>
        <w:t> </w:t>
      </w:r>
      <w:r>
        <w:rPr>
          <w:rFonts w:ascii="Calibri" w:hAnsi="Calibri" w:cs="Calibri" w:eastAsia="Calibri" w:hint="default"/>
          <w:sz w:val="20"/>
          <w:szCs w:val="20"/>
        </w:rPr>
        <w:t>mean</w:t>
      </w:r>
    </w:p>
    <w:p>
      <w:pPr>
        <w:spacing w:after="0"/>
        <w:jc w:val="both"/>
        <w:rPr>
          <w:rFonts w:ascii="Calibri" w:hAnsi="Calibri" w:cs="Calibri" w:eastAsia="Calibri" w:hint="default"/>
          <w:sz w:val="20"/>
          <w:szCs w:val="20"/>
        </w:rPr>
        <w:sectPr>
          <w:footerReference w:type="default" r:id="rId33"/>
          <w:pgSz w:w="12240" w:h="15840"/>
          <w:pgMar w:footer="533" w:header="0" w:top="840" w:bottom="720" w:left="0" w:right="0"/>
          <w:pgNumType w:start="31"/>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6"/>
        <w:jc w:val="both"/>
      </w:pPr>
      <w:r>
        <w:rPr/>
        <w:t>score</w:t>
      </w:r>
      <w:r>
        <w:rPr>
          <w:spacing w:val="-5"/>
        </w:rPr>
        <w:t> </w:t>
      </w:r>
      <w:r>
        <w:rPr/>
        <w:t>of</w:t>
      </w:r>
      <w:r>
        <w:rPr>
          <w:spacing w:val="-8"/>
        </w:rPr>
        <w:t> </w:t>
      </w:r>
      <w:r>
        <w:rPr/>
        <w:t>4.03.</w:t>
      </w:r>
      <w:r>
        <w:rPr>
          <w:spacing w:val="35"/>
        </w:rPr>
        <w:t> </w:t>
      </w:r>
      <w:r>
        <w:rPr/>
        <w:t>Overall,</w:t>
      </w:r>
      <w:r>
        <w:rPr>
          <w:spacing w:val="-7"/>
        </w:rPr>
        <w:t> </w:t>
      </w:r>
      <w:r>
        <w:rPr/>
        <w:t>the</w:t>
      </w:r>
      <w:r>
        <w:rPr>
          <w:spacing w:val="-8"/>
        </w:rPr>
        <w:t> </w:t>
      </w:r>
      <w:r>
        <w:rPr/>
        <w:t>attitudes</w:t>
      </w:r>
      <w:r>
        <w:rPr>
          <w:spacing w:val="-8"/>
        </w:rPr>
        <w:t> </w:t>
      </w:r>
      <w:r>
        <w:rPr/>
        <w:t>toward</w:t>
      </w:r>
      <w:r>
        <w:rPr>
          <w:spacing w:val="-6"/>
        </w:rPr>
        <w:t> </w:t>
      </w:r>
      <w:r>
        <w:rPr/>
        <w:t>tourism</w:t>
      </w:r>
      <w:r>
        <w:rPr>
          <w:spacing w:val="-8"/>
        </w:rPr>
        <w:t> </w:t>
      </w:r>
      <w:r>
        <w:rPr/>
        <w:t>and</w:t>
      </w:r>
      <w:r>
        <w:rPr>
          <w:spacing w:val="-6"/>
        </w:rPr>
        <w:t> </w:t>
      </w:r>
      <w:r>
        <w:rPr/>
        <w:t>customer</w:t>
      </w:r>
      <w:r>
        <w:rPr>
          <w:spacing w:val="-4"/>
        </w:rPr>
        <w:t> </w:t>
      </w:r>
      <w:r>
        <w:rPr/>
        <w:t>service</w:t>
      </w:r>
      <w:r>
        <w:rPr>
          <w:spacing w:val="-5"/>
        </w:rPr>
        <w:t> </w:t>
      </w:r>
      <w:r>
        <w:rPr/>
        <w:t>were</w:t>
      </w:r>
      <w:r>
        <w:rPr>
          <w:spacing w:val="-8"/>
        </w:rPr>
        <w:t> </w:t>
      </w:r>
      <w:r>
        <w:rPr/>
        <w:t>highly</w:t>
      </w:r>
      <w:r>
        <w:rPr>
          <w:spacing w:val="-6"/>
        </w:rPr>
        <w:t> </w:t>
      </w:r>
      <w:r>
        <w:rPr/>
        <w:t>favorable as</w:t>
      </w:r>
      <w:r>
        <w:rPr>
          <w:spacing w:val="-7"/>
        </w:rPr>
        <w:t> </w:t>
      </w:r>
      <w:r>
        <w:rPr/>
        <w:t>attested</w:t>
      </w:r>
      <w:r>
        <w:rPr>
          <w:spacing w:val="-4"/>
        </w:rPr>
        <w:t> </w:t>
      </w:r>
      <w:r>
        <w:rPr/>
        <w:t>in</w:t>
      </w:r>
      <w:r>
        <w:rPr>
          <w:spacing w:val="-6"/>
        </w:rPr>
        <w:t> </w:t>
      </w:r>
      <w:r>
        <w:rPr/>
        <w:t>Table </w:t>
      </w:r>
      <w:r>
        <w:rPr/>
        <w:t>18.</w:t>
      </w:r>
    </w:p>
    <w:p>
      <w:pPr>
        <w:spacing w:line="240" w:lineRule="auto" w:before="11"/>
        <w:ind w:right="0"/>
        <w:rPr>
          <w:rFonts w:ascii="Calibri" w:hAnsi="Calibri" w:cs="Calibri" w:eastAsia="Calibri" w:hint="default"/>
          <w:sz w:val="22"/>
          <w:szCs w:val="22"/>
        </w:rPr>
      </w:pPr>
    </w:p>
    <w:p>
      <w:pPr>
        <w:pStyle w:val="Heading2"/>
        <w:spacing w:line="240" w:lineRule="auto" w:before="0"/>
        <w:ind w:right="0"/>
        <w:jc w:val="both"/>
        <w:rPr>
          <w:b w:val="0"/>
          <w:bCs w:val="0"/>
        </w:rPr>
      </w:pPr>
      <w:bookmarkStart w:name="_bookmark65" w:id="66"/>
      <w:bookmarkEnd w:id="66"/>
      <w:r>
        <w:rPr>
          <w:b w:val="0"/>
        </w:rPr>
      </w:r>
      <w:r>
        <w:rPr/>
        <w:t>Tourism works with misaligned local</w:t>
      </w:r>
      <w:r>
        <w:rPr>
          <w:spacing w:val="-28"/>
        </w:rPr>
        <w:t> </w:t>
      </w:r>
      <w:r>
        <w:rPr/>
        <w:t>perceptions</w:t>
      </w:r>
      <w:r>
        <w:rPr>
          <w:b w:val="0"/>
        </w:rPr>
      </w:r>
    </w:p>
    <w:p>
      <w:pPr>
        <w:pStyle w:val="BodyText"/>
        <w:spacing w:line="240" w:lineRule="auto" w:before="191"/>
        <w:ind w:right="1433"/>
        <w:jc w:val="both"/>
      </w:pPr>
      <w:r>
        <w:rPr/>
        <w:t>In summary, Chapter 3 reveals that tourism spending has increased significantly over the past 15 years and is outperforming other destinations within the Caribbean. The spending </w:t>
      </w:r>
      <w:r>
        <w:rPr>
          <w:spacing w:val="2"/>
        </w:rPr>
        <w:t>per </w:t>
      </w:r>
      <w:r>
        <w:rPr/>
        <w:t>arrival was US$925.5 in 2014; and the </w:t>
      </w:r>
      <w:r>
        <w:rPr/>
        <w:t>steady increase in tourist receipts over </w:t>
      </w:r>
      <w:r>
        <w:rPr>
          <w:rFonts w:ascii="Calibri" w:hAnsi="Calibri" w:cs="Calibri" w:eastAsia="Calibri" w:hint="default"/>
        </w:rPr>
        <w:t>time suggests strong performance in Curaçao’s tourism sector. Data reveals </w:t>
      </w:r>
      <w:r>
        <w:rPr/>
        <w:t>that the spending per tourist touches a multitude of different suppliers that includes conventional tourism businesses, as well as non-conventional businesses, such as banks, utilities, and</w:t>
      </w:r>
      <w:r>
        <w:rPr>
          <w:spacing w:val="-27"/>
        </w:rPr>
        <w:t> </w:t>
      </w:r>
      <w:r>
        <w:rPr/>
        <w:t>manufacturing.</w:t>
      </w:r>
    </w:p>
    <w:p>
      <w:pPr>
        <w:spacing w:line="240" w:lineRule="auto" w:before="11"/>
        <w:ind w:right="0"/>
        <w:rPr>
          <w:rFonts w:ascii="Calibri" w:hAnsi="Calibri" w:cs="Calibri" w:eastAsia="Calibri" w:hint="default"/>
          <w:sz w:val="19"/>
          <w:szCs w:val="19"/>
        </w:rPr>
      </w:pPr>
    </w:p>
    <w:p>
      <w:pPr>
        <w:pStyle w:val="BodyText"/>
        <w:spacing w:line="240" w:lineRule="auto"/>
        <w:ind w:right="1439"/>
        <w:jc w:val="both"/>
      </w:pPr>
      <w:r>
        <w:rPr/>
        <w:t>A note of concern is that there is a growing trend in the data from those tourists who arrive to Curaçao but do not stay in hotels (approximately 42% of the 2014 tourism receipts did not include hotel accommodations). This shift in hotel</w:t>
      </w:r>
      <w:r>
        <w:rPr>
          <w:spacing w:val="-14"/>
        </w:rPr>
        <w:t> </w:t>
      </w:r>
      <w:r>
        <w:rPr/>
        <w:t>expenditures</w:t>
      </w:r>
      <w:r>
        <w:rPr>
          <w:spacing w:val="-15"/>
        </w:rPr>
        <w:t> </w:t>
      </w:r>
      <w:r>
        <w:rPr/>
        <w:t>has</w:t>
      </w:r>
      <w:r>
        <w:rPr>
          <w:spacing w:val="-14"/>
        </w:rPr>
        <w:t> </w:t>
      </w:r>
      <w:r>
        <w:rPr/>
        <w:t>had</w:t>
      </w:r>
      <w:r>
        <w:rPr>
          <w:spacing w:val="-12"/>
        </w:rPr>
        <w:t> </w:t>
      </w:r>
      <w:r>
        <w:rPr/>
        <w:t>a</w:t>
      </w:r>
      <w:r>
        <w:rPr>
          <w:spacing w:val="-15"/>
        </w:rPr>
        <w:t> </w:t>
      </w:r>
      <w:r>
        <w:rPr/>
        <w:t>direct</w:t>
      </w:r>
      <w:r>
        <w:rPr>
          <w:spacing w:val="-13"/>
        </w:rPr>
        <w:t> </w:t>
      </w:r>
      <w:r>
        <w:rPr/>
        <w:t>negative</w:t>
      </w:r>
      <w:r>
        <w:rPr>
          <w:spacing w:val="-14"/>
        </w:rPr>
        <w:t> </w:t>
      </w:r>
      <w:r>
        <w:rPr/>
        <w:t>implication</w:t>
      </w:r>
      <w:r>
        <w:rPr>
          <w:spacing w:val="-13"/>
        </w:rPr>
        <w:t> </w:t>
      </w:r>
      <w:r>
        <w:rPr/>
        <w:t>on</w:t>
      </w:r>
      <w:r>
        <w:rPr>
          <w:spacing w:val="-13"/>
        </w:rPr>
        <w:t> </w:t>
      </w:r>
      <w:r>
        <w:rPr/>
        <w:t>the</w:t>
      </w:r>
      <w:r>
        <w:rPr>
          <w:spacing w:val="-14"/>
        </w:rPr>
        <w:t> </w:t>
      </w:r>
      <w:r>
        <w:rPr/>
        <w:t>disbursement</w:t>
      </w:r>
      <w:r>
        <w:rPr>
          <w:spacing w:val="-13"/>
        </w:rPr>
        <w:t> </w:t>
      </w:r>
      <w:r>
        <w:rPr/>
        <w:t>of</w:t>
      </w:r>
      <w:r>
        <w:rPr>
          <w:spacing w:val="-14"/>
        </w:rPr>
        <w:t> </w:t>
      </w:r>
      <w:r>
        <w:rPr/>
        <w:t>revenues</w:t>
      </w:r>
      <w:r>
        <w:rPr>
          <w:spacing w:val="-12"/>
        </w:rPr>
        <w:t> </w:t>
      </w:r>
      <w:r>
        <w:rPr/>
        <w:t>earned</w:t>
      </w:r>
      <w:r>
        <w:rPr>
          <w:spacing w:val="-13"/>
        </w:rPr>
        <w:t> </w:t>
      </w:r>
      <w:r>
        <w:rPr/>
        <w:t>via</w:t>
      </w:r>
      <w:r>
        <w:rPr>
          <w:spacing w:val="-13"/>
        </w:rPr>
        <w:t> </w:t>
      </w:r>
      <w:r>
        <w:rPr/>
        <w:t>tourist</w:t>
      </w:r>
      <w:r>
        <w:rPr>
          <w:spacing w:val="-13"/>
        </w:rPr>
        <w:t> </w:t>
      </w:r>
      <w:r>
        <w:rPr/>
        <w:t>receipts. </w:t>
      </w:r>
      <w:r>
        <w:rPr/>
        <w:t>The</w:t>
      </w:r>
      <w:r>
        <w:rPr>
          <w:spacing w:val="-4"/>
        </w:rPr>
        <w:t> </w:t>
      </w:r>
      <w:r>
        <w:rPr/>
        <w:t>revenues</w:t>
      </w:r>
      <w:r>
        <w:rPr>
          <w:spacing w:val="-5"/>
        </w:rPr>
        <w:t> </w:t>
      </w:r>
      <w:r>
        <w:rPr/>
        <w:t>earned</w:t>
      </w:r>
      <w:r>
        <w:rPr>
          <w:spacing w:val="-3"/>
        </w:rPr>
        <w:t> </w:t>
      </w:r>
      <w:r>
        <w:rPr/>
        <w:t>by</w:t>
      </w:r>
      <w:r>
        <w:rPr>
          <w:spacing w:val="-3"/>
        </w:rPr>
        <w:t> </w:t>
      </w:r>
      <w:r>
        <w:rPr/>
        <w:t>nearly</w:t>
      </w:r>
      <w:r>
        <w:rPr>
          <w:spacing w:val="-3"/>
        </w:rPr>
        <w:t> </w:t>
      </w:r>
      <w:r>
        <w:rPr/>
        <w:t>half</w:t>
      </w:r>
      <w:r>
        <w:rPr>
          <w:spacing w:val="-4"/>
        </w:rPr>
        <w:t> </w:t>
      </w:r>
      <w:r>
        <w:rPr/>
        <w:t>of</w:t>
      </w:r>
      <w:r>
        <w:rPr>
          <w:spacing w:val="-5"/>
        </w:rPr>
        <w:t> </w:t>
      </w:r>
      <w:r>
        <w:rPr/>
        <w:t>the</w:t>
      </w:r>
      <w:r>
        <w:rPr>
          <w:spacing w:val="-4"/>
        </w:rPr>
        <w:t> </w:t>
      </w:r>
      <w:r>
        <w:rPr/>
        <w:t>tourism</w:t>
      </w:r>
      <w:r>
        <w:rPr>
          <w:spacing w:val="1"/>
        </w:rPr>
        <w:t> </w:t>
      </w:r>
      <w:r>
        <w:rPr/>
        <w:t>receipts</w:t>
      </w:r>
      <w:r>
        <w:rPr>
          <w:spacing w:val="-4"/>
        </w:rPr>
        <w:t> </w:t>
      </w:r>
      <w:r>
        <w:rPr/>
        <w:t>is</w:t>
      </w:r>
      <w:r>
        <w:rPr>
          <w:spacing w:val="-4"/>
        </w:rPr>
        <w:t> </w:t>
      </w:r>
      <w:r>
        <w:rPr/>
        <w:t>filtered</w:t>
      </w:r>
      <w:r>
        <w:rPr>
          <w:spacing w:val="-3"/>
        </w:rPr>
        <w:t> </w:t>
      </w:r>
      <w:r>
        <w:rPr/>
        <w:t>through</w:t>
      </w:r>
      <w:r>
        <w:rPr>
          <w:spacing w:val="-3"/>
        </w:rPr>
        <w:t> </w:t>
      </w:r>
      <w:r>
        <w:rPr/>
        <w:t>less</w:t>
      </w:r>
      <w:r>
        <w:rPr>
          <w:spacing w:val="-5"/>
        </w:rPr>
        <w:t> </w:t>
      </w:r>
      <w:r>
        <w:rPr/>
        <w:t>potent</w:t>
      </w:r>
      <w:r>
        <w:rPr>
          <w:spacing w:val="-3"/>
        </w:rPr>
        <w:t> </w:t>
      </w:r>
      <w:r>
        <w:rPr/>
        <w:t>economic</w:t>
      </w:r>
      <w:r>
        <w:rPr>
          <w:spacing w:val="-4"/>
        </w:rPr>
        <w:t> </w:t>
      </w:r>
      <w:r>
        <w:rPr/>
        <w:t>multipliers</w:t>
      </w:r>
      <w:r>
        <w:rPr>
          <w:spacing w:val="-5"/>
        </w:rPr>
        <w:t> </w:t>
      </w:r>
      <w:r>
        <w:rPr/>
        <w:t>than </w:t>
      </w:r>
      <w:r>
        <w:rPr/>
        <w:t>that of the hotel industry. Additionally, the data reveals that while the Dutch segment has a comparable per trip expenditure to other market segments, their length of stay is longer, thereby reducing the daily amount spent on the</w:t>
      </w:r>
      <w:r>
        <w:rPr>
          <w:spacing w:val="-4"/>
        </w:rPr>
        <w:t> </w:t>
      </w:r>
      <w:r>
        <w:rPr/>
        <w:t>island.</w:t>
      </w:r>
    </w:p>
    <w:p>
      <w:pPr>
        <w:spacing w:line="240" w:lineRule="auto" w:before="11"/>
        <w:ind w:right="0"/>
        <w:rPr>
          <w:rFonts w:ascii="Calibri" w:hAnsi="Calibri" w:cs="Calibri" w:eastAsia="Calibri" w:hint="default"/>
          <w:sz w:val="19"/>
          <w:szCs w:val="19"/>
        </w:rPr>
      </w:pPr>
    </w:p>
    <w:p>
      <w:pPr>
        <w:pStyle w:val="BodyText"/>
        <w:spacing w:line="240" w:lineRule="auto"/>
        <w:ind w:right="1437"/>
        <w:jc w:val="both"/>
      </w:pPr>
      <w:r>
        <w:rPr/>
        <w:t>The American market reveals a clear preference to stay in hotels where 8 out of 10 Americans stay in hotels versus less</w:t>
      </w:r>
      <w:r>
        <w:rPr>
          <w:spacing w:val="-8"/>
        </w:rPr>
        <w:t> </w:t>
      </w:r>
      <w:r>
        <w:rPr/>
        <w:t>than</w:t>
      </w:r>
      <w:r>
        <w:rPr>
          <w:spacing w:val="-6"/>
        </w:rPr>
        <w:t> </w:t>
      </w:r>
      <w:r>
        <w:rPr/>
        <w:t>5</w:t>
      </w:r>
      <w:r>
        <w:rPr>
          <w:spacing w:val="-7"/>
        </w:rPr>
        <w:t> </w:t>
      </w:r>
      <w:r>
        <w:rPr/>
        <w:t>out</w:t>
      </w:r>
      <w:r>
        <w:rPr>
          <w:spacing w:val="-6"/>
        </w:rPr>
        <w:t> </w:t>
      </w:r>
      <w:r>
        <w:rPr/>
        <w:t>of</w:t>
      </w:r>
      <w:r>
        <w:rPr>
          <w:spacing w:val="-8"/>
        </w:rPr>
        <w:t> </w:t>
      </w:r>
      <w:r>
        <w:rPr/>
        <w:t>10</w:t>
      </w:r>
      <w:r>
        <w:rPr>
          <w:spacing w:val="-7"/>
        </w:rPr>
        <w:t> </w:t>
      </w:r>
      <w:r>
        <w:rPr/>
        <w:t>Dutch</w:t>
      </w:r>
      <w:r>
        <w:rPr>
          <w:spacing w:val="-6"/>
        </w:rPr>
        <w:t> </w:t>
      </w:r>
      <w:r>
        <w:rPr/>
        <w:t>tourists</w:t>
      </w:r>
      <w:r>
        <w:rPr>
          <w:spacing w:val="-5"/>
        </w:rPr>
        <w:t> </w:t>
      </w:r>
      <w:r>
        <w:rPr/>
        <w:t>who</w:t>
      </w:r>
      <w:r>
        <w:rPr>
          <w:spacing w:val="-7"/>
        </w:rPr>
        <w:t> </w:t>
      </w:r>
      <w:r>
        <w:rPr/>
        <w:t>stay</w:t>
      </w:r>
      <w:r>
        <w:rPr>
          <w:spacing w:val="-6"/>
        </w:rPr>
        <w:t> </w:t>
      </w:r>
      <w:r>
        <w:rPr/>
        <w:t>in</w:t>
      </w:r>
      <w:r>
        <w:rPr>
          <w:spacing w:val="-6"/>
        </w:rPr>
        <w:t> </w:t>
      </w:r>
      <w:r>
        <w:rPr/>
        <w:t>hotels.</w:t>
      </w:r>
      <w:r>
        <w:rPr>
          <w:spacing w:val="32"/>
        </w:rPr>
        <w:t> </w:t>
      </w:r>
      <w:r>
        <w:rPr/>
        <w:t>The</w:t>
      </w:r>
      <w:r>
        <w:rPr>
          <w:spacing w:val="-2"/>
        </w:rPr>
        <w:t> </w:t>
      </w:r>
      <w:r>
        <w:rPr/>
        <w:t>American</w:t>
      </w:r>
      <w:r>
        <w:rPr>
          <w:spacing w:val="-5"/>
        </w:rPr>
        <w:t> </w:t>
      </w:r>
      <w:r>
        <w:rPr/>
        <w:t>preference</w:t>
      </w:r>
      <w:r>
        <w:rPr>
          <w:spacing w:val="-8"/>
        </w:rPr>
        <w:t> </w:t>
      </w:r>
      <w:r>
        <w:rPr/>
        <w:t>to</w:t>
      </w:r>
      <w:r>
        <w:rPr>
          <w:spacing w:val="-4"/>
        </w:rPr>
        <w:t> </w:t>
      </w:r>
      <w:r>
        <w:rPr/>
        <w:t>stay</w:t>
      </w:r>
      <w:r>
        <w:rPr>
          <w:spacing w:val="-5"/>
        </w:rPr>
        <w:t> </w:t>
      </w:r>
      <w:r>
        <w:rPr/>
        <w:t>in</w:t>
      </w:r>
      <w:r>
        <w:rPr>
          <w:spacing w:val="-6"/>
        </w:rPr>
        <w:t> </w:t>
      </w:r>
      <w:r>
        <w:rPr/>
        <w:t>hotels</w:t>
      </w:r>
      <w:r>
        <w:rPr>
          <w:spacing w:val="-8"/>
        </w:rPr>
        <w:t> </w:t>
      </w:r>
      <w:r>
        <w:rPr/>
        <w:t>directly</w:t>
      </w:r>
      <w:r>
        <w:rPr>
          <w:spacing w:val="-6"/>
        </w:rPr>
        <w:t> </w:t>
      </w:r>
      <w:r>
        <w:rPr/>
        <w:t>effects</w:t>
      </w:r>
      <w:r>
        <w:rPr>
          <w:spacing w:val="-8"/>
        </w:rPr>
        <w:t> </w:t>
      </w:r>
      <w:r>
        <w:rPr/>
        <w:t>the </w:t>
      </w:r>
      <w:r>
        <w:rPr/>
        <w:t>economic</w:t>
      </w:r>
      <w:r>
        <w:rPr>
          <w:spacing w:val="-6"/>
        </w:rPr>
        <w:t> </w:t>
      </w:r>
      <w:r>
        <w:rPr/>
        <w:t>multiplier</w:t>
      </w:r>
      <w:r>
        <w:rPr>
          <w:spacing w:val="-5"/>
        </w:rPr>
        <w:t> </w:t>
      </w:r>
      <w:r>
        <w:rPr/>
        <w:t>for</w:t>
      </w:r>
      <w:r>
        <w:rPr>
          <w:spacing w:val="-5"/>
        </w:rPr>
        <w:t> </w:t>
      </w:r>
      <w:r>
        <w:rPr/>
        <w:t>Curaçao.</w:t>
      </w:r>
      <w:r>
        <w:rPr>
          <w:spacing w:val="36"/>
        </w:rPr>
        <w:t> </w:t>
      </w:r>
      <w:r>
        <w:rPr/>
        <w:t>Of</w:t>
      </w:r>
      <w:r>
        <w:rPr>
          <w:spacing w:val="-6"/>
        </w:rPr>
        <w:t> </w:t>
      </w:r>
      <w:r>
        <w:rPr/>
        <w:t>all</w:t>
      </w:r>
      <w:r>
        <w:rPr>
          <w:spacing w:val="-7"/>
        </w:rPr>
        <w:t> </w:t>
      </w:r>
      <w:r>
        <w:rPr/>
        <w:t>the</w:t>
      </w:r>
      <w:r>
        <w:rPr>
          <w:spacing w:val="-6"/>
        </w:rPr>
        <w:t> </w:t>
      </w:r>
      <w:r>
        <w:rPr/>
        <w:t>market</w:t>
      </w:r>
      <w:r>
        <w:rPr>
          <w:spacing w:val="-5"/>
        </w:rPr>
        <w:t> </w:t>
      </w:r>
      <w:r>
        <w:rPr/>
        <w:t>segments</w:t>
      </w:r>
      <w:r>
        <w:rPr>
          <w:spacing w:val="-6"/>
        </w:rPr>
        <w:t> </w:t>
      </w:r>
      <w:r>
        <w:rPr/>
        <w:t>frequenting</w:t>
      </w:r>
      <w:r>
        <w:rPr>
          <w:spacing w:val="-6"/>
        </w:rPr>
        <w:t> </w:t>
      </w:r>
      <w:r>
        <w:rPr/>
        <w:t>Curaçao,</w:t>
      </w:r>
      <w:r>
        <w:rPr>
          <w:spacing w:val="-5"/>
        </w:rPr>
        <w:t> </w:t>
      </w:r>
      <w:r>
        <w:rPr/>
        <w:t>the</w:t>
      </w:r>
      <w:r>
        <w:rPr>
          <w:spacing w:val="-6"/>
        </w:rPr>
        <w:t> </w:t>
      </w:r>
      <w:r>
        <w:rPr/>
        <w:t>American</w:t>
      </w:r>
      <w:r>
        <w:rPr>
          <w:spacing w:val="-5"/>
        </w:rPr>
        <w:t> </w:t>
      </w:r>
      <w:r>
        <w:rPr/>
        <w:t>market</w:t>
      </w:r>
      <w:r>
        <w:rPr>
          <w:spacing w:val="-5"/>
        </w:rPr>
        <w:t> </w:t>
      </w:r>
      <w:r>
        <w:rPr/>
        <w:t>spends</w:t>
      </w:r>
      <w:r>
        <w:rPr>
          <w:spacing w:val="-6"/>
        </w:rPr>
        <w:t> </w:t>
      </w:r>
      <w:r>
        <w:rPr/>
        <w:t>the </w:t>
      </w:r>
      <w:r>
        <w:rPr/>
        <w:t>most per</w:t>
      </w:r>
      <w:r>
        <w:rPr>
          <w:spacing w:val="-7"/>
        </w:rPr>
        <w:t> </w:t>
      </w:r>
      <w:r>
        <w:rPr/>
        <w:t>day.</w:t>
      </w:r>
    </w:p>
    <w:p>
      <w:pPr>
        <w:spacing w:line="240" w:lineRule="auto" w:before="1"/>
        <w:ind w:right="0"/>
        <w:rPr>
          <w:rFonts w:ascii="Calibri" w:hAnsi="Calibri" w:cs="Calibri" w:eastAsia="Calibri" w:hint="default"/>
          <w:sz w:val="20"/>
          <w:szCs w:val="20"/>
        </w:rPr>
      </w:pPr>
    </w:p>
    <w:p>
      <w:pPr>
        <w:pStyle w:val="BodyText"/>
        <w:spacing w:line="240" w:lineRule="auto"/>
        <w:ind w:right="1440"/>
        <w:jc w:val="both"/>
      </w:pPr>
      <w:r>
        <w:rPr/>
        <w:t>Therefore, a concerted effort should be made toward the acquisition of the American market that spends more money per day, stays for less time, but spends about the same per trip as the Dutch market. This recommendation also takes into consideration that the less time a tourist stays on the island, the less amount of attractions are required</w:t>
      </w:r>
      <w:r>
        <w:rPr>
          <w:spacing w:val="-4"/>
        </w:rPr>
        <w:t> </w:t>
      </w:r>
      <w:r>
        <w:rPr/>
        <w:t>to</w:t>
      </w:r>
      <w:r>
        <w:rPr>
          <w:spacing w:val="-4"/>
        </w:rPr>
        <w:t> </w:t>
      </w:r>
      <w:r>
        <w:rPr/>
        <w:t>entertain</w:t>
      </w:r>
      <w:r>
        <w:rPr>
          <w:spacing w:val="-4"/>
        </w:rPr>
        <w:t> </w:t>
      </w:r>
      <w:r>
        <w:rPr/>
        <w:t>those</w:t>
      </w:r>
      <w:r>
        <w:rPr>
          <w:spacing w:val="-5"/>
        </w:rPr>
        <w:t> </w:t>
      </w:r>
      <w:r>
        <w:rPr/>
        <w:t>tourists;</w:t>
      </w:r>
      <w:r>
        <w:rPr>
          <w:spacing w:val="-3"/>
        </w:rPr>
        <w:t> </w:t>
      </w:r>
      <w:r>
        <w:rPr/>
        <w:t>whereas,</w:t>
      </w:r>
      <w:r>
        <w:rPr>
          <w:spacing w:val="-4"/>
        </w:rPr>
        <w:t> </w:t>
      </w:r>
      <w:r>
        <w:rPr/>
        <w:t>the</w:t>
      </w:r>
      <w:r>
        <w:rPr>
          <w:spacing w:val="-5"/>
        </w:rPr>
        <w:t> </w:t>
      </w:r>
      <w:r>
        <w:rPr/>
        <w:t>markets</w:t>
      </w:r>
      <w:r>
        <w:rPr>
          <w:spacing w:val="-5"/>
        </w:rPr>
        <w:t> </w:t>
      </w:r>
      <w:r>
        <w:rPr/>
        <w:t>that</w:t>
      </w:r>
      <w:r>
        <w:rPr>
          <w:spacing w:val="-4"/>
        </w:rPr>
        <w:t> </w:t>
      </w:r>
      <w:r>
        <w:rPr/>
        <w:t>have</w:t>
      </w:r>
      <w:r>
        <w:rPr>
          <w:spacing w:val="-5"/>
        </w:rPr>
        <w:t> </w:t>
      </w:r>
      <w:r>
        <w:rPr/>
        <w:t>longer</w:t>
      </w:r>
      <w:r>
        <w:rPr>
          <w:spacing w:val="-4"/>
        </w:rPr>
        <w:t> </w:t>
      </w:r>
      <w:r>
        <w:rPr/>
        <w:t>lengths</w:t>
      </w:r>
      <w:r>
        <w:rPr>
          <w:spacing w:val="-5"/>
        </w:rPr>
        <w:t> </w:t>
      </w:r>
      <w:r>
        <w:rPr/>
        <w:t>of</w:t>
      </w:r>
      <w:r>
        <w:rPr>
          <w:spacing w:val="-5"/>
        </w:rPr>
        <w:t> </w:t>
      </w:r>
      <w:r>
        <w:rPr/>
        <w:t>stay</w:t>
      </w:r>
      <w:r>
        <w:rPr>
          <w:spacing w:val="-4"/>
        </w:rPr>
        <w:t> </w:t>
      </w:r>
      <w:r>
        <w:rPr/>
        <w:t>require</w:t>
      </w:r>
      <w:r>
        <w:rPr>
          <w:spacing w:val="-5"/>
        </w:rPr>
        <w:t> </w:t>
      </w:r>
      <w:r>
        <w:rPr/>
        <w:t>more</w:t>
      </w:r>
      <w:r>
        <w:rPr>
          <w:spacing w:val="-5"/>
        </w:rPr>
        <w:t> </w:t>
      </w:r>
      <w:r>
        <w:rPr/>
        <w:t>attractions </w:t>
      </w:r>
      <w:r>
        <w:rPr/>
        <w:t>to keep them entertained during their</w:t>
      </w:r>
      <w:r>
        <w:rPr>
          <w:spacing w:val="-24"/>
        </w:rPr>
        <w:t> </w:t>
      </w:r>
      <w:r>
        <w:rPr/>
        <w:t>holiday/vacation.</w:t>
      </w:r>
    </w:p>
    <w:p>
      <w:pPr>
        <w:spacing w:line="240" w:lineRule="auto" w:before="1"/>
        <w:ind w:right="0"/>
        <w:rPr>
          <w:rFonts w:ascii="Calibri" w:hAnsi="Calibri" w:cs="Calibri" w:eastAsia="Calibri" w:hint="default"/>
          <w:sz w:val="20"/>
          <w:szCs w:val="20"/>
        </w:rPr>
      </w:pPr>
    </w:p>
    <w:p>
      <w:pPr>
        <w:pStyle w:val="BodyText"/>
        <w:spacing w:line="240" w:lineRule="auto"/>
        <w:ind w:right="1439"/>
        <w:jc w:val="both"/>
      </w:pPr>
      <w:r>
        <w:rPr/>
        <w:t>The</w:t>
      </w:r>
      <w:r>
        <w:rPr>
          <w:spacing w:val="-9"/>
        </w:rPr>
        <w:t> </w:t>
      </w:r>
      <w:r>
        <w:rPr/>
        <w:t>cruise</w:t>
      </w:r>
      <w:r>
        <w:rPr>
          <w:spacing w:val="-9"/>
        </w:rPr>
        <w:t> </w:t>
      </w:r>
      <w:r>
        <w:rPr/>
        <w:t>industry</w:t>
      </w:r>
      <w:r>
        <w:rPr>
          <w:spacing w:val="-6"/>
        </w:rPr>
        <w:t> </w:t>
      </w:r>
      <w:r>
        <w:rPr/>
        <w:t>has</w:t>
      </w:r>
      <w:r>
        <w:rPr>
          <w:spacing w:val="-8"/>
        </w:rPr>
        <w:t> </w:t>
      </w:r>
      <w:r>
        <w:rPr/>
        <w:t>flourished</w:t>
      </w:r>
      <w:r>
        <w:rPr>
          <w:spacing w:val="-7"/>
        </w:rPr>
        <w:t> </w:t>
      </w:r>
      <w:r>
        <w:rPr/>
        <w:t>over</w:t>
      </w:r>
      <w:r>
        <w:rPr>
          <w:spacing w:val="-5"/>
        </w:rPr>
        <w:t> </w:t>
      </w:r>
      <w:r>
        <w:rPr/>
        <w:t>time</w:t>
      </w:r>
      <w:r>
        <w:rPr>
          <w:spacing w:val="-9"/>
        </w:rPr>
        <w:t> </w:t>
      </w:r>
      <w:r>
        <w:rPr/>
        <w:t>and</w:t>
      </w:r>
      <w:r>
        <w:rPr>
          <w:spacing w:val="-7"/>
        </w:rPr>
        <w:t> </w:t>
      </w:r>
      <w:r>
        <w:rPr/>
        <w:t>Curaçao</w:t>
      </w:r>
      <w:r>
        <w:rPr>
          <w:spacing w:val="-7"/>
        </w:rPr>
        <w:t> </w:t>
      </w:r>
      <w:r>
        <w:rPr/>
        <w:t>has</w:t>
      </w:r>
      <w:r>
        <w:rPr>
          <w:spacing w:val="-8"/>
        </w:rPr>
        <w:t> </w:t>
      </w:r>
      <w:r>
        <w:rPr/>
        <w:t>enjoyed</w:t>
      </w:r>
      <w:r>
        <w:rPr>
          <w:spacing w:val="-7"/>
        </w:rPr>
        <w:t> </w:t>
      </w:r>
      <w:r>
        <w:rPr/>
        <w:t>the</w:t>
      </w:r>
      <w:r>
        <w:rPr>
          <w:spacing w:val="-9"/>
        </w:rPr>
        <w:t> </w:t>
      </w:r>
      <w:r>
        <w:rPr/>
        <w:t>introduction</w:t>
      </w:r>
      <w:r>
        <w:rPr>
          <w:spacing w:val="-7"/>
        </w:rPr>
        <w:t> </w:t>
      </w:r>
      <w:r>
        <w:rPr/>
        <w:t>into</w:t>
      </w:r>
      <w:r>
        <w:rPr>
          <w:spacing w:val="-8"/>
        </w:rPr>
        <w:t> </w:t>
      </w:r>
      <w:r>
        <w:rPr/>
        <w:t>the</w:t>
      </w:r>
      <w:r>
        <w:rPr>
          <w:spacing w:val="-4"/>
        </w:rPr>
        <w:t> </w:t>
      </w:r>
      <w:r>
        <w:rPr>
          <w:rFonts w:ascii="Calibri" w:hAnsi="Calibri" w:cs="Calibri" w:eastAsia="Calibri" w:hint="default"/>
        </w:rPr>
        <w:t>World’s</w:t>
      </w:r>
      <w:r>
        <w:rPr>
          <w:rFonts w:ascii="Calibri" w:hAnsi="Calibri" w:cs="Calibri" w:eastAsia="Calibri" w:hint="default"/>
          <w:spacing w:val="-9"/>
        </w:rPr>
        <w:t> </w:t>
      </w:r>
      <w:r>
        <w:rPr>
          <w:rFonts w:ascii="Calibri" w:hAnsi="Calibri" w:cs="Calibri" w:eastAsia="Calibri" w:hint="default"/>
        </w:rPr>
        <w:t>Top</w:t>
      </w:r>
      <w:r>
        <w:rPr>
          <w:rFonts w:ascii="Calibri" w:hAnsi="Calibri" w:cs="Calibri" w:eastAsia="Calibri" w:hint="default"/>
          <w:spacing w:val="-7"/>
        </w:rPr>
        <w:t> </w:t>
      </w:r>
      <w:r>
        <w:rPr>
          <w:rFonts w:ascii="Calibri" w:hAnsi="Calibri" w:cs="Calibri" w:eastAsia="Calibri" w:hint="default"/>
        </w:rPr>
        <w:t>50</w:t>
      </w:r>
      <w:r>
        <w:rPr>
          <w:rFonts w:ascii="Calibri" w:hAnsi="Calibri" w:cs="Calibri" w:eastAsia="Calibri" w:hint="default"/>
          <w:spacing w:val="-8"/>
        </w:rPr>
        <w:t> </w:t>
      </w:r>
      <w:r>
        <w:rPr>
          <w:rFonts w:ascii="Calibri" w:hAnsi="Calibri" w:cs="Calibri" w:eastAsia="Calibri" w:hint="default"/>
        </w:rPr>
        <w:t>Ports </w:t>
      </w:r>
      <w:r>
        <w:rPr>
          <w:rFonts w:ascii="Calibri" w:hAnsi="Calibri" w:cs="Calibri" w:eastAsia="Calibri" w:hint="default"/>
        </w:rPr>
      </w:r>
      <w:r>
        <w:rPr/>
        <w:t>because of its rapid growth. However, the DPITS has confirmed the BREA report findings that the crewmembers spend</w:t>
      </w:r>
      <w:r>
        <w:rPr>
          <w:spacing w:val="-9"/>
        </w:rPr>
        <w:t> </w:t>
      </w:r>
      <w:r>
        <w:rPr/>
        <w:t>more</w:t>
      </w:r>
      <w:r>
        <w:rPr>
          <w:spacing w:val="-10"/>
        </w:rPr>
        <w:t> </w:t>
      </w:r>
      <w:r>
        <w:rPr/>
        <w:t>money</w:t>
      </w:r>
      <w:r>
        <w:rPr>
          <w:spacing w:val="-8"/>
        </w:rPr>
        <w:t> </w:t>
      </w:r>
      <w:r>
        <w:rPr/>
        <w:t>on</w:t>
      </w:r>
      <w:r>
        <w:rPr>
          <w:spacing w:val="-9"/>
        </w:rPr>
        <w:t> </w:t>
      </w:r>
      <w:r>
        <w:rPr/>
        <w:t>the</w:t>
      </w:r>
      <w:r>
        <w:rPr>
          <w:spacing w:val="-10"/>
        </w:rPr>
        <w:t> </w:t>
      </w:r>
      <w:r>
        <w:rPr/>
        <w:t>island</w:t>
      </w:r>
      <w:r>
        <w:rPr>
          <w:spacing w:val="-9"/>
        </w:rPr>
        <w:t> </w:t>
      </w:r>
      <w:r>
        <w:rPr/>
        <w:t>of</w:t>
      </w:r>
      <w:r>
        <w:rPr>
          <w:spacing w:val="-10"/>
        </w:rPr>
        <w:t> </w:t>
      </w:r>
      <w:r>
        <w:rPr/>
        <w:t>Curaçao</w:t>
      </w:r>
      <w:r>
        <w:rPr>
          <w:spacing w:val="-9"/>
        </w:rPr>
        <w:t> </w:t>
      </w:r>
      <w:r>
        <w:rPr/>
        <w:t>than</w:t>
      </w:r>
      <w:r>
        <w:rPr>
          <w:spacing w:val="-8"/>
        </w:rPr>
        <w:t> </w:t>
      </w:r>
      <w:r>
        <w:rPr/>
        <w:t>the</w:t>
      </w:r>
      <w:r>
        <w:rPr>
          <w:spacing w:val="-10"/>
        </w:rPr>
        <w:t> </w:t>
      </w:r>
      <w:r>
        <w:rPr/>
        <w:t>actual</w:t>
      </w:r>
      <w:r>
        <w:rPr>
          <w:spacing w:val="-9"/>
        </w:rPr>
        <w:t> </w:t>
      </w:r>
      <w:r>
        <w:rPr/>
        <w:t>cruise</w:t>
      </w:r>
      <w:r>
        <w:rPr>
          <w:spacing w:val="-10"/>
        </w:rPr>
        <w:t> </w:t>
      </w:r>
      <w:r>
        <w:rPr/>
        <w:t>passengers,</w:t>
      </w:r>
      <w:r>
        <w:rPr>
          <w:spacing w:val="-9"/>
        </w:rPr>
        <w:t> </w:t>
      </w:r>
      <w:r>
        <w:rPr/>
        <w:t>thereby</w:t>
      </w:r>
      <w:r>
        <w:rPr>
          <w:spacing w:val="-8"/>
        </w:rPr>
        <w:t> </w:t>
      </w:r>
      <w:r>
        <w:rPr/>
        <w:t>indicating</w:t>
      </w:r>
      <w:r>
        <w:rPr>
          <w:spacing w:val="-9"/>
        </w:rPr>
        <w:t> </w:t>
      </w:r>
      <w:r>
        <w:rPr/>
        <w:t>that</w:t>
      </w:r>
      <w:r>
        <w:rPr>
          <w:spacing w:val="-8"/>
        </w:rPr>
        <w:t> </w:t>
      </w:r>
      <w:r>
        <w:rPr/>
        <w:t>this</w:t>
      </w:r>
      <w:r>
        <w:rPr>
          <w:spacing w:val="-11"/>
        </w:rPr>
        <w:t> </w:t>
      </w:r>
      <w:r>
        <w:rPr/>
        <w:t>subsector </w:t>
      </w:r>
      <w:r>
        <w:rPr/>
        <w:t>is underperforming. This underperformance is exposed in two areas, i.e., the relatively low spending of cruise passengers while at the destination, and the missed conversion opportunity of cruise visitors to stay-over tourists. The</w:t>
      </w:r>
      <w:r>
        <w:rPr>
          <w:spacing w:val="-3"/>
        </w:rPr>
        <w:t> </w:t>
      </w:r>
      <w:r>
        <w:rPr/>
        <w:t>DPITS</w:t>
      </w:r>
      <w:r>
        <w:rPr>
          <w:spacing w:val="-3"/>
        </w:rPr>
        <w:t> </w:t>
      </w:r>
      <w:r>
        <w:rPr/>
        <w:t>research</w:t>
      </w:r>
      <w:r>
        <w:rPr>
          <w:spacing w:val="-2"/>
        </w:rPr>
        <w:t> </w:t>
      </w:r>
      <w:r>
        <w:rPr/>
        <w:t>does</w:t>
      </w:r>
      <w:r>
        <w:rPr>
          <w:spacing w:val="-4"/>
        </w:rPr>
        <w:t> </w:t>
      </w:r>
      <w:r>
        <w:rPr/>
        <w:t>reveal</w:t>
      </w:r>
      <w:r>
        <w:rPr>
          <w:spacing w:val="-2"/>
        </w:rPr>
        <w:t> </w:t>
      </w:r>
      <w:r>
        <w:rPr/>
        <w:t>that</w:t>
      </w:r>
      <w:r>
        <w:rPr>
          <w:spacing w:val="-2"/>
        </w:rPr>
        <w:t> </w:t>
      </w:r>
      <w:r>
        <w:rPr/>
        <w:t>there</w:t>
      </w:r>
      <w:r>
        <w:rPr>
          <w:spacing w:val="-3"/>
        </w:rPr>
        <w:t> </w:t>
      </w:r>
      <w:r>
        <w:rPr/>
        <w:t>is</w:t>
      </w:r>
      <w:r>
        <w:rPr>
          <w:spacing w:val="-3"/>
        </w:rPr>
        <w:t> </w:t>
      </w:r>
      <w:r>
        <w:rPr/>
        <w:t>an</w:t>
      </w:r>
      <w:r>
        <w:rPr>
          <w:spacing w:val="-1"/>
        </w:rPr>
        <w:t> </w:t>
      </w:r>
      <w:r>
        <w:rPr/>
        <w:t>opportunity</w:t>
      </w:r>
      <w:r>
        <w:rPr>
          <w:spacing w:val="-4"/>
        </w:rPr>
        <w:t> </w:t>
      </w:r>
      <w:r>
        <w:rPr/>
        <w:t>to</w:t>
      </w:r>
      <w:r>
        <w:rPr>
          <w:spacing w:val="-2"/>
        </w:rPr>
        <w:t> </w:t>
      </w:r>
      <w:r>
        <w:rPr/>
        <w:t>convert</w:t>
      </w:r>
      <w:r>
        <w:rPr>
          <w:spacing w:val="-2"/>
        </w:rPr>
        <w:t> </w:t>
      </w:r>
      <w:r>
        <w:rPr/>
        <w:t>cruise</w:t>
      </w:r>
      <w:r>
        <w:rPr>
          <w:spacing w:val="-3"/>
        </w:rPr>
        <w:t> </w:t>
      </w:r>
      <w:r>
        <w:rPr/>
        <w:t>passengers</w:t>
      </w:r>
      <w:r>
        <w:rPr>
          <w:spacing w:val="-4"/>
        </w:rPr>
        <w:t> </w:t>
      </w:r>
      <w:r>
        <w:rPr/>
        <w:t>into</w:t>
      </w:r>
      <w:r>
        <w:rPr>
          <w:spacing w:val="-2"/>
        </w:rPr>
        <w:t> </w:t>
      </w:r>
      <w:r>
        <w:rPr/>
        <w:t>stay-over</w:t>
      </w:r>
      <w:r>
        <w:rPr>
          <w:spacing w:val="-2"/>
        </w:rPr>
        <w:t> </w:t>
      </w:r>
      <w:r>
        <w:rPr/>
        <w:t>tourists.</w:t>
      </w:r>
    </w:p>
    <w:p>
      <w:pPr>
        <w:spacing w:line="240" w:lineRule="auto" w:before="11"/>
        <w:ind w:right="0"/>
        <w:rPr>
          <w:rFonts w:ascii="Calibri" w:hAnsi="Calibri" w:cs="Calibri" w:eastAsia="Calibri" w:hint="default"/>
          <w:sz w:val="19"/>
          <w:szCs w:val="19"/>
        </w:rPr>
      </w:pPr>
    </w:p>
    <w:p>
      <w:pPr>
        <w:pStyle w:val="BodyText"/>
        <w:spacing w:line="240" w:lineRule="auto"/>
        <w:ind w:right="1437"/>
        <w:jc w:val="both"/>
      </w:pPr>
      <w:r>
        <w:rPr/>
        <w:t>Last</w:t>
      </w:r>
      <w:r>
        <w:rPr>
          <w:rFonts w:ascii="Calibri" w:hAnsi="Calibri" w:cs="Calibri" w:eastAsia="Calibri" w:hint="default"/>
        </w:rPr>
        <w:t>, the residents’ perception of the tourism industry’s </w:t>
      </w:r>
      <w:r>
        <w:rPr/>
        <w:t>economic contribution to the island indicates that the majority of the population agrees that the tourism sector will provide employment opportunities in Curaçao, and </w:t>
      </w:r>
      <w:r>
        <w:rPr>
          <w:rFonts w:ascii="Calibri" w:hAnsi="Calibri" w:cs="Calibri" w:eastAsia="Calibri" w:hint="default"/>
        </w:rPr>
        <w:t>will increase residents’ standards of living. A gene</w:t>
      </w:r>
      <w:r>
        <w:rPr/>
        <w:t>rational analysis reveals that Generation Z is statistically higher in their perceptions of the </w:t>
      </w:r>
      <w:r>
        <w:rPr>
          <w:rFonts w:ascii="Calibri" w:hAnsi="Calibri" w:cs="Calibri" w:eastAsia="Calibri" w:hint="default"/>
        </w:rPr>
        <w:t>tourism industry’s </w:t>
      </w:r>
      <w:r>
        <w:rPr/>
        <w:t>opportunities than that of Generation Y (</w:t>
      </w:r>
      <w:r>
        <w:rPr>
          <w:rFonts w:ascii="Calibri" w:hAnsi="Calibri" w:cs="Calibri" w:eastAsia="Calibri" w:hint="default"/>
        </w:rPr>
        <w:t>Curaçao’s highest unemployed </w:t>
      </w:r>
      <w:r>
        <w:rPr/>
        <w:t>generation). However, the local population can be made cognizant of the vast career opportunities available in tourism</w:t>
      </w:r>
      <w:r>
        <w:rPr>
          <w:rFonts w:ascii="Calibri" w:hAnsi="Calibri" w:cs="Calibri" w:eastAsia="Calibri" w:hint="default"/>
        </w:rPr>
        <w:t>, thus impacting locals’ </w:t>
      </w:r>
      <w:r>
        <w:rPr/>
        <w:t>perception about tourism</w:t>
      </w:r>
      <w:r>
        <w:rPr>
          <w:spacing w:val="-27"/>
        </w:rPr>
        <w:t> </w:t>
      </w:r>
      <w:r>
        <w:rPr/>
        <w:t>opportunities.</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3"/>
        <w:ind w:right="0"/>
        <w:rPr>
          <w:rFonts w:ascii="Calibri" w:hAnsi="Calibri" w:cs="Calibri" w:eastAsia="Calibri" w:hint="default"/>
          <w:sz w:val="26"/>
          <w:szCs w:val="26"/>
        </w:rPr>
      </w:pPr>
    </w:p>
    <w:p>
      <w:pPr>
        <w:pStyle w:val="Heading1"/>
        <w:spacing w:line="240" w:lineRule="auto"/>
        <w:ind w:left="2712" w:right="1706" w:hanging="992"/>
        <w:jc w:val="left"/>
        <w:rPr>
          <w:b w:val="0"/>
          <w:bCs w:val="0"/>
        </w:rPr>
      </w:pPr>
      <w:bookmarkStart w:name="_bookmark66" w:id="67"/>
      <w:bookmarkEnd w:id="67"/>
      <w:r>
        <w:rPr>
          <w:b w:val="0"/>
        </w:rPr>
      </w:r>
      <w:r>
        <w:rPr/>
        <w:t>Chapter 4: The Effectiveness of the Tourism Industry, Human Capital, and Institutional</w:t>
      </w:r>
      <w:r>
        <w:rPr>
          <w:spacing w:val="-10"/>
        </w:rPr>
        <w:t> </w:t>
      </w:r>
      <w:r>
        <w:rPr/>
        <w:t>Support</w:t>
      </w:r>
      <w:r>
        <w:rPr>
          <w:b w:val="0"/>
        </w:rPr>
      </w:r>
    </w:p>
    <w:p>
      <w:pPr>
        <w:pStyle w:val="Heading2"/>
        <w:spacing w:line="240" w:lineRule="auto" w:before="39"/>
        <w:ind w:right="0"/>
        <w:jc w:val="both"/>
        <w:rPr>
          <w:b w:val="0"/>
          <w:bCs w:val="0"/>
        </w:rPr>
      </w:pPr>
      <w:bookmarkStart w:name="_bookmark67" w:id="68"/>
      <w:bookmarkEnd w:id="68"/>
      <w:r>
        <w:rPr>
          <w:b w:val="0"/>
        </w:rPr>
      </w:r>
      <w:r>
        <w:rPr/>
        <w:t>The ROI of the tourism industry in</w:t>
      </w:r>
      <w:r>
        <w:rPr>
          <w:spacing w:val="-19"/>
        </w:rPr>
        <w:t> </w:t>
      </w:r>
      <w:r>
        <w:rPr/>
        <w:t>Curaçao</w:t>
      </w:r>
      <w:r>
        <w:rPr>
          <w:b w:val="0"/>
        </w:rPr>
      </w:r>
    </w:p>
    <w:p>
      <w:pPr>
        <w:pStyle w:val="BodyText"/>
        <w:spacing w:line="240" w:lineRule="auto" w:before="191"/>
        <w:ind w:right="1437"/>
        <w:jc w:val="both"/>
      </w:pPr>
      <w:r>
        <w:rPr>
          <w:rFonts w:ascii="Calibri" w:hAnsi="Calibri" w:cs="Calibri" w:eastAsia="Calibri" w:hint="default"/>
        </w:rPr>
        <w:t>A challenging situation that stems from Curacao’s current business environment and stresses the advancement of Curacao’s tourism industry has been identified. </w:t>
      </w:r>
      <w:r>
        <w:rPr/>
        <w:t>High transaction costs combined with increasing frictions in the marketplace are hindering the infusion of the capital that is necessary to sustain a high-quality tourism product. As a</w:t>
      </w:r>
      <w:r>
        <w:rPr>
          <w:spacing w:val="-5"/>
        </w:rPr>
        <w:t> </w:t>
      </w:r>
      <w:r>
        <w:rPr/>
        <w:t>result,</w:t>
      </w:r>
      <w:r>
        <w:rPr>
          <w:spacing w:val="-5"/>
        </w:rPr>
        <w:t> </w:t>
      </w:r>
      <w:r>
        <w:rPr/>
        <w:t>this</w:t>
      </w:r>
      <w:r>
        <w:rPr>
          <w:spacing w:val="-6"/>
        </w:rPr>
        <w:t> </w:t>
      </w:r>
      <w:r>
        <w:rPr/>
        <w:t>business</w:t>
      </w:r>
      <w:r>
        <w:rPr>
          <w:spacing w:val="-5"/>
        </w:rPr>
        <w:t> </w:t>
      </w:r>
      <w:r>
        <w:rPr/>
        <w:t>environment</w:t>
      </w:r>
      <w:r>
        <w:rPr>
          <w:spacing w:val="-5"/>
        </w:rPr>
        <w:t> </w:t>
      </w:r>
      <w:r>
        <w:rPr/>
        <w:t>is</w:t>
      </w:r>
      <w:r>
        <w:rPr>
          <w:spacing w:val="-7"/>
        </w:rPr>
        <w:t> </w:t>
      </w:r>
      <w:r>
        <w:rPr/>
        <w:t>hampering</w:t>
      </w:r>
      <w:r>
        <w:rPr>
          <w:spacing w:val="-3"/>
        </w:rPr>
        <w:t> </w:t>
      </w:r>
      <w:r>
        <w:rPr/>
        <w:t>the</w:t>
      </w:r>
      <w:r>
        <w:rPr>
          <w:spacing w:val="-6"/>
        </w:rPr>
        <w:t> </w:t>
      </w:r>
      <w:r>
        <w:rPr/>
        <w:t>necessary</w:t>
      </w:r>
      <w:r>
        <w:rPr>
          <w:spacing w:val="-3"/>
        </w:rPr>
        <w:t> </w:t>
      </w:r>
      <w:r>
        <w:rPr/>
        <w:t>sustained</w:t>
      </w:r>
      <w:r>
        <w:rPr>
          <w:spacing w:val="-4"/>
        </w:rPr>
        <w:t> </w:t>
      </w:r>
      <w:r>
        <w:rPr/>
        <w:t>investment</w:t>
      </w:r>
      <w:r>
        <w:rPr>
          <w:spacing w:val="-4"/>
        </w:rPr>
        <w:t> </w:t>
      </w:r>
      <w:r>
        <w:rPr/>
        <w:t>that</w:t>
      </w:r>
      <w:r>
        <w:rPr>
          <w:spacing w:val="-5"/>
        </w:rPr>
        <w:t> </w:t>
      </w:r>
      <w:r>
        <w:rPr/>
        <w:t>might</w:t>
      </w:r>
      <w:r>
        <w:rPr>
          <w:spacing w:val="-5"/>
        </w:rPr>
        <w:t> </w:t>
      </w:r>
      <w:r>
        <w:rPr/>
        <w:t>otherwise</w:t>
      </w:r>
      <w:r>
        <w:rPr>
          <w:spacing w:val="-4"/>
        </w:rPr>
        <w:t> </w:t>
      </w:r>
      <w:r>
        <w:rPr/>
        <w:t>keep</w:t>
      </w:r>
      <w:r>
        <w:rPr>
          <w:spacing w:val="-5"/>
        </w:rPr>
        <w:t> </w:t>
      </w:r>
      <w:r>
        <w:rPr/>
        <w:t>the </w:t>
      </w:r>
      <w:r>
        <w:rPr/>
        <w:t>industry competitive. The result, as witnessed in the hotel sector, is that the ability of the local hospitality industry to move forward is then</w:t>
      </w:r>
      <w:r>
        <w:rPr>
          <w:spacing w:val="-15"/>
        </w:rPr>
        <w:t> </w:t>
      </w:r>
      <w:r>
        <w:rPr/>
        <w:t>diminished.</w:t>
      </w:r>
    </w:p>
    <w:p>
      <w:pPr>
        <w:spacing w:line="240" w:lineRule="auto" w:before="1"/>
        <w:ind w:right="0"/>
        <w:rPr>
          <w:rFonts w:ascii="Calibri" w:hAnsi="Calibri" w:cs="Calibri" w:eastAsia="Calibri" w:hint="default"/>
          <w:sz w:val="20"/>
          <w:szCs w:val="20"/>
        </w:rPr>
      </w:pPr>
    </w:p>
    <w:p>
      <w:pPr>
        <w:pStyle w:val="BodyText"/>
        <w:spacing w:line="240" w:lineRule="auto"/>
        <w:ind w:right="1432"/>
        <w:jc w:val="both"/>
      </w:pPr>
      <w:r>
        <w:rPr/>
        <w:t>Data</w:t>
      </w:r>
      <w:r>
        <w:rPr>
          <w:spacing w:val="-9"/>
        </w:rPr>
        <w:t> </w:t>
      </w:r>
      <w:r>
        <w:rPr/>
        <w:t>analysis</w:t>
      </w:r>
      <w:r>
        <w:rPr>
          <w:spacing w:val="-11"/>
        </w:rPr>
        <w:t> </w:t>
      </w:r>
      <w:r>
        <w:rPr/>
        <w:t>alludes</w:t>
      </w:r>
      <w:r>
        <w:rPr>
          <w:spacing w:val="-10"/>
        </w:rPr>
        <w:t> </w:t>
      </w:r>
      <w:r>
        <w:rPr/>
        <w:t>to</w:t>
      </w:r>
      <w:r>
        <w:rPr>
          <w:spacing w:val="-9"/>
        </w:rPr>
        <w:t> </w:t>
      </w:r>
      <w:r>
        <w:rPr/>
        <w:t>the</w:t>
      </w:r>
      <w:r>
        <w:rPr>
          <w:spacing w:val="-10"/>
        </w:rPr>
        <w:t> </w:t>
      </w:r>
      <w:r>
        <w:rPr/>
        <w:t>dire</w:t>
      </w:r>
      <w:r>
        <w:rPr>
          <w:spacing w:val="-10"/>
        </w:rPr>
        <w:t> </w:t>
      </w:r>
      <w:r>
        <w:rPr/>
        <w:t>financial</w:t>
      </w:r>
      <w:r>
        <w:rPr>
          <w:spacing w:val="-9"/>
        </w:rPr>
        <w:t> </w:t>
      </w:r>
      <w:r>
        <w:rPr/>
        <w:t>situation</w:t>
      </w:r>
      <w:r>
        <w:rPr>
          <w:spacing w:val="-5"/>
        </w:rPr>
        <w:t> </w:t>
      </w:r>
      <w:r>
        <w:rPr/>
        <w:t>of</w:t>
      </w:r>
      <w:r>
        <w:rPr>
          <w:spacing w:val="-10"/>
        </w:rPr>
        <w:t> </w:t>
      </w:r>
      <w:r>
        <w:rPr/>
        <w:t>a</w:t>
      </w:r>
      <w:r>
        <w:rPr>
          <w:spacing w:val="-9"/>
        </w:rPr>
        <w:t> </w:t>
      </w:r>
      <w:r>
        <w:rPr/>
        <w:t>number</w:t>
      </w:r>
      <w:r>
        <w:rPr>
          <w:spacing w:val="-8"/>
        </w:rPr>
        <w:t> </w:t>
      </w:r>
      <w:r>
        <w:rPr/>
        <w:t>of</w:t>
      </w:r>
      <w:r>
        <w:rPr>
          <w:spacing w:val="-10"/>
        </w:rPr>
        <w:t> </w:t>
      </w:r>
      <w:r>
        <w:rPr/>
        <w:t>hotels</w:t>
      </w:r>
      <w:r>
        <w:rPr>
          <w:spacing w:val="-10"/>
        </w:rPr>
        <w:t> </w:t>
      </w:r>
      <w:r>
        <w:rPr/>
        <w:t>on</w:t>
      </w:r>
      <w:r>
        <w:rPr>
          <w:spacing w:val="-9"/>
        </w:rPr>
        <w:t> </w:t>
      </w:r>
      <w:r>
        <w:rPr/>
        <w:t>the</w:t>
      </w:r>
      <w:r>
        <w:rPr>
          <w:spacing w:val="-10"/>
        </w:rPr>
        <w:t> </w:t>
      </w:r>
      <w:r>
        <w:rPr/>
        <w:t>island</w:t>
      </w:r>
      <w:r>
        <w:rPr>
          <w:spacing w:val="-9"/>
        </w:rPr>
        <w:t> </w:t>
      </w:r>
      <w:r>
        <w:rPr/>
        <w:t>that</w:t>
      </w:r>
      <w:r>
        <w:rPr>
          <w:spacing w:val="-8"/>
        </w:rPr>
        <w:t> </w:t>
      </w:r>
      <w:r>
        <w:rPr/>
        <w:t>prevents</w:t>
      </w:r>
      <w:r>
        <w:rPr>
          <w:spacing w:val="-6"/>
        </w:rPr>
        <w:t> </w:t>
      </w:r>
      <w:r>
        <w:rPr/>
        <w:t>these</w:t>
      </w:r>
      <w:r>
        <w:rPr>
          <w:spacing w:val="-10"/>
        </w:rPr>
        <w:t> </w:t>
      </w:r>
      <w:r>
        <w:rPr/>
        <w:t>properties </w:t>
      </w:r>
      <w:r>
        <w:rPr/>
        <w:t>from maintaining international standard rooms. The lack of international standard quality rooms on the island is problematic. First, those hotels not capable of maintaining international standards are not able to justify higher room</w:t>
      </w:r>
      <w:r>
        <w:rPr>
          <w:spacing w:val="-9"/>
        </w:rPr>
        <w:t> </w:t>
      </w:r>
      <w:r>
        <w:rPr/>
        <w:t>rate</w:t>
      </w:r>
      <w:r>
        <w:rPr>
          <w:spacing w:val="-8"/>
        </w:rPr>
        <w:t> </w:t>
      </w:r>
      <w:r>
        <w:rPr/>
        <w:t>charges;</w:t>
      </w:r>
      <w:r>
        <w:rPr>
          <w:spacing w:val="-8"/>
        </w:rPr>
        <w:t> </w:t>
      </w:r>
      <w:r>
        <w:rPr/>
        <w:t>and</w:t>
      </w:r>
      <w:r>
        <w:rPr>
          <w:spacing w:val="-7"/>
        </w:rPr>
        <w:t> </w:t>
      </w:r>
      <w:r>
        <w:rPr/>
        <w:t>low</w:t>
      </w:r>
      <w:r>
        <w:rPr>
          <w:spacing w:val="-9"/>
        </w:rPr>
        <w:t> </w:t>
      </w:r>
      <w:r>
        <w:rPr/>
        <w:t>room</w:t>
      </w:r>
      <w:r>
        <w:rPr>
          <w:spacing w:val="-8"/>
        </w:rPr>
        <w:t> </w:t>
      </w:r>
      <w:r>
        <w:rPr/>
        <w:t>quality</w:t>
      </w:r>
      <w:r>
        <w:rPr>
          <w:spacing w:val="-6"/>
        </w:rPr>
        <w:t> </w:t>
      </w:r>
      <w:r>
        <w:rPr>
          <w:rFonts w:ascii="Calibri" w:hAnsi="Calibri" w:cs="Calibri" w:eastAsia="Calibri" w:hint="default"/>
        </w:rPr>
        <w:t>jeopardizes</w:t>
      </w:r>
      <w:r>
        <w:rPr>
          <w:rFonts w:ascii="Calibri" w:hAnsi="Calibri" w:cs="Calibri" w:eastAsia="Calibri" w:hint="default"/>
          <w:spacing w:val="-9"/>
        </w:rPr>
        <w:t> </w:t>
      </w:r>
      <w:r>
        <w:rPr>
          <w:rFonts w:ascii="Calibri" w:hAnsi="Calibri" w:cs="Calibri" w:eastAsia="Calibri" w:hint="default"/>
        </w:rPr>
        <w:t>the</w:t>
      </w:r>
      <w:r>
        <w:rPr>
          <w:rFonts w:ascii="Calibri" w:hAnsi="Calibri" w:cs="Calibri" w:eastAsia="Calibri" w:hint="default"/>
          <w:spacing w:val="-9"/>
        </w:rPr>
        <w:t> </w:t>
      </w:r>
      <w:r>
        <w:rPr>
          <w:rFonts w:ascii="Calibri" w:hAnsi="Calibri" w:cs="Calibri" w:eastAsia="Calibri" w:hint="default"/>
        </w:rPr>
        <w:t>hotels’</w:t>
      </w:r>
      <w:r>
        <w:rPr>
          <w:rFonts w:ascii="Calibri" w:hAnsi="Calibri" w:cs="Calibri" w:eastAsia="Calibri" w:hint="default"/>
          <w:spacing w:val="-7"/>
        </w:rPr>
        <w:t> </w:t>
      </w:r>
      <w:r>
        <w:rPr>
          <w:rFonts w:ascii="Calibri" w:hAnsi="Calibri" w:cs="Calibri" w:eastAsia="Calibri" w:hint="default"/>
        </w:rPr>
        <w:t>ability</w:t>
      </w:r>
      <w:r>
        <w:rPr>
          <w:rFonts w:ascii="Calibri" w:hAnsi="Calibri" w:cs="Calibri" w:eastAsia="Calibri" w:hint="default"/>
          <w:spacing w:val="-7"/>
        </w:rPr>
        <w:t> </w:t>
      </w:r>
      <w:r>
        <w:rPr>
          <w:rFonts w:ascii="Calibri" w:hAnsi="Calibri" w:cs="Calibri" w:eastAsia="Calibri" w:hint="default"/>
        </w:rPr>
        <w:t>to</w:t>
      </w:r>
      <w:r>
        <w:rPr>
          <w:rFonts w:ascii="Calibri" w:hAnsi="Calibri" w:cs="Calibri" w:eastAsia="Calibri" w:hint="default"/>
          <w:spacing w:val="-7"/>
        </w:rPr>
        <w:t> </w:t>
      </w:r>
      <w:r>
        <w:rPr>
          <w:rFonts w:ascii="Calibri" w:hAnsi="Calibri" w:cs="Calibri" w:eastAsia="Calibri" w:hint="default"/>
        </w:rPr>
        <w:t>have</w:t>
      </w:r>
      <w:r>
        <w:rPr>
          <w:rFonts w:ascii="Calibri" w:hAnsi="Calibri" w:cs="Calibri" w:eastAsia="Calibri" w:hint="default"/>
          <w:spacing w:val="-9"/>
        </w:rPr>
        <w:t> </w:t>
      </w:r>
      <w:r>
        <w:rPr>
          <w:rFonts w:ascii="Calibri" w:hAnsi="Calibri" w:cs="Calibri" w:eastAsia="Calibri" w:hint="default"/>
        </w:rPr>
        <w:t>a</w:t>
      </w:r>
      <w:r>
        <w:rPr>
          <w:rFonts w:ascii="Calibri" w:hAnsi="Calibri" w:cs="Calibri" w:eastAsia="Calibri" w:hint="default"/>
          <w:spacing w:val="-5"/>
        </w:rPr>
        <w:t> </w:t>
      </w:r>
      <w:r>
        <w:rPr/>
        <w:t>steady</w:t>
      </w:r>
      <w:r>
        <w:rPr>
          <w:spacing w:val="-7"/>
        </w:rPr>
        <w:t> </w:t>
      </w:r>
      <w:r>
        <w:rPr/>
        <w:t>increase</w:t>
      </w:r>
      <w:r>
        <w:rPr>
          <w:spacing w:val="-9"/>
        </w:rPr>
        <w:t> </w:t>
      </w:r>
      <w:r>
        <w:rPr/>
        <w:t>in</w:t>
      </w:r>
      <w:r>
        <w:rPr>
          <w:spacing w:val="-7"/>
        </w:rPr>
        <w:t> </w:t>
      </w:r>
      <w:r>
        <w:rPr/>
        <w:t>occupancy</w:t>
      </w:r>
      <w:r>
        <w:rPr>
          <w:spacing w:val="-7"/>
        </w:rPr>
        <w:t> </w:t>
      </w:r>
      <w:r>
        <w:rPr/>
        <w:t>rates. </w:t>
      </w:r>
      <w:r>
        <w:rPr/>
      </w:r>
      <w:r>
        <w:rPr>
          <w:rFonts w:ascii="Calibri" w:hAnsi="Calibri" w:cs="Calibri" w:eastAsia="Calibri" w:hint="default"/>
        </w:rPr>
        <w:t>Currently,</w:t>
      </w:r>
      <w:r>
        <w:rPr>
          <w:rFonts w:ascii="Calibri" w:hAnsi="Calibri" w:cs="Calibri" w:eastAsia="Calibri" w:hint="default"/>
          <w:spacing w:val="-4"/>
        </w:rPr>
        <w:t> </w:t>
      </w:r>
      <w:r>
        <w:rPr>
          <w:rFonts w:ascii="Calibri" w:hAnsi="Calibri" w:cs="Calibri" w:eastAsia="Calibri" w:hint="default"/>
        </w:rPr>
        <w:t>many</w:t>
      </w:r>
      <w:r>
        <w:rPr>
          <w:rFonts w:ascii="Calibri" w:hAnsi="Calibri" w:cs="Calibri" w:eastAsia="Calibri" w:hint="default"/>
          <w:spacing w:val="-4"/>
        </w:rPr>
        <w:t> </w:t>
      </w:r>
      <w:r>
        <w:rPr>
          <w:rFonts w:ascii="Calibri" w:hAnsi="Calibri" w:cs="Calibri" w:eastAsia="Calibri" w:hint="default"/>
        </w:rPr>
        <w:t>of</w:t>
      </w:r>
      <w:r>
        <w:rPr>
          <w:rFonts w:ascii="Calibri" w:hAnsi="Calibri" w:cs="Calibri" w:eastAsia="Calibri" w:hint="default"/>
          <w:spacing w:val="-5"/>
        </w:rPr>
        <w:t> </w:t>
      </w:r>
      <w:r>
        <w:rPr>
          <w:rFonts w:ascii="Calibri" w:hAnsi="Calibri" w:cs="Calibri" w:eastAsia="Calibri" w:hint="default"/>
        </w:rPr>
        <w:t>the</w:t>
      </w:r>
      <w:r>
        <w:rPr>
          <w:rFonts w:ascii="Calibri" w:hAnsi="Calibri" w:cs="Calibri" w:eastAsia="Calibri" w:hint="default"/>
          <w:spacing w:val="-5"/>
        </w:rPr>
        <w:t> </w:t>
      </w:r>
      <w:r>
        <w:rPr>
          <w:rFonts w:ascii="Calibri" w:hAnsi="Calibri" w:cs="Calibri" w:eastAsia="Calibri" w:hint="default"/>
        </w:rPr>
        <w:t>island’s</w:t>
      </w:r>
      <w:r>
        <w:rPr>
          <w:rFonts w:ascii="Calibri" w:hAnsi="Calibri" w:cs="Calibri" w:eastAsia="Calibri" w:hint="default"/>
          <w:spacing w:val="-5"/>
        </w:rPr>
        <w:t> </w:t>
      </w:r>
      <w:r>
        <w:rPr>
          <w:rFonts w:ascii="Calibri" w:hAnsi="Calibri" w:cs="Calibri" w:eastAsia="Calibri" w:hint="default"/>
        </w:rPr>
        <w:t>hotels</w:t>
      </w:r>
      <w:r>
        <w:rPr>
          <w:rFonts w:ascii="Calibri" w:hAnsi="Calibri" w:cs="Calibri" w:eastAsia="Calibri" w:hint="default"/>
          <w:spacing w:val="-4"/>
        </w:rPr>
        <w:t> </w:t>
      </w:r>
      <w:r>
        <w:rPr>
          <w:rFonts w:ascii="Calibri" w:hAnsi="Calibri" w:cs="Calibri" w:eastAsia="Calibri" w:hint="default"/>
        </w:rPr>
        <w:t>are</w:t>
      </w:r>
      <w:r>
        <w:rPr>
          <w:rFonts w:ascii="Calibri" w:hAnsi="Calibri" w:cs="Calibri" w:eastAsia="Calibri" w:hint="default"/>
          <w:spacing w:val="-2"/>
        </w:rPr>
        <w:t> </w:t>
      </w:r>
      <w:r>
        <w:rPr/>
        <w:t>courting</w:t>
      </w:r>
      <w:r>
        <w:rPr>
          <w:spacing w:val="-2"/>
        </w:rPr>
        <w:t> </w:t>
      </w:r>
      <w:r>
        <w:rPr/>
        <w:t>financial</w:t>
      </w:r>
      <w:r>
        <w:rPr>
          <w:spacing w:val="-3"/>
        </w:rPr>
        <w:t> </w:t>
      </w:r>
      <w:r>
        <w:rPr/>
        <w:t>jeopardy</w:t>
      </w:r>
      <w:r>
        <w:rPr>
          <w:spacing w:val="-4"/>
        </w:rPr>
        <w:t> </w:t>
      </w:r>
      <w:r>
        <w:rPr/>
        <w:t>as</w:t>
      </w:r>
      <w:r>
        <w:rPr>
          <w:spacing w:val="-3"/>
        </w:rPr>
        <w:t> </w:t>
      </w:r>
      <w:r>
        <w:rPr/>
        <w:t>is</w:t>
      </w:r>
      <w:r>
        <w:rPr>
          <w:spacing w:val="-6"/>
        </w:rPr>
        <w:t> </w:t>
      </w:r>
      <w:r>
        <w:rPr/>
        <w:t>evidenced</w:t>
      </w:r>
      <w:r>
        <w:rPr>
          <w:spacing w:val="-4"/>
        </w:rPr>
        <w:t> </w:t>
      </w:r>
      <w:r>
        <w:rPr/>
        <w:t>by</w:t>
      </w:r>
      <w:r>
        <w:rPr>
          <w:spacing w:val="-4"/>
        </w:rPr>
        <w:t> </w:t>
      </w:r>
      <w:r>
        <w:rPr/>
        <w:t>key</w:t>
      </w:r>
      <w:r>
        <w:rPr>
          <w:spacing w:val="-4"/>
        </w:rPr>
        <w:t> </w:t>
      </w:r>
      <w:r>
        <w:rPr/>
        <w:t>performance</w:t>
      </w:r>
      <w:r>
        <w:rPr>
          <w:spacing w:val="-5"/>
        </w:rPr>
        <w:t> </w:t>
      </w:r>
      <w:r>
        <w:rPr/>
        <w:t>indicators, </w:t>
      </w:r>
      <w:r>
        <w:rPr/>
        <w:t>such as low island RevPAR, ADRs, and occupancy</w:t>
      </w:r>
      <w:r>
        <w:rPr>
          <w:spacing w:val="-19"/>
        </w:rPr>
        <w:t> </w:t>
      </w:r>
      <w:r>
        <w:rPr/>
        <w:t>rates.</w:t>
      </w:r>
    </w:p>
    <w:p>
      <w:pPr>
        <w:spacing w:line="240" w:lineRule="auto" w:before="1"/>
        <w:ind w:right="0"/>
        <w:rPr>
          <w:rFonts w:ascii="Calibri" w:hAnsi="Calibri" w:cs="Calibri" w:eastAsia="Calibri" w:hint="default"/>
          <w:sz w:val="20"/>
          <w:szCs w:val="20"/>
        </w:rPr>
      </w:pPr>
    </w:p>
    <w:p>
      <w:pPr>
        <w:pStyle w:val="BodyText"/>
        <w:spacing w:line="240" w:lineRule="auto"/>
        <w:ind w:right="1436"/>
        <w:jc w:val="both"/>
        <w:rPr>
          <w:sz w:val="12"/>
          <w:szCs w:val="12"/>
        </w:rPr>
      </w:pPr>
      <w:r>
        <w:rPr/>
        <w:t>The gravity of the business challenges is reflected in the return on investment (ROI) of the tourism industry to the economy as a whole. One way to assess the macro-economic ROI of the industry is by examining how tourism receipts and expenditures evolve over time. </w:t>
      </w:r>
      <w:r>
        <w:rPr>
          <w:rFonts w:ascii="Calibri" w:hAnsi="Calibri" w:cs="Calibri" w:eastAsia="Calibri" w:hint="default"/>
        </w:rPr>
        <w:t>Curaçao’s dependence on exports and rising government expenditures </w:t>
      </w:r>
      <w:r>
        <w:rPr/>
        <w:t>has created significant budget deficits and imbalances of payments (especially after</w:t>
      </w:r>
      <w:r>
        <w:rPr>
          <w:spacing w:val="-27"/>
        </w:rPr>
        <w:t> </w:t>
      </w:r>
      <w:r>
        <w:rPr/>
        <w:t>2010).</w:t>
      </w:r>
      <w:r>
        <w:rPr>
          <w:position w:val="5"/>
          <w:sz w:val="12"/>
          <w:szCs w:val="12"/>
        </w:rPr>
        <w:t>31</w:t>
      </w:r>
      <w:r>
        <w:rPr>
          <w:sz w:val="12"/>
          <w:szCs w:val="12"/>
        </w:rPr>
      </w:r>
    </w:p>
    <w:p>
      <w:pPr>
        <w:spacing w:line="240" w:lineRule="auto" w:before="11"/>
        <w:ind w:right="0"/>
        <w:rPr>
          <w:rFonts w:ascii="Calibri" w:hAnsi="Calibri" w:cs="Calibri" w:eastAsia="Calibri" w:hint="default"/>
          <w:sz w:val="19"/>
          <w:szCs w:val="19"/>
        </w:rPr>
      </w:pPr>
    </w:p>
    <w:p>
      <w:pPr>
        <w:pStyle w:val="BodyText"/>
        <w:spacing w:line="240" w:lineRule="auto"/>
        <w:ind w:right="1437"/>
        <w:jc w:val="both"/>
      </w:pPr>
      <w:r>
        <w:rPr/>
        <w:t>For the tourism sector, this pattern prevents creating and allocating funds for tourism marketing purposes, and encourages a weak external position in terms of tourism activities in both neighboring and international regions, such as South and North America, and Europe. This puts the island in financial jeopardy at both macro (current account deficit of 19.5% of GDP in 2012, Central Bank of Curaçao) and micro levels (i.e., declining ROI from tourism receipts</w:t>
      </w:r>
      <w:r>
        <w:rPr>
          <w:spacing w:val="-5"/>
        </w:rPr>
        <w:t> </w:t>
      </w:r>
      <w:r>
        <w:rPr/>
        <w:t>from</w:t>
      </w:r>
      <w:r>
        <w:rPr>
          <w:spacing w:val="-4"/>
        </w:rPr>
        <w:t> </w:t>
      </w:r>
      <w:r>
        <w:rPr/>
        <w:t>travel,</w:t>
      </w:r>
      <w:r>
        <w:rPr>
          <w:spacing w:val="-3"/>
        </w:rPr>
        <w:t> </w:t>
      </w:r>
      <w:r>
        <w:rPr/>
        <w:t>import,</w:t>
      </w:r>
      <w:r>
        <w:rPr>
          <w:spacing w:val="-3"/>
        </w:rPr>
        <w:t> </w:t>
      </w:r>
      <w:r>
        <w:rPr/>
        <w:t>and</w:t>
      </w:r>
      <w:r>
        <w:rPr>
          <w:spacing w:val="-3"/>
        </w:rPr>
        <w:t> </w:t>
      </w:r>
      <w:r>
        <w:rPr/>
        <w:t>transport</w:t>
      </w:r>
      <w:r>
        <w:rPr>
          <w:spacing w:val="-3"/>
        </w:rPr>
        <w:t> </w:t>
      </w:r>
      <w:r>
        <w:rPr/>
        <w:t>activities</w:t>
      </w:r>
      <w:r>
        <w:rPr>
          <w:spacing w:val="-3"/>
        </w:rPr>
        <w:t> </w:t>
      </w:r>
      <w:r>
        <w:rPr/>
        <w:t>vs.</w:t>
      </w:r>
      <w:r>
        <w:rPr>
          <w:spacing w:val="-3"/>
        </w:rPr>
        <w:t> </w:t>
      </w:r>
      <w:r>
        <w:rPr/>
        <w:t>total</w:t>
      </w:r>
      <w:r>
        <w:rPr>
          <w:spacing w:val="-4"/>
        </w:rPr>
        <w:t> </w:t>
      </w:r>
      <w:r>
        <w:rPr/>
        <w:t>tourism</w:t>
      </w:r>
      <w:r>
        <w:rPr>
          <w:spacing w:val="-4"/>
        </w:rPr>
        <w:t> </w:t>
      </w:r>
      <w:r>
        <w:rPr/>
        <w:t>expenditures).</w:t>
      </w:r>
    </w:p>
    <w:p>
      <w:pPr>
        <w:spacing w:line="240" w:lineRule="auto" w:before="1"/>
        <w:ind w:right="0"/>
        <w:rPr>
          <w:rFonts w:ascii="Calibri" w:hAnsi="Calibri" w:cs="Calibri" w:eastAsia="Calibri" w:hint="default"/>
          <w:sz w:val="20"/>
          <w:szCs w:val="20"/>
        </w:rPr>
      </w:pPr>
    </w:p>
    <w:p>
      <w:pPr>
        <w:pStyle w:val="BodyText"/>
        <w:spacing w:line="240" w:lineRule="auto"/>
        <w:ind w:right="1438"/>
        <w:jc w:val="both"/>
      </w:pPr>
      <w:r>
        <w:rPr/>
        <w:t>Figure 14 and Table 19 show the comparison of the total international tourism receipts and expenditures as generated by passenger transport and travel items from 2007 to 2012.</w:t>
      </w:r>
      <w:r>
        <w:rPr>
          <w:position w:val="7"/>
          <w:sz w:val="13"/>
        </w:rPr>
        <w:t>32 </w:t>
      </w:r>
      <w:r>
        <w:rPr/>
        <w:t>Total receipts represent 13% of the gross </w:t>
      </w:r>
      <w:r>
        <w:rPr/>
        <w:t>national</w:t>
      </w:r>
      <w:r>
        <w:rPr>
          <w:spacing w:val="-3"/>
        </w:rPr>
        <w:t> </w:t>
      </w:r>
      <w:r>
        <w:rPr/>
        <w:t>product,</w:t>
      </w:r>
      <w:r>
        <w:rPr>
          <w:spacing w:val="-3"/>
        </w:rPr>
        <w:t> </w:t>
      </w:r>
      <w:r>
        <w:rPr/>
        <w:t>and</w:t>
      </w:r>
      <w:r>
        <w:rPr>
          <w:spacing w:val="-4"/>
        </w:rPr>
        <w:t> </w:t>
      </w:r>
      <w:r>
        <w:rPr/>
        <w:t>when</w:t>
      </w:r>
      <w:r>
        <w:rPr>
          <w:spacing w:val="-4"/>
        </w:rPr>
        <w:t> </w:t>
      </w:r>
      <w:r>
        <w:rPr/>
        <w:t>multiplier</w:t>
      </w:r>
      <w:r>
        <w:rPr>
          <w:spacing w:val="-4"/>
        </w:rPr>
        <w:t> </w:t>
      </w:r>
      <w:r>
        <w:rPr/>
        <w:t>effects</w:t>
      </w:r>
      <w:r>
        <w:rPr>
          <w:spacing w:val="-6"/>
        </w:rPr>
        <w:t> </w:t>
      </w:r>
      <w:r>
        <w:rPr/>
        <w:t>are</w:t>
      </w:r>
      <w:r>
        <w:rPr>
          <w:spacing w:val="-5"/>
        </w:rPr>
        <w:t> </w:t>
      </w:r>
      <w:r>
        <w:rPr/>
        <w:t>considered,</w:t>
      </w:r>
      <w:r>
        <w:rPr>
          <w:spacing w:val="-4"/>
        </w:rPr>
        <w:t> </w:t>
      </w:r>
      <w:r>
        <w:rPr/>
        <w:t>the</w:t>
      </w:r>
      <w:r>
        <w:rPr>
          <w:spacing w:val="-5"/>
        </w:rPr>
        <w:t> </w:t>
      </w:r>
      <w:r>
        <w:rPr/>
        <w:t>tourism</w:t>
      </w:r>
      <w:r>
        <w:rPr>
          <w:spacing w:val="-5"/>
        </w:rPr>
        <w:t> </w:t>
      </w:r>
      <w:r>
        <w:rPr/>
        <w:t>industry</w:t>
      </w:r>
      <w:r>
        <w:rPr>
          <w:spacing w:val="3"/>
        </w:rPr>
        <w:t> </w:t>
      </w:r>
      <w:r>
        <w:rPr/>
        <w:t>accounts</w:t>
      </w:r>
      <w:r>
        <w:rPr>
          <w:spacing w:val="-5"/>
        </w:rPr>
        <w:t> </w:t>
      </w:r>
      <w:r>
        <w:rPr/>
        <w:t>for</w:t>
      </w:r>
      <w:r>
        <w:rPr>
          <w:spacing w:val="-4"/>
        </w:rPr>
        <w:t> </w:t>
      </w:r>
      <w:r>
        <w:rPr/>
        <w:t>nearly</w:t>
      </w:r>
      <w:r>
        <w:rPr>
          <w:spacing w:val="-2"/>
        </w:rPr>
        <w:t> </w:t>
      </w:r>
      <w:r>
        <w:rPr/>
        <w:t>one</w:t>
      </w:r>
      <w:r>
        <w:rPr>
          <w:spacing w:val="-5"/>
        </w:rPr>
        <w:t> </w:t>
      </w:r>
      <w:r>
        <w:rPr/>
        <w:t>(23%)</w:t>
      </w:r>
      <w:r>
        <w:rPr>
          <w:spacing w:val="-5"/>
        </w:rPr>
        <w:t> </w:t>
      </w:r>
      <w:r>
        <w:rPr/>
        <w:t>of </w:t>
      </w:r>
      <w:r>
        <w:rPr/>
        <w:t>every four dollars generated by the economy. Indeed, the data indicates that total international tourism receipts are increasing at an annual average rate of</w:t>
      </w:r>
      <w:r>
        <w:rPr>
          <w:spacing w:val="-15"/>
        </w:rPr>
        <w:t> </w:t>
      </w:r>
      <w:r>
        <w:rPr/>
        <w:t>15.9%.</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rFonts w:ascii="Calibri" w:hAnsi="Calibri" w:cs="Calibri" w:eastAsia="Calibri" w:hint="default"/>
        </w:rPr>
        <w:t>On the other hand, tourism expenditures (spent by the government for the island’s international brand awareness, </w:t>
      </w:r>
      <w:r>
        <w:rPr/>
        <w:t>total imports, and travel items) have also been increasing by an annual average rate of 10%, albeit at a lesser pace than receipts. </w:t>
      </w:r>
      <w:r>
        <w:rPr>
          <w:rFonts w:ascii="Calibri" w:hAnsi="Calibri" w:cs="Calibri" w:eastAsia="Calibri" w:hint="default"/>
          <w:i/>
        </w:rPr>
        <w:t>Prima facie, </w:t>
      </w:r>
      <w:r>
        <w:rPr/>
        <w:t>this positive comparison could be construed as a sign of the vitality and overall competitiveness of the industry. However, this comparison provides only a partial picture of tourism vitality and its impact on the economy. Actually, this comparison could be misleading in terms of the overall performance of the industry.</w:t>
      </w:r>
    </w:p>
    <w:p>
      <w:pPr>
        <w:spacing w:line="240" w:lineRule="auto" w:before="11"/>
        <w:ind w:right="0"/>
        <w:rPr>
          <w:rFonts w:ascii="Calibri" w:hAnsi="Calibri" w:cs="Calibri" w:eastAsia="Calibri" w:hint="default"/>
          <w:sz w:val="19"/>
          <w:szCs w:val="19"/>
        </w:rPr>
      </w:pPr>
    </w:p>
    <w:p>
      <w:pPr>
        <w:pStyle w:val="BodyText"/>
        <w:spacing w:line="240" w:lineRule="auto"/>
        <w:ind w:right="1435"/>
        <w:jc w:val="both"/>
      </w:pPr>
      <w:r>
        <w:rPr/>
        <w:t>One rigorous way to assess the real strength of the tourism industry is to simultaneously integrate receipts and expenditures into an index. This index, the ROI of the industry, may be estimated by examining the ratio between these two variables. By employing this index, it becomes clear that the ROI figures have been declining since 2009. The change in ROI reveals a steep decline when the years from 2009 to 2012 are considered (see Figure 14). If  </w:t>
      </w:r>
      <w:r>
        <w:rPr>
          <w:spacing w:val="11"/>
        </w:rPr>
        <w:t> </w:t>
      </w:r>
      <w:r>
        <w:rPr/>
        <w:t>the</w:t>
      </w:r>
    </w:p>
    <w:p>
      <w:pPr>
        <w:spacing w:line="240" w:lineRule="auto" w:before="0"/>
        <w:ind w:right="0"/>
        <w:rPr>
          <w:rFonts w:ascii="Calibri" w:hAnsi="Calibri" w:cs="Calibri" w:eastAsia="Calibri" w:hint="default"/>
          <w:sz w:val="20"/>
          <w:szCs w:val="20"/>
        </w:rPr>
      </w:pPr>
    </w:p>
    <w:p>
      <w:pPr>
        <w:spacing w:line="240" w:lineRule="auto" w:before="7"/>
        <w:ind w:right="0"/>
        <w:rPr>
          <w:rFonts w:ascii="Calibri" w:hAnsi="Calibri" w:cs="Calibri" w:eastAsia="Calibri" w:hint="default"/>
          <w:sz w:val="10"/>
          <w:szCs w:val="10"/>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before="91"/>
        <w:ind w:left="1440" w:right="0" w:firstLine="0"/>
        <w:jc w:val="left"/>
        <w:rPr>
          <w:rFonts w:ascii="Calibri" w:hAnsi="Calibri" w:cs="Calibri" w:eastAsia="Calibri" w:hint="default"/>
          <w:sz w:val="16"/>
          <w:szCs w:val="16"/>
        </w:rPr>
      </w:pPr>
      <w:r>
        <w:rPr>
          <w:rFonts w:ascii="Calibri"/>
          <w:position w:val="5"/>
          <w:sz w:val="12"/>
        </w:rPr>
        <w:t>31 </w:t>
      </w:r>
      <w:r>
        <w:rPr>
          <w:rFonts w:ascii="Calibri"/>
          <w:sz w:val="16"/>
        </w:rPr>
        <w:t>See, for example, the TAC</w:t>
      </w:r>
      <w:r>
        <w:rPr>
          <w:rFonts w:ascii="Calibri"/>
          <w:spacing w:val="-9"/>
          <w:sz w:val="16"/>
        </w:rPr>
        <w:t> </w:t>
      </w:r>
      <w:r>
        <w:rPr>
          <w:rFonts w:ascii="Calibri"/>
          <w:sz w:val="16"/>
        </w:rPr>
        <w:t>report.</w:t>
      </w:r>
    </w:p>
    <w:p>
      <w:pPr>
        <w:spacing w:line="247" w:lineRule="auto" w:before="11"/>
        <w:ind w:left="1440" w:right="1983" w:firstLine="0"/>
        <w:jc w:val="left"/>
        <w:rPr>
          <w:rFonts w:ascii="Calibri" w:hAnsi="Calibri" w:cs="Calibri" w:eastAsia="Calibri" w:hint="default"/>
          <w:sz w:val="16"/>
          <w:szCs w:val="16"/>
        </w:rPr>
      </w:pPr>
      <w:r>
        <w:rPr>
          <w:rFonts w:ascii="Calibri" w:hAnsi="Calibri"/>
          <w:position w:val="5"/>
          <w:sz w:val="12"/>
        </w:rPr>
        <w:t>32 </w:t>
      </w:r>
      <w:r>
        <w:rPr>
          <w:rFonts w:ascii="Calibri" w:hAnsi="Calibri"/>
          <w:sz w:val="16"/>
        </w:rPr>
        <w:t>Obtaining data about the tourism industry in Curaçao has been nearly futile. The DPITS was only able to obtain data from those years </w:t>
      </w:r>
      <w:r>
        <w:rPr>
          <w:rFonts w:ascii="Calibri" w:hAnsi="Calibri"/>
          <w:sz w:val="16"/>
        </w:rPr>
        <w:t>revealed in the</w:t>
      </w:r>
      <w:r>
        <w:rPr>
          <w:rFonts w:ascii="Calibri" w:hAnsi="Calibri"/>
          <w:spacing w:val="-10"/>
          <w:sz w:val="16"/>
        </w:rPr>
        <w:t> </w:t>
      </w:r>
      <w:r>
        <w:rPr>
          <w:rFonts w:ascii="Calibri" w:hAnsi="Calibri"/>
          <w:sz w:val="16"/>
        </w:rPr>
        <w:t>text.</w:t>
      </w:r>
    </w:p>
    <w:p>
      <w:pPr>
        <w:spacing w:after="0" w:line="247"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41"/>
        <w:jc w:val="both"/>
      </w:pPr>
      <w:r>
        <w:rPr/>
        <w:t>2009 ROI is used as the benchmark for the change analysis, then it can be concluded that lost revenues were over NAf110</w:t>
      </w:r>
      <w:r>
        <w:rPr>
          <w:spacing w:val="-7"/>
        </w:rPr>
        <w:t> </w:t>
      </w:r>
      <w:r>
        <w:rPr/>
        <w:t>million.</w:t>
      </w:r>
    </w:p>
    <w:p>
      <w:pPr>
        <w:spacing w:line="240" w:lineRule="auto" w:before="11"/>
        <w:ind w:right="0"/>
        <w:rPr>
          <w:rFonts w:ascii="Calibri" w:hAnsi="Calibri" w:cs="Calibri" w:eastAsia="Calibri" w:hint="default"/>
          <w:sz w:val="19"/>
          <w:szCs w:val="19"/>
        </w:rPr>
      </w:pPr>
    </w:p>
    <w:p>
      <w:pPr>
        <w:pStyle w:val="BodyText"/>
        <w:spacing w:line="240" w:lineRule="auto"/>
        <w:ind w:right="1433"/>
        <w:jc w:val="both"/>
      </w:pPr>
      <w:r>
        <w:rPr/>
        <w:t>Thus,</w:t>
      </w:r>
      <w:r>
        <w:rPr>
          <w:spacing w:val="-6"/>
        </w:rPr>
        <w:t> </w:t>
      </w:r>
      <w:r>
        <w:rPr/>
        <w:t>raising</w:t>
      </w:r>
      <w:r>
        <w:rPr>
          <w:spacing w:val="-7"/>
        </w:rPr>
        <w:t> </w:t>
      </w:r>
      <w:r>
        <w:rPr/>
        <w:t>the</w:t>
      </w:r>
      <w:r>
        <w:rPr>
          <w:spacing w:val="-8"/>
        </w:rPr>
        <w:t> </w:t>
      </w:r>
      <w:r>
        <w:rPr/>
        <w:t>pattern</w:t>
      </w:r>
      <w:r>
        <w:rPr>
          <w:spacing w:val="-6"/>
        </w:rPr>
        <w:t> </w:t>
      </w:r>
      <w:r>
        <w:rPr/>
        <w:t>in</w:t>
      </w:r>
      <w:r>
        <w:rPr>
          <w:spacing w:val="-6"/>
        </w:rPr>
        <w:t> </w:t>
      </w:r>
      <w:r>
        <w:rPr/>
        <w:t>historical</w:t>
      </w:r>
      <w:r>
        <w:rPr>
          <w:spacing w:val="-7"/>
        </w:rPr>
        <w:t> </w:t>
      </w:r>
      <w:r>
        <w:rPr/>
        <w:t>tourism</w:t>
      </w:r>
      <w:r>
        <w:rPr>
          <w:spacing w:val="-5"/>
        </w:rPr>
        <w:t> </w:t>
      </w:r>
      <w:r>
        <w:rPr/>
        <w:t>receipts</w:t>
      </w:r>
      <w:r>
        <w:rPr>
          <w:spacing w:val="-7"/>
        </w:rPr>
        <w:t> </w:t>
      </w:r>
      <w:r>
        <w:rPr/>
        <w:t>and</w:t>
      </w:r>
      <w:r>
        <w:rPr>
          <w:spacing w:val="-6"/>
        </w:rPr>
        <w:t> </w:t>
      </w:r>
      <w:r>
        <w:rPr/>
        <w:t>revenue</w:t>
      </w:r>
      <w:r>
        <w:rPr>
          <w:spacing w:val="-8"/>
        </w:rPr>
        <w:t> </w:t>
      </w:r>
      <w:r>
        <w:rPr/>
        <w:t>could</w:t>
      </w:r>
      <w:r>
        <w:rPr>
          <w:spacing w:val="-4"/>
        </w:rPr>
        <w:t> </w:t>
      </w:r>
      <w:r>
        <w:rPr/>
        <w:t>mislead</w:t>
      </w:r>
      <w:r>
        <w:rPr>
          <w:spacing w:val="-6"/>
        </w:rPr>
        <w:t> </w:t>
      </w:r>
      <w:r>
        <w:rPr/>
        <w:t>the</w:t>
      </w:r>
      <w:r>
        <w:rPr>
          <w:spacing w:val="-8"/>
        </w:rPr>
        <w:t> </w:t>
      </w:r>
      <w:r>
        <w:rPr/>
        <w:t>authorities</w:t>
      </w:r>
      <w:r>
        <w:rPr>
          <w:spacing w:val="-5"/>
        </w:rPr>
        <w:t> </w:t>
      </w:r>
      <w:r>
        <w:rPr/>
        <w:t>since,</w:t>
      </w:r>
      <w:r>
        <w:rPr>
          <w:spacing w:val="-6"/>
        </w:rPr>
        <w:t> </w:t>
      </w:r>
      <w:r>
        <w:rPr/>
        <w:t>based</w:t>
      </w:r>
      <w:r>
        <w:rPr>
          <w:spacing w:val="-6"/>
        </w:rPr>
        <w:t> </w:t>
      </w:r>
      <w:r>
        <w:rPr/>
        <w:t>on</w:t>
      </w:r>
      <w:r>
        <w:rPr>
          <w:spacing w:val="-6"/>
        </w:rPr>
        <w:t> </w:t>
      </w:r>
      <w:r>
        <w:rPr/>
        <w:t>the </w:t>
      </w:r>
      <w:r>
        <w:rPr/>
        <w:t>benchmark, there are not sufficient receipts generated to compensate for </w:t>
      </w:r>
      <w:r>
        <w:rPr>
          <w:spacing w:val="2"/>
        </w:rPr>
        <w:t>lost </w:t>
      </w:r>
      <w:r>
        <w:rPr/>
        <w:t>revenues. That is, although receipts </w:t>
      </w:r>
      <w:r>
        <w:rPr/>
        <w:t>have been increasing since 2009, the required return is not satisfactory, thereby increasing the revenue gap in the revenue</w:t>
      </w:r>
      <w:r>
        <w:rPr>
          <w:spacing w:val="-10"/>
        </w:rPr>
        <w:t> </w:t>
      </w:r>
      <w:r>
        <w:rPr/>
        <w:t>pattern</w:t>
      </w:r>
      <w:r>
        <w:rPr>
          <w:spacing w:val="-9"/>
        </w:rPr>
        <w:t> </w:t>
      </w:r>
      <w:r>
        <w:rPr/>
        <w:t>of</w:t>
      </w:r>
      <w:r>
        <w:rPr>
          <w:spacing w:val="-10"/>
        </w:rPr>
        <w:t> </w:t>
      </w:r>
      <w:r>
        <w:rPr/>
        <w:t>tourism</w:t>
      </w:r>
      <w:r>
        <w:rPr>
          <w:spacing w:val="-10"/>
        </w:rPr>
        <w:t> </w:t>
      </w:r>
      <w:r>
        <w:rPr/>
        <w:t>performance.</w:t>
      </w:r>
      <w:r>
        <w:rPr>
          <w:spacing w:val="-6"/>
        </w:rPr>
        <w:t> </w:t>
      </w:r>
      <w:r>
        <w:rPr/>
        <w:t>Table</w:t>
      </w:r>
      <w:r>
        <w:rPr>
          <w:spacing w:val="-10"/>
        </w:rPr>
        <w:t> </w:t>
      </w:r>
      <w:r>
        <w:rPr/>
        <w:t>20</w:t>
      </w:r>
      <w:r>
        <w:rPr>
          <w:spacing w:val="-9"/>
        </w:rPr>
        <w:t> </w:t>
      </w:r>
      <w:r>
        <w:rPr/>
        <w:t>reveals</w:t>
      </w:r>
      <w:r>
        <w:rPr>
          <w:spacing w:val="-10"/>
        </w:rPr>
        <w:t> </w:t>
      </w:r>
      <w:r>
        <w:rPr/>
        <w:t>the</w:t>
      </w:r>
      <w:r>
        <w:rPr>
          <w:spacing w:val="-10"/>
        </w:rPr>
        <w:t> </w:t>
      </w:r>
      <w:r>
        <w:rPr/>
        <w:t>total</w:t>
      </w:r>
      <w:r>
        <w:rPr>
          <w:spacing w:val="-9"/>
        </w:rPr>
        <w:t> </w:t>
      </w:r>
      <w:r>
        <w:rPr/>
        <w:t>revenue</w:t>
      </w:r>
      <w:r>
        <w:rPr>
          <w:spacing w:val="-8"/>
        </w:rPr>
        <w:t> </w:t>
      </w:r>
      <w:r>
        <w:rPr/>
        <w:t>gap</w:t>
      </w:r>
      <w:r>
        <w:rPr>
          <w:spacing w:val="-8"/>
        </w:rPr>
        <w:t> </w:t>
      </w:r>
      <w:r>
        <w:rPr/>
        <w:t>over</w:t>
      </w:r>
      <w:r>
        <w:rPr>
          <w:spacing w:val="-7"/>
        </w:rPr>
        <w:t> </w:t>
      </w:r>
      <w:r>
        <w:rPr/>
        <w:t>the</w:t>
      </w:r>
      <w:r>
        <w:rPr>
          <w:spacing w:val="-10"/>
        </w:rPr>
        <w:t> </w:t>
      </w:r>
      <w:r>
        <w:rPr/>
        <w:t>time</w:t>
      </w:r>
      <w:r>
        <w:rPr>
          <w:spacing w:val="-8"/>
        </w:rPr>
        <w:t> </w:t>
      </w:r>
      <w:r>
        <w:rPr/>
        <w:t>span</w:t>
      </w:r>
      <w:r>
        <w:rPr>
          <w:spacing w:val="-8"/>
        </w:rPr>
        <w:t> </w:t>
      </w:r>
      <w:r>
        <w:rPr/>
        <w:t>reviewed,</w:t>
      </w:r>
      <w:r>
        <w:rPr>
          <w:spacing w:val="-9"/>
        </w:rPr>
        <w:t> </w:t>
      </w:r>
      <w:r>
        <w:rPr/>
        <w:t>which </w:t>
      </w:r>
      <w:r>
        <w:rPr/>
        <w:t>equals</w:t>
      </w:r>
      <w:r>
        <w:rPr>
          <w:spacing w:val="-8"/>
        </w:rPr>
        <w:t> </w:t>
      </w:r>
      <w:r>
        <w:rPr/>
        <w:t>almost</w:t>
      </w:r>
      <w:r>
        <w:rPr>
          <w:spacing w:val="-4"/>
        </w:rPr>
        <w:t> </w:t>
      </w:r>
      <w:r>
        <w:rPr/>
        <w:t>US$63</w:t>
      </w:r>
      <w:r>
        <w:rPr>
          <w:spacing w:val="-7"/>
        </w:rPr>
        <w:t> </w:t>
      </w:r>
      <w:r>
        <w:rPr/>
        <w:t>million</w:t>
      </w:r>
      <w:r>
        <w:rPr>
          <w:spacing w:val="-6"/>
        </w:rPr>
        <w:t> </w:t>
      </w:r>
      <w:r>
        <w:rPr/>
        <w:t>or</w:t>
      </w:r>
      <w:r>
        <w:rPr>
          <w:spacing w:val="-7"/>
        </w:rPr>
        <w:t> </w:t>
      </w:r>
      <w:r>
        <w:rPr/>
        <w:t>more</w:t>
      </w:r>
      <w:r>
        <w:rPr>
          <w:spacing w:val="-8"/>
        </w:rPr>
        <w:t> </w:t>
      </w:r>
      <w:r>
        <w:rPr/>
        <w:t>than</w:t>
      </w:r>
      <w:r>
        <w:rPr>
          <w:spacing w:val="-6"/>
        </w:rPr>
        <w:t> </w:t>
      </w:r>
      <w:r>
        <w:rPr/>
        <w:t>NAf110</w:t>
      </w:r>
      <w:r>
        <w:rPr>
          <w:spacing w:val="-5"/>
        </w:rPr>
        <w:t> </w:t>
      </w:r>
      <w:r>
        <w:rPr/>
        <w:t>million</w:t>
      </w:r>
      <w:r>
        <w:rPr>
          <w:spacing w:val="-6"/>
        </w:rPr>
        <w:t> </w:t>
      </w:r>
      <w:r>
        <w:rPr/>
        <w:t>over</w:t>
      </w:r>
      <w:r>
        <w:rPr>
          <w:spacing w:val="-7"/>
        </w:rPr>
        <w:t> </w:t>
      </w:r>
      <w:r>
        <w:rPr/>
        <w:t>the</w:t>
      </w:r>
      <w:r>
        <w:rPr>
          <w:spacing w:val="-8"/>
        </w:rPr>
        <w:t> </w:t>
      </w:r>
      <w:r>
        <w:rPr/>
        <w:t>time</w:t>
      </w:r>
      <w:r>
        <w:rPr>
          <w:spacing w:val="-5"/>
        </w:rPr>
        <w:t> </w:t>
      </w:r>
      <w:r>
        <w:rPr/>
        <w:t>span</w:t>
      </w:r>
      <w:r>
        <w:rPr>
          <w:spacing w:val="-6"/>
        </w:rPr>
        <w:t> </w:t>
      </w:r>
      <w:r>
        <w:rPr/>
        <w:t>of</w:t>
      </w:r>
      <w:r>
        <w:rPr>
          <w:spacing w:val="-5"/>
        </w:rPr>
        <w:t> </w:t>
      </w:r>
      <w:r>
        <w:rPr/>
        <w:t>four</w:t>
      </w:r>
      <w:r>
        <w:rPr>
          <w:spacing w:val="-7"/>
        </w:rPr>
        <w:t> </w:t>
      </w:r>
      <w:r>
        <w:rPr/>
        <w:t>years.</w:t>
      </w:r>
      <w:r>
        <w:rPr>
          <w:spacing w:val="37"/>
        </w:rPr>
        <w:t> </w:t>
      </w:r>
      <w:r>
        <w:rPr/>
        <w:t>Clearly,</w:t>
      </w:r>
      <w:r>
        <w:rPr>
          <w:spacing w:val="-6"/>
        </w:rPr>
        <w:t> </w:t>
      </w:r>
      <w:r>
        <w:rPr/>
        <w:t>tourism</w:t>
      </w:r>
      <w:r>
        <w:rPr>
          <w:spacing w:val="-8"/>
        </w:rPr>
        <w:t> </w:t>
      </w:r>
      <w:r>
        <w:rPr/>
        <w:t>receipts </w:t>
      </w:r>
      <w:r>
        <w:rPr/>
        <w:t>have to increase at a much faster pace if the benchmark of 2009 is to be achieved and surpassed. The decreasing ROI</w:t>
      </w:r>
      <w:r>
        <w:rPr>
          <w:spacing w:val="-2"/>
        </w:rPr>
        <w:t> </w:t>
      </w:r>
      <w:r>
        <w:rPr/>
        <w:t>is</w:t>
      </w:r>
      <w:r>
        <w:rPr>
          <w:spacing w:val="-4"/>
        </w:rPr>
        <w:t> </w:t>
      </w:r>
      <w:r>
        <w:rPr/>
        <w:t>an</w:t>
      </w:r>
      <w:r>
        <w:rPr>
          <w:spacing w:val="-2"/>
        </w:rPr>
        <w:t> </w:t>
      </w:r>
      <w:r>
        <w:rPr/>
        <w:t>indication</w:t>
      </w:r>
      <w:r>
        <w:rPr>
          <w:spacing w:val="-2"/>
        </w:rPr>
        <w:t> </w:t>
      </w:r>
      <w:r>
        <w:rPr/>
        <w:t>of</w:t>
      </w:r>
      <w:r>
        <w:rPr>
          <w:spacing w:val="-4"/>
        </w:rPr>
        <w:t> </w:t>
      </w:r>
      <w:r>
        <w:rPr/>
        <w:t>the</w:t>
      </w:r>
      <w:r>
        <w:rPr>
          <w:spacing w:val="-3"/>
        </w:rPr>
        <w:t> </w:t>
      </w:r>
      <w:r>
        <w:rPr/>
        <w:t>weak</w:t>
      </w:r>
      <w:r>
        <w:rPr>
          <w:spacing w:val="-2"/>
        </w:rPr>
        <w:t> </w:t>
      </w:r>
      <w:r>
        <w:rPr/>
        <w:t>fundamentals</w:t>
      </w:r>
      <w:r>
        <w:rPr>
          <w:spacing w:val="-4"/>
        </w:rPr>
        <w:t> </w:t>
      </w:r>
      <w:r>
        <w:rPr/>
        <w:t>in</w:t>
      </w:r>
      <w:r>
        <w:rPr>
          <w:spacing w:val="-2"/>
        </w:rPr>
        <w:t> </w:t>
      </w:r>
      <w:r>
        <w:rPr/>
        <w:t>the</w:t>
      </w:r>
      <w:r>
        <w:rPr>
          <w:spacing w:val="-3"/>
        </w:rPr>
        <w:t> </w:t>
      </w:r>
      <w:r>
        <w:rPr/>
        <w:t>tourism</w:t>
      </w:r>
      <w:r>
        <w:rPr>
          <w:spacing w:val="-3"/>
        </w:rPr>
        <w:t> </w:t>
      </w:r>
      <w:r>
        <w:rPr/>
        <w:t>sector</w:t>
      </w:r>
      <w:r>
        <w:rPr>
          <w:spacing w:val="-2"/>
        </w:rPr>
        <w:t> </w:t>
      </w:r>
      <w:r>
        <w:rPr/>
        <w:t>on</w:t>
      </w:r>
      <w:r>
        <w:rPr>
          <w:spacing w:val="-2"/>
        </w:rPr>
        <w:t> </w:t>
      </w:r>
      <w:r>
        <w:rPr/>
        <w:t>the</w:t>
      </w:r>
      <w:r>
        <w:rPr>
          <w:spacing w:val="-3"/>
        </w:rPr>
        <w:t> </w:t>
      </w:r>
      <w:r>
        <w:rPr/>
        <w:t>island.</w:t>
      </w:r>
    </w:p>
    <w:p>
      <w:pPr>
        <w:spacing w:line="240" w:lineRule="auto" w:before="0"/>
        <w:ind w:right="0"/>
        <w:rPr>
          <w:rFonts w:ascii="Calibri" w:hAnsi="Calibri" w:cs="Calibri" w:eastAsia="Calibri" w:hint="default"/>
          <w:sz w:val="20"/>
          <w:szCs w:val="20"/>
        </w:rPr>
      </w:pPr>
    </w:p>
    <w:p>
      <w:pPr>
        <w:spacing w:line="240" w:lineRule="auto" w:before="0" w:after="0"/>
        <w:ind w:right="0"/>
        <w:rPr>
          <w:rFonts w:ascii="Calibri" w:hAnsi="Calibri" w:cs="Calibri" w:eastAsia="Calibri" w:hint="default"/>
          <w:sz w:val="20"/>
          <w:szCs w:val="20"/>
        </w:rPr>
      </w:pPr>
    </w:p>
    <w:p>
      <w:pPr>
        <w:spacing w:line="240" w:lineRule="auto"/>
        <w:ind w:left="144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6096546" cy="2023110"/>
            <wp:effectExtent l="0" t="0" r="0" b="0"/>
            <wp:docPr id="31" name="image19.png" descr=""/>
            <wp:cNvGraphicFramePr>
              <a:graphicFrameLocks noChangeAspect="1"/>
            </wp:cNvGraphicFramePr>
            <a:graphic>
              <a:graphicData uri="http://schemas.openxmlformats.org/drawingml/2006/picture">
                <pic:pic>
                  <pic:nvPicPr>
                    <pic:cNvPr id="32" name="image19.png"/>
                    <pic:cNvPicPr/>
                  </pic:nvPicPr>
                  <pic:blipFill>
                    <a:blip r:embed="rId34" cstate="print"/>
                    <a:stretch>
                      <a:fillRect/>
                    </a:stretch>
                  </pic:blipFill>
                  <pic:spPr>
                    <a:xfrm>
                      <a:off x="0" y="0"/>
                      <a:ext cx="6096546" cy="2023110"/>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25"/>
        <w:ind w:right="26"/>
        <w:jc w:val="center"/>
        <w:rPr>
          <w:b w:val="0"/>
          <w:bCs w:val="0"/>
          <w:sz w:val="12"/>
          <w:szCs w:val="12"/>
        </w:rPr>
      </w:pPr>
      <w:bookmarkStart w:name="_bookmark68" w:id="69"/>
      <w:bookmarkEnd w:id="69"/>
      <w:r>
        <w:rPr>
          <w:b w:val="0"/>
        </w:rPr>
      </w:r>
      <w:r>
        <w:rPr/>
        <w:t>Figure 14:  Return on investment</w:t>
      </w:r>
      <w:r>
        <w:rPr>
          <w:spacing w:val="-17"/>
        </w:rPr>
        <w:t> </w:t>
      </w:r>
      <w:r>
        <w:rPr/>
        <w:t>(ROI)</w:t>
      </w:r>
      <w:r>
        <w:rPr>
          <w:position w:val="5"/>
          <w:sz w:val="12"/>
        </w:rPr>
        <w:t>33</w:t>
      </w:r>
      <w:r>
        <w:rPr>
          <w:b w:val="0"/>
          <w:sz w:val="12"/>
        </w:rPr>
      </w:r>
    </w:p>
    <w:p>
      <w:pPr>
        <w:spacing w:line="240" w:lineRule="auto" w:before="0"/>
        <w:ind w:right="0"/>
        <w:rPr>
          <w:rFonts w:ascii="Calibri" w:hAnsi="Calibri" w:cs="Calibri" w:eastAsia="Calibri" w:hint="default"/>
          <w:b/>
          <w:bCs/>
          <w:sz w:val="20"/>
          <w:szCs w:val="20"/>
        </w:rPr>
      </w:pPr>
    </w:p>
    <w:p>
      <w:pPr>
        <w:spacing w:line="240" w:lineRule="auto" w:before="12"/>
        <w:ind w:right="0"/>
        <w:rPr>
          <w:rFonts w:ascii="Calibri" w:hAnsi="Calibri" w:cs="Calibri" w:eastAsia="Calibri" w:hint="default"/>
          <w:b/>
          <w:bCs/>
          <w:sz w:val="19"/>
          <w:szCs w:val="19"/>
        </w:rPr>
      </w:pPr>
    </w:p>
    <w:p>
      <w:pPr>
        <w:pStyle w:val="Heading9"/>
        <w:tabs>
          <w:tab w:pos="4947" w:val="left" w:leader="none"/>
          <w:tab w:pos="10681" w:val="left" w:leader="none"/>
        </w:tabs>
        <w:spacing w:line="240" w:lineRule="auto"/>
        <w:ind w:left="1440" w:right="0"/>
        <w:jc w:val="both"/>
        <w:rPr>
          <w:b w:val="0"/>
          <w:bCs w:val="0"/>
        </w:rPr>
      </w:pPr>
      <w:bookmarkStart w:name="_bookmark69" w:id="70"/>
      <w:bookmarkEnd w:id="70"/>
      <w:r>
        <w:rPr>
          <w:b w:val="0"/>
        </w:rPr>
      </w:r>
      <w:r>
        <w:rPr>
          <w:w w:val="99"/>
        </w:rPr>
      </w:r>
      <w:r>
        <w:rPr>
          <w:w w:val="99"/>
          <w:u w:val="single" w:color="000000"/>
        </w:rPr>
        <w:t> </w:t>
      </w:r>
      <w:r>
        <w:rPr>
          <w:u w:val="single" w:color="000000"/>
        </w:rPr>
        <w:tab/>
        <w:t>Table 19:  Total revenue</w:t>
      </w:r>
      <w:r>
        <w:rPr>
          <w:spacing w:val="-15"/>
          <w:u w:val="single" w:color="000000"/>
        </w:rPr>
        <w:t> </w:t>
      </w:r>
      <w:r>
        <w:rPr>
          <w:u w:val="single" w:color="000000"/>
        </w:rPr>
        <w:t>gap</w:t>
        <w:tab/>
      </w:r>
      <w:r>
        <w:rPr/>
      </w:r>
      <w:r>
        <w:rPr>
          <w:b w:val="0"/>
        </w:rPr>
      </w:r>
    </w:p>
    <w:p>
      <w:pPr>
        <w:spacing w:line="240" w:lineRule="auto" w:before="4"/>
        <w:ind w:right="0"/>
        <w:rPr>
          <w:rFonts w:ascii="Calibri" w:hAnsi="Calibri" w:cs="Calibri" w:eastAsia="Calibri" w:hint="default"/>
          <w:b/>
          <w:bCs/>
          <w:sz w:val="9"/>
          <w:szCs w:val="9"/>
        </w:rPr>
      </w:pPr>
    </w:p>
    <w:tbl>
      <w:tblPr>
        <w:tblW w:w="0" w:type="auto"/>
        <w:jc w:val="left"/>
        <w:tblInd w:w="1440" w:type="dxa"/>
        <w:tblLayout w:type="fixed"/>
        <w:tblCellMar>
          <w:top w:w="0" w:type="dxa"/>
          <w:left w:w="0" w:type="dxa"/>
          <w:bottom w:w="0" w:type="dxa"/>
          <w:right w:w="0" w:type="dxa"/>
        </w:tblCellMar>
        <w:tblLook w:val="01E0"/>
      </w:tblPr>
      <w:tblGrid>
        <w:gridCol w:w="1166"/>
        <w:gridCol w:w="2088"/>
        <w:gridCol w:w="2053"/>
        <w:gridCol w:w="1826"/>
        <w:gridCol w:w="2109"/>
      </w:tblGrid>
      <w:tr>
        <w:trPr>
          <w:trHeight w:val="761" w:hRule="exact"/>
        </w:trPr>
        <w:tc>
          <w:tcPr>
            <w:tcW w:w="1166" w:type="dxa"/>
            <w:tcBorders>
              <w:top w:val="nil" w:sz="6" w:space="0" w:color="auto"/>
              <w:left w:val="nil" w:sz="6" w:space="0" w:color="auto"/>
              <w:bottom w:val="single" w:sz="4" w:space="0" w:color="000000"/>
              <w:right w:val="nil" w:sz="6" w:space="0" w:color="auto"/>
            </w:tcBorders>
          </w:tcPr>
          <w:p>
            <w:pPr>
              <w:pStyle w:val="TableParagraph"/>
              <w:spacing w:line="240" w:lineRule="auto" w:before="8"/>
              <w:ind w:right="0"/>
              <w:jc w:val="left"/>
              <w:rPr>
                <w:rFonts w:ascii="Calibri" w:hAnsi="Calibri" w:cs="Calibri" w:eastAsia="Calibri" w:hint="default"/>
                <w:b/>
                <w:bCs/>
                <w:sz w:val="16"/>
                <w:szCs w:val="16"/>
              </w:rPr>
            </w:pPr>
          </w:p>
          <w:p>
            <w:pPr>
              <w:pStyle w:val="TableParagraph"/>
              <w:spacing w:line="240" w:lineRule="auto"/>
              <w:ind w:left="91" w:right="0"/>
              <w:jc w:val="center"/>
              <w:rPr>
                <w:rFonts w:ascii="Calibri" w:hAnsi="Calibri" w:cs="Calibri" w:eastAsia="Calibri" w:hint="default"/>
                <w:sz w:val="20"/>
                <w:szCs w:val="20"/>
              </w:rPr>
            </w:pPr>
            <w:r>
              <w:rPr>
                <w:rFonts w:ascii="Calibri"/>
                <w:b/>
                <w:i/>
                <w:sz w:val="20"/>
              </w:rPr>
              <w:t>Years</w:t>
            </w:r>
            <w:r>
              <w:rPr>
                <w:rFonts w:ascii="Calibri"/>
                <w:sz w:val="20"/>
              </w:rPr>
            </w:r>
          </w:p>
        </w:tc>
        <w:tc>
          <w:tcPr>
            <w:tcW w:w="2088" w:type="dxa"/>
            <w:tcBorders>
              <w:top w:val="nil" w:sz="6" w:space="0" w:color="auto"/>
              <w:left w:val="nil" w:sz="6" w:space="0" w:color="auto"/>
              <w:bottom w:val="single" w:sz="4" w:space="0" w:color="000000"/>
              <w:right w:val="nil" w:sz="6" w:space="0" w:color="auto"/>
            </w:tcBorders>
          </w:tcPr>
          <w:p>
            <w:pPr>
              <w:pStyle w:val="TableParagraph"/>
              <w:spacing w:line="240" w:lineRule="auto" w:before="81"/>
              <w:ind w:left="386" w:right="214" w:hanging="77"/>
              <w:jc w:val="left"/>
              <w:rPr>
                <w:rFonts w:ascii="Calibri" w:hAnsi="Calibri" w:cs="Calibri" w:eastAsia="Calibri" w:hint="default"/>
                <w:sz w:val="20"/>
                <w:szCs w:val="20"/>
              </w:rPr>
            </w:pPr>
            <w:r>
              <w:rPr>
                <w:rFonts w:ascii="Calibri"/>
                <w:b/>
                <w:i/>
                <w:sz w:val="20"/>
              </w:rPr>
              <w:t>Total</w:t>
            </w:r>
            <w:r>
              <w:rPr>
                <w:rFonts w:ascii="Calibri"/>
                <w:b/>
                <w:i/>
                <w:spacing w:val="-10"/>
                <w:sz w:val="20"/>
              </w:rPr>
              <w:t> </w:t>
            </w:r>
            <w:r>
              <w:rPr>
                <w:rFonts w:ascii="Calibri"/>
                <w:b/>
                <w:i/>
                <w:sz w:val="20"/>
              </w:rPr>
              <w:t>International </w:t>
            </w:r>
            <w:r>
              <w:rPr>
                <w:rFonts w:ascii="Calibri"/>
                <w:b/>
                <w:i/>
                <w:sz w:val="20"/>
              </w:rPr>
              <w:t>Tourism</w:t>
            </w:r>
            <w:r>
              <w:rPr>
                <w:rFonts w:ascii="Calibri"/>
                <w:b/>
                <w:i/>
                <w:spacing w:val="-12"/>
                <w:sz w:val="20"/>
              </w:rPr>
              <w:t> </w:t>
            </w:r>
            <w:r>
              <w:rPr>
                <w:rFonts w:ascii="Calibri"/>
                <w:b/>
                <w:i/>
                <w:sz w:val="20"/>
              </w:rPr>
              <w:t>Receipts</w:t>
            </w:r>
            <w:r>
              <w:rPr>
                <w:rFonts w:ascii="Calibri"/>
                <w:sz w:val="20"/>
              </w:rPr>
            </w:r>
          </w:p>
        </w:tc>
        <w:tc>
          <w:tcPr>
            <w:tcW w:w="2053" w:type="dxa"/>
            <w:tcBorders>
              <w:top w:val="nil" w:sz="6" w:space="0" w:color="auto"/>
              <w:left w:val="nil" w:sz="6" w:space="0" w:color="auto"/>
              <w:bottom w:val="single" w:sz="4" w:space="0" w:color="000000"/>
              <w:right w:val="nil" w:sz="6" w:space="0" w:color="auto"/>
            </w:tcBorders>
          </w:tcPr>
          <w:p>
            <w:pPr>
              <w:pStyle w:val="TableParagraph"/>
              <w:spacing w:line="203" w:lineRule="exact"/>
              <w:ind w:right="55"/>
              <w:jc w:val="center"/>
              <w:rPr>
                <w:rFonts w:ascii="Calibri" w:hAnsi="Calibri" w:cs="Calibri" w:eastAsia="Calibri" w:hint="default"/>
                <w:sz w:val="20"/>
                <w:szCs w:val="20"/>
              </w:rPr>
            </w:pPr>
            <w:r>
              <w:rPr>
                <w:rFonts w:ascii="Calibri"/>
                <w:b/>
                <w:i/>
                <w:sz w:val="20"/>
              </w:rPr>
              <w:t>Total</w:t>
            </w:r>
            <w:r>
              <w:rPr>
                <w:rFonts w:ascii="Calibri"/>
                <w:b/>
                <w:i/>
                <w:spacing w:val="-13"/>
                <w:sz w:val="20"/>
              </w:rPr>
              <w:t> </w:t>
            </w:r>
            <w:r>
              <w:rPr>
                <w:rFonts w:ascii="Calibri"/>
                <w:b/>
                <w:i/>
                <w:sz w:val="20"/>
              </w:rPr>
              <w:t>International</w:t>
            </w:r>
            <w:r>
              <w:rPr>
                <w:rFonts w:ascii="Calibri"/>
                <w:sz w:val="20"/>
              </w:rPr>
            </w:r>
          </w:p>
          <w:p>
            <w:pPr>
              <w:pStyle w:val="TableParagraph"/>
              <w:spacing w:line="240" w:lineRule="auto"/>
              <w:ind w:left="459" w:right="520" w:firstLine="2"/>
              <w:jc w:val="center"/>
              <w:rPr>
                <w:rFonts w:ascii="Calibri" w:hAnsi="Calibri" w:cs="Calibri" w:eastAsia="Calibri" w:hint="default"/>
                <w:sz w:val="20"/>
                <w:szCs w:val="20"/>
              </w:rPr>
            </w:pPr>
            <w:r>
              <w:rPr>
                <w:rFonts w:ascii="Calibri"/>
                <w:b/>
                <w:i/>
                <w:sz w:val="20"/>
              </w:rPr>
              <w:t>Tourism </w:t>
            </w:r>
            <w:r>
              <w:rPr>
                <w:rFonts w:ascii="Calibri"/>
                <w:b/>
                <w:i/>
                <w:spacing w:val="-1"/>
                <w:sz w:val="20"/>
              </w:rPr>
              <w:t>Expenditures</w:t>
            </w:r>
            <w:r>
              <w:rPr>
                <w:rFonts w:ascii="Calibri"/>
                <w:spacing w:val="-1"/>
                <w:sz w:val="20"/>
              </w:rPr>
            </w:r>
          </w:p>
        </w:tc>
        <w:tc>
          <w:tcPr>
            <w:tcW w:w="1826" w:type="dxa"/>
            <w:tcBorders>
              <w:top w:val="nil" w:sz="6" w:space="0" w:color="auto"/>
              <w:left w:val="nil" w:sz="6" w:space="0" w:color="auto"/>
              <w:bottom w:val="single" w:sz="4" w:space="0" w:color="000000"/>
              <w:right w:val="nil" w:sz="6" w:space="0" w:color="auto"/>
            </w:tcBorders>
          </w:tcPr>
          <w:p>
            <w:pPr>
              <w:pStyle w:val="TableParagraph"/>
              <w:spacing w:line="240" w:lineRule="auto" w:before="8"/>
              <w:ind w:right="0"/>
              <w:jc w:val="left"/>
              <w:rPr>
                <w:rFonts w:ascii="Calibri" w:hAnsi="Calibri" w:cs="Calibri" w:eastAsia="Calibri" w:hint="default"/>
                <w:b/>
                <w:bCs/>
                <w:sz w:val="16"/>
                <w:szCs w:val="16"/>
              </w:rPr>
            </w:pPr>
          </w:p>
          <w:p>
            <w:pPr>
              <w:pStyle w:val="TableParagraph"/>
              <w:spacing w:line="240" w:lineRule="auto"/>
              <w:ind w:left="47" w:right="0"/>
              <w:jc w:val="center"/>
              <w:rPr>
                <w:rFonts w:ascii="Calibri" w:hAnsi="Calibri" w:cs="Calibri" w:eastAsia="Calibri" w:hint="default"/>
                <w:sz w:val="20"/>
                <w:szCs w:val="20"/>
              </w:rPr>
            </w:pPr>
            <w:r>
              <w:rPr>
                <w:rFonts w:ascii="Calibri" w:hAnsi="Calibri"/>
                <w:b/>
                <w:i/>
                <w:sz w:val="20"/>
              </w:rPr>
              <w:t>Δ Total</w:t>
            </w:r>
            <w:r>
              <w:rPr>
                <w:rFonts w:ascii="Calibri" w:hAnsi="Calibri"/>
                <w:b/>
                <w:i/>
                <w:spacing w:val="-7"/>
                <w:sz w:val="20"/>
              </w:rPr>
              <w:t> </w:t>
            </w:r>
            <w:r>
              <w:rPr>
                <w:rFonts w:ascii="Calibri" w:hAnsi="Calibri"/>
                <w:b/>
                <w:i/>
                <w:sz w:val="20"/>
              </w:rPr>
              <w:t>Receipts</w:t>
            </w:r>
            <w:r>
              <w:rPr>
                <w:rFonts w:ascii="Calibri" w:hAnsi="Calibri"/>
                <w:sz w:val="20"/>
              </w:rPr>
            </w:r>
          </w:p>
        </w:tc>
        <w:tc>
          <w:tcPr>
            <w:tcW w:w="2109" w:type="dxa"/>
            <w:tcBorders>
              <w:top w:val="nil" w:sz="6" w:space="0" w:color="auto"/>
              <w:left w:val="nil" w:sz="6" w:space="0" w:color="auto"/>
              <w:bottom w:val="single" w:sz="4" w:space="0" w:color="000000"/>
              <w:right w:val="nil" w:sz="6" w:space="0" w:color="auto"/>
            </w:tcBorders>
          </w:tcPr>
          <w:p>
            <w:pPr>
              <w:pStyle w:val="TableParagraph"/>
              <w:spacing w:line="240" w:lineRule="auto" w:before="8"/>
              <w:ind w:right="0"/>
              <w:jc w:val="left"/>
              <w:rPr>
                <w:rFonts w:ascii="Calibri" w:hAnsi="Calibri" w:cs="Calibri" w:eastAsia="Calibri" w:hint="default"/>
                <w:b/>
                <w:bCs/>
                <w:sz w:val="16"/>
                <w:szCs w:val="16"/>
              </w:rPr>
            </w:pPr>
          </w:p>
          <w:p>
            <w:pPr>
              <w:pStyle w:val="TableParagraph"/>
              <w:spacing w:line="240" w:lineRule="auto"/>
              <w:ind w:left="108" w:right="0"/>
              <w:jc w:val="center"/>
              <w:rPr>
                <w:rFonts w:ascii="Calibri" w:hAnsi="Calibri" w:cs="Calibri" w:eastAsia="Calibri" w:hint="default"/>
                <w:sz w:val="20"/>
                <w:szCs w:val="20"/>
              </w:rPr>
            </w:pPr>
            <w:r>
              <w:rPr>
                <w:rFonts w:ascii="Calibri" w:hAnsi="Calibri"/>
                <w:b/>
                <w:i/>
                <w:sz w:val="20"/>
              </w:rPr>
              <w:t>Δ Total</w:t>
            </w:r>
            <w:r>
              <w:rPr>
                <w:rFonts w:ascii="Calibri" w:hAnsi="Calibri"/>
                <w:b/>
                <w:i/>
                <w:spacing w:val="-8"/>
                <w:sz w:val="20"/>
              </w:rPr>
              <w:t> </w:t>
            </w:r>
            <w:r>
              <w:rPr>
                <w:rFonts w:ascii="Calibri" w:hAnsi="Calibri"/>
                <w:b/>
                <w:i/>
                <w:sz w:val="20"/>
              </w:rPr>
              <w:t>Expenditures</w:t>
            </w:r>
            <w:r>
              <w:rPr>
                <w:rFonts w:ascii="Calibri" w:hAnsi="Calibri"/>
                <w:sz w:val="20"/>
              </w:rPr>
            </w:r>
          </w:p>
        </w:tc>
      </w:tr>
      <w:tr>
        <w:trPr>
          <w:trHeight w:val="247" w:hRule="exact"/>
        </w:trPr>
        <w:tc>
          <w:tcPr>
            <w:tcW w:w="1166" w:type="dxa"/>
            <w:tcBorders>
              <w:top w:val="single" w:sz="4" w:space="0" w:color="000000"/>
              <w:left w:val="nil" w:sz="6" w:space="0" w:color="auto"/>
              <w:bottom w:val="nil" w:sz="6" w:space="0" w:color="auto"/>
              <w:right w:val="nil" w:sz="6" w:space="0" w:color="auto"/>
            </w:tcBorders>
          </w:tcPr>
          <w:p>
            <w:pPr>
              <w:pStyle w:val="TableParagraph"/>
              <w:spacing w:line="243" w:lineRule="exact"/>
              <w:ind w:left="91" w:right="0"/>
              <w:jc w:val="center"/>
              <w:rPr>
                <w:rFonts w:ascii="Calibri" w:hAnsi="Calibri" w:cs="Calibri" w:eastAsia="Calibri" w:hint="default"/>
                <w:sz w:val="20"/>
                <w:szCs w:val="20"/>
              </w:rPr>
            </w:pPr>
            <w:r>
              <w:rPr>
                <w:rFonts w:ascii="Calibri"/>
                <w:sz w:val="20"/>
              </w:rPr>
              <w:t>2007</w:t>
            </w:r>
          </w:p>
        </w:tc>
        <w:tc>
          <w:tcPr>
            <w:tcW w:w="2088" w:type="dxa"/>
            <w:tcBorders>
              <w:top w:val="single" w:sz="4" w:space="0" w:color="000000"/>
              <w:left w:val="nil" w:sz="6" w:space="0" w:color="auto"/>
              <w:bottom w:val="nil" w:sz="6" w:space="0" w:color="auto"/>
              <w:right w:val="nil" w:sz="6" w:space="0" w:color="auto"/>
            </w:tcBorders>
          </w:tcPr>
          <w:p>
            <w:pPr>
              <w:pStyle w:val="TableParagraph"/>
              <w:spacing w:line="243" w:lineRule="exact"/>
              <w:ind w:left="94" w:right="0"/>
              <w:jc w:val="center"/>
              <w:rPr>
                <w:rFonts w:ascii="Calibri" w:hAnsi="Calibri" w:cs="Calibri" w:eastAsia="Calibri" w:hint="default"/>
                <w:sz w:val="20"/>
                <w:szCs w:val="20"/>
              </w:rPr>
            </w:pPr>
            <w:r>
              <w:rPr>
                <w:rFonts w:ascii="Calibri"/>
                <w:sz w:val="20"/>
              </w:rPr>
              <w:t>$658,000,000</w:t>
            </w:r>
          </w:p>
        </w:tc>
        <w:tc>
          <w:tcPr>
            <w:tcW w:w="2053" w:type="dxa"/>
            <w:tcBorders>
              <w:top w:val="single" w:sz="4" w:space="0" w:color="000000"/>
              <w:left w:val="nil" w:sz="6" w:space="0" w:color="auto"/>
              <w:bottom w:val="nil" w:sz="6" w:space="0" w:color="auto"/>
              <w:right w:val="nil" w:sz="6" w:space="0" w:color="auto"/>
            </w:tcBorders>
          </w:tcPr>
          <w:p>
            <w:pPr>
              <w:pStyle w:val="TableParagraph"/>
              <w:spacing w:line="243" w:lineRule="exact"/>
              <w:ind w:right="54"/>
              <w:jc w:val="center"/>
              <w:rPr>
                <w:rFonts w:ascii="Calibri" w:hAnsi="Calibri" w:cs="Calibri" w:eastAsia="Calibri" w:hint="default"/>
                <w:sz w:val="20"/>
                <w:szCs w:val="20"/>
              </w:rPr>
            </w:pPr>
            <w:r>
              <w:rPr>
                <w:rFonts w:ascii="Calibri"/>
                <w:sz w:val="20"/>
              </w:rPr>
              <w:t>$446,000,000</w:t>
            </w:r>
          </w:p>
        </w:tc>
        <w:tc>
          <w:tcPr>
            <w:tcW w:w="1826" w:type="dxa"/>
            <w:tcBorders>
              <w:top w:val="single" w:sz="4" w:space="0" w:color="000000"/>
              <w:left w:val="nil" w:sz="6" w:space="0" w:color="auto"/>
              <w:bottom w:val="nil" w:sz="6" w:space="0" w:color="auto"/>
              <w:right w:val="nil" w:sz="6" w:space="0" w:color="auto"/>
            </w:tcBorders>
          </w:tcPr>
          <w:p>
            <w:pPr>
              <w:pStyle w:val="TableParagraph"/>
              <w:spacing w:line="243" w:lineRule="exact"/>
              <w:ind w:left="50" w:right="0"/>
              <w:jc w:val="center"/>
              <w:rPr>
                <w:rFonts w:ascii="Calibri" w:hAnsi="Calibri" w:cs="Calibri" w:eastAsia="Calibri" w:hint="default"/>
                <w:sz w:val="20"/>
                <w:szCs w:val="20"/>
              </w:rPr>
            </w:pPr>
            <w:r>
              <w:rPr>
                <w:rFonts w:ascii="Calibri"/>
                <w:sz w:val="20"/>
              </w:rPr>
              <w:t>-</w:t>
            </w:r>
          </w:p>
        </w:tc>
        <w:tc>
          <w:tcPr>
            <w:tcW w:w="2109" w:type="dxa"/>
            <w:tcBorders>
              <w:top w:val="single" w:sz="4" w:space="0" w:color="000000"/>
              <w:left w:val="nil" w:sz="6" w:space="0" w:color="auto"/>
              <w:bottom w:val="nil" w:sz="6" w:space="0" w:color="auto"/>
              <w:right w:val="nil" w:sz="6" w:space="0" w:color="auto"/>
            </w:tcBorders>
          </w:tcPr>
          <w:p>
            <w:pPr>
              <w:pStyle w:val="TableParagraph"/>
              <w:spacing w:line="243" w:lineRule="exact"/>
              <w:ind w:left="110" w:right="0"/>
              <w:jc w:val="center"/>
              <w:rPr>
                <w:rFonts w:ascii="Calibri" w:hAnsi="Calibri" w:cs="Calibri" w:eastAsia="Calibri" w:hint="default"/>
                <w:sz w:val="20"/>
                <w:szCs w:val="20"/>
              </w:rPr>
            </w:pPr>
            <w:r>
              <w:rPr>
                <w:rFonts w:ascii="Calibri"/>
                <w:sz w:val="20"/>
              </w:rPr>
              <w:t>-</w:t>
            </w:r>
          </w:p>
        </w:tc>
      </w:tr>
      <w:tr>
        <w:trPr>
          <w:trHeight w:val="224" w:hRule="exact"/>
        </w:trPr>
        <w:tc>
          <w:tcPr>
            <w:tcW w:w="1166" w:type="dxa"/>
            <w:tcBorders>
              <w:top w:val="nil" w:sz="6" w:space="0" w:color="auto"/>
              <w:left w:val="nil" w:sz="6" w:space="0" w:color="auto"/>
              <w:bottom w:val="nil" w:sz="6" w:space="0" w:color="auto"/>
              <w:right w:val="nil" w:sz="6" w:space="0" w:color="auto"/>
            </w:tcBorders>
          </w:tcPr>
          <w:p>
            <w:pPr>
              <w:pStyle w:val="TableParagraph"/>
              <w:spacing w:line="206" w:lineRule="exact"/>
              <w:ind w:left="91" w:right="0"/>
              <w:jc w:val="center"/>
              <w:rPr>
                <w:rFonts w:ascii="Calibri" w:hAnsi="Calibri" w:cs="Calibri" w:eastAsia="Calibri" w:hint="default"/>
                <w:sz w:val="20"/>
                <w:szCs w:val="20"/>
              </w:rPr>
            </w:pPr>
            <w:r>
              <w:rPr>
                <w:rFonts w:ascii="Calibri"/>
                <w:sz w:val="20"/>
              </w:rPr>
              <w:t>2008</w:t>
            </w:r>
          </w:p>
        </w:tc>
        <w:tc>
          <w:tcPr>
            <w:tcW w:w="2088" w:type="dxa"/>
            <w:tcBorders>
              <w:top w:val="nil" w:sz="6" w:space="0" w:color="auto"/>
              <w:left w:val="nil" w:sz="6" w:space="0" w:color="auto"/>
              <w:bottom w:val="nil" w:sz="6" w:space="0" w:color="auto"/>
              <w:right w:val="nil" w:sz="6" w:space="0" w:color="auto"/>
            </w:tcBorders>
          </w:tcPr>
          <w:p>
            <w:pPr>
              <w:pStyle w:val="TableParagraph"/>
              <w:spacing w:line="206" w:lineRule="exact"/>
              <w:ind w:left="94" w:right="0"/>
              <w:jc w:val="center"/>
              <w:rPr>
                <w:rFonts w:ascii="Calibri" w:hAnsi="Calibri" w:cs="Calibri" w:eastAsia="Calibri" w:hint="default"/>
                <w:sz w:val="20"/>
                <w:szCs w:val="20"/>
              </w:rPr>
            </w:pPr>
            <w:r>
              <w:rPr>
                <w:rFonts w:ascii="Calibri"/>
                <w:sz w:val="20"/>
              </w:rPr>
              <w:t>$766,000,000</w:t>
            </w:r>
          </w:p>
        </w:tc>
        <w:tc>
          <w:tcPr>
            <w:tcW w:w="2053" w:type="dxa"/>
            <w:tcBorders>
              <w:top w:val="nil" w:sz="6" w:space="0" w:color="auto"/>
              <w:left w:val="nil" w:sz="6" w:space="0" w:color="auto"/>
              <w:bottom w:val="nil" w:sz="6" w:space="0" w:color="auto"/>
              <w:right w:val="nil" w:sz="6" w:space="0" w:color="auto"/>
            </w:tcBorders>
          </w:tcPr>
          <w:p>
            <w:pPr>
              <w:pStyle w:val="TableParagraph"/>
              <w:spacing w:line="206" w:lineRule="exact"/>
              <w:ind w:right="54"/>
              <w:jc w:val="center"/>
              <w:rPr>
                <w:rFonts w:ascii="Calibri" w:hAnsi="Calibri" w:cs="Calibri" w:eastAsia="Calibri" w:hint="default"/>
                <w:sz w:val="20"/>
                <w:szCs w:val="20"/>
              </w:rPr>
            </w:pPr>
            <w:r>
              <w:rPr>
                <w:rFonts w:ascii="Calibri"/>
                <w:sz w:val="20"/>
              </w:rPr>
              <w:t>$458,000,000</w:t>
            </w:r>
          </w:p>
        </w:tc>
        <w:tc>
          <w:tcPr>
            <w:tcW w:w="1826" w:type="dxa"/>
            <w:tcBorders>
              <w:top w:val="nil" w:sz="6" w:space="0" w:color="auto"/>
              <w:left w:val="nil" w:sz="6" w:space="0" w:color="auto"/>
              <w:bottom w:val="nil" w:sz="6" w:space="0" w:color="auto"/>
              <w:right w:val="nil" w:sz="6" w:space="0" w:color="auto"/>
            </w:tcBorders>
          </w:tcPr>
          <w:p>
            <w:pPr>
              <w:pStyle w:val="TableParagraph"/>
              <w:spacing w:line="206" w:lineRule="exact"/>
              <w:ind w:left="54" w:right="0"/>
              <w:jc w:val="center"/>
              <w:rPr>
                <w:rFonts w:ascii="Calibri" w:hAnsi="Calibri" w:cs="Calibri" w:eastAsia="Calibri" w:hint="default"/>
                <w:sz w:val="20"/>
                <w:szCs w:val="20"/>
              </w:rPr>
            </w:pPr>
            <w:r>
              <w:rPr>
                <w:rFonts w:ascii="Calibri"/>
                <w:sz w:val="20"/>
              </w:rPr>
              <w:t>$108,000</w:t>
            </w:r>
          </w:p>
        </w:tc>
        <w:tc>
          <w:tcPr>
            <w:tcW w:w="2109" w:type="dxa"/>
            <w:tcBorders>
              <w:top w:val="nil" w:sz="6" w:space="0" w:color="auto"/>
              <w:left w:val="nil" w:sz="6" w:space="0" w:color="auto"/>
              <w:bottom w:val="nil" w:sz="6" w:space="0" w:color="auto"/>
              <w:right w:val="nil" w:sz="6" w:space="0" w:color="auto"/>
            </w:tcBorders>
          </w:tcPr>
          <w:p>
            <w:pPr>
              <w:pStyle w:val="TableParagraph"/>
              <w:spacing w:line="206" w:lineRule="exact"/>
              <w:ind w:left="113" w:right="0"/>
              <w:jc w:val="center"/>
              <w:rPr>
                <w:rFonts w:ascii="Calibri" w:hAnsi="Calibri" w:cs="Calibri" w:eastAsia="Calibri" w:hint="default"/>
                <w:sz w:val="20"/>
                <w:szCs w:val="20"/>
              </w:rPr>
            </w:pPr>
            <w:r>
              <w:rPr>
                <w:rFonts w:ascii="Calibri"/>
                <w:sz w:val="20"/>
              </w:rPr>
              <w:t>$12,000,000</w:t>
            </w:r>
          </w:p>
        </w:tc>
      </w:tr>
      <w:tr>
        <w:trPr>
          <w:trHeight w:val="245" w:hRule="exact"/>
        </w:trPr>
        <w:tc>
          <w:tcPr>
            <w:tcW w:w="1166" w:type="dxa"/>
            <w:tcBorders>
              <w:top w:val="nil" w:sz="6" w:space="0" w:color="auto"/>
              <w:left w:val="nil" w:sz="6" w:space="0" w:color="auto"/>
              <w:bottom w:val="nil" w:sz="6" w:space="0" w:color="auto"/>
              <w:right w:val="nil" w:sz="6" w:space="0" w:color="auto"/>
            </w:tcBorders>
          </w:tcPr>
          <w:p>
            <w:pPr>
              <w:pStyle w:val="TableParagraph"/>
              <w:spacing w:line="226" w:lineRule="exact"/>
              <w:ind w:left="91" w:right="0"/>
              <w:jc w:val="center"/>
              <w:rPr>
                <w:rFonts w:ascii="Calibri" w:hAnsi="Calibri" w:cs="Calibri" w:eastAsia="Calibri" w:hint="default"/>
                <w:sz w:val="20"/>
                <w:szCs w:val="20"/>
              </w:rPr>
            </w:pPr>
            <w:r>
              <w:rPr>
                <w:rFonts w:ascii="Calibri"/>
                <w:sz w:val="20"/>
              </w:rPr>
              <w:t>2009</w:t>
            </w:r>
          </w:p>
        </w:tc>
        <w:tc>
          <w:tcPr>
            <w:tcW w:w="2088" w:type="dxa"/>
            <w:tcBorders>
              <w:top w:val="nil" w:sz="6" w:space="0" w:color="auto"/>
              <w:left w:val="nil" w:sz="6" w:space="0" w:color="auto"/>
              <w:bottom w:val="nil" w:sz="6" w:space="0" w:color="auto"/>
              <w:right w:val="nil" w:sz="6" w:space="0" w:color="auto"/>
            </w:tcBorders>
          </w:tcPr>
          <w:p>
            <w:pPr>
              <w:pStyle w:val="TableParagraph"/>
              <w:spacing w:line="226" w:lineRule="exact"/>
              <w:ind w:left="94" w:right="0"/>
              <w:jc w:val="center"/>
              <w:rPr>
                <w:rFonts w:ascii="Calibri" w:hAnsi="Calibri" w:cs="Calibri" w:eastAsia="Calibri" w:hint="default"/>
                <w:sz w:val="20"/>
                <w:szCs w:val="20"/>
              </w:rPr>
            </w:pPr>
            <w:r>
              <w:rPr>
                <w:rFonts w:ascii="Calibri"/>
                <w:sz w:val="20"/>
              </w:rPr>
              <w:t>$756,000,000</w:t>
            </w:r>
          </w:p>
        </w:tc>
        <w:tc>
          <w:tcPr>
            <w:tcW w:w="2053" w:type="dxa"/>
            <w:tcBorders>
              <w:top w:val="nil" w:sz="6" w:space="0" w:color="auto"/>
              <w:left w:val="nil" w:sz="6" w:space="0" w:color="auto"/>
              <w:bottom w:val="nil" w:sz="6" w:space="0" w:color="auto"/>
              <w:right w:val="nil" w:sz="6" w:space="0" w:color="auto"/>
            </w:tcBorders>
          </w:tcPr>
          <w:p>
            <w:pPr>
              <w:pStyle w:val="TableParagraph"/>
              <w:spacing w:line="226" w:lineRule="exact"/>
              <w:ind w:right="54"/>
              <w:jc w:val="center"/>
              <w:rPr>
                <w:rFonts w:ascii="Calibri" w:hAnsi="Calibri" w:cs="Calibri" w:eastAsia="Calibri" w:hint="default"/>
                <w:sz w:val="20"/>
                <w:szCs w:val="20"/>
              </w:rPr>
            </w:pPr>
            <w:r>
              <w:rPr>
                <w:rFonts w:ascii="Calibri"/>
                <w:sz w:val="20"/>
              </w:rPr>
              <w:t>$516,000,000</w:t>
            </w:r>
          </w:p>
        </w:tc>
        <w:tc>
          <w:tcPr>
            <w:tcW w:w="1826" w:type="dxa"/>
            <w:tcBorders>
              <w:top w:val="nil" w:sz="6" w:space="0" w:color="auto"/>
              <w:left w:val="nil" w:sz="6" w:space="0" w:color="auto"/>
              <w:bottom w:val="nil" w:sz="6" w:space="0" w:color="auto"/>
              <w:right w:val="nil" w:sz="6" w:space="0" w:color="auto"/>
            </w:tcBorders>
          </w:tcPr>
          <w:p>
            <w:pPr>
              <w:pStyle w:val="TableParagraph"/>
              <w:spacing w:line="226" w:lineRule="exact"/>
              <w:ind w:left="49" w:right="0"/>
              <w:jc w:val="center"/>
              <w:rPr>
                <w:rFonts w:ascii="Calibri" w:hAnsi="Calibri" w:cs="Calibri" w:eastAsia="Calibri" w:hint="default"/>
                <w:sz w:val="20"/>
                <w:szCs w:val="20"/>
              </w:rPr>
            </w:pPr>
            <w:r>
              <w:rPr>
                <w:rFonts w:ascii="Calibri"/>
                <w:sz w:val="20"/>
              </w:rPr>
              <w:t>($10,000,000)</w:t>
            </w:r>
          </w:p>
        </w:tc>
        <w:tc>
          <w:tcPr>
            <w:tcW w:w="2109" w:type="dxa"/>
            <w:tcBorders>
              <w:top w:val="nil" w:sz="6" w:space="0" w:color="auto"/>
              <w:left w:val="nil" w:sz="6" w:space="0" w:color="auto"/>
              <w:bottom w:val="nil" w:sz="6" w:space="0" w:color="auto"/>
              <w:right w:val="nil" w:sz="6" w:space="0" w:color="auto"/>
            </w:tcBorders>
          </w:tcPr>
          <w:p>
            <w:pPr>
              <w:pStyle w:val="TableParagraph"/>
              <w:spacing w:line="226" w:lineRule="exact"/>
              <w:ind w:left="113" w:right="0"/>
              <w:jc w:val="center"/>
              <w:rPr>
                <w:rFonts w:ascii="Calibri" w:hAnsi="Calibri" w:cs="Calibri" w:eastAsia="Calibri" w:hint="default"/>
                <w:sz w:val="20"/>
                <w:szCs w:val="20"/>
              </w:rPr>
            </w:pPr>
            <w:r>
              <w:rPr>
                <w:rFonts w:ascii="Calibri"/>
                <w:sz w:val="20"/>
              </w:rPr>
              <w:t>$58,000,000</w:t>
            </w:r>
          </w:p>
        </w:tc>
      </w:tr>
      <w:tr>
        <w:trPr>
          <w:trHeight w:val="244" w:hRule="exact"/>
        </w:trPr>
        <w:tc>
          <w:tcPr>
            <w:tcW w:w="1166" w:type="dxa"/>
            <w:tcBorders>
              <w:top w:val="nil" w:sz="6" w:space="0" w:color="auto"/>
              <w:left w:val="nil" w:sz="6" w:space="0" w:color="auto"/>
              <w:bottom w:val="nil" w:sz="6" w:space="0" w:color="auto"/>
              <w:right w:val="nil" w:sz="6" w:space="0" w:color="auto"/>
            </w:tcBorders>
          </w:tcPr>
          <w:p>
            <w:pPr>
              <w:pStyle w:val="TableParagraph"/>
              <w:spacing w:line="226" w:lineRule="exact"/>
              <w:ind w:left="91" w:right="0"/>
              <w:jc w:val="center"/>
              <w:rPr>
                <w:rFonts w:ascii="Calibri" w:hAnsi="Calibri" w:cs="Calibri" w:eastAsia="Calibri" w:hint="default"/>
                <w:sz w:val="20"/>
                <w:szCs w:val="20"/>
              </w:rPr>
            </w:pPr>
            <w:r>
              <w:rPr>
                <w:rFonts w:ascii="Calibri"/>
                <w:sz w:val="20"/>
              </w:rPr>
              <w:t>2010</w:t>
            </w:r>
          </w:p>
        </w:tc>
        <w:tc>
          <w:tcPr>
            <w:tcW w:w="2088" w:type="dxa"/>
            <w:tcBorders>
              <w:top w:val="nil" w:sz="6" w:space="0" w:color="auto"/>
              <w:left w:val="nil" w:sz="6" w:space="0" w:color="auto"/>
              <w:bottom w:val="nil" w:sz="6" w:space="0" w:color="auto"/>
              <w:right w:val="nil" w:sz="6" w:space="0" w:color="auto"/>
            </w:tcBorders>
          </w:tcPr>
          <w:p>
            <w:pPr>
              <w:pStyle w:val="TableParagraph"/>
              <w:spacing w:line="226" w:lineRule="exact"/>
              <w:ind w:left="94" w:right="0"/>
              <w:jc w:val="center"/>
              <w:rPr>
                <w:rFonts w:ascii="Calibri" w:hAnsi="Calibri" w:cs="Calibri" w:eastAsia="Calibri" w:hint="default"/>
                <w:sz w:val="20"/>
                <w:szCs w:val="20"/>
              </w:rPr>
            </w:pPr>
            <w:r>
              <w:rPr>
                <w:rFonts w:ascii="Calibri"/>
                <w:sz w:val="20"/>
              </w:rPr>
              <w:t>$876,000,000</w:t>
            </w:r>
          </w:p>
        </w:tc>
        <w:tc>
          <w:tcPr>
            <w:tcW w:w="2053" w:type="dxa"/>
            <w:tcBorders>
              <w:top w:val="nil" w:sz="6" w:space="0" w:color="auto"/>
              <w:left w:val="nil" w:sz="6" w:space="0" w:color="auto"/>
              <w:bottom w:val="nil" w:sz="6" w:space="0" w:color="auto"/>
              <w:right w:val="nil" w:sz="6" w:space="0" w:color="auto"/>
            </w:tcBorders>
          </w:tcPr>
          <w:p>
            <w:pPr>
              <w:pStyle w:val="TableParagraph"/>
              <w:spacing w:line="226" w:lineRule="exact"/>
              <w:ind w:right="54"/>
              <w:jc w:val="center"/>
              <w:rPr>
                <w:rFonts w:ascii="Calibri" w:hAnsi="Calibri" w:cs="Calibri" w:eastAsia="Calibri" w:hint="default"/>
                <w:sz w:val="20"/>
                <w:szCs w:val="20"/>
              </w:rPr>
            </w:pPr>
            <w:r>
              <w:rPr>
                <w:rFonts w:ascii="Calibri"/>
                <w:sz w:val="20"/>
              </w:rPr>
              <w:t>$564,000,000</w:t>
            </w:r>
          </w:p>
        </w:tc>
        <w:tc>
          <w:tcPr>
            <w:tcW w:w="1826" w:type="dxa"/>
            <w:tcBorders>
              <w:top w:val="nil" w:sz="6" w:space="0" w:color="auto"/>
              <w:left w:val="nil" w:sz="6" w:space="0" w:color="auto"/>
              <w:bottom w:val="nil" w:sz="6" w:space="0" w:color="auto"/>
              <w:right w:val="nil" w:sz="6" w:space="0" w:color="auto"/>
            </w:tcBorders>
          </w:tcPr>
          <w:p>
            <w:pPr>
              <w:pStyle w:val="TableParagraph"/>
              <w:spacing w:line="226" w:lineRule="exact"/>
              <w:ind w:left="54" w:right="0"/>
              <w:jc w:val="center"/>
              <w:rPr>
                <w:rFonts w:ascii="Calibri" w:hAnsi="Calibri" w:cs="Calibri" w:eastAsia="Calibri" w:hint="default"/>
                <w:sz w:val="20"/>
                <w:szCs w:val="20"/>
              </w:rPr>
            </w:pPr>
            <w:r>
              <w:rPr>
                <w:rFonts w:ascii="Calibri"/>
                <w:sz w:val="20"/>
              </w:rPr>
              <w:t>$120,000,000</w:t>
            </w:r>
          </w:p>
        </w:tc>
        <w:tc>
          <w:tcPr>
            <w:tcW w:w="2109" w:type="dxa"/>
            <w:tcBorders>
              <w:top w:val="nil" w:sz="6" w:space="0" w:color="auto"/>
              <w:left w:val="nil" w:sz="6" w:space="0" w:color="auto"/>
              <w:bottom w:val="nil" w:sz="6" w:space="0" w:color="auto"/>
              <w:right w:val="nil" w:sz="6" w:space="0" w:color="auto"/>
            </w:tcBorders>
          </w:tcPr>
          <w:p>
            <w:pPr>
              <w:pStyle w:val="TableParagraph"/>
              <w:spacing w:line="226" w:lineRule="exact"/>
              <w:ind w:left="113" w:right="0"/>
              <w:jc w:val="center"/>
              <w:rPr>
                <w:rFonts w:ascii="Calibri" w:hAnsi="Calibri" w:cs="Calibri" w:eastAsia="Calibri" w:hint="default"/>
                <w:sz w:val="20"/>
                <w:szCs w:val="20"/>
              </w:rPr>
            </w:pPr>
            <w:r>
              <w:rPr>
                <w:rFonts w:ascii="Calibri"/>
                <w:sz w:val="20"/>
              </w:rPr>
              <w:t>$48,000,000</w:t>
            </w:r>
          </w:p>
        </w:tc>
      </w:tr>
      <w:tr>
        <w:trPr>
          <w:trHeight w:val="244" w:hRule="exact"/>
        </w:trPr>
        <w:tc>
          <w:tcPr>
            <w:tcW w:w="1166" w:type="dxa"/>
            <w:tcBorders>
              <w:top w:val="nil" w:sz="6" w:space="0" w:color="auto"/>
              <w:left w:val="nil" w:sz="6" w:space="0" w:color="auto"/>
              <w:bottom w:val="nil" w:sz="6" w:space="0" w:color="auto"/>
              <w:right w:val="nil" w:sz="6" w:space="0" w:color="auto"/>
            </w:tcBorders>
          </w:tcPr>
          <w:p>
            <w:pPr>
              <w:pStyle w:val="TableParagraph"/>
              <w:spacing w:line="225" w:lineRule="exact"/>
              <w:ind w:left="91" w:right="0"/>
              <w:jc w:val="center"/>
              <w:rPr>
                <w:rFonts w:ascii="Calibri" w:hAnsi="Calibri" w:cs="Calibri" w:eastAsia="Calibri" w:hint="default"/>
                <w:sz w:val="20"/>
                <w:szCs w:val="20"/>
              </w:rPr>
            </w:pPr>
            <w:r>
              <w:rPr>
                <w:rFonts w:ascii="Calibri"/>
                <w:sz w:val="20"/>
              </w:rPr>
              <w:t>2011</w:t>
            </w:r>
          </w:p>
        </w:tc>
        <w:tc>
          <w:tcPr>
            <w:tcW w:w="2088" w:type="dxa"/>
            <w:tcBorders>
              <w:top w:val="nil" w:sz="6" w:space="0" w:color="auto"/>
              <w:left w:val="nil" w:sz="6" w:space="0" w:color="auto"/>
              <w:bottom w:val="nil" w:sz="6" w:space="0" w:color="auto"/>
              <w:right w:val="nil" w:sz="6" w:space="0" w:color="auto"/>
            </w:tcBorders>
          </w:tcPr>
          <w:p>
            <w:pPr>
              <w:pStyle w:val="TableParagraph"/>
              <w:spacing w:line="225" w:lineRule="exact"/>
              <w:ind w:left="91" w:right="0"/>
              <w:jc w:val="center"/>
              <w:rPr>
                <w:rFonts w:ascii="Calibri" w:hAnsi="Calibri" w:cs="Calibri" w:eastAsia="Calibri" w:hint="default"/>
                <w:sz w:val="20"/>
                <w:szCs w:val="20"/>
              </w:rPr>
            </w:pPr>
            <w:r>
              <w:rPr>
                <w:rFonts w:ascii="Calibri"/>
                <w:sz w:val="20"/>
              </w:rPr>
              <w:t>$1,080,000,000</w:t>
            </w:r>
          </w:p>
        </w:tc>
        <w:tc>
          <w:tcPr>
            <w:tcW w:w="2053" w:type="dxa"/>
            <w:tcBorders>
              <w:top w:val="nil" w:sz="6" w:space="0" w:color="auto"/>
              <w:left w:val="nil" w:sz="6" w:space="0" w:color="auto"/>
              <w:bottom w:val="nil" w:sz="6" w:space="0" w:color="auto"/>
              <w:right w:val="nil" w:sz="6" w:space="0" w:color="auto"/>
            </w:tcBorders>
          </w:tcPr>
          <w:p>
            <w:pPr>
              <w:pStyle w:val="TableParagraph"/>
              <w:spacing w:line="225" w:lineRule="exact"/>
              <w:ind w:right="54"/>
              <w:jc w:val="center"/>
              <w:rPr>
                <w:rFonts w:ascii="Calibri" w:hAnsi="Calibri" w:cs="Calibri" w:eastAsia="Calibri" w:hint="default"/>
                <w:sz w:val="20"/>
                <w:szCs w:val="20"/>
              </w:rPr>
            </w:pPr>
            <w:r>
              <w:rPr>
                <w:rFonts w:ascii="Calibri"/>
                <w:sz w:val="20"/>
              </w:rPr>
              <w:t>$642,000,000</w:t>
            </w:r>
          </w:p>
        </w:tc>
        <w:tc>
          <w:tcPr>
            <w:tcW w:w="1826" w:type="dxa"/>
            <w:tcBorders>
              <w:top w:val="nil" w:sz="6" w:space="0" w:color="auto"/>
              <w:left w:val="nil" w:sz="6" w:space="0" w:color="auto"/>
              <w:bottom w:val="nil" w:sz="6" w:space="0" w:color="auto"/>
              <w:right w:val="nil" w:sz="6" w:space="0" w:color="auto"/>
            </w:tcBorders>
          </w:tcPr>
          <w:p>
            <w:pPr>
              <w:pStyle w:val="TableParagraph"/>
              <w:spacing w:line="225" w:lineRule="exact"/>
              <w:ind w:left="54" w:right="0"/>
              <w:jc w:val="center"/>
              <w:rPr>
                <w:rFonts w:ascii="Calibri" w:hAnsi="Calibri" w:cs="Calibri" w:eastAsia="Calibri" w:hint="default"/>
                <w:sz w:val="20"/>
                <w:szCs w:val="20"/>
              </w:rPr>
            </w:pPr>
            <w:r>
              <w:rPr>
                <w:rFonts w:ascii="Calibri"/>
                <w:sz w:val="20"/>
              </w:rPr>
              <w:t>$204,000,000</w:t>
            </w:r>
          </w:p>
        </w:tc>
        <w:tc>
          <w:tcPr>
            <w:tcW w:w="2109" w:type="dxa"/>
            <w:tcBorders>
              <w:top w:val="nil" w:sz="6" w:space="0" w:color="auto"/>
              <w:left w:val="nil" w:sz="6" w:space="0" w:color="auto"/>
              <w:bottom w:val="nil" w:sz="6" w:space="0" w:color="auto"/>
              <w:right w:val="nil" w:sz="6" w:space="0" w:color="auto"/>
            </w:tcBorders>
          </w:tcPr>
          <w:p>
            <w:pPr>
              <w:pStyle w:val="TableParagraph"/>
              <w:spacing w:line="225" w:lineRule="exact"/>
              <w:ind w:left="113" w:right="0"/>
              <w:jc w:val="center"/>
              <w:rPr>
                <w:rFonts w:ascii="Calibri" w:hAnsi="Calibri" w:cs="Calibri" w:eastAsia="Calibri" w:hint="default"/>
                <w:sz w:val="20"/>
                <w:szCs w:val="20"/>
              </w:rPr>
            </w:pPr>
            <w:r>
              <w:rPr>
                <w:rFonts w:ascii="Calibri"/>
                <w:sz w:val="20"/>
              </w:rPr>
              <w:t>$78,000,000</w:t>
            </w:r>
          </w:p>
        </w:tc>
      </w:tr>
      <w:tr>
        <w:trPr>
          <w:trHeight w:val="222" w:hRule="exact"/>
        </w:trPr>
        <w:tc>
          <w:tcPr>
            <w:tcW w:w="1166" w:type="dxa"/>
            <w:tcBorders>
              <w:top w:val="nil" w:sz="6" w:space="0" w:color="auto"/>
              <w:left w:val="nil" w:sz="6" w:space="0" w:color="auto"/>
              <w:bottom w:val="single" w:sz="4" w:space="0" w:color="000000"/>
              <w:right w:val="nil" w:sz="6" w:space="0" w:color="auto"/>
            </w:tcBorders>
          </w:tcPr>
          <w:p>
            <w:pPr>
              <w:pStyle w:val="TableParagraph"/>
              <w:spacing w:line="226" w:lineRule="exact"/>
              <w:ind w:left="91" w:right="0"/>
              <w:jc w:val="center"/>
              <w:rPr>
                <w:rFonts w:ascii="Calibri" w:hAnsi="Calibri" w:cs="Calibri" w:eastAsia="Calibri" w:hint="default"/>
                <w:sz w:val="20"/>
                <w:szCs w:val="20"/>
              </w:rPr>
            </w:pPr>
            <w:r>
              <w:rPr>
                <w:rFonts w:ascii="Calibri"/>
                <w:sz w:val="20"/>
              </w:rPr>
              <w:t>2012</w:t>
            </w:r>
          </w:p>
        </w:tc>
        <w:tc>
          <w:tcPr>
            <w:tcW w:w="2088" w:type="dxa"/>
            <w:tcBorders>
              <w:top w:val="nil" w:sz="6" w:space="0" w:color="auto"/>
              <w:left w:val="nil" w:sz="6" w:space="0" w:color="auto"/>
              <w:bottom w:val="single" w:sz="4" w:space="0" w:color="000000"/>
              <w:right w:val="nil" w:sz="6" w:space="0" w:color="auto"/>
            </w:tcBorders>
          </w:tcPr>
          <w:p>
            <w:pPr>
              <w:pStyle w:val="TableParagraph"/>
              <w:spacing w:line="226" w:lineRule="exact"/>
              <w:ind w:left="91" w:right="0"/>
              <w:jc w:val="center"/>
              <w:rPr>
                <w:rFonts w:ascii="Calibri" w:hAnsi="Calibri" w:cs="Calibri" w:eastAsia="Calibri" w:hint="default"/>
                <w:sz w:val="20"/>
                <w:szCs w:val="20"/>
              </w:rPr>
            </w:pPr>
            <w:r>
              <w:rPr>
                <w:rFonts w:ascii="Calibri"/>
                <w:sz w:val="20"/>
              </w:rPr>
              <w:t>$1,352,000,000</w:t>
            </w:r>
          </w:p>
        </w:tc>
        <w:tc>
          <w:tcPr>
            <w:tcW w:w="2053" w:type="dxa"/>
            <w:tcBorders>
              <w:top w:val="nil" w:sz="6" w:space="0" w:color="auto"/>
              <w:left w:val="nil" w:sz="6" w:space="0" w:color="auto"/>
              <w:bottom w:val="single" w:sz="4" w:space="0" w:color="000000"/>
              <w:right w:val="nil" w:sz="6" w:space="0" w:color="auto"/>
            </w:tcBorders>
          </w:tcPr>
          <w:p>
            <w:pPr>
              <w:pStyle w:val="TableParagraph"/>
              <w:spacing w:line="226" w:lineRule="exact"/>
              <w:ind w:right="54"/>
              <w:jc w:val="center"/>
              <w:rPr>
                <w:rFonts w:ascii="Calibri" w:hAnsi="Calibri" w:cs="Calibri" w:eastAsia="Calibri" w:hint="default"/>
                <w:sz w:val="20"/>
                <w:szCs w:val="20"/>
              </w:rPr>
            </w:pPr>
            <w:r>
              <w:rPr>
                <w:rFonts w:ascii="Calibri"/>
                <w:sz w:val="20"/>
              </w:rPr>
              <w:t>$714,000,000</w:t>
            </w:r>
          </w:p>
        </w:tc>
        <w:tc>
          <w:tcPr>
            <w:tcW w:w="1826" w:type="dxa"/>
            <w:tcBorders>
              <w:top w:val="nil" w:sz="6" w:space="0" w:color="auto"/>
              <w:left w:val="nil" w:sz="6" w:space="0" w:color="auto"/>
              <w:bottom w:val="single" w:sz="4" w:space="0" w:color="000000"/>
              <w:right w:val="nil" w:sz="6" w:space="0" w:color="auto"/>
            </w:tcBorders>
          </w:tcPr>
          <w:p>
            <w:pPr>
              <w:pStyle w:val="TableParagraph"/>
              <w:spacing w:line="226" w:lineRule="exact"/>
              <w:ind w:left="54" w:right="0"/>
              <w:jc w:val="center"/>
              <w:rPr>
                <w:rFonts w:ascii="Calibri" w:hAnsi="Calibri" w:cs="Calibri" w:eastAsia="Calibri" w:hint="default"/>
                <w:sz w:val="20"/>
                <w:szCs w:val="20"/>
              </w:rPr>
            </w:pPr>
            <w:r>
              <w:rPr>
                <w:rFonts w:ascii="Calibri"/>
                <w:sz w:val="20"/>
              </w:rPr>
              <w:t>$272,000,000</w:t>
            </w:r>
          </w:p>
        </w:tc>
        <w:tc>
          <w:tcPr>
            <w:tcW w:w="2109" w:type="dxa"/>
            <w:tcBorders>
              <w:top w:val="nil" w:sz="6" w:space="0" w:color="auto"/>
              <w:left w:val="nil" w:sz="6" w:space="0" w:color="auto"/>
              <w:bottom w:val="single" w:sz="4" w:space="0" w:color="000000"/>
              <w:right w:val="nil" w:sz="6" w:space="0" w:color="auto"/>
            </w:tcBorders>
          </w:tcPr>
          <w:p>
            <w:pPr>
              <w:pStyle w:val="TableParagraph"/>
              <w:spacing w:line="226" w:lineRule="exact"/>
              <w:ind w:left="113" w:right="0"/>
              <w:jc w:val="center"/>
              <w:rPr>
                <w:rFonts w:ascii="Calibri" w:hAnsi="Calibri" w:cs="Calibri" w:eastAsia="Calibri" w:hint="default"/>
                <w:sz w:val="20"/>
                <w:szCs w:val="20"/>
              </w:rPr>
            </w:pPr>
            <w:r>
              <w:rPr>
                <w:rFonts w:ascii="Calibri"/>
                <w:sz w:val="20"/>
              </w:rPr>
              <w:t>$72,000,000</w:t>
            </w:r>
          </w:p>
        </w:tc>
      </w:tr>
      <w:tr>
        <w:trPr>
          <w:trHeight w:val="478" w:hRule="exact"/>
        </w:trPr>
        <w:tc>
          <w:tcPr>
            <w:tcW w:w="1166" w:type="dxa"/>
            <w:tcBorders>
              <w:top w:val="single" w:sz="4" w:space="0" w:color="000000"/>
              <w:left w:val="nil" w:sz="6" w:space="0" w:color="auto"/>
              <w:bottom w:val="single" w:sz="4" w:space="0" w:color="000000"/>
              <w:right w:val="nil" w:sz="6" w:space="0" w:color="auto"/>
            </w:tcBorders>
          </w:tcPr>
          <w:p>
            <w:pPr>
              <w:pStyle w:val="TableParagraph"/>
              <w:spacing w:line="240" w:lineRule="auto" w:before="121"/>
              <w:ind w:left="91" w:right="0"/>
              <w:jc w:val="center"/>
              <w:rPr>
                <w:rFonts w:ascii="Calibri" w:hAnsi="Calibri" w:cs="Calibri" w:eastAsia="Calibri" w:hint="default"/>
                <w:sz w:val="20"/>
                <w:szCs w:val="20"/>
              </w:rPr>
            </w:pPr>
            <w:r>
              <w:rPr>
                <w:rFonts w:ascii="Calibri"/>
                <w:b/>
                <w:i/>
                <w:sz w:val="20"/>
              </w:rPr>
              <w:t>Years</w:t>
            </w:r>
            <w:r>
              <w:rPr>
                <w:rFonts w:ascii="Calibri"/>
                <w:sz w:val="20"/>
              </w:rPr>
            </w:r>
          </w:p>
        </w:tc>
        <w:tc>
          <w:tcPr>
            <w:tcW w:w="2088" w:type="dxa"/>
            <w:tcBorders>
              <w:top w:val="single" w:sz="4" w:space="0" w:color="000000"/>
              <w:left w:val="nil" w:sz="6" w:space="0" w:color="auto"/>
              <w:bottom w:val="single" w:sz="4" w:space="0" w:color="000000"/>
              <w:right w:val="nil" w:sz="6" w:space="0" w:color="auto"/>
            </w:tcBorders>
          </w:tcPr>
          <w:p>
            <w:pPr>
              <w:pStyle w:val="TableParagraph"/>
              <w:spacing w:line="240" w:lineRule="auto" w:before="121"/>
              <w:ind w:left="91" w:right="0"/>
              <w:jc w:val="center"/>
              <w:rPr>
                <w:rFonts w:ascii="Calibri" w:hAnsi="Calibri" w:cs="Calibri" w:eastAsia="Calibri" w:hint="default"/>
                <w:sz w:val="20"/>
                <w:szCs w:val="20"/>
              </w:rPr>
            </w:pPr>
            <w:r>
              <w:rPr>
                <w:rFonts w:ascii="Calibri"/>
                <w:b/>
                <w:i/>
                <w:sz w:val="20"/>
              </w:rPr>
              <w:t>ROI</w:t>
            </w:r>
            <w:r>
              <w:rPr>
                <w:rFonts w:ascii="Calibri"/>
                <w:sz w:val="20"/>
              </w:rPr>
            </w:r>
          </w:p>
        </w:tc>
        <w:tc>
          <w:tcPr>
            <w:tcW w:w="2053" w:type="dxa"/>
            <w:tcBorders>
              <w:top w:val="single" w:sz="4" w:space="0" w:color="000000"/>
              <w:left w:val="nil" w:sz="6" w:space="0" w:color="auto"/>
              <w:bottom w:val="single" w:sz="4" w:space="0" w:color="000000"/>
              <w:right w:val="nil" w:sz="6" w:space="0" w:color="auto"/>
            </w:tcBorders>
          </w:tcPr>
          <w:p>
            <w:pPr>
              <w:pStyle w:val="TableParagraph"/>
              <w:spacing w:line="243" w:lineRule="exact"/>
              <w:ind w:left="473" w:right="0"/>
              <w:jc w:val="left"/>
              <w:rPr>
                <w:rFonts w:ascii="Calibri" w:hAnsi="Calibri" w:cs="Calibri" w:eastAsia="Calibri" w:hint="default"/>
                <w:sz w:val="20"/>
                <w:szCs w:val="20"/>
              </w:rPr>
            </w:pPr>
            <w:r>
              <w:rPr>
                <w:rFonts w:ascii="Calibri" w:hAnsi="Calibri"/>
                <w:b/>
                <w:i/>
                <w:sz w:val="20"/>
              </w:rPr>
              <w:t>Δ ROI (%)</w:t>
            </w:r>
            <w:r>
              <w:rPr>
                <w:rFonts w:ascii="Calibri" w:hAnsi="Calibri"/>
                <w:b/>
                <w:i/>
                <w:spacing w:val="-5"/>
                <w:sz w:val="20"/>
              </w:rPr>
              <w:t> </w:t>
            </w:r>
            <w:r>
              <w:rPr>
                <w:rFonts w:ascii="Calibri" w:hAnsi="Calibri"/>
                <w:b/>
                <w:i/>
                <w:sz w:val="20"/>
              </w:rPr>
              <w:t>vs.</w:t>
            </w:r>
            <w:r>
              <w:rPr>
                <w:rFonts w:ascii="Calibri" w:hAnsi="Calibri"/>
                <w:sz w:val="20"/>
              </w:rPr>
            </w:r>
          </w:p>
          <w:p>
            <w:pPr>
              <w:pStyle w:val="TableParagraph"/>
              <w:spacing w:line="240" w:lineRule="auto"/>
              <w:ind w:left="528" w:right="0"/>
              <w:jc w:val="left"/>
              <w:rPr>
                <w:rFonts w:ascii="Calibri" w:hAnsi="Calibri" w:cs="Calibri" w:eastAsia="Calibri" w:hint="default"/>
                <w:sz w:val="20"/>
                <w:szCs w:val="20"/>
              </w:rPr>
            </w:pPr>
            <w:r>
              <w:rPr>
                <w:rFonts w:ascii="Calibri"/>
                <w:b/>
                <w:i/>
                <w:sz w:val="20"/>
              </w:rPr>
              <w:t>Benchmark</w:t>
            </w:r>
            <w:r>
              <w:rPr>
                <w:rFonts w:ascii="Calibri"/>
                <w:sz w:val="20"/>
              </w:rPr>
            </w:r>
          </w:p>
        </w:tc>
        <w:tc>
          <w:tcPr>
            <w:tcW w:w="1826" w:type="dxa"/>
            <w:tcBorders>
              <w:top w:val="single" w:sz="4" w:space="0" w:color="000000"/>
              <w:left w:val="nil" w:sz="6" w:space="0" w:color="auto"/>
              <w:bottom w:val="single" w:sz="4" w:space="0" w:color="000000"/>
              <w:right w:val="nil" w:sz="6" w:space="0" w:color="auto"/>
            </w:tcBorders>
          </w:tcPr>
          <w:p>
            <w:pPr>
              <w:pStyle w:val="TableParagraph"/>
              <w:spacing w:line="240" w:lineRule="auto"/>
              <w:ind w:left="470" w:right="384" w:hanging="32"/>
              <w:jc w:val="left"/>
              <w:rPr>
                <w:rFonts w:ascii="Calibri" w:hAnsi="Calibri" w:cs="Calibri" w:eastAsia="Calibri" w:hint="default"/>
                <w:sz w:val="20"/>
                <w:szCs w:val="20"/>
              </w:rPr>
            </w:pPr>
            <w:r>
              <w:rPr>
                <w:rFonts w:ascii="Calibri" w:hAnsi="Calibri"/>
                <w:b/>
                <w:i/>
                <w:sz w:val="20"/>
              </w:rPr>
              <w:t>Δ ROI ($)</w:t>
            </w:r>
            <w:r>
              <w:rPr>
                <w:rFonts w:ascii="Calibri" w:hAnsi="Calibri"/>
                <w:b/>
                <w:i/>
                <w:spacing w:val="-6"/>
                <w:sz w:val="20"/>
              </w:rPr>
              <w:t> </w:t>
            </w:r>
            <w:r>
              <w:rPr>
                <w:rFonts w:ascii="Calibri" w:hAnsi="Calibri"/>
                <w:b/>
                <w:i/>
                <w:sz w:val="20"/>
              </w:rPr>
              <w:t>vs. </w:t>
            </w:r>
            <w:r>
              <w:rPr>
                <w:rFonts w:ascii="Calibri" w:hAnsi="Calibri"/>
                <w:b/>
                <w:i/>
                <w:sz w:val="20"/>
              </w:rPr>
            </w:r>
            <w:r>
              <w:rPr>
                <w:rFonts w:ascii="Calibri" w:hAnsi="Calibri"/>
                <w:b/>
                <w:i/>
                <w:sz w:val="20"/>
              </w:rPr>
              <w:t>Benchmark</w:t>
            </w:r>
            <w:r>
              <w:rPr>
                <w:rFonts w:ascii="Calibri" w:hAnsi="Calibri"/>
                <w:sz w:val="20"/>
              </w:rPr>
            </w:r>
          </w:p>
        </w:tc>
        <w:tc>
          <w:tcPr>
            <w:tcW w:w="2109" w:type="dxa"/>
            <w:tcBorders>
              <w:top w:val="single" w:sz="4" w:space="0" w:color="000000"/>
              <w:left w:val="nil" w:sz="6" w:space="0" w:color="auto"/>
              <w:bottom w:val="single" w:sz="4" w:space="0" w:color="000000"/>
              <w:right w:val="nil" w:sz="6" w:space="0" w:color="auto"/>
            </w:tcBorders>
          </w:tcPr>
          <w:p>
            <w:pPr>
              <w:pStyle w:val="TableParagraph"/>
              <w:spacing w:line="240" w:lineRule="auto" w:before="121"/>
              <w:ind w:left="108" w:right="0"/>
              <w:jc w:val="center"/>
              <w:rPr>
                <w:rFonts w:ascii="Calibri" w:hAnsi="Calibri" w:cs="Calibri" w:eastAsia="Calibri" w:hint="default"/>
                <w:sz w:val="20"/>
                <w:szCs w:val="20"/>
              </w:rPr>
            </w:pPr>
            <w:r>
              <w:rPr>
                <w:rFonts w:ascii="Calibri"/>
                <w:b/>
                <w:i/>
                <w:sz w:val="20"/>
              </w:rPr>
              <w:t>GAP in Total</w:t>
            </w:r>
            <w:r>
              <w:rPr>
                <w:rFonts w:ascii="Calibri"/>
                <w:b/>
                <w:i/>
                <w:spacing w:val="-14"/>
                <w:sz w:val="20"/>
              </w:rPr>
              <w:t> </w:t>
            </w:r>
            <w:r>
              <w:rPr>
                <w:rFonts w:ascii="Calibri"/>
                <w:b/>
                <w:i/>
                <w:sz w:val="20"/>
              </w:rPr>
              <w:t>Receipts</w:t>
            </w:r>
            <w:r>
              <w:rPr>
                <w:rFonts w:ascii="Calibri"/>
                <w:sz w:val="20"/>
              </w:rPr>
            </w:r>
          </w:p>
        </w:tc>
      </w:tr>
      <w:tr>
        <w:trPr>
          <w:trHeight w:val="247" w:hRule="exact"/>
        </w:trPr>
        <w:tc>
          <w:tcPr>
            <w:tcW w:w="1166" w:type="dxa"/>
            <w:tcBorders>
              <w:top w:val="single" w:sz="4" w:space="0" w:color="000000"/>
              <w:left w:val="nil" w:sz="6" w:space="0" w:color="auto"/>
              <w:bottom w:val="nil" w:sz="6" w:space="0" w:color="auto"/>
              <w:right w:val="nil" w:sz="6" w:space="0" w:color="auto"/>
            </w:tcBorders>
          </w:tcPr>
          <w:p>
            <w:pPr>
              <w:pStyle w:val="TableParagraph"/>
              <w:spacing w:line="243" w:lineRule="exact"/>
              <w:ind w:left="91" w:right="0"/>
              <w:jc w:val="center"/>
              <w:rPr>
                <w:rFonts w:ascii="Calibri" w:hAnsi="Calibri" w:cs="Calibri" w:eastAsia="Calibri" w:hint="default"/>
                <w:sz w:val="20"/>
                <w:szCs w:val="20"/>
              </w:rPr>
            </w:pPr>
            <w:r>
              <w:rPr>
                <w:rFonts w:ascii="Calibri"/>
                <w:sz w:val="20"/>
              </w:rPr>
              <w:t>2007</w:t>
            </w:r>
          </w:p>
        </w:tc>
        <w:tc>
          <w:tcPr>
            <w:tcW w:w="2088" w:type="dxa"/>
            <w:tcBorders>
              <w:top w:val="single" w:sz="4" w:space="0" w:color="000000"/>
              <w:left w:val="nil" w:sz="6" w:space="0" w:color="auto"/>
              <w:bottom w:val="nil" w:sz="6" w:space="0" w:color="auto"/>
              <w:right w:val="nil" w:sz="6" w:space="0" w:color="auto"/>
            </w:tcBorders>
          </w:tcPr>
          <w:p>
            <w:pPr>
              <w:pStyle w:val="TableParagraph"/>
              <w:spacing w:line="243" w:lineRule="exact"/>
              <w:ind w:left="89" w:right="0"/>
              <w:jc w:val="center"/>
              <w:rPr>
                <w:rFonts w:ascii="Calibri" w:hAnsi="Calibri" w:cs="Calibri" w:eastAsia="Calibri" w:hint="default"/>
                <w:sz w:val="20"/>
                <w:szCs w:val="20"/>
              </w:rPr>
            </w:pPr>
            <w:r>
              <w:rPr>
                <w:rFonts w:ascii="Calibri"/>
                <w:sz w:val="20"/>
              </w:rPr>
              <w:t>67.78%</w:t>
            </w:r>
          </w:p>
        </w:tc>
        <w:tc>
          <w:tcPr>
            <w:tcW w:w="2053" w:type="dxa"/>
            <w:tcBorders>
              <w:top w:val="single" w:sz="4" w:space="0" w:color="000000"/>
              <w:left w:val="nil" w:sz="6" w:space="0" w:color="auto"/>
              <w:bottom w:val="nil" w:sz="6" w:space="0" w:color="auto"/>
              <w:right w:val="nil" w:sz="6" w:space="0" w:color="auto"/>
            </w:tcBorders>
          </w:tcPr>
          <w:p>
            <w:pPr>
              <w:pStyle w:val="TableParagraph"/>
              <w:spacing w:line="243" w:lineRule="exact"/>
              <w:ind w:right="58"/>
              <w:jc w:val="center"/>
              <w:rPr>
                <w:rFonts w:ascii="Calibri" w:hAnsi="Calibri" w:cs="Calibri" w:eastAsia="Calibri" w:hint="default"/>
                <w:sz w:val="20"/>
                <w:szCs w:val="20"/>
              </w:rPr>
            </w:pPr>
            <w:r>
              <w:rPr>
                <w:rFonts w:ascii="Calibri"/>
                <w:sz w:val="20"/>
              </w:rPr>
              <w:t>-</w:t>
            </w:r>
          </w:p>
        </w:tc>
        <w:tc>
          <w:tcPr>
            <w:tcW w:w="1826" w:type="dxa"/>
            <w:tcBorders>
              <w:top w:val="single" w:sz="4" w:space="0" w:color="000000"/>
              <w:left w:val="nil" w:sz="6" w:space="0" w:color="auto"/>
              <w:bottom w:val="nil" w:sz="6" w:space="0" w:color="auto"/>
              <w:right w:val="nil" w:sz="6" w:space="0" w:color="auto"/>
            </w:tcBorders>
          </w:tcPr>
          <w:p>
            <w:pPr>
              <w:pStyle w:val="TableParagraph"/>
              <w:spacing w:line="243" w:lineRule="exact"/>
              <w:ind w:left="50" w:right="0"/>
              <w:jc w:val="center"/>
              <w:rPr>
                <w:rFonts w:ascii="Calibri" w:hAnsi="Calibri" w:cs="Calibri" w:eastAsia="Calibri" w:hint="default"/>
                <w:sz w:val="20"/>
                <w:szCs w:val="20"/>
              </w:rPr>
            </w:pPr>
            <w:r>
              <w:rPr>
                <w:rFonts w:ascii="Calibri"/>
                <w:sz w:val="20"/>
              </w:rPr>
              <w:t>-</w:t>
            </w:r>
          </w:p>
        </w:tc>
        <w:tc>
          <w:tcPr>
            <w:tcW w:w="2109" w:type="dxa"/>
            <w:tcBorders>
              <w:top w:val="single" w:sz="4" w:space="0" w:color="000000"/>
              <w:left w:val="nil" w:sz="6" w:space="0" w:color="auto"/>
              <w:bottom w:val="nil" w:sz="6" w:space="0" w:color="auto"/>
              <w:right w:val="nil" w:sz="6" w:space="0" w:color="auto"/>
            </w:tcBorders>
          </w:tcPr>
          <w:p>
            <w:pPr>
              <w:pStyle w:val="TableParagraph"/>
              <w:spacing w:line="243" w:lineRule="exact"/>
              <w:ind w:left="110" w:right="0"/>
              <w:jc w:val="center"/>
              <w:rPr>
                <w:rFonts w:ascii="Calibri" w:hAnsi="Calibri" w:cs="Calibri" w:eastAsia="Calibri" w:hint="default"/>
                <w:sz w:val="20"/>
                <w:szCs w:val="20"/>
              </w:rPr>
            </w:pPr>
            <w:r>
              <w:rPr>
                <w:rFonts w:ascii="Calibri"/>
                <w:sz w:val="20"/>
              </w:rPr>
              <w:t>-</w:t>
            </w:r>
          </w:p>
        </w:tc>
      </w:tr>
      <w:tr>
        <w:trPr>
          <w:trHeight w:val="224" w:hRule="exact"/>
        </w:trPr>
        <w:tc>
          <w:tcPr>
            <w:tcW w:w="1166" w:type="dxa"/>
            <w:tcBorders>
              <w:top w:val="nil" w:sz="6" w:space="0" w:color="auto"/>
              <w:left w:val="nil" w:sz="6" w:space="0" w:color="auto"/>
              <w:bottom w:val="nil" w:sz="6" w:space="0" w:color="auto"/>
              <w:right w:val="nil" w:sz="6" w:space="0" w:color="auto"/>
            </w:tcBorders>
          </w:tcPr>
          <w:p>
            <w:pPr>
              <w:pStyle w:val="TableParagraph"/>
              <w:spacing w:line="206" w:lineRule="exact"/>
              <w:ind w:left="91" w:right="0"/>
              <w:jc w:val="center"/>
              <w:rPr>
                <w:rFonts w:ascii="Calibri" w:hAnsi="Calibri" w:cs="Calibri" w:eastAsia="Calibri" w:hint="default"/>
                <w:sz w:val="20"/>
                <w:szCs w:val="20"/>
              </w:rPr>
            </w:pPr>
            <w:r>
              <w:rPr>
                <w:rFonts w:ascii="Calibri"/>
                <w:sz w:val="20"/>
              </w:rPr>
              <w:t>2008</w:t>
            </w:r>
          </w:p>
        </w:tc>
        <w:tc>
          <w:tcPr>
            <w:tcW w:w="2088" w:type="dxa"/>
            <w:tcBorders>
              <w:top w:val="nil" w:sz="6" w:space="0" w:color="auto"/>
              <w:left w:val="nil" w:sz="6" w:space="0" w:color="auto"/>
              <w:bottom w:val="nil" w:sz="6" w:space="0" w:color="auto"/>
              <w:right w:val="nil" w:sz="6" w:space="0" w:color="auto"/>
            </w:tcBorders>
          </w:tcPr>
          <w:p>
            <w:pPr>
              <w:pStyle w:val="TableParagraph"/>
              <w:spacing w:line="206" w:lineRule="exact"/>
              <w:ind w:left="89" w:right="0"/>
              <w:jc w:val="center"/>
              <w:rPr>
                <w:rFonts w:ascii="Calibri" w:hAnsi="Calibri" w:cs="Calibri" w:eastAsia="Calibri" w:hint="default"/>
                <w:sz w:val="20"/>
                <w:szCs w:val="20"/>
              </w:rPr>
            </w:pPr>
            <w:r>
              <w:rPr>
                <w:rFonts w:ascii="Calibri"/>
                <w:sz w:val="20"/>
              </w:rPr>
              <w:t>59.79%</w:t>
            </w:r>
          </w:p>
        </w:tc>
        <w:tc>
          <w:tcPr>
            <w:tcW w:w="2053" w:type="dxa"/>
            <w:tcBorders>
              <w:top w:val="nil" w:sz="6" w:space="0" w:color="auto"/>
              <w:left w:val="nil" w:sz="6" w:space="0" w:color="auto"/>
              <w:bottom w:val="nil" w:sz="6" w:space="0" w:color="auto"/>
              <w:right w:val="nil" w:sz="6" w:space="0" w:color="auto"/>
            </w:tcBorders>
          </w:tcPr>
          <w:p>
            <w:pPr>
              <w:pStyle w:val="TableParagraph"/>
              <w:spacing w:line="206" w:lineRule="exact"/>
              <w:ind w:right="58"/>
              <w:jc w:val="center"/>
              <w:rPr>
                <w:rFonts w:ascii="Calibri" w:hAnsi="Calibri" w:cs="Calibri" w:eastAsia="Calibri" w:hint="default"/>
                <w:sz w:val="20"/>
                <w:szCs w:val="20"/>
              </w:rPr>
            </w:pPr>
            <w:r>
              <w:rPr>
                <w:rFonts w:ascii="Calibri"/>
                <w:sz w:val="20"/>
              </w:rPr>
              <w:t>-</w:t>
            </w:r>
          </w:p>
        </w:tc>
        <w:tc>
          <w:tcPr>
            <w:tcW w:w="1826" w:type="dxa"/>
            <w:tcBorders>
              <w:top w:val="nil" w:sz="6" w:space="0" w:color="auto"/>
              <w:left w:val="nil" w:sz="6" w:space="0" w:color="auto"/>
              <w:bottom w:val="nil" w:sz="6" w:space="0" w:color="auto"/>
              <w:right w:val="nil" w:sz="6" w:space="0" w:color="auto"/>
            </w:tcBorders>
          </w:tcPr>
          <w:p>
            <w:pPr>
              <w:pStyle w:val="TableParagraph"/>
              <w:spacing w:line="206" w:lineRule="exact"/>
              <w:ind w:left="50" w:right="0"/>
              <w:jc w:val="center"/>
              <w:rPr>
                <w:rFonts w:ascii="Calibri" w:hAnsi="Calibri" w:cs="Calibri" w:eastAsia="Calibri" w:hint="default"/>
                <w:sz w:val="20"/>
                <w:szCs w:val="20"/>
              </w:rPr>
            </w:pPr>
            <w:r>
              <w:rPr>
                <w:rFonts w:ascii="Calibri"/>
                <w:sz w:val="20"/>
              </w:rPr>
              <w:t>-</w:t>
            </w:r>
          </w:p>
        </w:tc>
        <w:tc>
          <w:tcPr>
            <w:tcW w:w="2109" w:type="dxa"/>
            <w:tcBorders>
              <w:top w:val="nil" w:sz="6" w:space="0" w:color="auto"/>
              <w:left w:val="nil" w:sz="6" w:space="0" w:color="auto"/>
              <w:bottom w:val="nil" w:sz="6" w:space="0" w:color="auto"/>
              <w:right w:val="nil" w:sz="6" w:space="0" w:color="auto"/>
            </w:tcBorders>
          </w:tcPr>
          <w:p>
            <w:pPr>
              <w:pStyle w:val="TableParagraph"/>
              <w:spacing w:line="206" w:lineRule="exact"/>
              <w:ind w:left="110" w:right="0"/>
              <w:jc w:val="center"/>
              <w:rPr>
                <w:rFonts w:ascii="Calibri" w:hAnsi="Calibri" w:cs="Calibri" w:eastAsia="Calibri" w:hint="default"/>
                <w:sz w:val="20"/>
                <w:szCs w:val="20"/>
              </w:rPr>
            </w:pPr>
            <w:r>
              <w:rPr>
                <w:rFonts w:ascii="Calibri"/>
                <w:sz w:val="20"/>
              </w:rPr>
              <w:t>-</w:t>
            </w:r>
          </w:p>
        </w:tc>
      </w:tr>
      <w:tr>
        <w:trPr>
          <w:trHeight w:val="244" w:hRule="exact"/>
        </w:trPr>
        <w:tc>
          <w:tcPr>
            <w:tcW w:w="1166" w:type="dxa"/>
            <w:tcBorders>
              <w:top w:val="nil" w:sz="6" w:space="0" w:color="auto"/>
              <w:left w:val="nil" w:sz="6" w:space="0" w:color="auto"/>
              <w:bottom w:val="nil" w:sz="6" w:space="0" w:color="auto"/>
              <w:right w:val="nil" w:sz="6" w:space="0" w:color="auto"/>
            </w:tcBorders>
          </w:tcPr>
          <w:p>
            <w:pPr>
              <w:pStyle w:val="TableParagraph"/>
              <w:spacing w:line="226" w:lineRule="exact"/>
              <w:ind w:left="91" w:right="0"/>
              <w:jc w:val="center"/>
              <w:rPr>
                <w:rFonts w:ascii="Calibri" w:hAnsi="Calibri" w:cs="Calibri" w:eastAsia="Calibri" w:hint="default"/>
                <w:sz w:val="20"/>
                <w:szCs w:val="20"/>
              </w:rPr>
            </w:pPr>
            <w:r>
              <w:rPr>
                <w:rFonts w:ascii="Calibri"/>
                <w:sz w:val="20"/>
              </w:rPr>
              <w:t>2009</w:t>
            </w:r>
          </w:p>
        </w:tc>
        <w:tc>
          <w:tcPr>
            <w:tcW w:w="2088" w:type="dxa"/>
            <w:tcBorders>
              <w:top w:val="nil" w:sz="6" w:space="0" w:color="auto"/>
              <w:left w:val="nil" w:sz="6" w:space="0" w:color="auto"/>
              <w:bottom w:val="nil" w:sz="6" w:space="0" w:color="auto"/>
              <w:right w:val="nil" w:sz="6" w:space="0" w:color="auto"/>
            </w:tcBorders>
          </w:tcPr>
          <w:p>
            <w:pPr>
              <w:pStyle w:val="TableParagraph"/>
              <w:spacing w:line="226" w:lineRule="exact"/>
              <w:ind w:left="89" w:right="0"/>
              <w:jc w:val="center"/>
              <w:rPr>
                <w:rFonts w:ascii="Calibri" w:hAnsi="Calibri" w:cs="Calibri" w:eastAsia="Calibri" w:hint="default"/>
                <w:sz w:val="20"/>
                <w:szCs w:val="20"/>
              </w:rPr>
            </w:pPr>
            <w:r>
              <w:rPr>
                <w:rFonts w:ascii="Calibri"/>
                <w:sz w:val="20"/>
              </w:rPr>
              <w:t>68.25%</w:t>
            </w:r>
          </w:p>
        </w:tc>
        <w:tc>
          <w:tcPr>
            <w:tcW w:w="2053" w:type="dxa"/>
            <w:tcBorders>
              <w:top w:val="nil" w:sz="6" w:space="0" w:color="auto"/>
              <w:left w:val="nil" w:sz="6" w:space="0" w:color="auto"/>
              <w:bottom w:val="nil" w:sz="6" w:space="0" w:color="auto"/>
              <w:right w:val="nil" w:sz="6" w:space="0" w:color="auto"/>
            </w:tcBorders>
          </w:tcPr>
          <w:p>
            <w:pPr>
              <w:pStyle w:val="TableParagraph"/>
              <w:spacing w:line="226" w:lineRule="exact"/>
              <w:ind w:right="58"/>
              <w:jc w:val="center"/>
              <w:rPr>
                <w:rFonts w:ascii="Calibri" w:hAnsi="Calibri" w:cs="Calibri" w:eastAsia="Calibri" w:hint="default"/>
                <w:sz w:val="20"/>
                <w:szCs w:val="20"/>
              </w:rPr>
            </w:pPr>
            <w:r>
              <w:rPr>
                <w:rFonts w:ascii="Calibri"/>
                <w:sz w:val="20"/>
              </w:rPr>
              <w:t>-</w:t>
            </w:r>
          </w:p>
        </w:tc>
        <w:tc>
          <w:tcPr>
            <w:tcW w:w="1826" w:type="dxa"/>
            <w:tcBorders>
              <w:top w:val="nil" w:sz="6" w:space="0" w:color="auto"/>
              <w:left w:val="nil" w:sz="6" w:space="0" w:color="auto"/>
              <w:bottom w:val="nil" w:sz="6" w:space="0" w:color="auto"/>
              <w:right w:val="nil" w:sz="6" w:space="0" w:color="auto"/>
            </w:tcBorders>
          </w:tcPr>
          <w:p>
            <w:pPr>
              <w:pStyle w:val="TableParagraph"/>
              <w:spacing w:line="226" w:lineRule="exact"/>
              <w:ind w:left="50" w:right="0"/>
              <w:jc w:val="center"/>
              <w:rPr>
                <w:rFonts w:ascii="Calibri" w:hAnsi="Calibri" w:cs="Calibri" w:eastAsia="Calibri" w:hint="default"/>
                <w:sz w:val="20"/>
                <w:szCs w:val="20"/>
              </w:rPr>
            </w:pPr>
            <w:r>
              <w:rPr>
                <w:rFonts w:ascii="Calibri"/>
                <w:sz w:val="20"/>
              </w:rPr>
              <w:t>-</w:t>
            </w:r>
          </w:p>
        </w:tc>
        <w:tc>
          <w:tcPr>
            <w:tcW w:w="2109" w:type="dxa"/>
            <w:tcBorders>
              <w:top w:val="nil" w:sz="6" w:space="0" w:color="auto"/>
              <w:left w:val="nil" w:sz="6" w:space="0" w:color="auto"/>
              <w:bottom w:val="nil" w:sz="6" w:space="0" w:color="auto"/>
              <w:right w:val="nil" w:sz="6" w:space="0" w:color="auto"/>
            </w:tcBorders>
          </w:tcPr>
          <w:p>
            <w:pPr>
              <w:pStyle w:val="TableParagraph"/>
              <w:spacing w:line="226" w:lineRule="exact"/>
              <w:ind w:left="110" w:right="0"/>
              <w:jc w:val="center"/>
              <w:rPr>
                <w:rFonts w:ascii="Calibri" w:hAnsi="Calibri" w:cs="Calibri" w:eastAsia="Calibri" w:hint="default"/>
                <w:sz w:val="20"/>
                <w:szCs w:val="20"/>
              </w:rPr>
            </w:pPr>
            <w:r>
              <w:rPr>
                <w:rFonts w:ascii="Calibri"/>
                <w:sz w:val="20"/>
              </w:rPr>
              <w:t>-</w:t>
            </w:r>
          </w:p>
        </w:tc>
      </w:tr>
      <w:tr>
        <w:trPr>
          <w:trHeight w:val="230" w:hRule="exact"/>
        </w:trPr>
        <w:tc>
          <w:tcPr>
            <w:tcW w:w="1166" w:type="dxa"/>
            <w:tcBorders>
              <w:top w:val="nil" w:sz="6" w:space="0" w:color="auto"/>
              <w:left w:val="nil" w:sz="6" w:space="0" w:color="auto"/>
              <w:bottom w:val="nil" w:sz="6" w:space="0" w:color="auto"/>
              <w:right w:val="nil" w:sz="6" w:space="0" w:color="auto"/>
            </w:tcBorders>
          </w:tcPr>
          <w:p>
            <w:pPr>
              <w:pStyle w:val="TableParagraph"/>
              <w:spacing w:line="225" w:lineRule="exact"/>
              <w:ind w:left="91" w:right="0"/>
              <w:jc w:val="center"/>
              <w:rPr>
                <w:rFonts w:ascii="Calibri" w:hAnsi="Calibri" w:cs="Calibri" w:eastAsia="Calibri" w:hint="default"/>
                <w:sz w:val="20"/>
                <w:szCs w:val="20"/>
              </w:rPr>
            </w:pPr>
            <w:r>
              <w:rPr>
                <w:rFonts w:ascii="Calibri"/>
                <w:sz w:val="20"/>
              </w:rPr>
              <w:t>2010</w:t>
            </w:r>
          </w:p>
        </w:tc>
        <w:tc>
          <w:tcPr>
            <w:tcW w:w="2088" w:type="dxa"/>
            <w:tcBorders>
              <w:top w:val="nil" w:sz="6" w:space="0" w:color="auto"/>
              <w:left w:val="nil" w:sz="6" w:space="0" w:color="auto"/>
              <w:bottom w:val="nil" w:sz="6" w:space="0" w:color="auto"/>
              <w:right w:val="nil" w:sz="6" w:space="0" w:color="auto"/>
            </w:tcBorders>
          </w:tcPr>
          <w:p>
            <w:pPr>
              <w:pStyle w:val="TableParagraph"/>
              <w:spacing w:line="225" w:lineRule="exact"/>
              <w:ind w:left="89" w:right="0"/>
              <w:jc w:val="center"/>
              <w:rPr>
                <w:rFonts w:ascii="Calibri" w:hAnsi="Calibri" w:cs="Calibri" w:eastAsia="Calibri" w:hint="default"/>
                <w:sz w:val="20"/>
                <w:szCs w:val="20"/>
              </w:rPr>
            </w:pPr>
            <w:r>
              <w:rPr>
                <w:rFonts w:ascii="Calibri"/>
                <w:sz w:val="20"/>
              </w:rPr>
              <w:t>64.38%</w:t>
            </w:r>
          </w:p>
        </w:tc>
        <w:tc>
          <w:tcPr>
            <w:tcW w:w="2053" w:type="dxa"/>
            <w:tcBorders>
              <w:top w:val="nil" w:sz="6" w:space="0" w:color="auto"/>
              <w:left w:val="nil" w:sz="6" w:space="0" w:color="auto"/>
              <w:bottom w:val="nil" w:sz="6" w:space="0" w:color="auto"/>
              <w:right w:val="nil" w:sz="6" w:space="0" w:color="auto"/>
            </w:tcBorders>
          </w:tcPr>
          <w:p>
            <w:pPr>
              <w:pStyle w:val="TableParagraph"/>
              <w:spacing w:line="225" w:lineRule="exact"/>
              <w:ind w:right="56"/>
              <w:jc w:val="center"/>
              <w:rPr>
                <w:rFonts w:ascii="Calibri" w:hAnsi="Calibri" w:cs="Calibri" w:eastAsia="Calibri" w:hint="default"/>
                <w:sz w:val="20"/>
                <w:szCs w:val="20"/>
              </w:rPr>
            </w:pPr>
            <w:r>
              <w:rPr>
                <w:rFonts w:ascii="Calibri"/>
                <w:sz w:val="20"/>
              </w:rPr>
              <w:t>-3.87%</w:t>
            </w:r>
          </w:p>
        </w:tc>
        <w:tc>
          <w:tcPr>
            <w:tcW w:w="1826" w:type="dxa"/>
            <w:tcBorders>
              <w:top w:val="nil" w:sz="6" w:space="0" w:color="auto"/>
              <w:left w:val="nil" w:sz="6" w:space="0" w:color="auto"/>
              <w:bottom w:val="nil" w:sz="6" w:space="0" w:color="auto"/>
              <w:right w:val="nil" w:sz="6" w:space="0" w:color="auto"/>
            </w:tcBorders>
          </w:tcPr>
          <w:p>
            <w:pPr>
              <w:pStyle w:val="TableParagraph"/>
              <w:spacing w:line="225" w:lineRule="exact"/>
              <w:ind w:left="54" w:right="0"/>
              <w:jc w:val="center"/>
              <w:rPr>
                <w:rFonts w:ascii="Calibri" w:hAnsi="Calibri" w:cs="Calibri" w:eastAsia="Calibri" w:hint="default"/>
                <w:sz w:val="20"/>
                <w:szCs w:val="20"/>
              </w:rPr>
            </w:pPr>
            <w:r>
              <w:rPr>
                <w:rFonts w:ascii="Calibri"/>
                <w:sz w:val="20"/>
              </w:rPr>
              <w:t>$124,644,000</w:t>
            </w:r>
          </w:p>
        </w:tc>
        <w:tc>
          <w:tcPr>
            <w:tcW w:w="2109" w:type="dxa"/>
            <w:tcBorders>
              <w:top w:val="nil" w:sz="6" w:space="0" w:color="auto"/>
              <w:left w:val="nil" w:sz="6" w:space="0" w:color="auto"/>
              <w:bottom w:val="nil" w:sz="6" w:space="0" w:color="auto"/>
              <w:right w:val="nil" w:sz="6" w:space="0" w:color="auto"/>
            </w:tcBorders>
          </w:tcPr>
          <w:p>
            <w:pPr>
              <w:pStyle w:val="TableParagraph"/>
              <w:spacing w:line="225" w:lineRule="exact"/>
              <w:ind w:left="108" w:right="0"/>
              <w:jc w:val="center"/>
              <w:rPr>
                <w:rFonts w:ascii="Calibri" w:hAnsi="Calibri" w:cs="Calibri" w:eastAsia="Calibri" w:hint="default"/>
                <w:sz w:val="20"/>
                <w:szCs w:val="20"/>
              </w:rPr>
            </w:pPr>
            <w:r>
              <w:rPr>
                <w:rFonts w:ascii="Calibri"/>
                <w:sz w:val="20"/>
              </w:rPr>
              <w:t>($4,644,000)</w:t>
            </w:r>
          </w:p>
        </w:tc>
      </w:tr>
      <w:tr>
        <w:trPr>
          <w:trHeight w:val="215" w:hRule="exact"/>
        </w:trPr>
        <w:tc>
          <w:tcPr>
            <w:tcW w:w="1166" w:type="dxa"/>
            <w:tcBorders>
              <w:top w:val="nil" w:sz="6" w:space="0" w:color="auto"/>
              <w:left w:val="nil" w:sz="6" w:space="0" w:color="auto"/>
              <w:bottom w:val="nil" w:sz="6" w:space="0" w:color="auto"/>
              <w:right w:val="nil" w:sz="6" w:space="0" w:color="auto"/>
            </w:tcBorders>
          </w:tcPr>
          <w:p>
            <w:pPr>
              <w:pStyle w:val="TableParagraph"/>
              <w:spacing w:line="212" w:lineRule="exact"/>
              <w:ind w:left="91" w:right="0"/>
              <w:jc w:val="center"/>
              <w:rPr>
                <w:rFonts w:ascii="Calibri" w:hAnsi="Calibri" w:cs="Calibri" w:eastAsia="Calibri" w:hint="default"/>
                <w:sz w:val="20"/>
                <w:szCs w:val="20"/>
              </w:rPr>
            </w:pPr>
            <w:r>
              <w:rPr>
                <w:rFonts w:ascii="Calibri"/>
                <w:sz w:val="20"/>
              </w:rPr>
              <w:t>2011</w:t>
            </w:r>
          </w:p>
        </w:tc>
        <w:tc>
          <w:tcPr>
            <w:tcW w:w="2088" w:type="dxa"/>
            <w:tcBorders>
              <w:top w:val="nil" w:sz="6" w:space="0" w:color="auto"/>
              <w:left w:val="nil" w:sz="6" w:space="0" w:color="auto"/>
              <w:bottom w:val="nil" w:sz="6" w:space="0" w:color="auto"/>
              <w:right w:val="nil" w:sz="6" w:space="0" w:color="auto"/>
            </w:tcBorders>
          </w:tcPr>
          <w:p>
            <w:pPr>
              <w:pStyle w:val="TableParagraph"/>
              <w:spacing w:line="212" w:lineRule="exact"/>
              <w:ind w:left="89" w:right="0"/>
              <w:jc w:val="center"/>
              <w:rPr>
                <w:rFonts w:ascii="Calibri" w:hAnsi="Calibri" w:cs="Calibri" w:eastAsia="Calibri" w:hint="default"/>
                <w:sz w:val="20"/>
                <w:szCs w:val="20"/>
              </w:rPr>
            </w:pPr>
            <w:r>
              <w:rPr>
                <w:rFonts w:ascii="Calibri"/>
                <w:sz w:val="20"/>
              </w:rPr>
              <w:t>59.44%</w:t>
            </w:r>
          </w:p>
        </w:tc>
        <w:tc>
          <w:tcPr>
            <w:tcW w:w="2053" w:type="dxa"/>
            <w:tcBorders>
              <w:top w:val="nil" w:sz="6" w:space="0" w:color="auto"/>
              <w:left w:val="nil" w:sz="6" w:space="0" w:color="auto"/>
              <w:bottom w:val="nil" w:sz="6" w:space="0" w:color="auto"/>
              <w:right w:val="nil" w:sz="6" w:space="0" w:color="auto"/>
            </w:tcBorders>
          </w:tcPr>
          <w:p>
            <w:pPr>
              <w:pStyle w:val="TableParagraph"/>
              <w:spacing w:line="212" w:lineRule="exact"/>
              <w:ind w:right="56"/>
              <w:jc w:val="center"/>
              <w:rPr>
                <w:rFonts w:ascii="Calibri" w:hAnsi="Calibri" w:cs="Calibri" w:eastAsia="Calibri" w:hint="default"/>
                <w:sz w:val="20"/>
                <w:szCs w:val="20"/>
              </w:rPr>
            </w:pPr>
            <w:r>
              <w:rPr>
                <w:rFonts w:ascii="Calibri"/>
                <w:sz w:val="20"/>
              </w:rPr>
              <w:t>-8.81%</w:t>
            </w:r>
          </w:p>
        </w:tc>
        <w:tc>
          <w:tcPr>
            <w:tcW w:w="1826" w:type="dxa"/>
            <w:tcBorders>
              <w:top w:val="nil" w:sz="6" w:space="0" w:color="auto"/>
              <w:left w:val="nil" w:sz="6" w:space="0" w:color="auto"/>
              <w:bottom w:val="nil" w:sz="6" w:space="0" w:color="auto"/>
              <w:right w:val="nil" w:sz="6" w:space="0" w:color="auto"/>
            </w:tcBorders>
          </w:tcPr>
          <w:p>
            <w:pPr>
              <w:pStyle w:val="TableParagraph"/>
              <w:spacing w:line="212" w:lineRule="exact"/>
              <w:ind w:left="54" w:right="0"/>
              <w:jc w:val="center"/>
              <w:rPr>
                <w:rFonts w:ascii="Calibri" w:hAnsi="Calibri" w:cs="Calibri" w:eastAsia="Calibri" w:hint="default"/>
                <w:sz w:val="20"/>
                <w:szCs w:val="20"/>
              </w:rPr>
            </w:pPr>
            <w:r>
              <w:rPr>
                <w:rFonts w:ascii="Calibri"/>
                <w:sz w:val="20"/>
              </w:rPr>
              <w:t>$221,972,400</w:t>
            </w:r>
          </w:p>
        </w:tc>
        <w:tc>
          <w:tcPr>
            <w:tcW w:w="2109" w:type="dxa"/>
            <w:tcBorders>
              <w:top w:val="nil" w:sz="6" w:space="0" w:color="auto"/>
              <w:left w:val="nil" w:sz="6" w:space="0" w:color="auto"/>
              <w:bottom w:val="nil" w:sz="6" w:space="0" w:color="auto"/>
              <w:right w:val="nil" w:sz="6" w:space="0" w:color="auto"/>
            </w:tcBorders>
          </w:tcPr>
          <w:p>
            <w:pPr>
              <w:pStyle w:val="TableParagraph"/>
              <w:spacing w:line="212" w:lineRule="exact"/>
              <w:ind w:left="108" w:right="0"/>
              <w:jc w:val="center"/>
              <w:rPr>
                <w:rFonts w:ascii="Calibri" w:hAnsi="Calibri" w:cs="Calibri" w:eastAsia="Calibri" w:hint="default"/>
                <w:sz w:val="20"/>
                <w:szCs w:val="20"/>
              </w:rPr>
            </w:pPr>
            <w:r>
              <w:rPr>
                <w:rFonts w:ascii="Calibri"/>
                <w:sz w:val="20"/>
              </w:rPr>
              <w:t>($17,972,400)</w:t>
            </w:r>
          </w:p>
        </w:tc>
      </w:tr>
      <w:tr>
        <w:trPr>
          <w:trHeight w:val="185" w:hRule="exact"/>
        </w:trPr>
        <w:tc>
          <w:tcPr>
            <w:tcW w:w="1166" w:type="dxa"/>
            <w:tcBorders>
              <w:top w:val="nil" w:sz="6" w:space="0" w:color="auto"/>
              <w:left w:val="nil" w:sz="6" w:space="0" w:color="auto"/>
              <w:bottom w:val="single" w:sz="4" w:space="0" w:color="000000"/>
              <w:right w:val="nil" w:sz="6" w:space="0" w:color="auto"/>
            </w:tcBorders>
          </w:tcPr>
          <w:p>
            <w:pPr>
              <w:pStyle w:val="TableParagraph"/>
              <w:spacing w:line="210" w:lineRule="exact"/>
              <w:ind w:left="91" w:right="0"/>
              <w:jc w:val="center"/>
              <w:rPr>
                <w:rFonts w:ascii="Calibri" w:hAnsi="Calibri" w:cs="Calibri" w:eastAsia="Calibri" w:hint="default"/>
                <w:sz w:val="20"/>
                <w:szCs w:val="20"/>
              </w:rPr>
            </w:pPr>
            <w:r>
              <w:rPr>
                <w:rFonts w:ascii="Calibri"/>
                <w:sz w:val="20"/>
              </w:rPr>
              <w:t>2012</w:t>
            </w:r>
          </w:p>
        </w:tc>
        <w:tc>
          <w:tcPr>
            <w:tcW w:w="2088" w:type="dxa"/>
            <w:tcBorders>
              <w:top w:val="nil" w:sz="6" w:space="0" w:color="auto"/>
              <w:left w:val="nil" w:sz="6" w:space="0" w:color="auto"/>
              <w:bottom w:val="single" w:sz="4" w:space="0" w:color="000000"/>
              <w:right w:val="nil" w:sz="6" w:space="0" w:color="auto"/>
            </w:tcBorders>
          </w:tcPr>
          <w:p>
            <w:pPr>
              <w:pStyle w:val="TableParagraph"/>
              <w:spacing w:line="210" w:lineRule="exact"/>
              <w:ind w:left="89" w:right="0"/>
              <w:jc w:val="center"/>
              <w:rPr>
                <w:rFonts w:ascii="Calibri" w:hAnsi="Calibri" w:cs="Calibri" w:eastAsia="Calibri" w:hint="default"/>
                <w:sz w:val="20"/>
                <w:szCs w:val="20"/>
              </w:rPr>
            </w:pPr>
            <w:r>
              <w:rPr>
                <w:rFonts w:ascii="Calibri"/>
                <w:sz w:val="20"/>
              </w:rPr>
              <w:t>52.81%</w:t>
            </w:r>
          </w:p>
        </w:tc>
        <w:tc>
          <w:tcPr>
            <w:tcW w:w="2053" w:type="dxa"/>
            <w:tcBorders>
              <w:top w:val="nil" w:sz="6" w:space="0" w:color="auto"/>
              <w:left w:val="nil" w:sz="6" w:space="0" w:color="auto"/>
              <w:bottom w:val="single" w:sz="4" w:space="0" w:color="000000"/>
              <w:right w:val="nil" w:sz="6" w:space="0" w:color="auto"/>
            </w:tcBorders>
          </w:tcPr>
          <w:p>
            <w:pPr>
              <w:pStyle w:val="TableParagraph"/>
              <w:spacing w:line="210" w:lineRule="exact"/>
              <w:ind w:right="56"/>
              <w:jc w:val="center"/>
              <w:rPr>
                <w:rFonts w:ascii="Calibri" w:hAnsi="Calibri" w:cs="Calibri" w:eastAsia="Calibri" w:hint="default"/>
                <w:sz w:val="20"/>
                <w:szCs w:val="20"/>
              </w:rPr>
            </w:pPr>
            <w:r>
              <w:rPr>
                <w:rFonts w:ascii="Calibri"/>
                <w:sz w:val="20"/>
              </w:rPr>
              <w:t>-15.44%</w:t>
            </w:r>
          </w:p>
        </w:tc>
        <w:tc>
          <w:tcPr>
            <w:tcW w:w="1826" w:type="dxa"/>
            <w:tcBorders>
              <w:top w:val="nil" w:sz="6" w:space="0" w:color="auto"/>
              <w:left w:val="nil" w:sz="6" w:space="0" w:color="auto"/>
              <w:bottom w:val="single" w:sz="4" w:space="0" w:color="000000"/>
              <w:right w:val="nil" w:sz="6" w:space="0" w:color="auto"/>
            </w:tcBorders>
          </w:tcPr>
          <w:p>
            <w:pPr>
              <w:pStyle w:val="TableParagraph"/>
              <w:spacing w:line="210" w:lineRule="exact"/>
              <w:ind w:left="54" w:right="0"/>
              <w:jc w:val="center"/>
              <w:rPr>
                <w:rFonts w:ascii="Calibri" w:hAnsi="Calibri" w:cs="Calibri" w:eastAsia="Calibri" w:hint="default"/>
                <w:sz w:val="20"/>
                <w:szCs w:val="20"/>
              </w:rPr>
            </w:pPr>
            <w:r>
              <w:rPr>
                <w:rFonts w:ascii="Calibri"/>
                <w:sz w:val="20"/>
              </w:rPr>
              <w:t>$313,996,800</w:t>
            </w:r>
          </w:p>
        </w:tc>
        <w:tc>
          <w:tcPr>
            <w:tcW w:w="2109" w:type="dxa"/>
            <w:tcBorders>
              <w:top w:val="nil" w:sz="6" w:space="0" w:color="auto"/>
              <w:left w:val="nil" w:sz="6" w:space="0" w:color="auto"/>
              <w:bottom w:val="single" w:sz="4" w:space="0" w:color="000000"/>
              <w:right w:val="nil" w:sz="6" w:space="0" w:color="auto"/>
            </w:tcBorders>
          </w:tcPr>
          <w:p>
            <w:pPr>
              <w:pStyle w:val="TableParagraph"/>
              <w:spacing w:line="210" w:lineRule="exact"/>
              <w:ind w:left="108" w:right="0"/>
              <w:jc w:val="center"/>
              <w:rPr>
                <w:rFonts w:ascii="Calibri" w:hAnsi="Calibri" w:cs="Calibri" w:eastAsia="Calibri" w:hint="default"/>
                <w:sz w:val="20"/>
                <w:szCs w:val="20"/>
              </w:rPr>
            </w:pPr>
            <w:r>
              <w:rPr>
                <w:rFonts w:ascii="Calibri"/>
                <w:sz w:val="20"/>
              </w:rPr>
              <w:t>($41,996,800)</w:t>
            </w:r>
          </w:p>
        </w:tc>
      </w:tr>
    </w:tbl>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14"/>
          <w:szCs w:val="14"/>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before="89"/>
        <w:ind w:left="1440" w:right="0" w:firstLine="0"/>
        <w:jc w:val="left"/>
        <w:rPr>
          <w:rFonts w:ascii="Calibri" w:hAnsi="Calibri" w:cs="Calibri" w:eastAsia="Calibri" w:hint="default"/>
          <w:sz w:val="16"/>
          <w:szCs w:val="16"/>
        </w:rPr>
      </w:pPr>
      <w:r>
        <w:rPr>
          <w:rFonts w:ascii="Calibri"/>
          <w:position w:val="5"/>
          <w:sz w:val="12"/>
        </w:rPr>
        <w:t>33 </w:t>
      </w:r>
      <w:r>
        <w:rPr>
          <w:rFonts w:ascii="Calibri"/>
          <w:sz w:val="16"/>
        </w:rPr>
        <w:t>Note: ROI = Tourism Expenditures / Tourism</w:t>
      </w:r>
      <w:r>
        <w:rPr>
          <w:rFonts w:ascii="Calibri"/>
          <w:spacing w:val="-12"/>
          <w:sz w:val="16"/>
        </w:rPr>
        <w:t> </w:t>
      </w:r>
      <w:r>
        <w:rPr>
          <w:rFonts w:ascii="Calibri"/>
          <w:sz w:val="16"/>
        </w:rPr>
        <w:t>Receipts</w:t>
      </w:r>
    </w:p>
    <w:p>
      <w:pPr>
        <w:spacing w:after="0"/>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24"/>
          <w:szCs w:val="24"/>
        </w:rPr>
      </w:pPr>
    </w:p>
    <w:p>
      <w:pPr>
        <w:pStyle w:val="Heading2"/>
        <w:spacing w:line="240" w:lineRule="auto"/>
        <w:ind w:right="0"/>
        <w:jc w:val="both"/>
        <w:rPr>
          <w:b w:val="0"/>
          <w:bCs w:val="0"/>
        </w:rPr>
      </w:pPr>
      <w:bookmarkStart w:name="_bookmark70" w:id="71"/>
      <w:bookmarkEnd w:id="71"/>
      <w:r>
        <w:rPr>
          <w:b w:val="0"/>
        </w:rPr>
      </w:r>
      <w:r>
        <w:rPr/>
        <w:t>Cause and effects of declining ROI in the tourism</w:t>
      </w:r>
      <w:r>
        <w:rPr>
          <w:spacing w:val="-27"/>
        </w:rPr>
        <w:t> </w:t>
      </w:r>
      <w:r>
        <w:rPr/>
        <w:t>industry</w:t>
      </w:r>
      <w:r>
        <w:rPr>
          <w:b w:val="0"/>
        </w:rPr>
      </w:r>
    </w:p>
    <w:p>
      <w:pPr>
        <w:pStyle w:val="BodyText"/>
        <w:spacing w:line="240" w:lineRule="auto" w:before="191"/>
        <w:ind w:right="1438"/>
        <w:jc w:val="both"/>
      </w:pPr>
      <w:r>
        <w:rPr/>
        <w:t>What seems to be influencing the fundamental function of the tourism sector in Curaçao is the lack of financial discipline</w:t>
      </w:r>
      <w:r>
        <w:rPr>
          <w:spacing w:val="-9"/>
        </w:rPr>
        <w:t> </w:t>
      </w:r>
      <w:r>
        <w:rPr/>
        <w:t>and</w:t>
      </w:r>
      <w:r>
        <w:rPr>
          <w:spacing w:val="-7"/>
        </w:rPr>
        <w:t> </w:t>
      </w:r>
      <w:r>
        <w:rPr/>
        <w:t>regulation.</w:t>
      </w:r>
      <w:r>
        <w:rPr>
          <w:spacing w:val="-5"/>
        </w:rPr>
        <w:t> </w:t>
      </w:r>
      <w:r>
        <w:rPr/>
        <w:t>This</w:t>
      </w:r>
      <w:r>
        <w:rPr>
          <w:spacing w:val="-7"/>
        </w:rPr>
        <w:t> </w:t>
      </w:r>
      <w:r>
        <w:rPr/>
        <w:t>unfortunate</w:t>
      </w:r>
      <w:r>
        <w:rPr>
          <w:spacing w:val="-9"/>
        </w:rPr>
        <w:t> </w:t>
      </w:r>
      <w:r>
        <w:rPr/>
        <w:t>situation</w:t>
      </w:r>
      <w:r>
        <w:rPr>
          <w:spacing w:val="-7"/>
        </w:rPr>
        <w:t> </w:t>
      </w:r>
      <w:r>
        <w:rPr/>
        <w:t>is</w:t>
      </w:r>
      <w:r>
        <w:rPr>
          <w:spacing w:val="-9"/>
        </w:rPr>
        <w:t> </w:t>
      </w:r>
      <w:r>
        <w:rPr/>
        <w:t>yielding</w:t>
      </w:r>
      <w:r>
        <w:rPr>
          <w:spacing w:val="-8"/>
        </w:rPr>
        <w:t> </w:t>
      </w:r>
      <w:r>
        <w:rPr/>
        <w:t>low</w:t>
      </w:r>
      <w:r>
        <w:rPr>
          <w:spacing w:val="-9"/>
        </w:rPr>
        <w:t> </w:t>
      </w:r>
      <w:r>
        <w:rPr/>
        <w:t>economic</w:t>
      </w:r>
      <w:r>
        <w:rPr>
          <w:spacing w:val="-9"/>
        </w:rPr>
        <w:t> </w:t>
      </w:r>
      <w:r>
        <w:rPr/>
        <w:t>returns,</w:t>
      </w:r>
      <w:r>
        <w:rPr>
          <w:spacing w:val="-7"/>
        </w:rPr>
        <w:t> </w:t>
      </w:r>
      <w:r>
        <w:rPr/>
        <w:t>volatile</w:t>
      </w:r>
      <w:r>
        <w:rPr>
          <w:spacing w:val="-8"/>
        </w:rPr>
        <w:t> </w:t>
      </w:r>
      <w:r>
        <w:rPr/>
        <w:t>economic</w:t>
      </w:r>
      <w:r>
        <w:rPr>
          <w:spacing w:val="-9"/>
        </w:rPr>
        <w:t> </w:t>
      </w:r>
      <w:r>
        <w:rPr/>
        <w:t>growth,</w:t>
      </w:r>
      <w:r>
        <w:rPr>
          <w:spacing w:val="-7"/>
        </w:rPr>
        <w:t> </w:t>
      </w:r>
      <w:r>
        <w:rPr/>
        <w:t>and </w:t>
      </w:r>
      <w:r>
        <w:rPr/>
        <w:t>financial constraints and challenges that negatively influence economic expansion driven via public and private investments, as well as external demand (i.e., international tourists). The institutional capacity which is required to support</w:t>
      </w:r>
      <w:r>
        <w:rPr>
          <w:spacing w:val="-11"/>
        </w:rPr>
        <w:t> </w:t>
      </w:r>
      <w:r>
        <w:rPr/>
        <w:t>the</w:t>
      </w:r>
      <w:r>
        <w:rPr>
          <w:spacing w:val="-12"/>
        </w:rPr>
        <w:t> </w:t>
      </w:r>
      <w:r>
        <w:rPr/>
        <w:t>tourism</w:t>
      </w:r>
      <w:r>
        <w:rPr>
          <w:spacing w:val="-12"/>
        </w:rPr>
        <w:t> </w:t>
      </w:r>
      <w:r>
        <w:rPr/>
        <w:t>industry,</w:t>
      </w:r>
      <w:r>
        <w:rPr>
          <w:spacing w:val="-11"/>
        </w:rPr>
        <w:t> </w:t>
      </w:r>
      <w:r>
        <w:rPr/>
        <w:t>its</w:t>
      </w:r>
      <w:r>
        <w:rPr>
          <w:spacing w:val="-12"/>
        </w:rPr>
        <w:t> </w:t>
      </w:r>
      <w:r>
        <w:rPr/>
        <w:t>expansion,</w:t>
      </w:r>
      <w:r>
        <w:rPr>
          <w:spacing w:val="-11"/>
        </w:rPr>
        <w:t> </w:t>
      </w:r>
      <w:r>
        <w:rPr/>
        <w:t>and</w:t>
      </w:r>
      <w:r>
        <w:rPr>
          <w:spacing w:val="-11"/>
        </w:rPr>
        <w:t> </w:t>
      </w:r>
      <w:r>
        <w:rPr/>
        <w:t>its</w:t>
      </w:r>
      <w:r>
        <w:rPr>
          <w:spacing w:val="-12"/>
        </w:rPr>
        <w:t> </w:t>
      </w:r>
      <w:r>
        <w:rPr/>
        <w:t>impact</w:t>
      </w:r>
      <w:r>
        <w:rPr>
          <w:spacing w:val="-11"/>
        </w:rPr>
        <w:t> </w:t>
      </w:r>
      <w:r>
        <w:rPr/>
        <w:t>on</w:t>
      </w:r>
      <w:r>
        <w:rPr>
          <w:spacing w:val="-11"/>
        </w:rPr>
        <w:t> </w:t>
      </w:r>
      <w:r>
        <w:rPr/>
        <w:t>the</w:t>
      </w:r>
      <w:r>
        <w:rPr>
          <w:spacing w:val="-12"/>
        </w:rPr>
        <w:t> </w:t>
      </w:r>
      <w:r>
        <w:rPr/>
        <w:t>economy</w:t>
      </w:r>
      <w:r>
        <w:rPr>
          <w:spacing w:val="-11"/>
        </w:rPr>
        <w:t> </w:t>
      </w:r>
      <w:r>
        <w:rPr/>
        <w:t>as</w:t>
      </w:r>
      <w:r>
        <w:rPr>
          <w:spacing w:val="-12"/>
        </w:rPr>
        <w:t> </w:t>
      </w:r>
      <w:r>
        <w:rPr/>
        <w:t>a</w:t>
      </w:r>
      <w:r>
        <w:rPr>
          <w:spacing w:val="-9"/>
        </w:rPr>
        <w:t> </w:t>
      </w:r>
      <w:r>
        <w:rPr/>
        <w:t>whole,</w:t>
      </w:r>
      <w:r>
        <w:rPr>
          <w:spacing w:val="-9"/>
        </w:rPr>
        <w:t> </w:t>
      </w:r>
      <w:r>
        <w:rPr/>
        <w:t>is</w:t>
      </w:r>
      <w:r>
        <w:rPr>
          <w:spacing w:val="-11"/>
        </w:rPr>
        <w:t> </w:t>
      </w:r>
      <w:r>
        <w:rPr/>
        <w:t>currently</w:t>
      </w:r>
      <w:r>
        <w:rPr>
          <w:spacing w:val="-10"/>
        </w:rPr>
        <w:t> </w:t>
      </w:r>
      <w:r>
        <w:rPr/>
        <w:t>needing,</w:t>
      </w:r>
      <w:r>
        <w:rPr>
          <w:spacing w:val="-11"/>
        </w:rPr>
        <w:t> </w:t>
      </w:r>
      <w:r>
        <w:rPr/>
        <w:t>wanting, </w:t>
      </w:r>
      <w:r>
        <w:rPr/>
        <w:t>and requiring</w:t>
      </w:r>
      <w:r>
        <w:rPr>
          <w:spacing w:val="-10"/>
        </w:rPr>
        <w:t> </w:t>
      </w:r>
      <w:r>
        <w:rPr/>
        <w:t>attention.</w:t>
      </w:r>
    </w:p>
    <w:p>
      <w:pPr>
        <w:spacing w:line="240" w:lineRule="auto" w:before="11"/>
        <w:ind w:right="0"/>
        <w:rPr>
          <w:rFonts w:ascii="Calibri" w:hAnsi="Calibri" w:cs="Calibri" w:eastAsia="Calibri" w:hint="default"/>
          <w:sz w:val="19"/>
          <w:szCs w:val="19"/>
        </w:rPr>
      </w:pPr>
    </w:p>
    <w:p>
      <w:pPr>
        <w:pStyle w:val="Heading9"/>
        <w:spacing w:line="240" w:lineRule="auto"/>
        <w:ind w:left="3925" w:right="0"/>
        <w:jc w:val="left"/>
        <w:rPr>
          <w:b w:val="0"/>
          <w:bCs w:val="0"/>
          <w:sz w:val="12"/>
          <w:szCs w:val="12"/>
        </w:rPr>
      </w:pPr>
      <w:bookmarkStart w:name="_bookmark71" w:id="72"/>
      <w:bookmarkEnd w:id="72"/>
      <w:r>
        <w:rPr>
          <w:b w:val="0"/>
        </w:rPr>
      </w:r>
      <w:r>
        <w:rPr/>
        <w:t>Table 20:  Comparison of corporate income tax</w:t>
      </w:r>
      <w:r>
        <w:rPr>
          <w:spacing w:val="-23"/>
        </w:rPr>
        <w:t> </w:t>
      </w:r>
      <w:r>
        <w:rPr/>
        <w:t>rate</w:t>
      </w:r>
      <w:r>
        <w:rPr>
          <w:position w:val="5"/>
          <w:sz w:val="12"/>
        </w:rPr>
        <w:t>34</w:t>
      </w:r>
      <w:r>
        <w:rPr>
          <w:b w:val="0"/>
          <w:sz w:val="12"/>
        </w:rPr>
      </w:r>
    </w:p>
    <w:tbl>
      <w:tblPr>
        <w:tblW w:w="0" w:type="auto"/>
        <w:jc w:val="left"/>
        <w:tblInd w:w="1402" w:type="dxa"/>
        <w:tblLayout w:type="fixed"/>
        <w:tblCellMar>
          <w:top w:w="0" w:type="dxa"/>
          <w:left w:w="0" w:type="dxa"/>
          <w:bottom w:w="0" w:type="dxa"/>
          <w:right w:w="0" w:type="dxa"/>
        </w:tblCellMar>
        <w:tblLook w:val="01E0"/>
      </w:tblPr>
      <w:tblGrid>
        <w:gridCol w:w="3693"/>
        <w:gridCol w:w="5743"/>
      </w:tblGrid>
      <w:tr>
        <w:trPr>
          <w:trHeight w:val="254" w:hRule="exact"/>
        </w:trPr>
        <w:tc>
          <w:tcPr>
            <w:tcW w:w="3693" w:type="dxa"/>
            <w:tcBorders>
              <w:top w:val="single" w:sz="4" w:space="0" w:color="000000"/>
              <w:left w:val="nil" w:sz="6" w:space="0" w:color="auto"/>
              <w:bottom w:val="single" w:sz="4" w:space="0" w:color="000000"/>
              <w:right w:val="nil" w:sz="6" w:space="0" w:color="auto"/>
            </w:tcBorders>
          </w:tcPr>
          <w:p>
            <w:pPr>
              <w:pStyle w:val="TableParagraph"/>
              <w:spacing w:line="243" w:lineRule="exact"/>
              <w:ind w:left="472" w:right="0"/>
              <w:jc w:val="left"/>
              <w:rPr>
                <w:rFonts w:ascii="Calibri" w:hAnsi="Calibri" w:cs="Calibri" w:eastAsia="Calibri" w:hint="default"/>
                <w:sz w:val="20"/>
                <w:szCs w:val="20"/>
              </w:rPr>
            </w:pPr>
            <w:r>
              <w:rPr>
                <w:rFonts w:ascii="Calibri"/>
                <w:b/>
                <w:i/>
                <w:sz w:val="20"/>
              </w:rPr>
              <w:t>Country</w:t>
            </w:r>
            <w:r>
              <w:rPr>
                <w:rFonts w:ascii="Calibri"/>
                <w:sz w:val="20"/>
              </w:rPr>
            </w:r>
          </w:p>
        </w:tc>
        <w:tc>
          <w:tcPr>
            <w:tcW w:w="5743" w:type="dxa"/>
            <w:tcBorders>
              <w:top w:val="single" w:sz="4" w:space="0" w:color="000000"/>
              <w:left w:val="nil" w:sz="6" w:space="0" w:color="auto"/>
              <w:bottom w:val="single" w:sz="4" w:space="0" w:color="000000"/>
              <w:right w:val="nil" w:sz="6" w:space="0" w:color="auto"/>
            </w:tcBorders>
          </w:tcPr>
          <w:p>
            <w:pPr>
              <w:pStyle w:val="TableParagraph"/>
              <w:spacing w:line="243" w:lineRule="exact"/>
              <w:ind w:left="1114" w:right="0"/>
              <w:jc w:val="center"/>
              <w:rPr>
                <w:rFonts w:ascii="Calibri" w:hAnsi="Calibri" w:cs="Calibri" w:eastAsia="Calibri" w:hint="default"/>
                <w:sz w:val="20"/>
                <w:szCs w:val="20"/>
              </w:rPr>
            </w:pPr>
            <w:r>
              <w:rPr>
                <w:rFonts w:ascii="Calibri"/>
                <w:b/>
                <w:i/>
                <w:sz w:val="20"/>
              </w:rPr>
              <w:t>Corporate Income Tax Rate</w:t>
            </w:r>
            <w:r>
              <w:rPr>
                <w:rFonts w:ascii="Calibri"/>
                <w:b/>
                <w:i/>
                <w:spacing w:val="-9"/>
                <w:sz w:val="20"/>
              </w:rPr>
              <w:t> </w:t>
            </w:r>
            <w:r>
              <w:rPr>
                <w:rFonts w:ascii="Calibri"/>
                <w:b/>
                <w:i/>
                <w:sz w:val="20"/>
              </w:rPr>
              <w:t>(%)</w:t>
            </w:r>
            <w:r>
              <w:rPr>
                <w:rFonts w:ascii="Calibri"/>
                <w:sz w:val="20"/>
              </w:rPr>
            </w:r>
          </w:p>
        </w:tc>
      </w:tr>
      <w:tr>
        <w:trPr>
          <w:trHeight w:val="267" w:hRule="exact"/>
        </w:trPr>
        <w:tc>
          <w:tcPr>
            <w:tcW w:w="3693" w:type="dxa"/>
            <w:tcBorders>
              <w:top w:val="single" w:sz="4" w:space="0" w:color="000000"/>
              <w:left w:val="nil" w:sz="6" w:space="0" w:color="auto"/>
              <w:bottom w:val="nil" w:sz="6" w:space="0" w:color="auto"/>
              <w:right w:val="nil" w:sz="6" w:space="0" w:color="auto"/>
            </w:tcBorders>
          </w:tcPr>
          <w:p>
            <w:pPr>
              <w:pStyle w:val="TableParagraph"/>
              <w:spacing w:line="243" w:lineRule="exact"/>
              <w:ind w:left="108" w:right="0"/>
              <w:jc w:val="left"/>
              <w:rPr>
                <w:rFonts w:ascii="Calibri" w:hAnsi="Calibri" w:cs="Calibri" w:eastAsia="Calibri" w:hint="default"/>
                <w:sz w:val="20"/>
                <w:szCs w:val="20"/>
              </w:rPr>
            </w:pPr>
            <w:r>
              <w:rPr>
                <w:rFonts w:ascii="Calibri"/>
                <w:sz w:val="20"/>
              </w:rPr>
              <w:t>Aruba</w:t>
            </w:r>
          </w:p>
        </w:tc>
        <w:tc>
          <w:tcPr>
            <w:tcW w:w="5743" w:type="dxa"/>
            <w:tcBorders>
              <w:top w:val="single" w:sz="4" w:space="0" w:color="000000"/>
              <w:left w:val="nil" w:sz="6" w:space="0" w:color="auto"/>
              <w:bottom w:val="nil" w:sz="6" w:space="0" w:color="auto"/>
              <w:right w:val="nil" w:sz="6" w:space="0" w:color="auto"/>
            </w:tcBorders>
          </w:tcPr>
          <w:p>
            <w:pPr>
              <w:pStyle w:val="TableParagraph"/>
              <w:spacing w:line="243" w:lineRule="exact"/>
              <w:ind w:left="1117" w:right="0"/>
              <w:jc w:val="center"/>
              <w:rPr>
                <w:rFonts w:ascii="Calibri" w:hAnsi="Calibri" w:cs="Calibri" w:eastAsia="Calibri" w:hint="default"/>
                <w:sz w:val="20"/>
                <w:szCs w:val="20"/>
              </w:rPr>
            </w:pPr>
            <w:r>
              <w:rPr>
                <w:rFonts w:ascii="Calibri"/>
                <w:sz w:val="20"/>
              </w:rPr>
              <w:t>25.00</w:t>
            </w:r>
          </w:p>
        </w:tc>
      </w:tr>
      <w:tr>
        <w:trPr>
          <w:trHeight w:val="244" w:hRule="exact"/>
        </w:trPr>
        <w:tc>
          <w:tcPr>
            <w:tcW w:w="3693"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Barbados</w:t>
            </w:r>
          </w:p>
        </w:tc>
        <w:tc>
          <w:tcPr>
            <w:tcW w:w="5743" w:type="dxa"/>
            <w:tcBorders>
              <w:top w:val="nil" w:sz="6" w:space="0" w:color="auto"/>
              <w:left w:val="nil" w:sz="6" w:space="0" w:color="auto"/>
              <w:bottom w:val="nil" w:sz="6" w:space="0" w:color="auto"/>
              <w:right w:val="nil" w:sz="6" w:space="0" w:color="auto"/>
            </w:tcBorders>
          </w:tcPr>
          <w:p>
            <w:pPr>
              <w:pStyle w:val="TableParagraph"/>
              <w:spacing w:line="226" w:lineRule="exact"/>
              <w:ind w:left="1117" w:right="0"/>
              <w:jc w:val="center"/>
              <w:rPr>
                <w:rFonts w:ascii="Calibri" w:hAnsi="Calibri" w:cs="Calibri" w:eastAsia="Calibri" w:hint="default"/>
                <w:sz w:val="20"/>
                <w:szCs w:val="20"/>
              </w:rPr>
            </w:pPr>
            <w:r>
              <w:rPr>
                <w:rFonts w:ascii="Calibri"/>
                <w:sz w:val="20"/>
              </w:rPr>
              <w:t>28.00</w:t>
            </w:r>
          </w:p>
        </w:tc>
      </w:tr>
      <w:tr>
        <w:trPr>
          <w:trHeight w:val="244" w:hRule="exact"/>
        </w:trPr>
        <w:tc>
          <w:tcPr>
            <w:tcW w:w="3693" w:type="dxa"/>
            <w:tcBorders>
              <w:top w:val="nil" w:sz="6" w:space="0" w:color="auto"/>
              <w:left w:val="nil" w:sz="6" w:space="0" w:color="auto"/>
              <w:bottom w:val="nil" w:sz="6" w:space="0" w:color="auto"/>
              <w:right w:val="nil" w:sz="6" w:space="0" w:color="auto"/>
            </w:tcBorders>
          </w:tcPr>
          <w:p>
            <w:pPr>
              <w:pStyle w:val="TableParagraph"/>
              <w:spacing w:line="225" w:lineRule="exact"/>
              <w:ind w:left="108" w:right="0"/>
              <w:jc w:val="left"/>
              <w:rPr>
                <w:rFonts w:ascii="Calibri" w:hAnsi="Calibri" w:cs="Calibri" w:eastAsia="Calibri" w:hint="default"/>
                <w:sz w:val="20"/>
                <w:szCs w:val="20"/>
              </w:rPr>
            </w:pPr>
            <w:r>
              <w:rPr>
                <w:rFonts w:ascii="Calibri"/>
                <w:sz w:val="20"/>
              </w:rPr>
              <w:t>Mauritius</w:t>
            </w:r>
          </w:p>
        </w:tc>
        <w:tc>
          <w:tcPr>
            <w:tcW w:w="5743" w:type="dxa"/>
            <w:tcBorders>
              <w:top w:val="nil" w:sz="6" w:space="0" w:color="auto"/>
              <w:left w:val="nil" w:sz="6" w:space="0" w:color="auto"/>
              <w:bottom w:val="nil" w:sz="6" w:space="0" w:color="auto"/>
              <w:right w:val="nil" w:sz="6" w:space="0" w:color="auto"/>
            </w:tcBorders>
          </w:tcPr>
          <w:p>
            <w:pPr>
              <w:pStyle w:val="TableParagraph"/>
              <w:spacing w:line="225" w:lineRule="exact"/>
              <w:ind w:left="1117" w:right="0"/>
              <w:jc w:val="center"/>
              <w:rPr>
                <w:rFonts w:ascii="Calibri" w:hAnsi="Calibri" w:cs="Calibri" w:eastAsia="Calibri" w:hint="default"/>
                <w:sz w:val="20"/>
                <w:szCs w:val="20"/>
              </w:rPr>
            </w:pPr>
            <w:r>
              <w:rPr>
                <w:rFonts w:ascii="Calibri"/>
                <w:sz w:val="20"/>
              </w:rPr>
              <w:t>15.00</w:t>
            </w:r>
          </w:p>
        </w:tc>
      </w:tr>
      <w:tr>
        <w:trPr>
          <w:trHeight w:val="245" w:hRule="exact"/>
        </w:trPr>
        <w:tc>
          <w:tcPr>
            <w:tcW w:w="3693"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U.S. Virgin</w:t>
            </w:r>
            <w:r>
              <w:rPr>
                <w:rFonts w:ascii="Calibri"/>
                <w:spacing w:val="-10"/>
                <w:sz w:val="20"/>
              </w:rPr>
              <w:t> </w:t>
            </w:r>
            <w:r>
              <w:rPr>
                <w:rFonts w:ascii="Calibri"/>
                <w:sz w:val="20"/>
              </w:rPr>
              <w:t>Islands</w:t>
            </w:r>
          </w:p>
        </w:tc>
        <w:tc>
          <w:tcPr>
            <w:tcW w:w="5743" w:type="dxa"/>
            <w:tcBorders>
              <w:top w:val="nil" w:sz="6" w:space="0" w:color="auto"/>
              <w:left w:val="nil" w:sz="6" w:space="0" w:color="auto"/>
              <w:bottom w:val="nil" w:sz="6" w:space="0" w:color="auto"/>
              <w:right w:val="nil" w:sz="6" w:space="0" w:color="auto"/>
            </w:tcBorders>
          </w:tcPr>
          <w:p>
            <w:pPr>
              <w:pStyle w:val="TableParagraph"/>
              <w:spacing w:line="226" w:lineRule="exact"/>
              <w:ind w:left="1117" w:right="0"/>
              <w:jc w:val="center"/>
              <w:rPr>
                <w:rFonts w:ascii="Calibri" w:hAnsi="Calibri" w:cs="Calibri" w:eastAsia="Calibri" w:hint="default"/>
                <w:sz w:val="20"/>
                <w:szCs w:val="20"/>
              </w:rPr>
            </w:pPr>
            <w:r>
              <w:rPr>
                <w:rFonts w:ascii="Calibri"/>
                <w:sz w:val="20"/>
              </w:rPr>
              <w:t>38.50</w:t>
            </w:r>
          </w:p>
        </w:tc>
      </w:tr>
      <w:tr>
        <w:trPr>
          <w:trHeight w:val="244" w:hRule="exact"/>
        </w:trPr>
        <w:tc>
          <w:tcPr>
            <w:tcW w:w="3693"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Puerto</w:t>
            </w:r>
            <w:r>
              <w:rPr>
                <w:rFonts w:ascii="Calibri"/>
                <w:spacing w:val="-8"/>
                <w:sz w:val="20"/>
              </w:rPr>
              <w:t> </w:t>
            </w:r>
            <w:r>
              <w:rPr>
                <w:rFonts w:ascii="Calibri"/>
                <w:sz w:val="20"/>
              </w:rPr>
              <w:t>Rico</w:t>
            </w:r>
          </w:p>
        </w:tc>
        <w:tc>
          <w:tcPr>
            <w:tcW w:w="5743" w:type="dxa"/>
            <w:tcBorders>
              <w:top w:val="nil" w:sz="6" w:space="0" w:color="auto"/>
              <w:left w:val="nil" w:sz="6" w:space="0" w:color="auto"/>
              <w:bottom w:val="nil" w:sz="6" w:space="0" w:color="auto"/>
              <w:right w:val="nil" w:sz="6" w:space="0" w:color="auto"/>
            </w:tcBorders>
          </w:tcPr>
          <w:p>
            <w:pPr>
              <w:pStyle w:val="TableParagraph"/>
              <w:spacing w:line="226" w:lineRule="exact"/>
              <w:ind w:left="1117" w:right="0"/>
              <w:jc w:val="center"/>
              <w:rPr>
                <w:rFonts w:ascii="Calibri" w:hAnsi="Calibri" w:cs="Calibri" w:eastAsia="Calibri" w:hint="default"/>
                <w:sz w:val="20"/>
                <w:szCs w:val="20"/>
              </w:rPr>
            </w:pPr>
            <w:r>
              <w:rPr>
                <w:rFonts w:ascii="Calibri"/>
                <w:sz w:val="20"/>
              </w:rPr>
              <w:t>30.00</w:t>
            </w:r>
          </w:p>
        </w:tc>
      </w:tr>
      <w:tr>
        <w:trPr>
          <w:trHeight w:val="231" w:hRule="exact"/>
        </w:trPr>
        <w:tc>
          <w:tcPr>
            <w:tcW w:w="3693" w:type="dxa"/>
            <w:tcBorders>
              <w:top w:val="nil" w:sz="6" w:space="0" w:color="auto"/>
              <w:left w:val="nil" w:sz="6" w:space="0" w:color="auto"/>
              <w:bottom w:val="single" w:sz="4" w:space="0" w:color="000000"/>
              <w:right w:val="nil" w:sz="6" w:space="0" w:color="auto"/>
            </w:tcBorders>
          </w:tcPr>
          <w:p>
            <w:pPr>
              <w:pStyle w:val="TableParagraph"/>
              <w:spacing w:line="225" w:lineRule="exact"/>
              <w:ind w:left="108" w:right="0"/>
              <w:jc w:val="left"/>
              <w:rPr>
                <w:rFonts w:ascii="Calibri" w:hAnsi="Calibri" w:cs="Calibri" w:eastAsia="Calibri" w:hint="default"/>
                <w:sz w:val="20"/>
                <w:szCs w:val="20"/>
              </w:rPr>
            </w:pPr>
            <w:r>
              <w:rPr>
                <w:rFonts w:ascii="Calibri"/>
                <w:sz w:val="20"/>
              </w:rPr>
              <w:t>Jamaica</w:t>
            </w:r>
          </w:p>
        </w:tc>
        <w:tc>
          <w:tcPr>
            <w:tcW w:w="5743" w:type="dxa"/>
            <w:tcBorders>
              <w:top w:val="nil" w:sz="6" w:space="0" w:color="auto"/>
              <w:left w:val="nil" w:sz="6" w:space="0" w:color="auto"/>
              <w:bottom w:val="single" w:sz="4" w:space="0" w:color="000000"/>
              <w:right w:val="nil" w:sz="6" w:space="0" w:color="auto"/>
            </w:tcBorders>
          </w:tcPr>
          <w:p>
            <w:pPr>
              <w:pStyle w:val="TableParagraph"/>
              <w:spacing w:line="225" w:lineRule="exact"/>
              <w:ind w:left="1117" w:right="0"/>
              <w:jc w:val="center"/>
              <w:rPr>
                <w:rFonts w:ascii="Calibri" w:hAnsi="Calibri" w:cs="Calibri" w:eastAsia="Calibri" w:hint="default"/>
                <w:sz w:val="20"/>
                <w:szCs w:val="20"/>
              </w:rPr>
            </w:pPr>
            <w:r>
              <w:rPr>
                <w:rFonts w:ascii="Calibri"/>
                <w:sz w:val="20"/>
              </w:rPr>
              <w:t>33.50</w:t>
            </w:r>
          </w:p>
        </w:tc>
      </w:tr>
    </w:tbl>
    <w:p>
      <w:pPr>
        <w:spacing w:line="240" w:lineRule="auto" w:before="0" w:after="0"/>
        <w:ind w:right="0"/>
        <w:rPr>
          <w:rFonts w:ascii="Calibri" w:hAnsi="Calibri" w:cs="Calibri" w:eastAsia="Calibri" w:hint="default"/>
          <w:b/>
          <w:bCs/>
          <w:sz w:val="20"/>
          <w:szCs w:val="20"/>
        </w:rPr>
      </w:pPr>
    </w:p>
    <w:p>
      <w:pPr>
        <w:spacing w:line="20" w:lineRule="exact"/>
        <w:ind w:left="1382" w:right="0" w:firstLine="0"/>
        <w:rPr>
          <w:rFonts w:ascii="Calibri" w:hAnsi="Calibri" w:cs="Calibri" w:eastAsia="Calibri" w:hint="default"/>
          <w:sz w:val="2"/>
          <w:szCs w:val="2"/>
        </w:rPr>
      </w:pPr>
      <w:r>
        <w:rPr>
          <w:rFonts w:ascii="Calibri" w:hAnsi="Calibri" w:cs="Calibri" w:eastAsia="Calibri" w:hint="default"/>
          <w:sz w:val="2"/>
          <w:szCs w:val="2"/>
        </w:rPr>
        <w:pict>
          <v:group style="width:473.05pt;height:.5pt;mso-position-horizontal-relative:char;mso-position-vertical-relative:line" coordorigin="0,0" coordsize="9461,10">
            <v:group style="position:absolute;left:5;top:5;width:9451;height:2" coordorigin="5,5" coordsize="9451,2">
              <v:shape style="position:absolute;left:5;top:5;width:9451;height:2" coordorigin="5,5" coordsize="9451,0" path="m5,5l9455,5e" filled="false" stroked="true" strokeweight=".48001pt" strokecolor="#000000">
                <v:path arrowok="t"/>
              </v:shape>
            </v:group>
          </v:group>
        </w:pict>
      </w:r>
      <w:r>
        <w:rPr>
          <w:rFonts w:ascii="Calibri" w:hAnsi="Calibri" w:cs="Calibri" w:eastAsia="Calibri" w:hint="default"/>
          <w:sz w:val="2"/>
          <w:szCs w:val="2"/>
        </w:rPr>
      </w:r>
    </w:p>
    <w:p>
      <w:pPr>
        <w:spacing w:line="240" w:lineRule="auto" w:before="4"/>
        <w:ind w:right="0"/>
        <w:rPr>
          <w:rFonts w:ascii="Calibri" w:hAnsi="Calibri" w:cs="Calibri" w:eastAsia="Calibri" w:hint="default"/>
          <w:b/>
          <w:bCs/>
          <w:sz w:val="14"/>
          <w:szCs w:val="14"/>
        </w:rPr>
      </w:pPr>
    </w:p>
    <w:p>
      <w:pPr>
        <w:pStyle w:val="BodyText"/>
        <w:spacing w:line="240" w:lineRule="auto" w:before="59"/>
        <w:ind w:right="1435"/>
        <w:jc w:val="both"/>
      </w:pPr>
      <w:r>
        <w:rPr/>
        <w:t>The</w:t>
      </w:r>
      <w:r>
        <w:rPr>
          <w:spacing w:val="-10"/>
        </w:rPr>
        <w:t> </w:t>
      </w:r>
      <w:r>
        <w:rPr/>
        <w:t>institutional</w:t>
      </w:r>
      <w:r>
        <w:rPr>
          <w:spacing w:val="-9"/>
        </w:rPr>
        <w:t> </w:t>
      </w:r>
      <w:r>
        <w:rPr/>
        <w:t>weakness</w:t>
      </w:r>
      <w:r>
        <w:rPr>
          <w:spacing w:val="-8"/>
        </w:rPr>
        <w:t> </w:t>
      </w:r>
      <w:r>
        <w:rPr/>
        <w:t>is</w:t>
      </w:r>
      <w:r>
        <w:rPr>
          <w:spacing w:val="-11"/>
        </w:rPr>
        <w:t> </w:t>
      </w:r>
      <w:r>
        <w:rPr/>
        <w:t>revealed</w:t>
      </w:r>
      <w:r>
        <w:rPr>
          <w:spacing w:val="-9"/>
        </w:rPr>
        <w:t> </w:t>
      </w:r>
      <w:r>
        <w:rPr/>
        <w:t>in</w:t>
      </w:r>
      <w:r>
        <w:rPr>
          <w:spacing w:val="-9"/>
        </w:rPr>
        <w:t> </w:t>
      </w:r>
      <w:r>
        <w:rPr/>
        <w:t>the</w:t>
      </w:r>
      <w:r>
        <w:rPr>
          <w:spacing w:val="-8"/>
        </w:rPr>
        <w:t> </w:t>
      </w:r>
      <w:r>
        <w:rPr/>
        <w:t>significant</w:t>
      </w:r>
      <w:r>
        <w:rPr>
          <w:spacing w:val="-9"/>
        </w:rPr>
        <w:t> </w:t>
      </w:r>
      <w:r>
        <w:rPr/>
        <w:t>amount</w:t>
      </w:r>
      <w:r>
        <w:rPr>
          <w:spacing w:val="-9"/>
        </w:rPr>
        <w:t> </w:t>
      </w:r>
      <w:r>
        <w:rPr/>
        <w:t>of</w:t>
      </w:r>
      <w:r>
        <w:rPr>
          <w:spacing w:val="-10"/>
        </w:rPr>
        <w:t> </w:t>
      </w:r>
      <w:r>
        <w:rPr/>
        <w:t>the</w:t>
      </w:r>
      <w:r>
        <w:rPr>
          <w:spacing w:val="-10"/>
        </w:rPr>
        <w:t> </w:t>
      </w:r>
      <w:r>
        <w:rPr/>
        <w:t>existing</w:t>
      </w:r>
      <w:r>
        <w:rPr>
          <w:spacing w:val="-9"/>
        </w:rPr>
        <w:t> </w:t>
      </w:r>
      <w:r>
        <w:rPr/>
        <w:t>gross</w:t>
      </w:r>
      <w:r>
        <w:rPr>
          <w:spacing w:val="-10"/>
        </w:rPr>
        <w:t> </w:t>
      </w:r>
      <w:r>
        <w:rPr/>
        <w:t>tax</w:t>
      </w:r>
      <w:r>
        <w:rPr>
          <w:spacing w:val="-7"/>
        </w:rPr>
        <w:t> </w:t>
      </w:r>
      <w:r>
        <w:rPr/>
        <w:t>gap</w:t>
      </w:r>
      <w:r>
        <w:rPr>
          <w:spacing w:val="-9"/>
        </w:rPr>
        <w:t> </w:t>
      </w:r>
      <w:r>
        <w:rPr/>
        <w:t>(the</w:t>
      </w:r>
      <w:r>
        <w:rPr>
          <w:spacing w:val="-10"/>
        </w:rPr>
        <w:t> </w:t>
      </w:r>
      <w:r>
        <w:rPr/>
        <w:t>difference</w:t>
      </w:r>
      <w:r>
        <w:rPr>
          <w:spacing w:val="-10"/>
        </w:rPr>
        <w:t> </w:t>
      </w:r>
      <w:r>
        <w:rPr/>
        <w:t>between </w:t>
      </w:r>
      <w:r>
        <w:rPr/>
        <w:t>the</w:t>
      </w:r>
      <w:r>
        <w:rPr>
          <w:spacing w:val="-5"/>
        </w:rPr>
        <w:t> </w:t>
      </w:r>
      <w:r>
        <w:rPr/>
        <w:t>taxes</w:t>
      </w:r>
      <w:r>
        <w:rPr>
          <w:spacing w:val="-5"/>
        </w:rPr>
        <w:t> </w:t>
      </w:r>
      <w:r>
        <w:rPr/>
        <w:t>owed</w:t>
      </w:r>
      <w:r>
        <w:rPr>
          <w:spacing w:val="-4"/>
        </w:rPr>
        <w:t> </w:t>
      </w:r>
      <w:r>
        <w:rPr/>
        <w:t>and</w:t>
      </w:r>
      <w:r>
        <w:rPr>
          <w:spacing w:val="-4"/>
        </w:rPr>
        <w:t> </w:t>
      </w:r>
      <w:r>
        <w:rPr/>
        <w:t>what</w:t>
      </w:r>
      <w:r>
        <w:rPr>
          <w:spacing w:val="-4"/>
        </w:rPr>
        <w:t> </w:t>
      </w:r>
      <w:r>
        <w:rPr/>
        <w:t>is</w:t>
      </w:r>
      <w:r>
        <w:rPr>
          <w:spacing w:val="-5"/>
        </w:rPr>
        <w:t> </w:t>
      </w:r>
      <w:r>
        <w:rPr/>
        <w:t>actually</w:t>
      </w:r>
      <w:r>
        <w:rPr>
          <w:spacing w:val="-3"/>
        </w:rPr>
        <w:t> </w:t>
      </w:r>
      <w:r>
        <w:rPr/>
        <w:t>paid</w:t>
      </w:r>
      <w:r>
        <w:rPr>
          <w:spacing w:val="-3"/>
        </w:rPr>
        <w:t> </w:t>
      </w:r>
      <w:r>
        <w:rPr/>
        <w:t>in</w:t>
      </w:r>
      <w:r>
        <w:rPr>
          <w:spacing w:val="-4"/>
        </w:rPr>
        <w:t> </w:t>
      </w:r>
      <w:r>
        <w:rPr/>
        <w:t>taxes).</w:t>
      </w:r>
      <w:r>
        <w:rPr>
          <w:spacing w:val="-5"/>
        </w:rPr>
        <w:t> </w:t>
      </w:r>
      <w:r>
        <w:rPr/>
        <w:t>For</w:t>
      </w:r>
      <w:r>
        <w:rPr>
          <w:spacing w:val="-2"/>
        </w:rPr>
        <w:t> </w:t>
      </w:r>
      <w:r>
        <w:rPr/>
        <w:t>example,</w:t>
      </w:r>
      <w:r>
        <w:rPr>
          <w:spacing w:val="-4"/>
        </w:rPr>
        <w:t> </w:t>
      </w:r>
      <w:r>
        <w:rPr/>
        <w:t>anecdotal</w:t>
      </w:r>
      <w:r>
        <w:rPr>
          <w:spacing w:val="-5"/>
        </w:rPr>
        <w:t> </w:t>
      </w:r>
      <w:r>
        <w:rPr/>
        <w:t>evidence</w:t>
      </w:r>
      <w:r>
        <w:rPr>
          <w:spacing w:val="-4"/>
        </w:rPr>
        <w:t> </w:t>
      </w:r>
      <w:r>
        <w:rPr/>
        <w:t>suggests</w:t>
      </w:r>
      <w:r>
        <w:rPr>
          <w:spacing w:val="-5"/>
        </w:rPr>
        <w:t> </w:t>
      </w:r>
      <w:r>
        <w:rPr/>
        <w:t>that</w:t>
      </w:r>
      <w:r>
        <w:rPr>
          <w:spacing w:val="-4"/>
        </w:rPr>
        <w:t> </w:t>
      </w:r>
      <w:r>
        <w:rPr/>
        <w:t>the</w:t>
      </w:r>
      <w:r>
        <w:rPr>
          <w:spacing w:val="-5"/>
        </w:rPr>
        <w:t> </w:t>
      </w:r>
      <w:r>
        <w:rPr/>
        <w:t>tourism</w:t>
      </w:r>
      <w:r>
        <w:rPr>
          <w:spacing w:val="-5"/>
        </w:rPr>
        <w:t> </w:t>
      </w:r>
      <w:r>
        <w:rPr/>
        <w:t>room </w:t>
      </w:r>
      <w:r>
        <w:rPr/>
        <w:t>tax gap is in the order of US$50 million. This gap could either be the result of lack of enforcement by the corresponding agencies, or is a reflection of the tax burden imposed on businesses. Tables 21 and 22 indicate a decreasing trend in the collection of both direct and indirect taxes. Curaçao has a relatively high corporate tax compared to the region. The current corporate income tax rate for the island is</w:t>
      </w:r>
      <w:r>
        <w:rPr>
          <w:spacing w:val="-21"/>
        </w:rPr>
        <w:t> </w:t>
      </w:r>
      <w:r>
        <w:rPr/>
        <w:t>27.50%.</w:t>
      </w:r>
    </w:p>
    <w:p>
      <w:pPr>
        <w:spacing w:line="240" w:lineRule="auto" w:before="11"/>
        <w:ind w:right="0"/>
        <w:rPr>
          <w:rFonts w:ascii="Calibri" w:hAnsi="Calibri" w:cs="Calibri" w:eastAsia="Calibri" w:hint="default"/>
          <w:sz w:val="19"/>
          <w:szCs w:val="19"/>
        </w:rPr>
      </w:pPr>
    </w:p>
    <w:p>
      <w:pPr>
        <w:pStyle w:val="BodyText"/>
        <w:spacing w:line="240" w:lineRule="auto"/>
        <w:ind w:right="1435"/>
        <w:jc w:val="both"/>
      </w:pPr>
      <w:r>
        <w:rPr/>
        <w:t>The confluence of fiscal and law enforcement forces are shaping the marketing capacity of the destination. The marketing capacity of the destination has remained practically stagnant from 2002 to 2015. The marketing dollars in</w:t>
      </w:r>
      <w:r>
        <w:rPr>
          <w:spacing w:val="-4"/>
        </w:rPr>
        <w:t> </w:t>
      </w:r>
      <w:r>
        <w:rPr/>
        <w:t>2015</w:t>
      </w:r>
      <w:r>
        <w:rPr>
          <w:spacing w:val="-5"/>
        </w:rPr>
        <w:t> </w:t>
      </w:r>
      <w:r>
        <w:rPr/>
        <w:t>are</w:t>
      </w:r>
      <w:r>
        <w:rPr>
          <w:spacing w:val="-5"/>
        </w:rPr>
        <w:t> </w:t>
      </w:r>
      <w:r>
        <w:rPr/>
        <w:t>equivalent</w:t>
      </w:r>
      <w:r>
        <w:rPr>
          <w:spacing w:val="-4"/>
        </w:rPr>
        <w:t> </w:t>
      </w:r>
      <w:r>
        <w:rPr/>
        <w:t>and</w:t>
      </w:r>
      <w:r>
        <w:rPr>
          <w:spacing w:val="-4"/>
        </w:rPr>
        <w:t> </w:t>
      </w:r>
      <w:r>
        <w:rPr/>
        <w:t>also</w:t>
      </w:r>
      <w:r>
        <w:rPr>
          <w:spacing w:val="-4"/>
        </w:rPr>
        <w:t> </w:t>
      </w:r>
      <w:r>
        <w:rPr/>
        <w:t>display</w:t>
      </w:r>
      <w:r>
        <w:rPr>
          <w:spacing w:val="-3"/>
        </w:rPr>
        <w:t> </w:t>
      </w:r>
      <w:r>
        <w:rPr/>
        <w:t>significant</w:t>
      </w:r>
      <w:r>
        <w:rPr>
          <w:spacing w:val="-4"/>
        </w:rPr>
        <w:t> </w:t>
      </w:r>
      <w:r>
        <w:rPr/>
        <w:t>volatility</w:t>
      </w:r>
      <w:r>
        <w:rPr>
          <w:spacing w:val="-2"/>
        </w:rPr>
        <w:t> </w:t>
      </w:r>
      <w:r>
        <w:rPr/>
        <w:t>during</w:t>
      </w:r>
      <w:r>
        <w:rPr>
          <w:spacing w:val="-5"/>
        </w:rPr>
        <w:t> </w:t>
      </w:r>
      <w:r>
        <w:rPr/>
        <w:t>this</w:t>
      </w:r>
      <w:r>
        <w:rPr>
          <w:spacing w:val="-6"/>
        </w:rPr>
        <w:t> </w:t>
      </w:r>
      <w:r>
        <w:rPr/>
        <w:t>time</w:t>
      </w:r>
      <w:r>
        <w:rPr>
          <w:spacing w:val="-6"/>
        </w:rPr>
        <w:t> </w:t>
      </w:r>
      <w:r>
        <w:rPr/>
        <w:t>period.</w:t>
      </w:r>
      <w:r>
        <w:rPr>
          <w:spacing w:val="-4"/>
        </w:rPr>
        <w:t> </w:t>
      </w:r>
      <w:r>
        <w:rPr/>
        <w:t>Marketing</w:t>
      </w:r>
      <w:r>
        <w:rPr>
          <w:spacing w:val="-5"/>
        </w:rPr>
        <w:t> </w:t>
      </w:r>
      <w:r>
        <w:rPr/>
        <w:t>dollars</w:t>
      </w:r>
      <w:r>
        <w:rPr>
          <w:spacing w:val="-5"/>
        </w:rPr>
        <w:t> </w:t>
      </w:r>
      <w:r>
        <w:rPr/>
        <w:t>over</w:t>
      </w:r>
      <w:r>
        <w:rPr>
          <w:spacing w:val="-4"/>
        </w:rPr>
        <w:t> </w:t>
      </w:r>
      <w:r>
        <w:rPr/>
        <w:t>that</w:t>
      </w:r>
      <w:r>
        <w:rPr>
          <w:spacing w:val="-4"/>
        </w:rPr>
        <w:t> </w:t>
      </w:r>
      <w:r>
        <w:rPr/>
        <w:t>time </w:t>
      </w:r>
      <w:r>
        <w:rPr/>
        <w:t>have increased by less than a 1% annual average, and its volatility is disquieting with a coefficient of variation (CV) of 12.46. This volatility in marketing dollars is pervasive in several markets during this time span. For example, the South American and Caribbean markets have experienced the largest fluctuations in their marketing budgets. The European marketing budget has increased by an annual average of 12%, while the American marketing budget increased by an annual average of</w:t>
      </w:r>
      <w:r>
        <w:rPr>
          <w:spacing w:val="-17"/>
        </w:rPr>
        <w:t> </w:t>
      </w:r>
      <w:r>
        <w:rPr/>
        <w:t>7.6%.</w:t>
      </w:r>
    </w:p>
    <w:p>
      <w:pPr>
        <w:spacing w:line="240" w:lineRule="auto" w:before="1"/>
        <w:ind w:right="0"/>
        <w:rPr>
          <w:rFonts w:ascii="Calibri" w:hAnsi="Calibri" w:cs="Calibri" w:eastAsia="Calibri" w:hint="default"/>
          <w:sz w:val="20"/>
          <w:szCs w:val="20"/>
        </w:rPr>
      </w:pPr>
    </w:p>
    <w:p>
      <w:pPr>
        <w:spacing w:before="0"/>
        <w:ind w:left="3739" w:right="0" w:firstLine="0"/>
        <w:jc w:val="left"/>
        <w:rPr>
          <w:rFonts w:ascii="Calibri" w:hAnsi="Calibri" w:cs="Calibri" w:eastAsia="Calibri" w:hint="default"/>
          <w:sz w:val="12"/>
          <w:szCs w:val="12"/>
        </w:rPr>
      </w:pPr>
      <w:bookmarkStart w:name="_bookmark72" w:id="73"/>
      <w:bookmarkEnd w:id="73"/>
      <w:r>
        <w:rPr/>
      </w:r>
      <w:r>
        <w:rPr>
          <w:rFonts w:ascii="Calibri"/>
          <w:b/>
          <w:sz w:val="20"/>
        </w:rPr>
        <w:t>Table 21: Panel A:  Income from direct taxes (</w:t>
      </w:r>
      <w:r>
        <w:rPr>
          <w:rFonts w:ascii="Calibri"/>
          <w:b/>
          <w:i/>
          <w:sz w:val="20"/>
        </w:rPr>
        <w:t>x mln</w:t>
      </w:r>
      <w:r>
        <w:rPr>
          <w:rFonts w:ascii="Calibri"/>
          <w:b/>
          <w:i/>
          <w:spacing w:val="-28"/>
          <w:sz w:val="20"/>
        </w:rPr>
        <w:t> </w:t>
      </w:r>
      <w:r>
        <w:rPr>
          <w:rFonts w:ascii="Calibri"/>
          <w:b/>
          <w:i/>
          <w:sz w:val="20"/>
        </w:rPr>
        <w:t>NAf)</w:t>
      </w:r>
      <w:r>
        <w:rPr>
          <w:rFonts w:ascii="Calibri"/>
          <w:b/>
          <w:i/>
          <w:position w:val="5"/>
          <w:sz w:val="12"/>
        </w:rPr>
        <w:t>35</w:t>
      </w:r>
      <w:r>
        <w:rPr>
          <w:rFonts w:ascii="Calibri"/>
          <w:sz w:val="12"/>
        </w:rPr>
      </w:r>
    </w:p>
    <w:tbl>
      <w:tblPr>
        <w:tblW w:w="0" w:type="auto"/>
        <w:jc w:val="left"/>
        <w:tblInd w:w="1490" w:type="dxa"/>
        <w:tblLayout w:type="fixed"/>
        <w:tblCellMar>
          <w:top w:w="0" w:type="dxa"/>
          <w:left w:w="0" w:type="dxa"/>
          <w:bottom w:w="0" w:type="dxa"/>
          <w:right w:w="0" w:type="dxa"/>
        </w:tblCellMar>
        <w:tblLook w:val="01E0"/>
      </w:tblPr>
      <w:tblGrid>
        <w:gridCol w:w="3558"/>
        <w:gridCol w:w="1822"/>
        <w:gridCol w:w="1289"/>
        <w:gridCol w:w="1288"/>
        <w:gridCol w:w="1290"/>
      </w:tblGrid>
      <w:tr>
        <w:trPr>
          <w:trHeight w:val="254" w:hRule="exact"/>
        </w:trPr>
        <w:tc>
          <w:tcPr>
            <w:tcW w:w="3558" w:type="dxa"/>
            <w:tcBorders>
              <w:top w:val="single" w:sz="4" w:space="0" w:color="000000"/>
              <w:left w:val="nil" w:sz="6" w:space="0" w:color="auto"/>
              <w:bottom w:val="single" w:sz="4" w:space="0" w:color="000000"/>
              <w:right w:val="nil" w:sz="6" w:space="0" w:color="auto"/>
            </w:tcBorders>
          </w:tcPr>
          <w:p>
            <w:pPr/>
          </w:p>
        </w:tc>
        <w:tc>
          <w:tcPr>
            <w:tcW w:w="1822" w:type="dxa"/>
            <w:tcBorders>
              <w:top w:val="single" w:sz="4" w:space="0" w:color="000000"/>
              <w:left w:val="nil" w:sz="6" w:space="0" w:color="auto"/>
              <w:bottom w:val="single" w:sz="4" w:space="0" w:color="000000"/>
              <w:right w:val="nil" w:sz="6" w:space="0" w:color="auto"/>
            </w:tcBorders>
          </w:tcPr>
          <w:p>
            <w:pPr>
              <w:pStyle w:val="TableParagraph"/>
              <w:spacing w:line="243" w:lineRule="exact"/>
              <w:ind w:right="440"/>
              <w:jc w:val="right"/>
              <w:rPr>
                <w:rFonts w:ascii="Calibri" w:hAnsi="Calibri" w:cs="Calibri" w:eastAsia="Calibri" w:hint="default"/>
                <w:sz w:val="20"/>
                <w:szCs w:val="20"/>
              </w:rPr>
            </w:pPr>
            <w:r>
              <w:rPr>
                <w:rFonts w:ascii="Calibri"/>
                <w:b/>
                <w:spacing w:val="-1"/>
                <w:w w:val="95"/>
                <w:sz w:val="20"/>
              </w:rPr>
              <w:t>2010</w:t>
            </w:r>
            <w:r>
              <w:rPr>
                <w:rFonts w:ascii="Calibri"/>
                <w:sz w:val="20"/>
              </w:rPr>
            </w:r>
          </w:p>
        </w:tc>
        <w:tc>
          <w:tcPr>
            <w:tcW w:w="1289" w:type="dxa"/>
            <w:tcBorders>
              <w:top w:val="single" w:sz="4" w:space="0" w:color="000000"/>
              <w:left w:val="nil" w:sz="6" w:space="0" w:color="auto"/>
              <w:bottom w:val="single" w:sz="4" w:space="0" w:color="000000"/>
              <w:right w:val="nil" w:sz="6" w:space="0" w:color="auto"/>
            </w:tcBorders>
          </w:tcPr>
          <w:p>
            <w:pPr>
              <w:pStyle w:val="TableParagraph"/>
              <w:spacing w:line="243" w:lineRule="exact"/>
              <w:ind w:left="443" w:right="0"/>
              <w:jc w:val="left"/>
              <w:rPr>
                <w:rFonts w:ascii="Calibri" w:hAnsi="Calibri" w:cs="Calibri" w:eastAsia="Calibri" w:hint="default"/>
                <w:sz w:val="20"/>
                <w:szCs w:val="20"/>
              </w:rPr>
            </w:pPr>
            <w:r>
              <w:rPr>
                <w:rFonts w:ascii="Calibri"/>
                <w:b/>
                <w:sz w:val="20"/>
              </w:rPr>
              <w:t>2011</w:t>
            </w:r>
            <w:r>
              <w:rPr>
                <w:rFonts w:ascii="Calibri"/>
                <w:sz w:val="20"/>
              </w:rPr>
            </w:r>
          </w:p>
        </w:tc>
        <w:tc>
          <w:tcPr>
            <w:tcW w:w="1288" w:type="dxa"/>
            <w:tcBorders>
              <w:top w:val="single" w:sz="4" w:space="0" w:color="000000"/>
              <w:left w:val="nil" w:sz="6" w:space="0" w:color="auto"/>
              <w:bottom w:val="single" w:sz="4" w:space="0" w:color="000000"/>
              <w:right w:val="nil" w:sz="6" w:space="0" w:color="auto"/>
            </w:tcBorders>
          </w:tcPr>
          <w:p>
            <w:pPr>
              <w:pStyle w:val="TableParagraph"/>
              <w:spacing w:line="243" w:lineRule="exact"/>
              <w:ind w:left="2" w:right="0"/>
              <w:jc w:val="center"/>
              <w:rPr>
                <w:rFonts w:ascii="Calibri" w:hAnsi="Calibri" w:cs="Calibri" w:eastAsia="Calibri" w:hint="default"/>
                <w:sz w:val="20"/>
                <w:szCs w:val="20"/>
              </w:rPr>
            </w:pPr>
            <w:r>
              <w:rPr>
                <w:rFonts w:ascii="Calibri"/>
                <w:b/>
                <w:sz w:val="20"/>
              </w:rPr>
              <w:t>2012</w:t>
            </w:r>
            <w:r>
              <w:rPr>
                <w:rFonts w:ascii="Calibri"/>
                <w:sz w:val="20"/>
              </w:rPr>
            </w:r>
          </w:p>
        </w:tc>
        <w:tc>
          <w:tcPr>
            <w:tcW w:w="1290" w:type="dxa"/>
            <w:tcBorders>
              <w:top w:val="single" w:sz="4" w:space="0" w:color="000000"/>
              <w:left w:val="nil" w:sz="6" w:space="0" w:color="auto"/>
              <w:bottom w:val="single" w:sz="4" w:space="0" w:color="000000"/>
              <w:right w:val="nil" w:sz="6" w:space="0" w:color="auto"/>
            </w:tcBorders>
          </w:tcPr>
          <w:p>
            <w:pPr>
              <w:pStyle w:val="TableParagraph"/>
              <w:spacing w:line="243" w:lineRule="exact"/>
              <w:ind w:right="443"/>
              <w:jc w:val="right"/>
              <w:rPr>
                <w:rFonts w:ascii="Calibri" w:hAnsi="Calibri" w:cs="Calibri" w:eastAsia="Calibri" w:hint="default"/>
                <w:sz w:val="20"/>
                <w:szCs w:val="20"/>
              </w:rPr>
            </w:pPr>
            <w:r>
              <w:rPr>
                <w:rFonts w:ascii="Calibri"/>
                <w:b/>
                <w:spacing w:val="-1"/>
                <w:w w:val="95"/>
                <w:sz w:val="20"/>
              </w:rPr>
              <w:t>2013</w:t>
            </w:r>
            <w:r>
              <w:rPr>
                <w:rFonts w:ascii="Calibri"/>
                <w:sz w:val="20"/>
              </w:rPr>
            </w:r>
          </w:p>
        </w:tc>
      </w:tr>
      <w:tr>
        <w:trPr>
          <w:trHeight w:val="267" w:hRule="exact"/>
        </w:trPr>
        <w:tc>
          <w:tcPr>
            <w:tcW w:w="3558" w:type="dxa"/>
            <w:tcBorders>
              <w:top w:val="single" w:sz="4" w:space="0" w:color="000000"/>
              <w:left w:val="nil" w:sz="6" w:space="0" w:color="auto"/>
              <w:bottom w:val="nil" w:sz="6" w:space="0" w:color="auto"/>
              <w:right w:val="nil" w:sz="6" w:space="0" w:color="auto"/>
            </w:tcBorders>
          </w:tcPr>
          <w:p>
            <w:pPr>
              <w:pStyle w:val="TableParagraph"/>
              <w:spacing w:line="243" w:lineRule="exact"/>
              <w:ind w:left="122" w:right="0"/>
              <w:jc w:val="left"/>
              <w:rPr>
                <w:rFonts w:ascii="Calibri" w:hAnsi="Calibri" w:cs="Calibri" w:eastAsia="Calibri" w:hint="default"/>
                <w:sz w:val="20"/>
                <w:szCs w:val="20"/>
              </w:rPr>
            </w:pPr>
            <w:r>
              <w:rPr>
                <w:rFonts w:ascii="Calibri"/>
                <w:sz w:val="20"/>
              </w:rPr>
              <w:t>Taxes on</w:t>
            </w:r>
            <w:r>
              <w:rPr>
                <w:rFonts w:ascii="Calibri"/>
                <w:spacing w:val="-9"/>
                <w:sz w:val="20"/>
              </w:rPr>
              <w:t> </w:t>
            </w:r>
            <w:r>
              <w:rPr>
                <w:rFonts w:ascii="Calibri"/>
                <w:sz w:val="20"/>
              </w:rPr>
              <w:t>Income</w:t>
            </w:r>
          </w:p>
        </w:tc>
        <w:tc>
          <w:tcPr>
            <w:tcW w:w="1822" w:type="dxa"/>
            <w:tcBorders>
              <w:top w:val="single" w:sz="4" w:space="0" w:color="000000"/>
              <w:left w:val="nil" w:sz="6" w:space="0" w:color="auto"/>
              <w:bottom w:val="nil" w:sz="6" w:space="0" w:color="auto"/>
              <w:right w:val="nil" w:sz="6" w:space="0" w:color="auto"/>
            </w:tcBorders>
          </w:tcPr>
          <w:p>
            <w:pPr>
              <w:pStyle w:val="TableParagraph"/>
              <w:spacing w:line="243" w:lineRule="exact"/>
              <w:ind w:right="415"/>
              <w:jc w:val="right"/>
              <w:rPr>
                <w:rFonts w:ascii="Calibri" w:hAnsi="Calibri" w:cs="Calibri" w:eastAsia="Calibri" w:hint="default"/>
                <w:sz w:val="20"/>
                <w:szCs w:val="20"/>
              </w:rPr>
            </w:pPr>
            <w:r>
              <w:rPr>
                <w:rFonts w:ascii="Calibri"/>
                <w:w w:val="95"/>
                <w:sz w:val="20"/>
              </w:rPr>
              <w:t>739.3</w:t>
            </w:r>
            <w:r>
              <w:rPr>
                <w:rFonts w:ascii="Calibri"/>
                <w:sz w:val="20"/>
              </w:rPr>
            </w:r>
          </w:p>
        </w:tc>
        <w:tc>
          <w:tcPr>
            <w:tcW w:w="1289" w:type="dxa"/>
            <w:tcBorders>
              <w:top w:val="single" w:sz="4" w:space="0" w:color="000000"/>
              <w:left w:val="nil" w:sz="6" w:space="0" w:color="auto"/>
              <w:bottom w:val="nil" w:sz="6" w:space="0" w:color="auto"/>
              <w:right w:val="nil" w:sz="6" w:space="0" w:color="auto"/>
            </w:tcBorders>
          </w:tcPr>
          <w:p>
            <w:pPr>
              <w:pStyle w:val="TableParagraph"/>
              <w:spacing w:line="243" w:lineRule="exact"/>
              <w:ind w:left="417" w:right="0"/>
              <w:jc w:val="left"/>
              <w:rPr>
                <w:rFonts w:ascii="Calibri" w:hAnsi="Calibri" w:cs="Calibri" w:eastAsia="Calibri" w:hint="default"/>
                <w:sz w:val="20"/>
                <w:szCs w:val="20"/>
              </w:rPr>
            </w:pPr>
            <w:r>
              <w:rPr>
                <w:rFonts w:ascii="Calibri"/>
                <w:sz w:val="20"/>
              </w:rPr>
              <w:t>701.3</w:t>
            </w:r>
          </w:p>
        </w:tc>
        <w:tc>
          <w:tcPr>
            <w:tcW w:w="1288" w:type="dxa"/>
            <w:tcBorders>
              <w:top w:val="single" w:sz="4" w:space="0" w:color="000000"/>
              <w:left w:val="nil" w:sz="6" w:space="0" w:color="auto"/>
              <w:bottom w:val="nil" w:sz="6" w:space="0" w:color="auto"/>
              <w:right w:val="nil" w:sz="6" w:space="0" w:color="auto"/>
            </w:tcBorders>
          </w:tcPr>
          <w:p>
            <w:pPr>
              <w:pStyle w:val="TableParagraph"/>
              <w:spacing w:line="243" w:lineRule="exact"/>
              <w:ind w:right="0"/>
              <w:jc w:val="center"/>
              <w:rPr>
                <w:rFonts w:ascii="Calibri" w:hAnsi="Calibri" w:cs="Calibri" w:eastAsia="Calibri" w:hint="default"/>
                <w:sz w:val="20"/>
                <w:szCs w:val="20"/>
              </w:rPr>
            </w:pPr>
            <w:r>
              <w:rPr>
                <w:rFonts w:ascii="Calibri"/>
                <w:sz w:val="20"/>
              </w:rPr>
              <w:t>712.8</w:t>
            </w:r>
          </w:p>
        </w:tc>
        <w:tc>
          <w:tcPr>
            <w:tcW w:w="1290" w:type="dxa"/>
            <w:tcBorders>
              <w:top w:val="single" w:sz="4" w:space="0" w:color="000000"/>
              <w:left w:val="nil" w:sz="6" w:space="0" w:color="auto"/>
              <w:bottom w:val="nil" w:sz="6" w:space="0" w:color="auto"/>
              <w:right w:val="nil" w:sz="6" w:space="0" w:color="auto"/>
            </w:tcBorders>
          </w:tcPr>
          <w:p>
            <w:pPr>
              <w:pStyle w:val="TableParagraph"/>
              <w:spacing w:line="243" w:lineRule="exact"/>
              <w:ind w:right="417"/>
              <w:jc w:val="right"/>
              <w:rPr>
                <w:rFonts w:ascii="Calibri" w:hAnsi="Calibri" w:cs="Calibri" w:eastAsia="Calibri" w:hint="default"/>
                <w:sz w:val="20"/>
                <w:szCs w:val="20"/>
              </w:rPr>
            </w:pPr>
            <w:r>
              <w:rPr>
                <w:rFonts w:ascii="Calibri"/>
                <w:w w:val="95"/>
                <w:sz w:val="20"/>
              </w:rPr>
              <w:t>673.6</w:t>
            </w:r>
            <w:r>
              <w:rPr>
                <w:rFonts w:ascii="Calibri"/>
                <w:sz w:val="20"/>
              </w:rPr>
            </w:r>
          </w:p>
        </w:tc>
      </w:tr>
      <w:tr>
        <w:trPr>
          <w:trHeight w:val="245" w:hRule="exact"/>
        </w:trPr>
        <w:tc>
          <w:tcPr>
            <w:tcW w:w="3558" w:type="dxa"/>
            <w:tcBorders>
              <w:top w:val="nil" w:sz="6" w:space="0" w:color="auto"/>
              <w:left w:val="nil" w:sz="6" w:space="0" w:color="auto"/>
              <w:bottom w:val="nil" w:sz="6" w:space="0" w:color="auto"/>
              <w:right w:val="nil" w:sz="6" w:space="0" w:color="auto"/>
            </w:tcBorders>
          </w:tcPr>
          <w:p>
            <w:pPr>
              <w:pStyle w:val="TableParagraph"/>
              <w:spacing w:line="226" w:lineRule="exact"/>
              <w:ind w:left="350" w:right="0"/>
              <w:jc w:val="left"/>
              <w:rPr>
                <w:rFonts w:ascii="Calibri" w:hAnsi="Calibri" w:cs="Calibri" w:eastAsia="Calibri" w:hint="default"/>
                <w:sz w:val="20"/>
                <w:szCs w:val="20"/>
              </w:rPr>
            </w:pPr>
            <w:r>
              <w:rPr>
                <w:rFonts w:ascii="Calibri"/>
                <w:sz w:val="20"/>
              </w:rPr>
              <w:t>Wage</w:t>
            </w:r>
            <w:r>
              <w:rPr>
                <w:rFonts w:ascii="Calibri"/>
                <w:spacing w:val="-8"/>
                <w:sz w:val="20"/>
              </w:rPr>
              <w:t> </w:t>
            </w:r>
            <w:r>
              <w:rPr>
                <w:rFonts w:ascii="Calibri"/>
                <w:sz w:val="20"/>
              </w:rPr>
              <w:t>Tax</w:t>
            </w:r>
          </w:p>
        </w:tc>
        <w:tc>
          <w:tcPr>
            <w:tcW w:w="1822" w:type="dxa"/>
            <w:tcBorders>
              <w:top w:val="nil" w:sz="6" w:space="0" w:color="auto"/>
              <w:left w:val="nil" w:sz="6" w:space="0" w:color="auto"/>
              <w:bottom w:val="nil" w:sz="6" w:space="0" w:color="auto"/>
              <w:right w:val="nil" w:sz="6" w:space="0" w:color="auto"/>
            </w:tcBorders>
          </w:tcPr>
          <w:p>
            <w:pPr>
              <w:pStyle w:val="TableParagraph"/>
              <w:spacing w:line="226" w:lineRule="exact"/>
              <w:ind w:right="490"/>
              <w:jc w:val="right"/>
              <w:rPr>
                <w:rFonts w:ascii="Calibri" w:hAnsi="Calibri" w:cs="Calibri" w:eastAsia="Calibri" w:hint="default"/>
                <w:sz w:val="20"/>
                <w:szCs w:val="20"/>
              </w:rPr>
            </w:pPr>
            <w:r>
              <w:rPr>
                <w:rFonts w:ascii="Calibri"/>
                <w:spacing w:val="-1"/>
                <w:w w:val="95"/>
                <w:sz w:val="20"/>
              </w:rPr>
              <w:t>500</w:t>
            </w:r>
            <w:r>
              <w:rPr>
                <w:rFonts w:ascii="Calibri"/>
                <w:sz w:val="20"/>
              </w:rPr>
            </w:r>
          </w:p>
        </w:tc>
        <w:tc>
          <w:tcPr>
            <w:tcW w:w="1289" w:type="dxa"/>
            <w:tcBorders>
              <w:top w:val="nil" w:sz="6" w:space="0" w:color="auto"/>
              <w:left w:val="nil" w:sz="6" w:space="0" w:color="auto"/>
              <w:bottom w:val="nil" w:sz="6" w:space="0" w:color="auto"/>
              <w:right w:val="nil" w:sz="6" w:space="0" w:color="auto"/>
            </w:tcBorders>
          </w:tcPr>
          <w:p>
            <w:pPr>
              <w:pStyle w:val="TableParagraph"/>
              <w:spacing w:line="226" w:lineRule="exact"/>
              <w:ind w:left="417" w:right="0"/>
              <w:jc w:val="left"/>
              <w:rPr>
                <w:rFonts w:ascii="Calibri" w:hAnsi="Calibri" w:cs="Calibri" w:eastAsia="Calibri" w:hint="default"/>
                <w:sz w:val="20"/>
                <w:szCs w:val="20"/>
              </w:rPr>
            </w:pPr>
            <w:r>
              <w:rPr>
                <w:rFonts w:ascii="Calibri"/>
                <w:sz w:val="20"/>
              </w:rPr>
              <w:t>504.4</w:t>
            </w:r>
          </w:p>
        </w:tc>
        <w:tc>
          <w:tcPr>
            <w:tcW w:w="1288" w:type="dxa"/>
            <w:tcBorders>
              <w:top w:val="nil" w:sz="6" w:space="0" w:color="auto"/>
              <w:left w:val="nil" w:sz="6" w:space="0" w:color="auto"/>
              <w:bottom w:val="nil" w:sz="6" w:space="0" w:color="auto"/>
              <w:right w:val="nil" w:sz="6" w:space="0" w:color="auto"/>
            </w:tcBorders>
          </w:tcPr>
          <w:p>
            <w:pPr>
              <w:pStyle w:val="TableParagraph"/>
              <w:spacing w:line="226" w:lineRule="exact"/>
              <w:ind w:right="0"/>
              <w:jc w:val="center"/>
              <w:rPr>
                <w:rFonts w:ascii="Calibri" w:hAnsi="Calibri" w:cs="Calibri" w:eastAsia="Calibri" w:hint="default"/>
                <w:sz w:val="20"/>
                <w:szCs w:val="20"/>
              </w:rPr>
            </w:pPr>
            <w:r>
              <w:rPr>
                <w:rFonts w:ascii="Calibri"/>
                <w:sz w:val="20"/>
              </w:rPr>
              <w:t>499.8</w:t>
            </w:r>
          </w:p>
        </w:tc>
        <w:tc>
          <w:tcPr>
            <w:tcW w:w="1290" w:type="dxa"/>
            <w:tcBorders>
              <w:top w:val="nil" w:sz="6" w:space="0" w:color="auto"/>
              <w:left w:val="nil" w:sz="6" w:space="0" w:color="auto"/>
              <w:bottom w:val="nil" w:sz="6" w:space="0" w:color="auto"/>
              <w:right w:val="nil" w:sz="6" w:space="0" w:color="auto"/>
            </w:tcBorders>
          </w:tcPr>
          <w:p>
            <w:pPr>
              <w:pStyle w:val="TableParagraph"/>
              <w:spacing w:line="226" w:lineRule="exact"/>
              <w:ind w:right="417"/>
              <w:jc w:val="right"/>
              <w:rPr>
                <w:rFonts w:ascii="Calibri" w:hAnsi="Calibri" w:cs="Calibri" w:eastAsia="Calibri" w:hint="default"/>
                <w:sz w:val="20"/>
                <w:szCs w:val="20"/>
              </w:rPr>
            </w:pPr>
            <w:r>
              <w:rPr>
                <w:rFonts w:ascii="Calibri"/>
                <w:w w:val="95"/>
                <w:sz w:val="20"/>
              </w:rPr>
              <w:t>494.9</w:t>
            </w:r>
            <w:r>
              <w:rPr>
                <w:rFonts w:ascii="Calibri"/>
                <w:sz w:val="20"/>
              </w:rPr>
            </w:r>
          </w:p>
        </w:tc>
      </w:tr>
      <w:tr>
        <w:trPr>
          <w:trHeight w:val="245" w:hRule="exact"/>
        </w:trPr>
        <w:tc>
          <w:tcPr>
            <w:tcW w:w="3558" w:type="dxa"/>
            <w:tcBorders>
              <w:top w:val="nil" w:sz="6" w:space="0" w:color="auto"/>
              <w:left w:val="nil" w:sz="6" w:space="0" w:color="auto"/>
              <w:bottom w:val="nil" w:sz="6" w:space="0" w:color="auto"/>
              <w:right w:val="nil" w:sz="6" w:space="0" w:color="auto"/>
            </w:tcBorders>
          </w:tcPr>
          <w:p>
            <w:pPr>
              <w:pStyle w:val="TableParagraph"/>
              <w:spacing w:line="226" w:lineRule="exact"/>
              <w:ind w:left="350" w:right="0"/>
              <w:jc w:val="left"/>
              <w:rPr>
                <w:rFonts w:ascii="Calibri" w:hAnsi="Calibri" w:cs="Calibri" w:eastAsia="Calibri" w:hint="default"/>
                <w:sz w:val="20"/>
                <w:szCs w:val="20"/>
              </w:rPr>
            </w:pPr>
            <w:r>
              <w:rPr>
                <w:rFonts w:ascii="Calibri"/>
                <w:sz w:val="20"/>
              </w:rPr>
              <w:t>Income</w:t>
            </w:r>
            <w:r>
              <w:rPr>
                <w:rFonts w:ascii="Calibri"/>
                <w:spacing w:val="-9"/>
                <w:sz w:val="20"/>
              </w:rPr>
              <w:t> </w:t>
            </w:r>
            <w:r>
              <w:rPr>
                <w:rFonts w:ascii="Calibri"/>
                <w:sz w:val="20"/>
              </w:rPr>
              <w:t>Tax</w:t>
            </w:r>
          </w:p>
        </w:tc>
        <w:tc>
          <w:tcPr>
            <w:tcW w:w="1822" w:type="dxa"/>
            <w:tcBorders>
              <w:top w:val="nil" w:sz="6" w:space="0" w:color="auto"/>
              <w:left w:val="nil" w:sz="6" w:space="0" w:color="auto"/>
              <w:bottom w:val="nil" w:sz="6" w:space="0" w:color="auto"/>
              <w:right w:val="nil" w:sz="6" w:space="0" w:color="auto"/>
            </w:tcBorders>
          </w:tcPr>
          <w:p>
            <w:pPr>
              <w:pStyle w:val="TableParagraph"/>
              <w:spacing w:line="226" w:lineRule="exact"/>
              <w:ind w:right="516"/>
              <w:jc w:val="right"/>
              <w:rPr>
                <w:rFonts w:ascii="Calibri" w:hAnsi="Calibri" w:cs="Calibri" w:eastAsia="Calibri" w:hint="default"/>
                <w:sz w:val="20"/>
                <w:szCs w:val="20"/>
              </w:rPr>
            </w:pPr>
            <w:r>
              <w:rPr>
                <w:rFonts w:ascii="Calibri"/>
                <w:w w:val="95"/>
                <w:sz w:val="20"/>
              </w:rPr>
              <w:t>1.1</w:t>
            </w:r>
            <w:r>
              <w:rPr>
                <w:rFonts w:ascii="Calibri"/>
                <w:sz w:val="20"/>
              </w:rPr>
            </w:r>
          </w:p>
        </w:tc>
        <w:tc>
          <w:tcPr>
            <w:tcW w:w="1289" w:type="dxa"/>
            <w:tcBorders>
              <w:top w:val="nil" w:sz="6" w:space="0" w:color="auto"/>
              <w:left w:val="nil" w:sz="6" w:space="0" w:color="auto"/>
              <w:bottom w:val="nil" w:sz="6" w:space="0" w:color="auto"/>
              <w:right w:val="nil" w:sz="6" w:space="0" w:color="auto"/>
            </w:tcBorders>
          </w:tcPr>
          <w:p>
            <w:pPr>
              <w:pStyle w:val="TableParagraph"/>
              <w:spacing w:line="226" w:lineRule="exact"/>
              <w:ind w:left="489" w:right="0"/>
              <w:jc w:val="left"/>
              <w:rPr>
                <w:rFonts w:ascii="Calibri" w:hAnsi="Calibri" w:cs="Calibri" w:eastAsia="Calibri" w:hint="default"/>
                <w:sz w:val="20"/>
                <w:szCs w:val="20"/>
              </w:rPr>
            </w:pPr>
            <w:r>
              <w:rPr>
                <w:rFonts w:ascii="Calibri"/>
                <w:sz w:val="20"/>
              </w:rPr>
              <w:t>-1.6</w:t>
            </w:r>
          </w:p>
        </w:tc>
        <w:tc>
          <w:tcPr>
            <w:tcW w:w="1288" w:type="dxa"/>
            <w:tcBorders>
              <w:top w:val="nil" w:sz="6" w:space="0" w:color="auto"/>
              <w:left w:val="nil" w:sz="6" w:space="0" w:color="auto"/>
              <w:bottom w:val="nil" w:sz="6" w:space="0" w:color="auto"/>
              <w:right w:val="nil" w:sz="6" w:space="0" w:color="auto"/>
            </w:tcBorders>
          </w:tcPr>
          <w:p>
            <w:pPr>
              <w:pStyle w:val="TableParagraph"/>
              <w:spacing w:line="226" w:lineRule="exact"/>
              <w:ind w:right="0"/>
              <w:jc w:val="center"/>
              <w:rPr>
                <w:rFonts w:ascii="Calibri" w:hAnsi="Calibri" w:cs="Calibri" w:eastAsia="Calibri" w:hint="default"/>
                <w:sz w:val="20"/>
                <w:szCs w:val="20"/>
              </w:rPr>
            </w:pPr>
            <w:r>
              <w:rPr>
                <w:rFonts w:ascii="Calibri"/>
                <w:sz w:val="20"/>
              </w:rPr>
              <w:t>10.2</w:t>
            </w:r>
          </w:p>
        </w:tc>
        <w:tc>
          <w:tcPr>
            <w:tcW w:w="1290" w:type="dxa"/>
            <w:tcBorders>
              <w:top w:val="nil" w:sz="6" w:space="0" w:color="auto"/>
              <w:left w:val="nil" w:sz="6" w:space="0" w:color="auto"/>
              <w:bottom w:val="nil" w:sz="6" w:space="0" w:color="auto"/>
              <w:right w:val="nil" w:sz="6" w:space="0" w:color="auto"/>
            </w:tcBorders>
          </w:tcPr>
          <w:p>
            <w:pPr>
              <w:pStyle w:val="TableParagraph"/>
              <w:spacing w:line="226" w:lineRule="exact"/>
              <w:ind w:right="518"/>
              <w:jc w:val="right"/>
              <w:rPr>
                <w:rFonts w:ascii="Calibri" w:hAnsi="Calibri" w:cs="Calibri" w:eastAsia="Calibri" w:hint="default"/>
                <w:sz w:val="20"/>
                <w:szCs w:val="20"/>
              </w:rPr>
            </w:pPr>
            <w:r>
              <w:rPr>
                <w:rFonts w:ascii="Calibri"/>
                <w:w w:val="95"/>
                <w:sz w:val="20"/>
              </w:rPr>
              <w:t>5.1</w:t>
            </w:r>
            <w:r>
              <w:rPr>
                <w:rFonts w:ascii="Calibri"/>
                <w:sz w:val="20"/>
              </w:rPr>
            </w:r>
          </w:p>
        </w:tc>
      </w:tr>
      <w:tr>
        <w:trPr>
          <w:trHeight w:val="244" w:hRule="exact"/>
        </w:trPr>
        <w:tc>
          <w:tcPr>
            <w:tcW w:w="3558" w:type="dxa"/>
            <w:tcBorders>
              <w:top w:val="nil" w:sz="6" w:space="0" w:color="auto"/>
              <w:left w:val="nil" w:sz="6" w:space="0" w:color="auto"/>
              <w:bottom w:val="nil" w:sz="6" w:space="0" w:color="auto"/>
              <w:right w:val="nil" w:sz="6" w:space="0" w:color="auto"/>
            </w:tcBorders>
          </w:tcPr>
          <w:p>
            <w:pPr>
              <w:pStyle w:val="TableParagraph"/>
              <w:spacing w:line="226" w:lineRule="exact"/>
              <w:ind w:left="350" w:right="0"/>
              <w:jc w:val="left"/>
              <w:rPr>
                <w:rFonts w:ascii="Calibri" w:hAnsi="Calibri" w:cs="Calibri" w:eastAsia="Calibri" w:hint="default"/>
                <w:sz w:val="20"/>
                <w:szCs w:val="20"/>
              </w:rPr>
            </w:pPr>
            <w:r>
              <w:rPr>
                <w:rFonts w:ascii="Calibri"/>
                <w:sz w:val="20"/>
              </w:rPr>
              <w:t>Profit</w:t>
            </w:r>
            <w:r>
              <w:rPr>
                <w:rFonts w:ascii="Calibri"/>
                <w:spacing w:val="-6"/>
                <w:sz w:val="20"/>
              </w:rPr>
              <w:t> </w:t>
            </w:r>
            <w:r>
              <w:rPr>
                <w:rFonts w:ascii="Calibri"/>
                <w:sz w:val="20"/>
              </w:rPr>
              <w:t>Tax</w:t>
            </w:r>
          </w:p>
        </w:tc>
        <w:tc>
          <w:tcPr>
            <w:tcW w:w="1822" w:type="dxa"/>
            <w:tcBorders>
              <w:top w:val="nil" w:sz="6" w:space="0" w:color="auto"/>
              <w:left w:val="nil" w:sz="6" w:space="0" w:color="auto"/>
              <w:bottom w:val="nil" w:sz="6" w:space="0" w:color="auto"/>
              <w:right w:val="nil" w:sz="6" w:space="0" w:color="auto"/>
            </w:tcBorders>
          </w:tcPr>
          <w:p>
            <w:pPr>
              <w:pStyle w:val="TableParagraph"/>
              <w:spacing w:line="226" w:lineRule="exact"/>
              <w:ind w:right="415"/>
              <w:jc w:val="right"/>
              <w:rPr>
                <w:rFonts w:ascii="Calibri" w:hAnsi="Calibri" w:cs="Calibri" w:eastAsia="Calibri" w:hint="default"/>
                <w:sz w:val="20"/>
                <w:szCs w:val="20"/>
              </w:rPr>
            </w:pPr>
            <w:r>
              <w:rPr>
                <w:rFonts w:ascii="Calibri"/>
                <w:w w:val="95"/>
                <w:sz w:val="20"/>
              </w:rPr>
              <w:t>238.3</w:t>
            </w:r>
            <w:r>
              <w:rPr>
                <w:rFonts w:ascii="Calibri"/>
                <w:sz w:val="20"/>
              </w:rPr>
            </w:r>
          </w:p>
        </w:tc>
        <w:tc>
          <w:tcPr>
            <w:tcW w:w="1289" w:type="dxa"/>
            <w:tcBorders>
              <w:top w:val="nil" w:sz="6" w:space="0" w:color="auto"/>
              <w:left w:val="nil" w:sz="6" w:space="0" w:color="auto"/>
              <w:bottom w:val="nil" w:sz="6" w:space="0" w:color="auto"/>
              <w:right w:val="nil" w:sz="6" w:space="0" w:color="auto"/>
            </w:tcBorders>
          </w:tcPr>
          <w:p>
            <w:pPr>
              <w:pStyle w:val="TableParagraph"/>
              <w:spacing w:line="226" w:lineRule="exact"/>
              <w:ind w:left="417" w:right="0"/>
              <w:jc w:val="left"/>
              <w:rPr>
                <w:rFonts w:ascii="Calibri" w:hAnsi="Calibri" w:cs="Calibri" w:eastAsia="Calibri" w:hint="default"/>
                <w:sz w:val="20"/>
                <w:szCs w:val="20"/>
              </w:rPr>
            </w:pPr>
            <w:r>
              <w:rPr>
                <w:rFonts w:ascii="Calibri"/>
                <w:sz w:val="20"/>
              </w:rPr>
              <w:t>198.5</w:t>
            </w:r>
          </w:p>
        </w:tc>
        <w:tc>
          <w:tcPr>
            <w:tcW w:w="1288" w:type="dxa"/>
            <w:tcBorders>
              <w:top w:val="nil" w:sz="6" w:space="0" w:color="auto"/>
              <w:left w:val="nil" w:sz="6" w:space="0" w:color="auto"/>
              <w:bottom w:val="nil" w:sz="6" w:space="0" w:color="auto"/>
              <w:right w:val="nil" w:sz="6" w:space="0" w:color="auto"/>
            </w:tcBorders>
          </w:tcPr>
          <w:p>
            <w:pPr>
              <w:pStyle w:val="TableParagraph"/>
              <w:spacing w:line="226" w:lineRule="exact"/>
              <w:ind w:right="0"/>
              <w:jc w:val="center"/>
              <w:rPr>
                <w:rFonts w:ascii="Calibri" w:hAnsi="Calibri" w:cs="Calibri" w:eastAsia="Calibri" w:hint="default"/>
                <w:sz w:val="20"/>
                <w:szCs w:val="20"/>
              </w:rPr>
            </w:pPr>
            <w:r>
              <w:rPr>
                <w:rFonts w:ascii="Calibri"/>
                <w:sz w:val="20"/>
              </w:rPr>
              <w:t>202.8</w:t>
            </w:r>
          </w:p>
        </w:tc>
        <w:tc>
          <w:tcPr>
            <w:tcW w:w="1290" w:type="dxa"/>
            <w:tcBorders>
              <w:top w:val="nil" w:sz="6" w:space="0" w:color="auto"/>
              <w:left w:val="nil" w:sz="6" w:space="0" w:color="auto"/>
              <w:bottom w:val="nil" w:sz="6" w:space="0" w:color="auto"/>
              <w:right w:val="nil" w:sz="6" w:space="0" w:color="auto"/>
            </w:tcBorders>
          </w:tcPr>
          <w:p>
            <w:pPr>
              <w:pStyle w:val="TableParagraph"/>
              <w:spacing w:line="226" w:lineRule="exact"/>
              <w:ind w:right="417"/>
              <w:jc w:val="right"/>
              <w:rPr>
                <w:rFonts w:ascii="Calibri" w:hAnsi="Calibri" w:cs="Calibri" w:eastAsia="Calibri" w:hint="default"/>
                <w:sz w:val="20"/>
                <w:szCs w:val="20"/>
              </w:rPr>
            </w:pPr>
            <w:r>
              <w:rPr>
                <w:rFonts w:ascii="Calibri"/>
                <w:w w:val="95"/>
                <w:sz w:val="20"/>
              </w:rPr>
              <w:t>173.6</w:t>
            </w:r>
            <w:r>
              <w:rPr>
                <w:rFonts w:ascii="Calibri"/>
                <w:sz w:val="20"/>
              </w:rPr>
            </w:r>
          </w:p>
        </w:tc>
      </w:tr>
      <w:tr>
        <w:trPr>
          <w:trHeight w:val="244" w:hRule="exact"/>
        </w:trPr>
        <w:tc>
          <w:tcPr>
            <w:tcW w:w="3558" w:type="dxa"/>
            <w:tcBorders>
              <w:top w:val="nil" w:sz="6" w:space="0" w:color="auto"/>
              <w:left w:val="nil" w:sz="6" w:space="0" w:color="auto"/>
              <w:bottom w:val="nil" w:sz="6" w:space="0" w:color="auto"/>
              <w:right w:val="nil" w:sz="6" w:space="0" w:color="auto"/>
            </w:tcBorders>
          </w:tcPr>
          <w:p>
            <w:pPr>
              <w:pStyle w:val="TableParagraph"/>
              <w:spacing w:line="225" w:lineRule="exact"/>
              <w:ind w:left="122" w:right="0"/>
              <w:jc w:val="left"/>
              <w:rPr>
                <w:rFonts w:ascii="Calibri" w:hAnsi="Calibri" w:cs="Calibri" w:eastAsia="Calibri" w:hint="default"/>
                <w:sz w:val="20"/>
                <w:szCs w:val="20"/>
              </w:rPr>
            </w:pPr>
            <w:r>
              <w:rPr>
                <w:rFonts w:ascii="Calibri"/>
                <w:sz w:val="20"/>
              </w:rPr>
              <w:t>Other Current</w:t>
            </w:r>
            <w:r>
              <w:rPr>
                <w:rFonts w:ascii="Calibri"/>
                <w:spacing w:val="-12"/>
                <w:sz w:val="20"/>
              </w:rPr>
              <w:t> </w:t>
            </w:r>
            <w:r>
              <w:rPr>
                <w:rFonts w:ascii="Calibri"/>
                <w:sz w:val="20"/>
              </w:rPr>
              <w:t>Taxes</w:t>
            </w:r>
          </w:p>
        </w:tc>
        <w:tc>
          <w:tcPr>
            <w:tcW w:w="1822" w:type="dxa"/>
            <w:tcBorders>
              <w:top w:val="nil" w:sz="6" w:space="0" w:color="auto"/>
              <w:left w:val="nil" w:sz="6" w:space="0" w:color="auto"/>
              <w:bottom w:val="nil" w:sz="6" w:space="0" w:color="auto"/>
              <w:right w:val="nil" w:sz="6" w:space="0" w:color="auto"/>
            </w:tcBorders>
          </w:tcPr>
          <w:p>
            <w:pPr>
              <w:pStyle w:val="TableParagraph"/>
              <w:spacing w:line="225" w:lineRule="exact"/>
              <w:ind w:right="466"/>
              <w:jc w:val="right"/>
              <w:rPr>
                <w:rFonts w:ascii="Calibri" w:hAnsi="Calibri" w:cs="Calibri" w:eastAsia="Calibri" w:hint="default"/>
                <w:sz w:val="20"/>
                <w:szCs w:val="20"/>
              </w:rPr>
            </w:pPr>
            <w:r>
              <w:rPr>
                <w:rFonts w:ascii="Calibri"/>
                <w:w w:val="95"/>
                <w:sz w:val="20"/>
              </w:rPr>
              <w:t>29.1</w:t>
            </w:r>
            <w:r>
              <w:rPr>
                <w:rFonts w:ascii="Calibri"/>
                <w:sz w:val="20"/>
              </w:rPr>
            </w:r>
          </w:p>
        </w:tc>
        <w:tc>
          <w:tcPr>
            <w:tcW w:w="1289" w:type="dxa"/>
            <w:tcBorders>
              <w:top w:val="nil" w:sz="6" w:space="0" w:color="auto"/>
              <w:left w:val="nil" w:sz="6" w:space="0" w:color="auto"/>
              <w:bottom w:val="nil" w:sz="6" w:space="0" w:color="auto"/>
              <w:right w:val="nil" w:sz="6" w:space="0" w:color="auto"/>
            </w:tcBorders>
          </w:tcPr>
          <w:p>
            <w:pPr>
              <w:pStyle w:val="TableParagraph"/>
              <w:spacing w:line="225" w:lineRule="exact"/>
              <w:ind w:left="467" w:right="0"/>
              <w:jc w:val="left"/>
              <w:rPr>
                <w:rFonts w:ascii="Calibri" w:hAnsi="Calibri" w:cs="Calibri" w:eastAsia="Calibri" w:hint="default"/>
                <w:sz w:val="20"/>
                <w:szCs w:val="20"/>
              </w:rPr>
            </w:pPr>
            <w:r>
              <w:rPr>
                <w:rFonts w:ascii="Calibri"/>
                <w:sz w:val="20"/>
              </w:rPr>
              <w:t>31.4</w:t>
            </w:r>
          </w:p>
        </w:tc>
        <w:tc>
          <w:tcPr>
            <w:tcW w:w="1288" w:type="dxa"/>
            <w:tcBorders>
              <w:top w:val="nil" w:sz="6" w:space="0" w:color="auto"/>
              <w:left w:val="nil" w:sz="6" w:space="0" w:color="auto"/>
              <w:bottom w:val="nil" w:sz="6" w:space="0" w:color="auto"/>
              <w:right w:val="nil" w:sz="6" w:space="0" w:color="auto"/>
            </w:tcBorders>
          </w:tcPr>
          <w:p>
            <w:pPr>
              <w:pStyle w:val="TableParagraph"/>
              <w:spacing w:line="225" w:lineRule="exact"/>
              <w:ind w:left="2" w:right="0"/>
              <w:jc w:val="center"/>
              <w:rPr>
                <w:rFonts w:ascii="Calibri" w:hAnsi="Calibri" w:cs="Calibri" w:eastAsia="Calibri" w:hint="default"/>
                <w:sz w:val="20"/>
                <w:szCs w:val="20"/>
              </w:rPr>
            </w:pPr>
            <w:r>
              <w:rPr>
                <w:rFonts w:ascii="Calibri"/>
                <w:sz w:val="20"/>
              </w:rPr>
              <w:t>31</w:t>
            </w:r>
          </w:p>
        </w:tc>
        <w:tc>
          <w:tcPr>
            <w:tcW w:w="1290" w:type="dxa"/>
            <w:tcBorders>
              <w:top w:val="nil" w:sz="6" w:space="0" w:color="auto"/>
              <w:left w:val="nil" w:sz="6" w:space="0" w:color="auto"/>
              <w:bottom w:val="nil" w:sz="6" w:space="0" w:color="auto"/>
              <w:right w:val="nil" w:sz="6" w:space="0" w:color="auto"/>
            </w:tcBorders>
          </w:tcPr>
          <w:p>
            <w:pPr>
              <w:pStyle w:val="TableParagraph"/>
              <w:spacing w:line="225" w:lineRule="exact"/>
              <w:ind w:right="467"/>
              <w:jc w:val="right"/>
              <w:rPr>
                <w:rFonts w:ascii="Calibri" w:hAnsi="Calibri" w:cs="Calibri" w:eastAsia="Calibri" w:hint="default"/>
                <w:sz w:val="20"/>
                <w:szCs w:val="20"/>
              </w:rPr>
            </w:pPr>
            <w:r>
              <w:rPr>
                <w:rFonts w:ascii="Calibri"/>
                <w:w w:val="95"/>
                <w:sz w:val="20"/>
              </w:rPr>
              <w:t>29.3</w:t>
            </w:r>
            <w:r>
              <w:rPr>
                <w:rFonts w:ascii="Calibri"/>
                <w:sz w:val="20"/>
              </w:rPr>
            </w:r>
          </w:p>
        </w:tc>
      </w:tr>
      <w:tr>
        <w:trPr>
          <w:trHeight w:val="233" w:hRule="exact"/>
        </w:trPr>
        <w:tc>
          <w:tcPr>
            <w:tcW w:w="3558" w:type="dxa"/>
            <w:tcBorders>
              <w:top w:val="nil" w:sz="6" w:space="0" w:color="auto"/>
              <w:left w:val="nil" w:sz="6" w:space="0" w:color="auto"/>
              <w:bottom w:val="single" w:sz="4" w:space="0" w:color="000000"/>
              <w:right w:val="nil" w:sz="6" w:space="0" w:color="auto"/>
            </w:tcBorders>
          </w:tcPr>
          <w:p>
            <w:pPr>
              <w:pStyle w:val="TableParagraph"/>
              <w:spacing w:line="226" w:lineRule="exact"/>
              <w:ind w:left="122" w:right="0"/>
              <w:jc w:val="left"/>
              <w:rPr>
                <w:rFonts w:ascii="Calibri" w:hAnsi="Calibri" w:cs="Calibri" w:eastAsia="Calibri" w:hint="default"/>
                <w:sz w:val="20"/>
                <w:szCs w:val="20"/>
              </w:rPr>
            </w:pPr>
            <w:r>
              <w:rPr>
                <w:rFonts w:ascii="Calibri"/>
                <w:sz w:val="20"/>
              </w:rPr>
              <w:t>Total Current Taxes on</w:t>
            </w:r>
            <w:r>
              <w:rPr>
                <w:rFonts w:ascii="Calibri"/>
                <w:spacing w:val="-17"/>
                <w:sz w:val="20"/>
              </w:rPr>
              <w:t> </w:t>
            </w:r>
            <w:r>
              <w:rPr>
                <w:rFonts w:ascii="Calibri"/>
                <w:sz w:val="20"/>
              </w:rPr>
              <w:t>Income</w:t>
            </w:r>
          </w:p>
        </w:tc>
        <w:tc>
          <w:tcPr>
            <w:tcW w:w="1822" w:type="dxa"/>
            <w:tcBorders>
              <w:top w:val="nil" w:sz="6" w:space="0" w:color="auto"/>
              <w:left w:val="nil" w:sz="6" w:space="0" w:color="auto"/>
              <w:bottom w:val="single" w:sz="4" w:space="0" w:color="000000"/>
              <w:right w:val="nil" w:sz="6" w:space="0" w:color="auto"/>
            </w:tcBorders>
          </w:tcPr>
          <w:p>
            <w:pPr>
              <w:pStyle w:val="TableParagraph"/>
              <w:spacing w:line="226" w:lineRule="exact"/>
              <w:ind w:right="415"/>
              <w:jc w:val="right"/>
              <w:rPr>
                <w:rFonts w:ascii="Calibri" w:hAnsi="Calibri" w:cs="Calibri" w:eastAsia="Calibri" w:hint="default"/>
                <w:sz w:val="20"/>
                <w:szCs w:val="20"/>
              </w:rPr>
            </w:pPr>
            <w:r>
              <w:rPr>
                <w:rFonts w:ascii="Calibri"/>
                <w:w w:val="95"/>
                <w:sz w:val="20"/>
              </w:rPr>
              <w:t>768.4</w:t>
            </w:r>
            <w:r>
              <w:rPr>
                <w:rFonts w:ascii="Calibri"/>
                <w:sz w:val="20"/>
              </w:rPr>
            </w:r>
          </w:p>
        </w:tc>
        <w:tc>
          <w:tcPr>
            <w:tcW w:w="1289" w:type="dxa"/>
            <w:tcBorders>
              <w:top w:val="nil" w:sz="6" w:space="0" w:color="auto"/>
              <w:left w:val="nil" w:sz="6" w:space="0" w:color="auto"/>
              <w:bottom w:val="single" w:sz="4" w:space="0" w:color="000000"/>
              <w:right w:val="nil" w:sz="6" w:space="0" w:color="auto"/>
            </w:tcBorders>
          </w:tcPr>
          <w:p>
            <w:pPr>
              <w:pStyle w:val="TableParagraph"/>
              <w:spacing w:line="226" w:lineRule="exact"/>
              <w:ind w:left="417" w:right="0"/>
              <w:jc w:val="left"/>
              <w:rPr>
                <w:rFonts w:ascii="Calibri" w:hAnsi="Calibri" w:cs="Calibri" w:eastAsia="Calibri" w:hint="default"/>
                <w:sz w:val="20"/>
                <w:szCs w:val="20"/>
              </w:rPr>
            </w:pPr>
            <w:r>
              <w:rPr>
                <w:rFonts w:ascii="Calibri"/>
                <w:sz w:val="20"/>
              </w:rPr>
              <w:t>732.8</w:t>
            </w:r>
          </w:p>
        </w:tc>
        <w:tc>
          <w:tcPr>
            <w:tcW w:w="1288" w:type="dxa"/>
            <w:tcBorders>
              <w:top w:val="nil" w:sz="6" w:space="0" w:color="auto"/>
              <w:left w:val="nil" w:sz="6" w:space="0" w:color="auto"/>
              <w:bottom w:val="single" w:sz="4" w:space="0" w:color="000000"/>
              <w:right w:val="nil" w:sz="6" w:space="0" w:color="auto"/>
            </w:tcBorders>
          </w:tcPr>
          <w:p>
            <w:pPr>
              <w:pStyle w:val="TableParagraph"/>
              <w:spacing w:line="226" w:lineRule="exact"/>
              <w:ind w:right="0"/>
              <w:jc w:val="center"/>
              <w:rPr>
                <w:rFonts w:ascii="Calibri" w:hAnsi="Calibri" w:cs="Calibri" w:eastAsia="Calibri" w:hint="default"/>
                <w:sz w:val="20"/>
                <w:szCs w:val="20"/>
              </w:rPr>
            </w:pPr>
            <w:r>
              <w:rPr>
                <w:rFonts w:ascii="Calibri"/>
                <w:sz w:val="20"/>
              </w:rPr>
              <w:t>743.8</w:t>
            </w:r>
          </w:p>
        </w:tc>
        <w:tc>
          <w:tcPr>
            <w:tcW w:w="1290" w:type="dxa"/>
            <w:tcBorders>
              <w:top w:val="nil" w:sz="6" w:space="0" w:color="auto"/>
              <w:left w:val="nil" w:sz="6" w:space="0" w:color="auto"/>
              <w:bottom w:val="single" w:sz="4" w:space="0" w:color="000000"/>
              <w:right w:val="nil" w:sz="6" w:space="0" w:color="auto"/>
            </w:tcBorders>
          </w:tcPr>
          <w:p>
            <w:pPr>
              <w:pStyle w:val="TableParagraph"/>
              <w:spacing w:line="226" w:lineRule="exact"/>
              <w:ind w:right="417"/>
              <w:jc w:val="right"/>
              <w:rPr>
                <w:rFonts w:ascii="Calibri" w:hAnsi="Calibri" w:cs="Calibri" w:eastAsia="Calibri" w:hint="default"/>
                <w:sz w:val="20"/>
                <w:szCs w:val="20"/>
              </w:rPr>
            </w:pPr>
            <w:r>
              <w:rPr>
                <w:rFonts w:ascii="Calibri"/>
                <w:w w:val="95"/>
                <w:sz w:val="20"/>
              </w:rPr>
              <w:t>702.9</w:t>
            </w:r>
            <w:r>
              <w:rPr>
                <w:rFonts w:ascii="Calibri"/>
                <w:sz w:val="20"/>
              </w:rPr>
            </w:r>
          </w:p>
        </w:tc>
      </w:tr>
    </w:tbl>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12" w:after="0"/>
        <w:ind w:right="0"/>
        <w:rPr>
          <w:rFonts w:ascii="Calibri" w:hAnsi="Calibri" w:cs="Calibri" w:eastAsia="Calibri" w:hint="default"/>
          <w:b/>
          <w:bCs/>
          <w:i/>
          <w:sz w:val="15"/>
          <w:szCs w:val="15"/>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line="244" w:lineRule="auto" w:before="91"/>
        <w:ind w:left="1440" w:right="1879" w:firstLine="0"/>
        <w:jc w:val="left"/>
        <w:rPr>
          <w:rFonts w:ascii="Calibri" w:hAnsi="Calibri" w:cs="Calibri" w:eastAsia="Calibri" w:hint="default"/>
          <w:sz w:val="16"/>
          <w:szCs w:val="16"/>
        </w:rPr>
      </w:pPr>
      <w:r>
        <w:rPr>
          <w:rFonts w:ascii="Calibri" w:hAnsi="Calibri" w:cs="Calibri" w:eastAsia="Calibri" w:hint="default"/>
          <w:position w:val="5"/>
          <w:sz w:val="12"/>
          <w:szCs w:val="12"/>
        </w:rPr>
        <w:t>34 </w:t>
      </w:r>
      <w:r>
        <w:rPr>
          <w:rFonts w:ascii="Calibri" w:hAnsi="Calibri" w:cs="Calibri" w:eastAsia="Calibri" w:hint="default"/>
          <w:sz w:val="16"/>
          <w:szCs w:val="16"/>
        </w:rPr>
        <w:t>Note: The </w:t>
      </w:r>
      <w:r>
        <w:rPr>
          <w:rFonts w:ascii="Calibri" w:hAnsi="Calibri" w:cs="Calibri" w:eastAsia="Calibri" w:hint="default"/>
          <w:sz w:val="16"/>
          <w:szCs w:val="16"/>
        </w:rPr>
        <w:t>Corporate Income Tax Rate Schedule is taken from Ernst &amp; Young’s Worldwide Corporate Tax Guide 2013. Source: </w:t>
      </w:r>
      <w:r>
        <w:rPr>
          <w:rFonts w:ascii="Calibri" w:hAnsi="Calibri" w:cs="Calibri" w:eastAsia="Calibri" w:hint="default"/>
          <w:sz w:val="16"/>
          <w:szCs w:val="16"/>
        </w:rPr>
      </w:r>
      <w:hyperlink r:id="rId35">
        <w:r>
          <w:rPr>
            <w:rFonts w:ascii="Calibri" w:hAnsi="Calibri" w:cs="Calibri" w:eastAsia="Calibri" w:hint="default"/>
            <w:sz w:val="16"/>
            <w:szCs w:val="16"/>
          </w:rPr>
          <w:t>http://www.ey.com/Publication/vwLUAssets/Worldwide_corporate_tax_guide_2013/$FILE/Worldwide_corporate_tax_guide_2013.pdf</w:t>
        </w:r>
      </w:hyperlink>
      <w:r>
        <w:rPr>
          <w:rFonts w:ascii="Calibri" w:hAnsi="Calibri" w:cs="Calibri" w:eastAsia="Calibri" w:hint="default"/>
          <w:sz w:val="16"/>
          <w:szCs w:val="16"/>
        </w:rPr>
        <w:t> </w:t>
      </w:r>
      <w:r>
        <w:rPr>
          <w:rFonts w:ascii="Calibri" w:hAnsi="Calibri" w:cs="Calibri" w:eastAsia="Calibri" w:hint="default"/>
          <w:sz w:val="16"/>
          <w:szCs w:val="16"/>
        </w:rPr>
      </w:r>
      <w:r>
        <w:rPr>
          <w:rFonts w:ascii="Calibri" w:hAnsi="Calibri" w:cs="Calibri" w:eastAsia="Calibri" w:hint="default"/>
          <w:position w:val="5"/>
          <w:sz w:val="12"/>
          <w:szCs w:val="12"/>
        </w:rPr>
        <w:t>35 </w:t>
      </w:r>
      <w:r>
        <w:rPr>
          <w:rFonts w:ascii="Calibri" w:hAnsi="Calibri" w:cs="Calibri" w:eastAsia="Calibri" w:hint="default"/>
          <w:sz w:val="16"/>
          <w:szCs w:val="16"/>
        </w:rPr>
        <w:t>Note: Taxes on Income = Wage Tax + Income Tax + Profit Tax. Total Current Taxes on Income = Taxes on income + Other Current Taxes. </w:t>
      </w:r>
      <w:r>
        <w:rPr>
          <w:rFonts w:ascii="Calibri" w:hAnsi="Calibri" w:cs="Calibri" w:eastAsia="Calibri" w:hint="default"/>
          <w:sz w:val="16"/>
          <w:szCs w:val="16"/>
        </w:rPr>
        <w:t>Source: Government Budgets, Central Bank of Curaçao. Available at Curaçao Central Bureau of Statistics Webpage: </w:t>
      </w:r>
      <w:hyperlink r:id="rId36">
        <w:r>
          <w:rPr>
            <w:rFonts w:ascii="Calibri" w:hAnsi="Calibri" w:cs="Calibri" w:eastAsia="Calibri" w:hint="default"/>
            <w:sz w:val="16"/>
            <w:szCs w:val="16"/>
          </w:rPr>
          <w:t>http://www.cbs.cw/cbs/themes/Economy/DataEconomy-2014062794434.pdf</w:t>
        </w:r>
      </w:hyperlink>
    </w:p>
    <w:p>
      <w:pPr>
        <w:spacing w:after="0" w:line="244"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Heading9"/>
        <w:spacing w:line="240" w:lineRule="auto" w:before="59"/>
        <w:ind w:left="3667" w:right="0"/>
        <w:jc w:val="left"/>
        <w:rPr>
          <w:b w:val="0"/>
          <w:bCs w:val="0"/>
          <w:sz w:val="12"/>
          <w:szCs w:val="12"/>
        </w:rPr>
      </w:pPr>
      <w:bookmarkStart w:name="_bookmark73" w:id="74"/>
      <w:bookmarkEnd w:id="74"/>
      <w:r>
        <w:rPr>
          <w:b w:val="0"/>
        </w:rPr>
      </w:r>
      <w:r>
        <w:rPr/>
        <w:t>Table 22: Panel B:  Income from indirect taxes (</w:t>
      </w:r>
      <w:r>
        <w:rPr>
          <w:rFonts w:ascii="Calibri"/>
          <w:i/>
        </w:rPr>
        <w:t>x mln</w:t>
      </w:r>
      <w:r>
        <w:rPr>
          <w:rFonts w:ascii="Calibri"/>
          <w:i/>
          <w:spacing w:val="-30"/>
        </w:rPr>
        <w:t> </w:t>
      </w:r>
      <w:r>
        <w:rPr>
          <w:rFonts w:ascii="Calibri"/>
          <w:i/>
        </w:rPr>
        <w:t>NAf</w:t>
      </w:r>
      <w:r>
        <w:rPr/>
        <w:t>)</w:t>
      </w:r>
      <w:r>
        <w:rPr>
          <w:position w:val="5"/>
          <w:sz w:val="12"/>
        </w:rPr>
        <w:t>36</w:t>
      </w:r>
      <w:r>
        <w:rPr>
          <w:b w:val="0"/>
          <w:sz w:val="12"/>
        </w:rPr>
      </w:r>
    </w:p>
    <w:tbl>
      <w:tblPr>
        <w:tblW w:w="0" w:type="auto"/>
        <w:jc w:val="left"/>
        <w:tblInd w:w="1445" w:type="dxa"/>
        <w:tblLayout w:type="fixed"/>
        <w:tblCellMar>
          <w:top w:w="0" w:type="dxa"/>
          <w:left w:w="0" w:type="dxa"/>
          <w:bottom w:w="0" w:type="dxa"/>
          <w:right w:w="0" w:type="dxa"/>
        </w:tblCellMar>
        <w:tblLook w:val="01E0"/>
      </w:tblPr>
      <w:tblGrid>
        <w:gridCol w:w="3100"/>
        <w:gridCol w:w="2319"/>
        <w:gridCol w:w="1315"/>
        <w:gridCol w:w="1313"/>
        <w:gridCol w:w="1292"/>
      </w:tblGrid>
      <w:tr>
        <w:trPr>
          <w:trHeight w:val="307" w:hRule="exact"/>
        </w:trPr>
        <w:tc>
          <w:tcPr>
            <w:tcW w:w="3100" w:type="dxa"/>
            <w:tcBorders>
              <w:top w:val="single" w:sz="4" w:space="0" w:color="000000"/>
              <w:left w:val="nil" w:sz="6" w:space="0" w:color="auto"/>
              <w:bottom w:val="single" w:sz="4" w:space="0" w:color="000000"/>
              <w:right w:val="nil" w:sz="6" w:space="0" w:color="auto"/>
            </w:tcBorders>
          </w:tcPr>
          <w:p>
            <w:pPr/>
          </w:p>
        </w:tc>
        <w:tc>
          <w:tcPr>
            <w:tcW w:w="2319" w:type="dxa"/>
            <w:tcBorders>
              <w:top w:val="single" w:sz="4" w:space="0" w:color="000000"/>
              <w:left w:val="nil" w:sz="6" w:space="0" w:color="auto"/>
              <w:bottom w:val="single" w:sz="4" w:space="0" w:color="000000"/>
              <w:right w:val="nil" w:sz="6" w:space="0" w:color="auto"/>
            </w:tcBorders>
          </w:tcPr>
          <w:p>
            <w:pPr>
              <w:pStyle w:val="TableParagraph"/>
              <w:spacing w:line="240" w:lineRule="auto" w:before="25"/>
              <w:ind w:right="436"/>
              <w:jc w:val="right"/>
              <w:rPr>
                <w:rFonts w:ascii="Calibri" w:hAnsi="Calibri" w:cs="Calibri" w:eastAsia="Calibri" w:hint="default"/>
                <w:sz w:val="20"/>
                <w:szCs w:val="20"/>
              </w:rPr>
            </w:pPr>
            <w:r>
              <w:rPr>
                <w:rFonts w:ascii="Calibri"/>
                <w:b/>
                <w:spacing w:val="-1"/>
                <w:w w:val="95"/>
                <w:sz w:val="20"/>
              </w:rPr>
              <w:t>2010</w:t>
            </w:r>
            <w:r>
              <w:rPr>
                <w:rFonts w:ascii="Calibri"/>
                <w:sz w:val="20"/>
              </w:rPr>
            </w:r>
          </w:p>
        </w:tc>
        <w:tc>
          <w:tcPr>
            <w:tcW w:w="1315" w:type="dxa"/>
            <w:tcBorders>
              <w:top w:val="single" w:sz="4" w:space="0" w:color="000000"/>
              <w:left w:val="nil" w:sz="6" w:space="0" w:color="auto"/>
              <w:bottom w:val="single" w:sz="4" w:space="0" w:color="000000"/>
              <w:right w:val="nil" w:sz="6" w:space="0" w:color="auto"/>
            </w:tcBorders>
          </w:tcPr>
          <w:p>
            <w:pPr>
              <w:pStyle w:val="TableParagraph"/>
              <w:spacing w:line="240" w:lineRule="auto" w:before="25"/>
              <w:ind w:right="448"/>
              <w:jc w:val="right"/>
              <w:rPr>
                <w:rFonts w:ascii="Calibri" w:hAnsi="Calibri" w:cs="Calibri" w:eastAsia="Calibri" w:hint="default"/>
                <w:sz w:val="20"/>
                <w:szCs w:val="20"/>
              </w:rPr>
            </w:pPr>
            <w:r>
              <w:rPr>
                <w:rFonts w:ascii="Calibri"/>
                <w:b/>
                <w:spacing w:val="-1"/>
                <w:w w:val="95"/>
                <w:sz w:val="20"/>
              </w:rPr>
              <w:t>2011</w:t>
            </w:r>
            <w:r>
              <w:rPr>
                <w:rFonts w:ascii="Calibri"/>
                <w:sz w:val="20"/>
              </w:rPr>
            </w:r>
          </w:p>
        </w:tc>
        <w:tc>
          <w:tcPr>
            <w:tcW w:w="1313" w:type="dxa"/>
            <w:tcBorders>
              <w:top w:val="single" w:sz="4" w:space="0" w:color="000000"/>
              <w:left w:val="nil" w:sz="6" w:space="0" w:color="auto"/>
              <w:bottom w:val="single" w:sz="4" w:space="0" w:color="000000"/>
              <w:right w:val="nil" w:sz="6" w:space="0" w:color="auto"/>
            </w:tcBorders>
          </w:tcPr>
          <w:p>
            <w:pPr>
              <w:pStyle w:val="TableParagraph"/>
              <w:spacing w:line="240" w:lineRule="auto" w:before="25"/>
              <w:ind w:right="13"/>
              <w:jc w:val="center"/>
              <w:rPr>
                <w:rFonts w:ascii="Calibri" w:hAnsi="Calibri" w:cs="Calibri" w:eastAsia="Calibri" w:hint="default"/>
                <w:sz w:val="20"/>
                <w:szCs w:val="20"/>
              </w:rPr>
            </w:pPr>
            <w:r>
              <w:rPr>
                <w:rFonts w:ascii="Calibri"/>
                <w:b/>
                <w:sz w:val="20"/>
              </w:rPr>
              <w:t>2012</w:t>
            </w:r>
            <w:r>
              <w:rPr>
                <w:rFonts w:ascii="Calibri"/>
                <w:sz w:val="20"/>
              </w:rPr>
            </w:r>
          </w:p>
        </w:tc>
        <w:tc>
          <w:tcPr>
            <w:tcW w:w="1292" w:type="dxa"/>
            <w:tcBorders>
              <w:top w:val="single" w:sz="4" w:space="0" w:color="000000"/>
              <w:left w:val="nil" w:sz="6" w:space="0" w:color="auto"/>
              <w:bottom w:val="single" w:sz="4" w:space="0" w:color="000000"/>
              <w:right w:val="nil" w:sz="6" w:space="0" w:color="auto"/>
            </w:tcBorders>
          </w:tcPr>
          <w:p>
            <w:pPr>
              <w:pStyle w:val="TableParagraph"/>
              <w:spacing w:line="240" w:lineRule="auto" w:before="25"/>
              <w:ind w:right="16"/>
              <w:jc w:val="center"/>
              <w:rPr>
                <w:rFonts w:ascii="Calibri" w:hAnsi="Calibri" w:cs="Calibri" w:eastAsia="Calibri" w:hint="default"/>
                <w:sz w:val="20"/>
                <w:szCs w:val="20"/>
              </w:rPr>
            </w:pPr>
            <w:r>
              <w:rPr>
                <w:rFonts w:ascii="Calibri"/>
                <w:b/>
                <w:sz w:val="20"/>
              </w:rPr>
              <w:t>2013</w:t>
            </w:r>
            <w:r>
              <w:rPr>
                <w:rFonts w:ascii="Calibri"/>
                <w:sz w:val="20"/>
              </w:rPr>
            </w:r>
          </w:p>
        </w:tc>
      </w:tr>
      <w:tr>
        <w:trPr>
          <w:trHeight w:val="321" w:hRule="exact"/>
        </w:trPr>
        <w:tc>
          <w:tcPr>
            <w:tcW w:w="3100" w:type="dxa"/>
            <w:tcBorders>
              <w:top w:val="single" w:sz="4" w:space="0" w:color="000000"/>
              <w:left w:val="nil" w:sz="6" w:space="0" w:color="auto"/>
              <w:bottom w:val="nil" w:sz="6" w:space="0" w:color="auto"/>
              <w:right w:val="nil" w:sz="6" w:space="0" w:color="auto"/>
            </w:tcBorders>
          </w:tcPr>
          <w:p>
            <w:pPr>
              <w:pStyle w:val="TableParagraph"/>
              <w:spacing w:line="240" w:lineRule="auto" w:before="25"/>
              <w:ind w:left="122" w:right="0"/>
              <w:jc w:val="left"/>
              <w:rPr>
                <w:rFonts w:ascii="Calibri" w:hAnsi="Calibri" w:cs="Calibri" w:eastAsia="Calibri" w:hint="default"/>
                <w:sz w:val="20"/>
                <w:szCs w:val="20"/>
              </w:rPr>
            </w:pPr>
            <w:r>
              <w:rPr>
                <w:rFonts w:ascii="Calibri"/>
                <w:sz w:val="20"/>
              </w:rPr>
              <w:t>Motor-vehicle</w:t>
            </w:r>
            <w:r>
              <w:rPr>
                <w:rFonts w:ascii="Calibri"/>
                <w:spacing w:val="-9"/>
                <w:sz w:val="20"/>
              </w:rPr>
              <w:t> </w:t>
            </w:r>
            <w:r>
              <w:rPr>
                <w:rFonts w:ascii="Calibri"/>
                <w:sz w:val="20"/>
              </w:rPr>
              <w:t>Tax</w:t>
            </w:r>
          </w:p>
        </w:tc>
        <w:tc>
          <w:tcPr>
            <w:tcW w:w="2319" w:type="dxa"/>
            <w:tcBorders>
              <w:top w:val="single" w:sz="4" w:space="0" w:color="000000"/>
              <w:left w:val="nil" w:sz="6" w:space="0" w:color="auto"/>
              <w:bottom w:val="nil" w:sz="6" w:space="0" w:color="auto"/>
              <w:right w:val="nil" w:sz="6" w:space="0" w:color="auto"/>
            </w:tcBorders>
          </w:tcPr>
          <w:p>
            <w:pPr>
              <w:pStyle w:val="TableParagraph"/>
              <w:spacing w:line="240" w:lineRule="auto" w:before="25"/>
              <w:ind w:right="458"/>
              <w:jc w:val="right"/>
              <w:rPr>
                <w:rFonts w:ascii="Calibri" w:hAnsi="Calibri" w:cs="Calibri" w:eastAsia="Calibri" w:hint="default"/>
                <w:sz w:val="20"/>
                <w:szCs w:val="20"/>
              </w:rPr>
            </w:pPr>
            <w:r>
              <w:rPr>
                <w:rFonts w:ascii="Calibri"/>
                <w:w w:val="95"/>
                <w:sz w:val="20"/>
              </w:rPr>
              <w:t>36.3</w:t>
            </w:r>
            <w:r>
              <w:rPr>
                <w:rFonts w:ascii="Calibri"/>
                <w:sz w:val="20"/>
              </w:rPr>
            </w:r>
          </w:p>
        </w:tc>
        <w:tc>
          <w:tcPr>
            <w:tcW w:w="1315" w:type="dxa"/>
            <w:tcBorders>
              <w:top w:val="single" w:sz="4" w:space="0" w:color="000000"/>
              <w:left w:val="nil" w:sz="6" w:space="0" w:color="auto"/>
              <w:bottom w:val="nil" w:sz="6" w:space="0" w:color="auto"/>
              <w:right w:val="nil" w:sz="6" w:space="0" w:color="auto"/>
            </w:tcBorders>
          </w:tcPr>
          <w:p>
            <w:pPr>
              <w:pStyle w:val="TableParagraph"/>
              <w:spacing w:line="240" w:lineRule="auto" w:before="25"/>
              <w:ind w:right="471"/>
              <w:jc w:val="right"/>
              <w:rPr>
                <w:rFonts w:ascii="Calibri" w:hAnsi="Calibri" w:cs="Calibri" w:eastAsia="Calibri" w:hint="default"/>
                <w:sz w:val="20"/>
                <w:szCs w:val="20"/>
              </w:rPr>
            </w:pPr>
            <w:r>
              <w:rPr>
                <w:rFonts w:ascii="Calibri"/>
                <w:w w:val="95"/>
                <w:sz w:val="20"/>
              </w:rPr>
              <w:t>39.3</w:t>
            </w:r>
            <w:r>
              <w:rPr>
                <w:rFonts w:ascii="Calibri"/>
                <w:sz w:val="20"/>
              </w:rPr>
            </w:r>
          </w:p>
        </w:tc>
        <w:tc>
          <w:tcPr>
            <w:tcW w:w="1313" w:type="dxa"/>
            <w:tcBorders>
              <w:top w:val="single" w:sz="4" w:space="0" w:color="000000"/>
              <w:left w:val="nil" w:sz="6" w:space="0" w:color="auto"/>
              <w:bottom w:val="nil" w:sz="6" w:space="0" w:color="auto"/>
              <w:right w:val="nil" w:sz="6" w:space="0" w:color="auto"/>
            </w:tcBorders>
          </w:tcPr>
          <w:p>
            <w:pPr>
              <w:pStyle w:val="TableParagraph"/>
              <w:spacing w:line="240" w:lineRule="auto" w:before="25"/>
              <w:ind w:right="10"/>
              <w:jc w:val="center"/>
              <w:rPr>
                <w:rFonts w:ascii="Calibri" w:hAnsi="Calibri" w:cs="Calibri" w:eastAsia="Calibri" w:hint="default"/>
                <w:sz w:val="20"/>
                <w:szCs w:val="20"/>
              </w:rPr>
            </w:pPr>
            <w:r>
              <w:rPr>
                <w:rFonts w:ascii="Calibri"/>
                <w:sz w:val="20"/>
              </w:rPr>
              <w:t>38.8</w:t>
            </w:r>
          </w:p>
        </w:tc>
        <w:tc>
          <w:tcPr>
            <w:tcW w:w="1292" w:type="dxa"/>
            <w:tcBorders>
              <w:top w:val="single" w:sz="4" w:space="0" w:color="000000"/>
              <w:left w:val="nil" w:sz="6" w:space="0" w:color="auto"/>
              <w:bottom w:val="nil" w:sz="6" w:space="0" w:color="auto"/>
              <w:right w:val="nil" w:sz="6" w:space="0" w:color="auto"/>
            </w:tcBorders>
          </w:tcPr>
          <w:p>
            <w:pPr>
              <w:pStyle w:val="TableParagraph"/>
              <w:spacing w:line="240" w:lineRule="auto" w:before="25"/>
              <w:ind w:right="13"/>
              <w:jc w:val="center"/>
              <w:rPr>
                <w:rFonts w:ascii="Calibri" w:hAnsi="Calibri" w:cs="Calibri" w:eastAsia="Calibri" w:hint="default"/>
                <w:sz w:val="20"/>
                <w:szCs w:val="20"/>
              </w:rPr>
            </w:pPr>
            <w:r>
              <w:rPr>
                <w:rFonts w:ascii="Calibri"/>
                <w:sz w:val="20"/>
              </w:rPr>
              <w:t>36.6</w:t>
            </w:r>
          </w:p>
        </w:tc>
      </w:tr>
      <w:tr>
        <w:trPr>
          <w:trHeight w:val="299" w:hRule="exact"/>
        </w:trPr>
        <w:tc>
          <w:tcPr>
            <w:tcW w:w="3100" w:type="dxa"/>
            <w:tcBorders>
              <w:top w:val="nil" w:sz="6" w:space="0" w:color="auto"/>
              <w:left w:val="nil" w:sz="6" w:space="0" w:color="auto"/>
              <w:bottom w:val="nil" w:sz="6" w:space="0" w:color="auto"/>
              <w:right w:val="nil" w:sz="6" w:space="0" w:color="auto"/>
            </w:tcBorders>
          </w:tcPr>
          <w:p>
            <w:pPr>
              <w:pStyle w:val="TableParagraph"/>
              <w:spacing w:line="240" w:lineRule="auto" w:before="9"/>
              <w:ind w:left="122" w:right="0"/>
              <w:jc w:val="left"/>
              <w:rPr>
                <w:rFonts w:ascii="Calibri" w:hAnsi="Calibri" w:cs="Calibri" w:eastAsia="Calibri" w:hint="default"/>
                <w:sz w:val="20"/>
                <w:szCs w:val="20"/>
              </w:rPr>
            </w:pPr>
            <w:r>
              <w:rPr>
                <w:rFonts w:ascii="Calibri"/>
                <w:sz w:val="20"/>
              </w:rPr>
              <w:t>Land</w:t>
            </w:r>
            <w:r>
              <w:rPr>
                <w:rFonts w:ascii="Calibri"/>
                <w:spacing w:val="-7"/>
                <w:sz w:val="20"/>
              </w:rPr>
              <w:t> </w:t>
            </w:r>
            <w:r>
              <w:rPr>
                <w:rFonts w:ascii="Calibri"/>
                <w:sz w:val="20"/>
              </w:rPr>
              <w:t>Tax</w:t>
            </w:r>
          </w:p>
        </w:tc>
        <w:tc>
          <w:tcPr>
            <w:tcW w:w="2319" w:type="dxa"/>
            <w:tcBorders>
              <w:top w:val="nil" w:sz="6" w:space="0" w:color="auto"/>
              <w:left w:val="nil" w:sz="6" w:space="0" w:color="auto"/>
              <w:bottom w:val="nil" w:sz="6" w:space="0" w:color="auto"/>
              <w:right w:val="nil" w:sz="6" w:space="0" w:color="auto"/>
            </w:tcBorders>
          </w:tcPr>
          <w:p>
            <w:pPr>
              <w:pStyle w:val="TableParagraph"/>
              <w:spacing w:line="240" w:lineRule="auto" w:before="9"/>
              <w:ind w:right="458"/>
              <w:jc w:val="right"/>
              <w:rPr>
                <w:rFonts w:ascii="Calibri" w:hAnsi="Calibri" w:cs="Calibri" w:eastAsia="Calibri" w:hint="default"/>
                <w:sz w:val="20"/>
                <w:szCs w:val="20"/>
              </w:rPr>
            </w:pPr>
            <w:r>
              <w:rPr>
                <w:rFonts w:ascii="Calibri"/>
                <w:w w:val="95"/>
                <w:sz w:val="20"/>
              </w:rPr>
              <w:t>27.8</w:t>
            </w:r>
            <w:r>
              <w:rPr>
                <w:rFonts w:ascii="Calibri"/>
                <w:sz w:val="20"/>
              </w:rPr>
            </w:r>
          </w:p>
        </w:tc>
        <w:tc>
          <w:tcPr>
            <w:tcW w:w="1315" w:type="dxa"/>
            <w:tcBorders>
              <w:top w:val="nil" w:sz="6" w:space="0" w:color="auto"/>
              <w:left w:val="nil" w:sz="6" w:space="0" w:color="auto"/>
              <w:bottom w:val="nil" w:sz="6" w:space="0" w:color="auto"/>
              <w:right w:val="nil" w:sz="6" w:space="0" w:color="auto"/>
            </w:tcBorders>
          </w:tcPr>
          <w:p>
            <w:pPr>
              <w:pStyle w:val="TableParagraph"/>
              <w:spacing w:line="240" w:lineRule="auto" w:before="9"/>
              <w:ind w:right="472"/>
              <w:jc w:val="right"/>
              <w:rPr>
                <w:rFonts w:ascii="Calibri" w:hAnsi="Calibri" w:cs="Calibri" w:eastAsia="Calibri" w:hint="default"/>
                <w:sz w:val="20"/>
                <w:szCs w:val="20"/>
              </w:rPr>
            </w:pPr>
            <w:r>
              <w:rPr>
                <w:rFonts w:ascii="Calibri"/>
                <w:spacing w:val="-1"/>
                <w:sz w:val="20"/>
              </w:rPr>
              <w:t>26.1</w:t>
            </w:r>
          </w:p>
        </w:tc>
        <w:tc>
          <w:tcPr>
            <w:tcW w:w="1313" w:type="dxa"/>
            <w:tcBorders>
              <w:top w:val="nil" w:sz="6" w:space="0" w:color="auto"/>
              <w:left w:val="nil" w:sz="6" w:space="0" w:color="auto"/>
              <w:bottom w:val="nil" w:sz="6" w:space="0" w:color="auto"/>
              <w:right w:val="nil" w:sz="6" w:space="0" w:color="auto"/>
            </w:tcBorders>
          </w:tcPr>
          <w:p>
            <w:pPr>
              <w:pStyle w:val="TableParagraph"/>
              <w:spacing w:line="240" w:lineRule="auto" w:before="9"/>
              <w:ind w:right="10"/>
              <w:jc w:val="center"/>
              <w:rPr>
                <w:rFonts w:ascii="Calibri" w:hAnsi="Calibri" w:cs="Calibri" w:eastAsia="Calibri" w:hint="default"/>
                <w:sz w:val="20"/>
                <w:szCs w:val="20"/>
              </w:rPr>
            </w:pPr>
            <w:r>
              <w:rPr>
                <w:rFonts w:ascii="Calibri"/>
                <w:sz w:val="20"/>
              </w:rPr>
              <w:t>26.1</w:t>
            </w:r>
          </w:p>
        </w:tc>
        <w:tc>
          <w:tcPr>
            <w:tcW w:w="1292" w:type="dxa"/>
            <w:tcBorders>
              <w:top w:val="nil" w:sz="6" w:space="0" w:color="auto"/>
              <w:left w:val="nil" w:sz="6" w:space="0" w:color="auto"/>
              <w:bottom w:val="nil" w:sz="6" w:space="0" w:color="auto"/>
              <w:right w:val="nil" w:sz="6" w:space="0" w:color="auto"/>
            </w:tcBorders>
          </w:tcPr>
          <w:p>
            <w:pPr>
              <w:pStyle w:val="TableParagraph"/>
              <w:spacing w:line="240" w:lineRule="auto" w:before="9"/>
              <w:ind w:right="13"/>
              <w:jc w:val="center"/>
              <w:rPr>
                <w:rFonts w:ascii="Calibri" w:hAnsi="Calibri" w:cs="Calibri" w:eastAsia="Calibri" w:hint="default"/>
                <w:sz w:val="20"/>
                <w:szCs w:val="20"/>
              </w:rPr>
            </w:pPr>
            <w:r>
              <w:rPr>
                <w:rFonts w:ascii="Calibri"/>
                <w:sz w:val="20"/>
              </w:rPr>
              <w:t>27.3</w:t>
            </w:r>
          </w:p>
        </w:tc>
      </w:tr>
      <w:tr>
        <w:trPr>
          <w:trHeight w:val="298" w:hRule="exact"/>
        </w:trPr>
        <w:tc>
          <w:tcPr>
            <w:tcW w:w="3100" w:type="dxa"/>
            <w:tcBorders>
              <w:top w:val="nil" w:sz="6" w:space="0" w:color="auto"/>
              <w:left w:val="nil" w:sz="6" w:space="0" w:color="auto"/>
              <w:bottom w:val="nil" w:sz="6" w:space="0" w:color="auto"/>
              <w:right w:val="nil" w:sz="6" w:space="0" w:color="auto"/>
            </w:tcBorders>
          </w:tcPr>
          <w:p>
            <w:pPr>
              <w:pStyle w:val="TableParagraph"/>
              <w:spacing w:line="240" w:lineRule="auto" w:before="8"/>
              <w:ind w:left="122" w:right="0"/>
              <w:jc w:val="left"/>
              <w:rPr>
                <w:rFonts w:ascii="Calibri" w:hAnsi="Calibri" w:cs="Calibri" w:eastAsia="Calibri" w:hint="default"/>
                <w:sz w:val="20"/>
                <w:szCs w:val="20"/>
              </w:rPr>
            </w:pPr>
            <w:r>
              <w:rPr>
                <w:rFonts w:ascii="Calibri"/>
                <w:sz w:val="20"/>
              </w:rPr>
              <w:t>Lodging</w:t>
            </w:r>
            <w:r>
              <w:rPr>
                <w:rFonts w:ascii="Calibri"/>
                <w:spacing w:val="-7"/>
                <w:sz w:val="20"/>
              </w:rPr>
              <w:t> </w:t>
            </w:r>
            <w:r>
              <w:rPr>
                <w:rFonts w:ascii="Calibri"/>
                <w:sz w:val="20"/>
              </w:rPr>
              <w:t>Tax</w:t>
            </w:r>
          </w:p>
        </w:tc>
        <w:tc>
          <w:tcPr>
            <w:tcW w:w="2319" w:type="dxa"/>
            <w:tcBorders>
              <w:top w:val="nil" w:sz="6" w:space="0" w:color="auto"/>
              <w:left w:val="nil" w:sz="6" w:space="0" w:color="auto"/>
              <w:bottom w:val="nil" w:sz="6" w:space="0" w:color="auto"/>
              <w:right w:val="nil" w:sz="6" w:space="0" w:color="auto"/>
            </w:tcBorders>
          </w:tcPr>
          <w:p>
            <w:pPr>
              <w:pStyle w:val="TableParagraph"/>
              <w:spacing w:line="240" w:lineRule="auto" w:before="8"/>
              <w:ind w:right="583"/>
              <w:jc w:val="right"/>
              <w:rPr>
                <w:rFonts w:ascii="Calibri" w:hAnsi="Calibri" w:cs="Calibri" w:eastAsia="Calibri" w:hint="default"/>
                <w:sz w:val="20"/>
                <w:szCs w:val="20"/>
              </w:rPr>
            </w:pPr>
            <w:r>
              <w:rPr>
                <w:rFonts w:ascii="Calibri"/>
                <w:w w:val="95"/>
                <w:sz w:val="20"/>
              </w:rPr>
              <w:t>8</w:t>
            </w:r>
            <w:r>
              <w:rPr>
                <w:rFonts w:ascii="Calibri"/>
                <w:sz w:val="20"/>
              </w:rPr>
            </w:r>
          </w:p>
        </w:tc>
        <w:tc>
          <w:tcPr>
            <w:tcW w:w="1315" w:type="dxa"/>
            <w:tcBorders>
              <w:top w:val="nil" w:sz="6" w:space="0" w:color="auto"/>
              <w:left w:val="nil" w:sz="6" w:space="0" w:color="auto"/>
              <w:bottom w:val="nil" w:sz="6" w:space="0" w:color="auto"/>
              <w:right w:val="nil" w:sz="6" w:space="0" w:color="auto"/>
            </w:tcBorders>
          </w:tcPr>
          <w:p>
            <w:pPr>
              <w:pStyle w:val="TableParagraph"/>
              <w:spacing w:line="240" w:lineRule="auto" w:before="8"/>
              <w:ind w:left="15" w:right="0"/>
              <w:jc w:val="center"/>
              <w:rPr>
                <w:rFonts w:ascii="Calibri" w:hAnsi="Calibri" w:cs="Calibri" w:eastAsia="Calibri" w:hint="default"/>
                <w:sz w:val="20"/>
                <w:szCs w:val="20"/>
              </w:rPr>
            </w:pPr>
            <w:r>
              <w:rPr>
                <w:rFonts w:ascii="Calibri"/>
                <w:sz w:val="20"/>
              </w:rPr>
              <w:t>9</w:t>
            </w:r>
          </w:p>
        </w:tc>
        <w:tc>
          <w:tcPr>
            <w:tcW w:w="1313"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0"/>
              <w:jc w:val="center"/>
              <w:rPr>
                <w:rFonts w:ascii="Calibri" w:hAnsi="Calibri" w:cs="Calibri" w:eastAsia="Calibri" w:hint="default"/>
                <w:sz w:val="20"/>
                <w:szCs w:val="20"/>
              </w:rPr>
            </w:pPr>
            <w:r>
              <w:rPr>
                <w:rFonts w:ascii="Calibri"/>
                <w:sz w:val="20"/>
              </w:rPr>
              <w:t>10.2</w:t>
            </w:r>
          </w:p>
        </w:tc>
        <w:tc>
          <w:tcPr>
            <w:tcW w:w="1292"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3"/>
              <w:jc w:val="center"/>
              <w:rPr>
                <w:rFonts w:ascii="Calibri" w:hAnsi="Calibri" w:cs="Calibri" w:eastAsia="Calibri" w:hint="default"/>
                <w:sz w:val="20"/>
                <w:szCs w:val="20"/>
              </w:rPr>
            </w:pPr>
            <w:r>
              <w:rPr>
                <w:rFonts w:ascii="Calibri"/>
                <w:sz w:val="20"/>
              </w:rPr>
              <w:t>10.1</w:t>
            </w:r>
          </w:p>
        </w:tc>
      </w:tr>
      <w:tr>
        <w:trPr>
          <w:trHeight w:val="298" w:hRule="exact"/>
        </w:trPr>
        <w:tc>
          <w:tcPr>
            <w:tcW w:w="3100" w:type="dxa"/>
            <w:tcBorders>
              <w:top w:val="nil" w:sz="6" w:space="0" w:color="auto"/>
              <w:left w:val="nil" w:sz="6" w:space="0" w:color="auto"/>
              <w:bottom w:val="nil" w:sz="6" w:space="0" w:color="auto"/>
              <w:right w:val="nil" w:sz="6" w:space="0" w:color="auto"/>
            </w:tcBorders>
          </w:tcPr>
          <w:p>
            <w:pPr>
              <w:pStyle w:val="TableParagraph"/>
              <w:spacing w:line="240" w:lineRule="auto" w:before="8"/>
              <w:ind w:left="122" w:right="0"/>
              <w:jc w:val="left"/>
              <w:rPr>
                <w:rFonts w:ascii="Calibri" w:hAnsi="Calibri" w:cs="Calibri" w:eastAsia="Calibri" w:hint="default"/>
                <w:sz w:val="20"/>
                <w:szCs w:val="20"/>
              </w:rPr>
            </w:pPr>
            <w:r>
              <w:rPr>
                <w:rFonts w:ascii="Calibri"/>
                <w:sz w:val="20"/>
              </w:rPr>
              <w:t>Usage</w:t>
            </w:r>
            <w:r>
              <w:rPr>
                <w:rFonts w:ascii="Calibri"/>
                <w:spacing w:val="-8"/>
                <w:sz w:val="20"/>
              </w:rPr>
              <w:t> </w:t>
            </w:r>
            <w:r>
              <w:rPr>
                <w:rFonts w:ascii="Calibri"/>
                <w:sz w:val="20"/>
              </w:rPr>
              <w:t>Tax</w:t>
            </w:r>
          </w:p>
        </w:tc>
        <w:tc>
          <w:tcPr>
            <w:tcW w:w="2319" w:type="dxa"/>
            <w:tcBorders>
              <w:top w:val="nil" w:sz="6" w:space="0" w:color="auto"/>
              <w:left w:val="nil" w:sz="6" w:space="0" w:color="auto"/>
              <w:bottom w:val="nil" w:sz="6" w:space="0" w:color="auto"/>
              <w:right w:val="nil" w:sz="6" w:space="0" w:color="auto"/>
            </w:tcBorders>
          </w:tcPr>
          <w:p>
            <w:pPr>
              <w:pStyle w:val="TableParagraph"/>
              <w:spacing w:line="240" w:lineRule="auto" w:before="8"/>
              <w:ind w:right="509"/>
              <w:jc w:val="right"/>
              <w:rPr>
                <w:rFonts w:ascii="Calibri" w:hAnsi="Calibri" w:cs="Calibri" w:eastAsia="Calibri" w:hint="default"/>
                <w:sz w:val="20"/>
                <w:szCs w:val="20"/>
              </w:rPr>
            </w:pPr>
            <w:r>
              <w:rPr>
                <w:rFonts w:ascii="Calibri"/>
                <w:w w:val="95"/>
                <w:sz w:val="20"/>
              </w:rPr>
              <w:t>0.3</w:t>
            </w:r>
            <w:r>
              <w:rPr>
                <w:rFonts w:ascii="Calibri"/>
                <w:sz w:val="20"/>
              </w:rPr>
            </w:r>
          </w:p>
        </w:tc>
        <w:tc>
          <w:tcPr>
            <w:tcW w:w="1315" w:type="dxa"/>
            <w:tcBorders>
              <w:top w:val="nil" w:sz="6" w:space="0" w:color="auto"/>
              <w:left w:val="nil" w:sz="6" w:space="0" w:color="auto"/>
              <w:bottom w:val="nil" w:sz="6" w:space="0" w:color="auto"/>
              <w:right w:val="nil" w:sz="6" w:space="0" w:color="auto"/>
            </w:tcBorders>
          </w:tcPr>
          <w:p>
            <w:pPr>
              <w:pStyle w:val="TableParagraph"/>
              <w:spacing w:line="240" w:lineRule="auto" w:before="8"/>
              <w:ind w:right="522"/>
              <w:jc w:val="right"/>
              <w:rPr>
                <w:rFonts w:ascii="Calibri" w:hAnsi="Calibri" w:cs="Calibri" w:eastAsia="Calibri" w:hint="default"/>
                <w:sz w:val="20"/>
                <w:szCs w:val="20"/>
              </w:rPr>
            </w:pPr>
            <w:r>
              <w:rPr>
                <w:rFonts w:ascii="Calibri"/>
                <w:w w:val="95"/>
                <w:sz w:val="20"/>
              </w:rPr>
              <w:t>0.2</w:t>
            </w:r>
            <w:r>
              <w:rPr>
                <w:rFonts w:ascii="Calibri"/>
                <w:sz w:val="20"/>
              </w:rPr>
            </w:r>
          </w:p>
        </w:tc>
        <w:tc>
          <w:tcPr>
            <w:tcW w:w="1313"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0"/>
              <w:jc w:val="center"/>
              <w:rPr>
                <w:rFonts w:ascii="Calibri" w:hAnsi="Calibri" w:cs="Calibri" w:eastAsia="Calibri" w:hint="default"/>
                <w:sz w:val="20"/>
                <w:szCs w:val="20"/>
              </w:rPr>
            </w:pPr>
            <w:r>
              <w:rPr>
                <w:rFonts w:ascii="Calibri"/>
                <w:sz w:val="20"/>
              </w:rPr>
              <w:t>0.2</w:t>
            </w:r>
          </w:p>
        </w:tc>
        <w:tc>
          <w:tcPr>
            <w:tcW w:w="1292"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1"/>
              <w:jc w:val="center"/>
              <w:rPr>
                <w:rFonts w:ascii="Calibri" w:hAnsi="Calibri" w:cs="Calibri" w:eastAsia="Calibri" w:hint="default"/>
                <w:sz w:val="20"/>
                <w:szCs w:val="20"/>
              </w:rPr>
            </w:pPr>
            <w:r>
              <w:rPr>
                <w:rFonts w:ascii="Calibri"/>
                <w:sz w:val="20"/>
              </w:rPr>
              <w:t>0</w:t>
            </w:r>
          </w:p>
        </w:tc>
      </w:tr>
      <w:tr>
        <w:trPr>
          <w:trHeight w:val="298" w:hRule="exact"/>
        </w:trPr>
        <w:tc>
          <w:tcPr>
            <w:tcW w:w="3100" w:type="dxa"/>
            <w:tcBorders>
              <w:top w:val="nil" w:sz="6" w:space="0" w:color="auto"/>
              <w:left w:val="nil" w:sz="6" w:space="0" w:color="auto"/>
              <w:bottom w:val="nil" w:sz="6" w:space="0" w:color="auto"/>
              <w:right w:val="nil" w:sz="6" w:space="0" w:color="auto"/>
            </w:tcBorders>
          </w:tcPr>
          <w:p>
            <w:pPr>
              <w:pStyle w:val="TableParagraph"/>
              <w:spacing w:line="240" w:lineRule="auto" w:before="8"/>
              <w:ind w:left="122" w:right="0"/>
              <w:jc w:val="left"/>
              <w:rPr>
                <w:rFonts w:ascii="Calibri" w:hAnsi="Calibri" w:cs="Calibri" w:eastAsia="Calibri" w:hint="default"/>
                <w:sz w:val="20"/>
                <w:szCs w:val="20"/>
              </w:rPr>
            </w:pPr>
            <w:r>
              <w:rPr>
                <w:rFonts w:ascii="Calibri"/>
                <w:sz w:val="20"/>
              </w:rPr>
              <w:t>License</w:t>
            </w:r>
            <w:r>
              <w:rPr>
                <w:rFonts w:ascii="Calibri"/>
                <w:spacing w:val="-11"/>
                <w:sz w:val="20"/>
              </w:rPr>
              <w:t> </w:t>
            </w:r>
            <w:r>
              <w:rPr>
                <w:rFonts w:ascii="Calibri"/>
                <w:sz w:val="20"/>
              </w:rPr>
              <w:t>Tax</w:t>
            </w:r>
          </w:p>
        </w:tc>
        <w:tc>
          <w:tcPr>
            <w:tcW w:w="2319" w:type="dxa"/>
            <w:tcBorders>
              <w:top w:val="nil" w:sz="6" w:space="0" w:color="auto"/>
              <w:left w:val="nil" w:sz="6" w:space="0" w:color="auto"/>
              <w:bottom w:val="nil" w:sz="6" w:space="0" w:color="auto"/>
              <w:right w:val="nil" w:sz="6" w:space="0" w:color="auto"/>
            </w:tcBorders>
          </w:tcPr>
          <w:p>
            <w:pPr>
              <w:pStyle w:val="TableParagraph"/>
              <w:spacing w:line="240" w:lineRule="auto" w:before="8"/>
              <w:ind w:right="509"/>
              <w:jc w:val="right"/>
              <w:rPr>
                <w:rFonts w:ascii="Calibri" w:hAnsi="Calibri" w:cs="Calibri" w:eastAsia="Calibri" w:hint="default"/>
                <w:sz w:val="20"/>
                <w:szCs w:val="20"/>
              </w:rPr>
            </w:pPr>
            <w:r>
              <w:rPr>
                <w:rFonts w:ascii="Calibri"/>
                <w:w w:val="95"/>
                <w:sz w:val="20"/>
              </w:rPr>
              <w:t>6.6</w:t>
            </w:r>
            <w:r>
              <w:rPr>
                <w:rFonts w:ascii="Calibri"/>
                <w:sz w:val="20"/>
              </w:rPr>
            </w:r>
          </w:p>
        </w:tc>
        <w:tc>
          <w:tcPr>
            <w:tcW w:w="1315" w:type="dxa"/>
            <w:tcBorders>
              <w:top w:val="nil" w:sz="6" w:space="0" w:color="auto"/>
              <w:left w:val="nil" w:sz="6" w:space="0" w:color="auto"/>
              <w:bottom w:val="nil" w:sz="6" w:space="0" w:color="auto"/>
              <w:right w:val="nil" w:sz="6" w:space="0" w:color="auto"/>
            </w:tcBorders>
          </w:tcPr>
          <w:p>
            <w:pPr>
              <w:pStyle w:val="TableParagraph"/>
              <w:spacing w:line="240" w:lineRule="auto" w:before="8"/>
              <w:ind w:right="471"/>
              <w:jc w:val="right"/>
              <w:rPr>
                <w:rFonts w:ascii="Calibri" w:hAnsi="Calibri" w:cs="Calibri" w:eastAsia="Calibri" w:hint="default"/>
                <w:sz w:val="20"/>
                <w:szCs w:val="20"/>
              </w:rPr>
            </w:pPr>
            <w:r>
              <w:rPr>
                <w:rFonts w:ascii="Calibri"/>
                <w:w w:val="95"/>
                <w:sz w:val="20"/>
              </w:rPr>
              <w:t>15.5</w:t>
            </w:r>
            <w:r>
              <w:rPr>
                <w:rFonts w:ascii="Calibri"/>
                <w:sz w:val="20"/>
              </w:rPr>
            </w:r>
          </w:p>
        </w:tc>
        <w:tc>
          <w:tcPr>
            <w:tcW w:w="1313"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0"/>
              <w:jc w:val="center"/>
              <w:rPr>
                <w:rFonts w:ascii="Calibri" w:hAnsi="Calibri" w:cs="Calibri" w:eastAsia="Calibri" w:hint="default"/>
                <w:sz w:val="20"/>
                <w:szCs w:val="20"/>
              </w:rPr>
            </w:pPr>
            <w:r>
              <w:rPr>
                <w:rFonts w:ascii="Calibri"/>
                <w:sz w:val="20"/>
              </w:rPr>
              <w:t>16.5</w:t>
            </w:r>
          </w:p>
        </w:tc>
        <w:tc>
          <w:tcPr>
            <w:tcW w:w="1292"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3"/>
              <w:jc w:val="center"/>
              <w:rPr>
                <w:rFonts w:ascii="Calibri" w:hAnsi="Calibri" w:cs="Calibri" w:eastAsia="Calibri" w:hint="default"/>
                <w:sz w:val="20"/>
                <w:szCs w:val="20"/>
              </w:rPr>
            </w:pPr>
            <w:r>
              <w:rPr>
                <w:rFonts w:ascii="Calibri"/>
                <w:sz w:val="20"/>
              </w:rPr>
              <w:t>11.3</w:t>
            </w:r>
          </w:p>
        </w:tc>
      </w:tr>
      <w:tr>
        <w:trPr>
          <w:trHeight w:val="298" w:hRule="exact"/>
        </w:trPr>
        <w:tc>
          <w:tcPr>
            <w:tcW w:w="3100" w:type="dxa"/>
            <w:tcBorders>
              <w:top w:val="nil" w:sz="6" w:space="0" w:color="auto"/>
              <w:left w:val="nil" w:sz="6" w:space="0" w:color="auto"/>
              <w:bottom w:val="nil" w:sz="6" w:space="0" w:color="auto"/>
              <w:right w:val="nil" w:sz="6" w:space="0" w:color="auto"/>
            </w:tcBorders>
          </w:tcPr>
          <w:p>
            <w:pPr>
              <w:pStyle w:val="TableParagraph"/>
              <w:spacing w:line="240" w:lineRule="auto" w:before="8"/>
              <w:ind w:left="122" w:right="0"/>
              <w:jc w:val="left"/>
              <w:rPr>
                <w:rFonts w:ascii="Calibri" w:hAnsi="Calibri" w:cs="Calibri" w:eastAsia="Calibri" w:hint="default"/>
                <w:sz w:val="20"/>
                <w:szCs w:val="20"/>
              </w:rPr>
            </w:pPr>
            <w:r>
              <w:rPr>
                <w:rFonts w:ascii="Calibri"/>
                <w:sz w:val="20"/>
              </w:rPr>
              <w:t>Other</w:t>
            </w:r>
          </w:p>
        </w:tc>
        <w:tc>
          <w:tcPr>
            <w:tcW w:w="2319" w:type="dxa"/>
            <w:tcBorders>
              <w:top w:val="nil" w:sz="6" w:space="0" w:color="auto"/>
              <w:left w:val="nil" w:sz="6" w:space="0" w:color="auto"/>
              <w:bottom w:val="nil" w:sz="6" w:space="0" w:color="auto"/>
              <w:right w:val="nil" w:sz="6" w:space="0" w:color="auto"/>
            </w:tcBorders>
          </w:tcPr>
          <w:p>
            <w:pPr>
              <w:pStyle w:val="TableParagraph"/>
              <w:spacing w:line="240" w:lineRule="auto" w:before="8"/>
              <w:ind w:right="509"/>
              <w:jc w:val="right"/>
              <w:rPr>
                <w:rFonts w:ascii="Calibri" w:hAnsi="Calibri" w:cs="Calibri" w:eastAsia="Calibri" w:hint="default"/>
                <w:sz w:val="20"/>
                <w:szCs w:val="20"/>
              </w:rPr>
            </w:pPr>
            <w:r>
              <w:rPr>
                <w:rFonts w:ascii="Calibri"/>
                <w:w w:val="95"/>
                <w:sz w:val="20"/>
              </w:rPr>
              <w:t>5.7</w:t>
            </w:r>
            <w:r>
              <w:rPr>
                <w:rFonts w:ascii="Calibri"/>
                <w:sz w:val="20"/>
              </w:rPr>
            </w:r>
          </w:p>
        </w:tc>
        <w:tc>
          <w:tcPr>
            <w:tcW w:w="1315" w:type="dxa"/>
            <w:tcBorders>
              <w:top w:val="nil" w:sz="6" w:space="0" w:color="auto"/>
              <w:left w:val="nil" w:sz="6" w:space="0" w:color="auto"/>
              <w:bottom w:val="nil" w:sz="6" w:space="0" w:color="auto"/>
              <w:right w:val="nil" w:sz="6" w:space="0" w:color="auto"/>
            </w:tcBorders>
          </w:tcPr>
          <w:p>
            <w:pPr>
              <w:pStyle w:val="TableParagraph"/>
              <w:spacing w:line="240" w:lineRule="auto" w:before="8"/>
              <w:ind w:right="471"/>
              <w:jc w:val="right"/>
              <w:rPr>
                <w:rFonts w:ascii="Calibri" w:hAnsi="Calibri" w:cs="Calibri" w:eastAsia="Calibri" w:hint="default"/>
                <w:sz w:val="20"/>
                <w:szCs w:val="20"/>
              </w:rPr>
            </w:pPr>
            <w:r>
              <w:rPr>
                <w:rFonts w:ascii="Calibri"/>
                <w:w w:val="95"/>
                <w:sz w:val="20"/>
              </w:rPr>
              <w:t>10.5</w:t>
            </w:r>
            <w:r>
              <w:rPr>
                <w:rFonts w:ascii="Calibri"/>
                <w:sz w:val="20"/>
              </w:rPr>
            </w:r>
          </w:p>
        </w:tc>
        <w:tc>
          <w:tcPr>
            <w:tcW w:w="1313"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0"/>
              <w:jc w:val="center"/>
              <w:rPr>
                <w:rFonts w:ascii="Calibri" w:hAnsi="Calibri" w:cs="Calibri" w:eastAsia="Calibri" w:hint="default"/>
                <w:sz w:val="20"/>
                <w:szCs w:val="20"/>
              </w:rPr>
            </w:pPr>
            <w:r>
              <w:rPr>
                <w:rFonts w:ascii="Calibri"/>
                <w:sz w:val="20"/>
              </w:rPr>
              <w:t>10.5</w:t>
            </w:r>
          </w:p>
        </w:tc>
        <w:tc>
          <w:tcPr>
            <w:tcW w:w="1292"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3"/>
              <w:jc w:val="center"/>
              <w:rPr>
                <w:rFonts w:ascii="Calibri" w:hAnsi="Calibri" w:cs="Calibri" w:eastAsia="Calibri" w:hint="default"/>
                <w:sz w:val="20"/>
                <w:szCs w:val="20"/>
              </w:rPr>
            </w:pPr>
            <w:r>
              <w:rPr>
                <w:rFonts w:ascii="Calibri"/>
                <w:sz w:val="20"/>
              </w:rPr>
              <w:t>9.2</w:t>
            </w:r>
          </w:p>
        </w:tc>
      </w:tr>
      <w:tr>
        <w:trPr>
          <w:trHeight w:val="287" w:hRule="exact"/>
        </w:trPr>
        <w:tc>
          <w:tcPr>
            <w:tcW w:w="3100" w:type="dxa"/>
            <w:tcBorders>
              <w:top w:val="nil" w:sz="6" w:space="0" w:color="auto"/>
              <w:left w:val="nil" w:sz="6" w:space="0" w:color="auto"/>
              <w:bottom w:val="single" w:sz="4" w:space="0" w:color="000000"/>
              <w:right w:val="nil" w:sz="6" w:space="0" w:color="auto"/>
            </w:tcBorders>
          </w:tcPr>
          <w:p>
            <w:pPr>
              <w:pStyle w:val="TableParagraph"/>
              <w:spacing w:line="240" w:lineRule="auto" w:before="8"/>
              <w:ind w:left="122" w:right="0"/>
              <w:jc w:val="left"/>
              <w:rPr>
                <w:rFonts w:ascii="Calibri" w:hAnsi="Calibri" w:cs="Calibri" w:eastAsia="Calibri" w:hint="default"/>
                <w:sz w:val="20"/>
                <w:szCs w:val="20"/>
              </w:rPr>
            </w:pPr>
            <w:r>
              <w:rPr>
                <w:rFonts w:ascii="Calibri"/>
                <w:sz w:val="20"/>
              </w:rPr>
              <w:t>Total</w:t>
            </w:r>
          </w:p>
        </w:tc>
        <w:tc>
          <w:tcPr>
            <w:tcW w:w="2319" w:type="dxa"/>
            <w:tcBorders>
              <w:top w:val="nil" w:sz="6" w:space="0" w:color="auto"/>
              <w:left w:val="nil" w:sz="6" w:space="0" w:color="auto"/>
              <w:bottom w:val="single" w:sz="4" w:space="0" w:color="000000"/>
              <w:right w:val="nil" w:sz="6" w:space="0" w:color="auto"/>
            </w:tcBorders>
          </w:tcPr>
          <w:p>
            <w:pPr>
              <w:pStyle w:val="TableParagraph"/>
              <w:spacing w:line="240" w:lineRule="auto" w:before="8"/>
              <w:ind w:right="458"/>
              <w:jc w:val="right"/>
              <w:rPr>
                <w:rFonts w:ascii="Calibri" w:hAnsi="Calibri" w:cs="Calibri" w:eastAsia="Calibri" w:hint="default"/>
                <w:sz w:val="20"/>
                <w:szCs w:val="20"/>
              </w:rPr>
            </w:pPr>
            <w:r>
              <w:rPr>
                <w:rFonts w:ascii="Calibri"/>
                <w:w w:val="95"/>
                <w:sz w:val="20"/>
              </w:rPr>
              <w:t>84.7</w:t>
            </w:r>
            <w:r>
              <w:rPr>
                <w:rFonts w:ascii="Calibri"/>
                <w:sz w:val="20"/>
              </w:rPr>
            </w:r>
          </w:p>
        </w:tc>
        <w:tc>
          <w:tcPr>
            <w:tcW w:w="1315" w:type="dxa"/>
            <w:tcBorders>
              <w:top w:val="nil" w:sz="6" w:space="0" w:color="auto"/>
              <w:left w:val="nil" w:sz="6" w:space="0" w:color="auto"/>
              <w:bottom w:val="single" w:sz="4" w:space="0" w:color="000000"/>
              <w:right w:val="nil" w:sz="6" w:space="0" w:color="auto"/>
            </w:tcBorders>
          </w:tcPr>
          <w:p>
            <w:pPr>
              <w:pStyle w:val="TableParagraph"/>
              <w:spacing w:line="240" w:lineRule="auto" w:before="8"/>
              <w:ind w:right="421"/>
              <w:jc w:val="right"/>
              <w:rPr>
                <w:rFonts w:ascii="Calibri" w:hAnsi="Calibri" w:cs="Calibri" w:eastAsia="Calibri" w:hint="default"/>
                <w:sz w:val="20"/>
                <w:szCs w:val="20"/>
              </w:rPr>
            </w:pPr>
            <w:r>
              <w:rPr>
                <w:rFonts w:ascii="Calibri"/>
                <w:w w:val="95"/>
                <w:sz w:val="20"/>
              </w:rPr>
              <w:t>100.5</w:t>
            </w:r>
            <w:r>
              <w:rPr>
                <w:rFonts w:ascii="Calibri"/>
                <w:sz w:val="20"/>
              </w:rPr>
            </w:r>
          </w:p>
        </w:tc>
        <w:tc>
          <w:tcPr>
            <w:tcW w:w="1313" w:type="dxa"/>
            <w:tcBorders>
              <w:top w:val="nil" w:sz="6" w:space="0" w:color="auto"/>
              <w:left w:val="nil" w:sz="6" w:space="0" w:color="auto"/>
              <w:bottom w:val="single" w:sz="4" w:space="0" w:color="000000"/>
              <w:right w:val="nil" w:sz="6" w:space="0" w:color="auto"/>
            </w:tcBorders>
          </w:tcPr>
          <w:p>
            <w:pPr>
              <w:pStyle w:val="TableParagraph"/>
              <w:spacing w:line="240" w:lineRule="auto" w:before="8"/>
              <w:ind w:right="10"/>
              <w:jc w:val="center"/>
              <w:rPr>
                <w:rFonts w:ascii="Calibri" w:hAnsi="Calibri" w:cs="Calibri" w:eastAsia="Calibri" w:hint="default"/>
                <w:sz w:val="20"/>
                <w:szCs w:val="20"/>
              </w:rPr>
            </w:pPr>
            <w:r>
              <w:rPr>
                <w:rFonts w:ascii="Calibri"/>
                <w:sz w:val="20"/>
              </w:rPr>
              <w:t>102.3</w:t>
            </w:r>
          </w:p>
        </w:tc>
        <w:tc>
          <w:tcPr>
            <w:tcW w:w="1292" w:type="dxa"/>
            <w:tcBorders>
              <w:top w:val="nil" w:sz="6" w:space="0" w:color="auto"/>
              <w:left w:val="nil" w:sz="6" w:space="0" w:color="auto"/>
              <w:bottom w:val="single" w:sz="4" w:space="0" w:color="000000"/>
              <w:right w:val="nil" w:sz="6" w:space="0" w:color="auto"/>
            </w:tcBorders>
          </w:tcPr>
          <w:p>
            <w:pPr>
              <w:pStyle w:val="TableParagraph"/>
              <w:spacing w:line="240" w:lineRule="auto" w:before="8"/>
              <w:ind w:right="13"/>
              <w:jc w:val="center"/>
              <w:rPr>
                <w:rFonts w:ascii="Calibri" w:hAnsi="Calibri" w:cs="Calibri" w:eastAsia="Calibri" w:hint="default"/>
                <w:sz w:val="20"/>
                <w:szCs w:val="20"/>
              </w:rPr>
            </w:pPr>
            <w:r>
              <w:rPr>
                <w:rFonts w:ascii="Calibri"/>
                <w:sz w:val="20"/>
              </w:rPr>
              <w:t>94.5</w:t>
            </w:r>
          </w:p>
        </w:tc>
      </w:tr>
    </w:tbl>
    <w:p>
      <w:pPr>
        <w:spacing w:line="240" w:lineRule="auto" w:before="12"/>
        <w:ind w:right="0"/>
        <w:rPr>
          <w:rFonts w:ascii="Calibri" w:hAnsi="Calibri" w:cs="Calibri" w:eastAsia="Calibri" w:hint="default"/>
          <w:b/>
          <w:bCs/>
          <w:sz w:val="14"/>
          <w:szCs w:val="14"/>
        </w:rPr>
      </w:pPr>
    </w:p>
    <w:p>
      <w:pPr>
        <w:pStyle w:val="BodyText"/>
        <w:spacing w:line="240" w:lineRule="auto" w:before="59"/>
        <w:ind w:right="1439"/>
        <w:jc w:val="both"/>
        <w:rPr>
          <w:sz w:val="12"/>
          <w:szCs w:val="12"/>
        </w:rPr>
      </w:pPr>
      <w:r>
        <w:rPr/>
        <w:t>The volatility in the availability of marketing dollars has had its impact on market performance with regard to international</w:t>
      </w:r>
      <w:r>
        <w:rPr>
          <w:spacing w:val="-4"/>
        </w:rPr>
        <w:t> </w:t>
      </w:r>
      <w:r>
        <w:rPr/>
        <w:t>tourists.</w:t>
      </w:r>
      <w:r>
        <w:rPr>
          <w:spacing w:val="-4"/>
        </w:rPr>
        <w:t> </w:t>
      </w:r>
      <w:r>
        <w:rPr/>
        <w:t>For</w:t>
      </w:r>
      <w:r>
        <w:rPr>
          <w:spacing w:val="-4"/>
        </w:rPr>
        <w:t> </w:t>
      </w:r>
      <w:r>
        <w:rPr/>
        <w:t>example,</w:t>
      </w:r>
      <w:r>
        <w:rPr>
          <w:spacing w:val="-4"/>
        </w:rPr>
        <w:t> </w:t>
      </w:r>
      <w:r>
        <w:rPr/>
        <w:t>the</w:t>
      </w:r>
      <w:r>
        <w:rPr>
          <w:spacing w:val="-5"/>
        </w:rPr>
        <w:t> </w:t>
      </w:r>
      <w:r>
        <w:rPr/>
        <w:t>number</w:t>
      </w:r>
      <w:r>
        <w:rPr>
          <w:spacing w:val="-4"/>
        </w:rPr>
        <w:t> </w:t>
      </w:r>
      <w:r>
        <w:rPr/>
        <w:t>of</w:t>
      </w:r>
      <w:r>
        <w:rPr>
          <w:spacing w:val="-6"/>
        </w:rPr>
        <w:t> </w:t>
      </w:r>
      <w:r>
        <w:rPr/>
        <w:t>international</w:t>
      </w:r>
      <w:r>
        <w:rPr>
          <w:spacing w:val="-4"/>
        </w:rPr>
        <w:t> </w:t>
      </w:r>
      <w:r>
        <w:rPr/>
        <w:t>tourists</w:t>
      </w:r>
      <w:r>
        <w:rPr>
          <w:spacing w:val="-5"/>
        </w:rPr>
        <w:t> </w:t>
      </w:r>
      <w:r>
        <w:rPr/>
        <w:t>from</w:t>
      </w:r>
      <w:r>
        <w:rPr>
          <w:spacing w:val="-4"/>
        </w:rPr>
        <w:t> </w:t>
      </w:r>
      <w:r>
        <w:rPr/>
        <w:t>the</w:t>
      </w:r>
      <w:r>
        <w:rPr>
          <w:spacing w:val="-5"/>
        </w:rPr>
        <w:t> </w:t>
      </w:r>
      <w:r>
        <w:rPr/>
        <w:t>Caribbean</w:t>
      </w:r>
      <w:r>
        <w:rPr>
          <w:spacing w:val="-3"/>
        </w:rPr>
        <w:t> </w:t>
      </w:r>
      <w:r>
        <w:rPr/>
        <w:t>region</w:t>
      </w:r>
      <w:r>
        <w:rPr>
          <w:spacing w:val="-4"/>
        </w:rPr>
        <w:t> </w:t>
      </w:r>
      <w:r>
        <w:rPr/>
        <w:t>shows</w:t>
      </w:r>
      <w:r>
        <w:rPr>
          <w:spacing w:val="-6"/>
        </w:rPr>
        <w:t> </w:t>
      </w:r>
      <w:r>
        <w:rPr/>
        <w:t>a</w:t>
      </w:r>
      <w:r>
        <w:rPr>
          <w:spacing w:val="-4"/>
        </w:rPr>
        <w:t> </w:t>
      </w:r>
      <w:r>
        <w:rPr/>
        <w:t>decline </w:t>
      </w:r>
      <w:r>
        <w:rPr/>
        <w:t>of 3% in the number of visitor</w:t>
      </w:r>
      <w:r>
        <w:rPr>
          <w:spacing w:val="-12"/>
        </w:rPr>
        <w:t> </w:t>
      </w:r>
      <w:r>
        <w:rPr/>
        <w:t>nights.</w:t>
      </w:r>
      <w:r>
        <w:rPr>
          <w:position w:val="5"/>
          <w:sz w:val="12"/>
        </w:rPr>
        <w:t>37</w:t>
      </w:r>
      <w:r>
        <w:rPr>
          <w:sz w:val="12"/>
        </w:rPr>
      </w:r>
    </w:p>
    <w:p>
      <w:pPr>
        <w:spacing w:line="240" w:lineRule="auto" w:before="12"/>
        <w:ind w:right="0"/>
        <w:rPr>
          <w:rFonts w:ascii="Calibri" w:hAnsi="Calibri" w:cs="Calibri" w:eastAsia="Calibri" w:hint="default"/>
          <w:sz w:val="19"/>
          <w:szCs w:val="19"/>
        </w:rPr>
      </w:pPr>
    </w:p>
    <w:p>
      <w:pPr>
        <w:pStyle w:val="BodyText"/>
        <w:spacing w:line="240" w:lineRule="auto"/>
        <w:ind w:right="1434"/>
        <w:jc w:val="both"/>
      </w:pPr>
      <w:r>
        <w:rPr/>
        <w:t>Similarly,</w:t>
      </w:r>
      <w:r>
        <w:rPr>
          <w:spacing w:val="-13"/>
        </w:rPr>
        <w:t> </w:t>
      </w:r>
      <w:r>
        <w:rPr/>
        <w:t>the</w:t>
      </w:r>
      <w:r>
        <w:rPr>
          <w:spacing w:val="-14"/>
        </w:rPr>
        <w:t> </w:t>
      </w:r>
      <w:r>
        <w:rPr/>
        <w:t>American</w:t>
      </w:r>
      <w:r>
        <w:rPr>
          <w:spacing w:val="-13"/>
        </w:rPr>
        <w:t> </w:t>
      </w:r>
      <w:r>
        <w:rPr/>
        <w:t>market</w:t>
      </w:r>
      <w:r>
        <w:rPr>
          <w:spacing w:val="-13"/>
        </w:rPr>
        <w:t> </w:t>
      </w:r>
      <w:r>
        <w:rPr/>
        <w:t>remained</w:t>
      </w:r>
      <w:r>
        <w:rPr>
          <w:spacing w:val="-13"/>
        </w:rPr>
        <w:t> </w:t>
      </w:r>
      <w:r>
        <w:rPr/>
        <w:t>stagnant</w:t>
      </w:r>
      <w:r>
        <w:rPr>
          <w:spacing w:val="-10"/>
        </w:rPr>
        <w:t> </w:t>
      </w:r>
      <w:r>
        <w:rPr/>
        <w:t>or</w:t>
      </w:r>
      <w:r>
        <w:rPr>
          <w:spacing w:val="-14"/>
        </w:rPr>
        <w:t> </w:t>
      </w:r>
      <w:r>
        <w:rPr/>
        <w:t>revealed</w:t>
      </w:r>
      <w:r>
        <w:rPr>
          <w:spacing w:val="-13"/>
        </w:rPr>
        <w:t> </w:t>
      </w:r>
      <w:r>
        <w:rPr/>
        <w:t>some</w:t>
      </w:r>
      <w:r>
        <w:rPr>
          <w:spacing w:val="-14"/>
        </w:rPr>
        <w:t> </w:t>
      </w:r>
      <w:r>
        <w:rPr/>
        <w:t>decline</w:t>
      </w:r>
      <w:r>
        <w:rPr>
          <w:spacing w:val="-14"/>
        </w:rPr>
        <w:t> </w:t>
      </w:r>
      <w:r>
        <w:rPr/>
        <w:t>during</w:t>
      </w:r>
      <w:r>
        <w:rPr>
          <w:spacing w:val="-14"/>
        </w:rPr>
        <w:t> </w:t>
      </w:r>
      <w:r>
        <w:rPr/>
        <w:t>the</w:t>
      </w:r>
      <w:r>
        <w:rPr>
          <w:spacing w:val="-16"/>
        </w:rPr>
        <w:t> </w:t>
      </w:r>
      <w:r>
        <w:rPr/>
        <w:t>period</w:t>
      </w:r>
      <w:r>
        <w:rPr>
          <w:spacing w:val="-13"/>
        </w:rPr>
        <w:t> </w:t>
      </w:r>
      <w:r>
        <w:rPr/>
        <w:t>under</w:t>
      </w:r>
      <w:r>
        <w:rPr>
          <w:spacing w:val="-14"/>
        </w:rPr>
        <w:t> </w:t>
      </w:r>
      <w:r>
        <w:rPr/>
        <w:t>review.</w:t>
      </w:r>
      <w:r>
        <w:rPr>
          <w:spacing w:val="21"/>
        </w:rPr>
        <w:t> </w:t>
      </w:r>
      <w:r>
        <w:rPr/>
        <w:t>Overall, </w:t>
      </w:r>
      <w:r>
        <w:rPr/>
        <w:t>there seems to be little resemblance with regard to the trends between marketing dollars and tourism receipts as revealed in Figure 15. The lack of resemblance suggests that the marketing dollars are not targeting the right type of customers, or building the right type of relationships with</w:t>
      </w:r>
      <w:r>
        <w:rPr>
          <w:spacing w:val="-24"/>
        </w:rPr>
        <w:t> </w:t>
      </w:r>
      <w:r>
        <w:rPr/>
        <w:t>customers.</w:t>
      </w:r>
    </w:p>
    <w:p>
      <w:pPr>
        <w:spacing w:line="240" w:lineRule="auto" w:before="1" w:after="0"/>
        <w:ind w:right="0"/>
        <w:rPr>
          <w:rFonts w:ascii="Calibri" w:hAnsi="Calibri" w:cs="Calibri" w:eastAsia="Calibri" w:hint="default"/>
          <w:sz w:val="20"/>
          <w:szCs w:val="20"/>
        </w:rPr>
      </w:pPr>
    </w:p>
    <w:p>
      <w:pPr>
        <w:spacing w:line="240" w:lineRule="auto"/>
        <w:ind w:left="1896"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5278562" cy="1894522"/>
            <wp:effectExtent l="0" t="0" r="0" b="0"/>
            <wp:docPr id="33" name="image20.png" descr=""/>
            <wp:cNvGraphicFramePr>
              <a:graphicFrameLocks noChangeAspect="1"/>
            </wp:cNvGraphicFramePr>
            <a:graphic>
              <a:graphicData uri="http://schemas.openxmlformats.org/drawingml/2006/picture">
                <pic:pic>
                  <pic:nvPicPr>
                    <pic:cNvPr id="34" name="image20.png"/>
                    <pic:cNvPicPr/>
                  </pic:nvPicPr>
                  <pic:blipFill>
                    <a:blip r:embed="rId37" cstate="print"/>
                    <a:stretch>
                      <a:fillRect/>
                    </a:stretch>
                  </pic:blipFill>
                  <pic:spPr>
                    <a:xfrm>
                      <a:off x="0" y="0"/>
                      <a:ext cx="5278562" cy="1894522"/>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48"/>
        <w:ind w:left="2510" w:right="0"/>
        <w:jc w:val="left"/>
        <w:rPr>
          <w:b w:val="0"/>
          <w:bCs w:val="0"/>
        </w:rPr>
      </w:pPr>
      <w:bookmarkStart w:name="_bookmark74" w:id="75"/>
      <w:bookmarkEnd w:id="75"/>
      <w:r>
        <w:rPr>
          <w:b w:val="0"/>
        </w:rPr>
      </w:r>
      <w:r>
        <w:rPr/>
        <w:t>Figure 15: Relationship Marketing Budget (LRBUD) and Tourism Receipts</w:t>
      </w:r>
      <w:r>
        <w:rPr>
          <w:spacing w:val="13"/>
        </w:rPr>
        <w:t> </w:t>
      </w:r>
      <w:r>
        <w:rPr/>
        <w:t>(LRTOURREC)</w:t>
      </w:r>
      <w:r>
        <w:rPr>
          <w:b w:val="0"/>
        </w:rPr>
      </w:r>
    </w:p>
    <w:p>
      <w:pPr>
        <w:spacing w:line="240" w:lineRule="auto" w:before="1"/>
        <w:ind w:right="0"/>
        <w:rPr>
          <w:rFonts w:ascii="Calibri" w:hAnsi="Calibri" w:cs="Calibri" w:eastAsia="Calibri" w:hint="default"/>
          <w:b/>
          <w:bCs/>
          <w:sz w:val="20"/>
          <w:szCs w:val="20"/>
        </w:rPr>
      </w:pPr>
    </w:p>
    <w:p>
      <w:pPr>
        <w:pStyle w:val="BodyText"/>
        <w:spacing w:line="240" w:lineRule="auto"/>
        <w:ind w:right="1438"/>
        <w:jc w:val="both"/>
      </w:pPr>
      <w:r>
        <w:rPr/>
        <w:t>Similarly, a three year moving correlation analysis between the logarithm of the marketing budget and tourism receipts</w:t>
      </w:r>
      <w:r>
        <w:rPr>
          <w:spacing w:val="-8"/>
        </w:rPr>
        <w:t> </w:t>
      </w:r>
      <w:r>
        <w:rPr/>
        <w:t>reveals</w:t>
      </w:r>
      <w:r>
        <w:rPr>
          <w:spacing w:val="-8"/>
        </w:rPr>
        <w:t> </w:t>
      </w:r>
      <w:r>
        <w:rPr/>
        <w:t>a</w:t>
      </w:r>
      <w:r>
        <w:rPr>
          <w:spacing w:val="-6"/>
        </w:rPr>
        <w:t> </w:t>
      </w:r>
      <w:r>
        <w:rPr/>
        <w:t>large</w:t>
      </w:r>
      <w:r>
        <w:rPr>
          <w:spacing w:val="-8"/>
        </w:rPr>
        <w:t> </w:t>
      </w:r>
      <w:r>
        <w:rPr/>
        <w:t>positive</w:t>
      </w:r>
      <w:r>
        <w:rPr>
          <w:spacing w:val="-8"/>
        </w:rPr>
        <w:t> </w:t>
      </w:r>
      <w:r>
        <w:rPr/>
        <w:t>linear</w:t>
      </w:r>
      <w:r>
        <w:rPr>
          <w:spacing w:val="-7"/>
        </w:rPr>
        <w:t> </w:t>
      </w:r>
      <w:r>
        <w:rPr/>
        <w:t>relationship</w:t>
      </w:r>
      <w:r>
        <w:rPr>
          <w:spacing w:val="-4"/>
        </w:rPr>
        <w:t> </w:t>
      </w:r>
      <w:r>
        <w:rPr/>
        <w:t>for</w:t>
      </w:r>
      <w:r>
        <w:rPr>
          <w:spacing w:val="-4"/>
        </w:rPr>
        <w:t> </w:t>
      </w:r>
      <w:r>
        <w:rPr/>
        <w:t>2001,</w:t>
      </w:r>
      <w:r>
        <w:rPr>
          <w:spacing w:val="-4"/>
        </w:rPr>
        <w:t> </w:t>
      </w:r>
      <w:r>
        <w:rPr/>
        <w:t>2004,</w:t>
      </w:r>
      <w:r>
        <w:rPr>
          <w:spacing w:val="-6"/>
        </w:rPr>
        <w:t> </w:t>
      </w:r>
      <w:r>
        <w:rPr/>
        <w:t>and</w:t>
      </w:r>
      <w:r>
        <w:rPr>
          <w:spacing w:val="-6"/>
        </w:rPr>
        <w:t> </w:t>
      </w:r>
      <w:r>
        <w:rPr/>
        <w:t>2013.</w:t>
      </w:r>
      <w:r>
        <w:rPr>
          <w:spacing w:val="35"/>
        </w:rPr>
        <w:t> </w:t>
      </w:r>
      <w:r>
        <w:rPr/>
        <w:t>The</w:t>
      </w:r>
      <w:r>
        <w:rPr>
          <w:spacing w:val="-5"/>
        </w:rPr>
        <w:t> </w:t>
      </w:r>
      <w:r>
        <w:rPr/>
        <w:t>remaining</w:t>
      </w:r>
      <w:r>
        <w:rPr>
          <w:spacing w:val="-7"/>
        </w:rPr>
        <w:t> </w:t>
      </w:r>
      <w:r>
        <w:rPr/>
        <w:t>years</w:t>
      </w:r>
      <w:r>
        <w:rPr>
          <w:spacing w:val="-6"/>
        </w:rPr>
        <w:t> </w:t>
      </w:r>
      <w:r>
        <w:rPr/>
        <w:t>display</w:t>
      </w:r>
      <w:r>
        <w:rPr>
          <w:spacing w:val="-6"/>
        </w:rPr>
        <w:t> </w:t>
      </w:r>
      <w:r>
        <w:rPr/>
        <w:t>a</w:t>
      </w:r>
      <w:r>
        <w:rPr>
          <w:spacing w:val="-6"/>
        </w:rPr>
        <w:t> </w:t>
      </w:r>
      <w:r>
        <w:rPr/>
        <w:t>negative </w:t>
      </w:r>
      <w:r>
        <w:rPr/>
        <w:t>linear relationship (see Figure</w:t>
      </w:r>
      <w:r>
        <w:rPr>
          <w:spacing w:val="-14"/>
        </w:rPr>
        <w:t> </w:t>
      </w:r>
      <w:r>
        <w:rPr/>
        <w:t>16).</w:t>
      </w:r>
    </w:p>
    <w:p>
      <w:pPr>
        <w:spacing w:line="240" w:lineRule="auto" w:before="11"/>
        <w:ind w:right="0"/>
        <w:rPr>
          <w:rFonts w:ascii="Calibri" w:hAnsi="Calibri" w:cs="Calibri" w:eastAsia="Calibri" w:hint="default"/>
          <w:sz w:val="19"/>
          <w:szCs w:val="19"/>
        </w:rPr>
      </w:pPr>
    </w:p>
    <w:p>
      <w:pPr>
        <w:pStyle w:val="BodyText"/>
        <w:spacing w:line="240" w:lineRule="auto"/>
        <w:ind w:right="1435"/>
        <w:jc w:val="both"/>
      </w:pPr>
      <w:r>
        <w:rPr/>
        <w:t>The</w:t>
      </w:r>
      <w:r>
        <w:rPr>
          <w:spacing w:val="-5"/>
        </w:rPr>
        <w:t> </w:t>
      </w:r>
      <w:r>
        <w:rPr/>
        <w:t>high</w:t>
      </w:r>
      <w:r>
        <w:rPr>
          <w:spacing w:val="-4"/>
        </w:rPr>
        <w:t> </w:t>
      </w:r>
      <w:r>
        <w:rPr/>
        <w:t>volatility</w:t>
      </w:r>
      <w:r>
        <w:rPr>
          <w:spacing w:val="-4"/>
        </w:rPr>
        <w:t> </w:t>
      </w:r>
      <w:r>
        <w:rPr/>
        <w:t>in</w:t>
      </w:r>
      <w:r>
        <w:rPr>
          <w:spacing w:val="-4"/>
        </w:rPr>
        <w:t> </w:t>
      </w:r>
      <w:r>
        <w:rPr/>
        <w:t>marketing</w:t>
      </w:r>
      <w:r>
        <w:rPr>
          <w:spacing w:val="-5"/>
        </w:rPr>
        <w:t> </w:t>
      </w:r>
      <w:r>
        <w:rPr/>
        <w:t>dollars</w:t>
      </w:r>
      <w:r>
        <w:rPr>
          <w:spacing w:val="-5"/>
        </w:rPr>
        <w:t> </w:t>
      </w:r>
      <w:r>
        <w:rPr/>
        <w:t>adds</w:t>
      </w:r>
      <w:r>
        <w:rPr>
          <w:spacing w:val="-5"/>
        </w:rPr>
        <w:t> </w:t>
      </w:r>
      <w:r>
        <w:rPr/>
        <w:t>to</w:t>
      </w:r>
      <w:r>
        <w:rPr>
          <w:spacing w:val="-4"/>
        </w:rPr>
        <w:t> </w:t>
      </w:r>
      <w:r>
        <w:rPr/>
        <w:t>the</w:t>
      </w:r>
      <w:r>
        <w:rPr>
          <w:spacing w:val="-3"/>
        </w:rPr>
        <w:t> </w:t>
      </w:r>
      <w:r>
        <w:rPr/>
        <w:t>uncertainty</w:t>
      </w:r>
      <w:r>
        <w:rPr>
          <w:spacing w:val="-4"/>
        </w:rPr>
        <w:t> </w:t>
      </w:r>
      <w:r>
        <w:rPr/>
        <w:t>of</w:t>
      </w:r>
      <w:r>
        <w:rPr>
          <w:spacing w:val="-5"/>
        </w:rPr>
        <w:t> </w:t>
      </w:r>
      <w:r>
        <w:rPr/>
        <w:t>local</w:t>
      </w:r>
      <w:r>
        <w:rPr>
          <w:spacing w:val="-5"/>
        </w:rPr>
        <w:t> </w:t>
      </w:r>
      <w:r>
        <w:rPr/>
        <w:t>and</w:t>
      </w:r>
      <w:r>
        <w:rPr>
          <w:spacing w:val="-4"/>
        </w:rPr>
        <w:t> </w:t>
      </w:r>
      <w:r>
        <w:rPr/>
        <w:t>international</w:t>
      </w:r>
      <w:r>
        <w:rPr>
          <w:spacing w:val="-6"/>
        </w:rPr>
        <w:t> </w:t>
      </w:r>
      <w:r>
        <w:rPr/>
        <w:t>providers</w:t>
      </w:r>
      <w:r>
        <w:rPr>
          <w:spacing w:val="-2"/>
        </w:rPr>
        <w:t> </w:t>
      </w:r>
      <w:r>
        <w:rPr/>
        <w:t>and</w:t>
      </w:r>
      <w:r>
        <w:rPr>
          <w:spacing w:val="-4"/>
        </w:rPr>
        <w:t> </w:t>
      </w:r>
      <w:r>
        <w:rPr/>
        <w:t>international </w:t>
      </w:r>
      <w:r>
        <w:rPr/>
        <w:t>distribution channels in terms of the importance of the tourism industry for the government. Additionally, uncertainty stunts needed investments to expand and sustain tourist offerings at the destination. Providing more certainty</w:t>
      </w:r>
      <w:r>
        <w:rPr>
          <w:spacing w:val="-9"/>
        </w:rPr>
        <w:t> </w:t>
      </w:r>
      <w:r>
        <w:rPr/>
        <w:t>in</w:t>
      </w:r>
      <w:r>
        <w:rPr>
          <w:spacing w:val="-10"/>
        </w:rPr>
        <w:t> </w:t>
      </w:r>
      <w:r>
        <w:rPr/>
        <w:t>the</w:t>
      </w:r>
      <w:r>
        <w:rPr>
          <w:spacing w:val="-10"/>
        </w:rPr>
        <w:t> </w:t>
      </w:r>
      <w:r>
        <w:rPr/>
        <w:t>allocation</w:t>
      </w:r>
      <w:r>
        <w:rPr>
          <w:spacing w:val="-9"/>
        </w:rPr>
        <w:t> </w:t>
      </w:r>
      <w:r>
        <w:rPr/>
        <w:t>of</w:t>
      </w:r>
      <w:r>
        <w:rPr>
          <w:spacing w:val="-12"/>
        </w:rPr>
        <w:t> </w:t>
      </w:r>
      <w:r>
        <w:rPr/>
        <w:t>marketing</w:t>
      </w:r>
      <w:r>
        <w:rPr>
          <w:spacing w:val="-10"/>
        </w:rPr>
        <w:t> </w:t>
      </w:r>
      <w:r>
        <w:rPr/>
        <w:t>dollars</w:t>
      </w:r>
      <w:r>
        <w:rPr>
          <w:spacing w:val="-8"/>
        </w:rPr>
        <w:t> </w:t>
      </w:r>
      <w:r>
        <w:rPr/>
        <w:t>is</w:t>
      </w:r>
      <w:r>
        <w:rPr>
          <w:spacing w:val="-10"/>
        </w:rPr>
        <w:t> </w:t>
      </w:r>
      <w:r>
        <w:rPr/>
        <w:t>an</w:t>
      </w:r>
      <w:r>
        <w:rPr>
          <w:spacing w:val="-9"/>
        </w:rPr>
        <w:t> </w:t>
      </w:r>
      <w:r>
        <w:rPr/>
        <w:t>important</w:t>
      </w:r>
      <w:r>
        <w:rPr>
          <w:spacing w:val="-10"/>
        </w:rPr>
        <w:t> </w:t>
      </w:r>
      <w:r>
        <w:rPr/>
        <w:t>component</w:t>
      </w:r>
      <w:r>
        <w:rPr>
          <w:spacing w:val="-10"/>
        </w:rPr>
        <w:t> </w:t>
      </w:r>
      <w:r>
        <w:rPr/>
        <w:t>of</w:t>
      </w:r>
      <w:r>
        <w:rPr>
          <w:spacing w:val="-10"/>
        </w:rPr>
        <w:t> </w:t>
      </w:r>
      <w:r>
        <w:rPr/>
        <w:t>change</w:t>
      </w:r>
      <w:r>
        <w:rPr>
          <w:spacing w:val="-10"/>
        </w:rPr>
        <w:t> </w:t>
      </w:r>
      <w:r>
        <w:rPr/>
        <w:t>for</w:t>
      </w:r>
      <w:r>
        <w:rPr>
          <w:spacing w:val="-7"/>
        </w:rPr>
        <w:t> </w:t>
      </w:r>
      <w:r>
        <w:rPr/>
        <w:t>key</w:t>
      </w:r>
      <w:r>
        <w:rPr>
          <w:spacing w:val="-10"/>
        </w:rPr>
        <w:t> </w:t>
      </w:r>
      <w:r>
        <w:rPr/>
        <w:t>tourism</w:t>
      </w:r>
      <w:r>
        <w:rPr>
          <w:spacing w:val="-10"/>
        </w:rPr>
        <w:t> </w:t>
      </w:r>
      <w:r>
        <w:rPr/>
        <w:t>source</w:t>
      </w:r>
      <w:r>
        <w:rPr>
          <w:spacing w:val="-10"/>
        </w:rPr>
        <w:t> </w:t>
      </w:r>
      <w:r>
        <w:rPr/>
        <w:t>markets. </w:t>
      </w:r>
      <w:r>
        <w:rPr/>
        <w:t>Moreover, certainty in the availability of marketing dollars may fuel confidence in the markets regarding new capacities and capabilities in tourism management and sector development. This is vital, not only if an economy is to become more resilient against disruptive events, but if it is to prepare for long term stability. Multiple conversations</w:t>
      </w:r>
      <w:r>
        <w:rPr>
          <w:spacing w:val="-6"/>
        </w:rPr>
        <w:t> </w:t>
      </w:r>
      <w:r>
        <w:rPr/>
        <w:t>with</w:t>
      </w:r>
      <w:r>
        <w:rPr>
          <w:spacing w:val="-7"/>
        </w:rPr>
        <w:t> </w:t>
      </w:r>
      <w:r>
        <w:rPr/>
        <w:t>stakeholders</w:t>
      </w:r>
      <w:r>
        <w:rPr>
          <w:spacing w:val="-6"/>
        </w:rPr>
        <w:t> </w:t>
      </w:r>
      <w:r>
        <w:rPr/>
        <w:t>suggested</w:t>
      </w:r>
      <w:r>
        <w:rPr>
          <w:spacing w:val="-7"/>
        </w:rPr>
        <w:t> </w:t>
      </w:r>
      <w:r>
        <w:rPr/>
        <w:t>that,</w:t>
      </w:r>
      <w:r>
        <w:rPr>
          <w:spacing w:val="-7"/>
        </w:rPr>
        <w:t> </w:t>
      </w:r>
      <w:r>
        <w:rPr/>
        <w:t>because</w:t>
      </w:r>
      <w:r>
        <w:rPr>
          <w:spacing w:val="-6"/>
        </w:rPr>
        <w:t> </w:t>
      </w:r>
      <w:r>
        <w:rPr/>
        <w:t>the</w:t>
      </w:r>
      <w:r>
        <w:rPr>
          <w:spacing w:val="-9"/>
        </w:rPr>
        <w:t> </w:t>
      </w:r>
      <w:r>
        <w:rPr/>
        <w:t>tourism</w:t>
      </w:r>
      <w:r>
        <w:rPr>
          <w:spacing w:val="-6"/>
        </w:rPr>
        <w:t> </w:t>
      </w:r>
      <w:r>
        <w:rPr/>
        <w:t>industry</w:t>
      </w:r>
      <w:r>
        <w:rPr>
          <w:spacing w:val="-6"/>
        </w:rPr>
        <w:t> </w:t>
      </w:r>
      <w:r>
        <w:rPr/>
        <w:t>requires</w:t>
      </w:r>
      <w:r>
        <w:rPr>
          <w:spacing w:val="-9"/>
        </w:rPr>
        <w:t> </w:t>
      </w:r>
      <w:r>
        <w:rPr/>
        <w:t>a</w:t>
      </w:r>
      <w:r>
        <w:rPr>
          <w:spacing w:val="-5"/>
        </w:rPr>
        <w:t> </w:t>
      </w:r>
      <w:r>
        <w:rPr/>
        <w:t>priority</w:t>
      </w:r>
      <w:r>
        <w:rPr>
          <w:spacing w:val="-7"/>
        </w:rPr>
        <w:t> </w:t>
      </w:r>
      <w:r>
        <w:rPr/>
        <w:t>policy</w:t>
      </w:r>
      <w:r>
        <w:rPr>
          <w:spacing w:val="-7"/>
        </w:rPr>
        <w:t> </w:t>
      </w:r>
      <w:r>
        <w:rPr/>
        <w:t>role</w:t>
      </w:r>
      <w:r>
        <w:rPr>
          <w:spacing w:val="-9"/>
        </w:rPr>
        <w:t> </w:t>
      </w:r>
      <w:r>
        <w:rPr/>
        <w:t>in</w:t>
      </w:r>
      <w:r>
        <w:rPr>
          <w:spacing w:val="-7"/>
        </w:rPr>
        <w:t> </w:t>
      </w:r>
      <w:r>
        <w:rPr/>
        <w:t>order </w:t>
      </w:r>
      <w:r>
        <w:rPr/>
        <w:t>to</w:t>
      </w:r>
      <w:r>
        <w:rPr>
          <w:spacing w:val="-3"/>
        </w:rPr>
        <w:t> </w:t>
      </w:r>
      <w:r>
        <w:rPr/>
        <w:t>secure</w:t>
      </w:r>
      <w:r>
        <w:rPr>
          <w:spacing w:val="-4"/>
        </w:rPr>
        <w:t> </w:t>
      </w:r>
      <w:r>
        <w:rPr/>
        <w:t>its</w:t>
      </w:r>
      <w:r>
        <w:rPr>
          <w:spacing w:val="-5"/>
        </w:rPr>
        <w:t> </w:t>
      </w:r>
      <w:r>
        <w:rPr/>
        <w:t>growth,</w:t>
      </w:r>
      <w:r>
        <w:rPr>
          <w:spacing w:val="-2"/>
        </w:rPr>
        <w:t> </w:t>
      </w:r>
      <w:r>
        <w:rPr/>
        <w:t>the</w:t>
      </w:r>
      <w:r>
        <w:rPr>
          <w:spacing w:val="-4"/>
        </w:rPr>
        <w:t> </w:t>
      </w:r>
      <w:r>
        <w:rPr/>
        <w:t>government</w:t>
      </w:r>
      <w:r>
        <w:rPr>
          <w:spacing w:val="-3"/>
        </w:rPr>
        <w:t> </w:t>
      </w:r>
      <w:r>
        <w:rPr/>
        <w:t>should</w:t>
      </w:r>
      <w:r>
        <w:rPr>
          <w:spacing w:val="-3"/>
        </w:rPr>
        <w:t> </w:t>
      </w:r>
      <w:r>
        <w:rPr/>
        <w:t>clearly</w:t>
      </w:r>
      <w:r>
        <w:rPr>
          <w:spacing w:val="-3"/>
        </w:rPr>
        <w:t> </w:t>
      </w:r>
      <w:r>
        <w:rPr/>
        <w:t>state</w:t>
      </w:r>
      <w:r>
        <w:rPr>
          <w:spacing w:val="-4"/>
        </w:rPr>
        <w:t> </w:t>
      </w:r>
      <w:r>
        <w:rPr/>
        <w:t>its</w:t>
      </w:r>
      <w:r>
        <w:rPr>
          <w:spacing w:val="-5"/>
        </w:rPr>
        <w:t> </w:t>
      </w:r>
      <w:r>
        <w:rPr/>
        <w:t>support</w:t>
      </w:r>
      <w:r>
        <w:rPr>
          <w:spacing w:val="-3"/>
        </w:rPr>
        <w:t> </w:t>
      </w:r>
      <w:r>
        <w:rPr/>
        <w:t>and</w:t>
      </w:r>
      <w:r>
        <w:rPr>
          <w:spacing w:val="-3"/>
        </w:rPr>
        <w:t> </w:t>
      </w:r>
      <w:r>
        <w:rPr/>
        <w:t>advocacy</w:t>
      </w:r>
      <w:r>
        <w:rPr>
          <w:spacing w:val="-3"/>
        </w:rPr>
        <w:t> </w:t>
      </w:r>
      <w:r>
        <w:rPr/>
        <w:t>regarding</w:t>
      </w:r>
      <w:r>
        <w:rPr>
          <w:spacing w:val="-4"/>
        </w:rPr>
        <w:t> </w:t>
      </w:r>
      <w:r>
        <w:rPr/>
        <w:t>that</w:t>
      </w:r>
      <w:r>
        <w:rPr>
          <w:spacing w:val="-3"/>
        </w:rPr>
        <w:t> </w:t>
      </w:r>
      <w:r>
        <w:rPr/>
        <w:t>role.</w:t>
      </w:r>
    </w:p>
    <w:p>
      <w:pPr>
        <w:spacing w:line="240" w:lineRule="auto" w:before="12" w:after="0"/>
        <w:ind w:right="0"/>
        <w:rPr>
          <w:rFonts w:ascii="Calibri" w:hAnsi="Calibri" w:cs="Calibri" w:eastAsia="Calibri" w:hint="default"/>
          <w:sz w:val="18"/>
          <w:szCs w:val="18"/>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7" w:lineRule="auto" w:before="91"/>
        <w:ind w:left="1440" w:right="3199" w:firstLine="0"/>
        <w:jc w:val="left"/>
        <w:rPr>
          <w:rFonts w:ascii="Calibri" w:hAnsi="Calibri" w:cs="Calibri" w:eastAsia="Calibri" w:hint="default"/>
          <w:sz w:val="16"/>
          <w:szCs w:val="16"/>
        </w:rPr>
      </w:pPr>
      <w:r>
        <w:rPr>
          <w:rFonts w:ascii="Calibri" w:hAnsi="Calibri"/>
          <w:position w:val="5"/>
          <w:sz w:val="12"/>
        </w:rPr>
        <w:t>36 </w:t>
      </w:r>
      <w:r>
        <w:rPr>
          <w:rFonts w:ascii="Calibri" w:hAnsi="Calibri"/>
          <w:sz w:val="16"/>
        </w:rPr>
        <w:t>Source: Government Budgets, Central Bank of Curaçao. Available at Curaçao Central Bureau of Statistics Webpage: </w:t>
      </w:r>
      <w:r>
        <w:rPr>
          <w:rFonts w:ascii="Calibri" w:hAnsi="Calibri"/>
          <w:sz w:val="16"/>
        </w:rPr>
      </w:r>
      <w:hyperlink r:id="rId38">
        <w:r>
          <w:rPr>
            <w:rFonts w:ascii="Calibri" w:hAnsi="Calibri"/>
            <w:sz w:val="16"/>
          </w:rPr>
          <w:t>http://www.cbs.cw/cbs/themes/Economy/DataEconomy-2014062794515.pdf</w:t>
        </w:r>
      </w:hyperlink>
    </w:p>
    <w:p>
      <w:pPr>
        <w:spacing w:line="247" w:lineRule="auto" w:before="0"/>
        <w:ind w:left="1440" w:right="1816" w:firstLine="0"/>
        <w:jc w:val="left"/>
        <w:rPr>
          <w:rFonts w:ascii="Calibri" w:hAnsi="Calibri" w:cs="Calibri" w:eastAsia="Calibri" w:hint="default"/>
          <w:sz w:val="16"/>
          <w:szCs w:val="16"/>
        </w:rPr>
      </w:pPr>
      <w:r>
        <w:rPr>
          <w:rFonts w:ascii="Calibri" w:hAnsi="Calibri" w:cs="Calibri" w:eastAsia="Calibri" w:hint="default"/>
          <w:position w:val="5"/>
          <w:sz w:val="12"/>
          <w:szCs w:val="12"/>
        </w:rPr>
        <w:t>37 </w:t>
      </w:r>
      <w:r>
        <w:rPr>
          <w:rFonts w:ascii="Calibri" w:hAnsi="Calibri" w:cs="Calibri" w:eastAsia="Calibri" w:hint="default"/>
          <w:sz w:val="16"/>
          <w:szCs w:val="16"/>
        </w:rPr>
        <w:t>(17.802 nights </w:t>
      </w:r>
      <w:r>
        <w:rPr>
          <w:rFonts w:ascii="Calibri" w:hAnsi="Calibri" w:cs="Calibri" w:eastAsia="Calibri" w:hint="default"/>
          <w:sz w:val="16"/>
          <w:szCs w:val="16"/>
        </w:rPr>
        <w:t>–</w:t>
      </w:r>
      <w:r>
        <w:rPr>
          <w:rFonts w:ascii="Calibri" w:hAnsi="Calibri" w:cs="Calibri" w:eastAsia="Calibri" w:hint="default"/>
          <w:sz w:val="16"/>
          <w:szCs w:val="16"/>
        </w:rPr>
        <w:t>Source: The Curaçao Chronicle. Available at: </w:t>
      </w:r>
      <w:hyperlink r:id="rId39">
        <w:r>
          <w:rPr>
            <w:rFonts w:ascii="Calibri" w:hAnsi="Calibri" w:cs="Calibri" w:eastAsia="Calibri" w:hint="default"/>
            <w:sz w:val="16"/>
            <w:szCs w:val="16"/>
          </w:rPr>
          <w:t>http://www.caribbeannewsdigital.com/en/noticia/tourism-generated-352-</w:t>
        </w:r>
      </w:hyperlink>
      <w:r>
        <w:rPr>
          <w:rFonts w:ascii="Calibri" w:hAnsi="Calibri" w:cs="Calibri" w:eastAsia="Calibri" w:hint="default"/>
          <w:sz w:val="16"/>
          <w:szCs w:val="16"/>
        </w:rPr>
        <w:t> </w:t>
      </w:r>
      <w:r>
        <w:rPr>
          <w:rFonts w:ascii="Calibri" w:hAnsi="Calibri" w:cs="Calibri" w:eastAsia="Calibri" w:hint="default"/>
          <w:sz w:val="16"/>
          <w:szCs w:val="16"/>
        </w:rPr>
        <w:t>million-Curaçao-economy-january-2014).</w:t>
      </w:r>
    </w:p>
    <w:p>
      <w:pPr>
        <w:spacing w:after="0" w:line="247"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2" w:after="0"/>
        <w:ind w:right="0"/>
        <w:rPr>
          <w:rFonts w:ascii="Calibri" w:hAnsi="Calibri" w:cs="Calibri" w:eastAsia="Calibri" w:hint="default"/>
          <w:sz w:val="27"/>
          <w:szCs w:val="27"/>
        </w:rPr>
      </w:pPr>
    </w:p>
    <w:p>
      <w:pPr>
        <w:spacing w:line="240" w:lineRule="auto"/>
        <w:ind w:left="2712"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4314482" cy="1623059"/>
            <wp:effectExtent l="0" t="0" r="0" b="0"/>
            <wp:docPr id="35" name="image21.jpeg" descr=""/>
            <wp:cNvGraphicFramePr>
              <a:graphicFrameLocks noChangeAspect="1"/>
            </wp:cNvGraphicFramePr>
            <a:graphic>
              <a:graphicData uri="http://schemas.openxmlformats.org/drawingml/2006/picture">
                <pic:pic>
                  <pic:nvPicPr>
                    <pic:cNvPr id="36" name="image21.jpeg"/>
                    <pic:cNvPicPr/>
                  </pic:nvPicPr>
                  <pic:blipFill>
                    <a:blip r:embed="rId40" cstate="print"/>
                    <a:stretch>
                      <a:fillRect/>
                    </a:stretch>
                  </pic:blipFill>
                  <pic:spPr>
                    <a:xfrm>
                      <a:off x="0" y="0"/>
                      <a:ext cx="4314482" cy="1623059"/>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6"/>
        <w:ind w:left="2561" w:right="0"/>
        <w:jc w:val="left"/>
        <w:rPr>
          <w:b w:val="0"/>
          <w:bCs w:val="0"/>
        </w:rPr>
      </w:pPr>
      <w:bookmarkStart w:name="_bookmark75" w:id="76"/>
      <w:bookmarkEnd w:id="76"/>
      <w:r>
        <w:rPr>
          <w:b w:val="0"/>
        </w:rPr>
      </w:r>
      <w:r>
        <w:rPr/>
        <w:t>Figure 16:  Correlation Marketing Budget (LRBUD) and Tourism Receipts</w:t>
      </w:r>
      <w:r>
        <w:rPr>
          <w:spacing w:val="-31"/>
        </w:rPr>
        <w:t> </w:t>
      </w:r>
      <w:r>
        <w:rPr/>
        <w:t>(LRTOURREC)</w:t>
      </w:r>
      <w:r>
        <w:rPr>
          <w:b w:val="0"/>
        </w:rPr>
      </w:r>
    </w:p>
    <w:p>
      <w:pPr>
        <w:spacing w:line="240" w:lineRule="auto" w:before="0"/>
        <w:ind w:right="0"/>
        <w:rPr>
          <w:rFonts w:ascii="Calibri" w:hAnsi="Calibri" w:cs="Calibri" w:eastAsia="Calibri" w:hint="default"/>
          <w:b/>
          <w:bCs/>
          <w:sz w:val="20"/>
          <w:szCs w:val="20"/>
        </w:rPr>
      </w:pPr>
    </w:p>
    <w:p>
      <w:pPr>
        <w:pStyle w:val="Heading2"/>
        <w:spacing w:line="240" w:lineRule="auto" w:before="146"/>
        <w:ind w:right="0"/>
        <w:jc w:val="both"/>
        <w:rPr>
          <w:b w:val="0"/>
          <w:bCs w:val="0"/>
        </w:rPr>
      </w:pPr>
      <w:bookmarkStart w:name="_bookmark76" w:id="77"/>
      <w:bookmarkEnd w:id="77"/>
      <w:r>
        <w:rPr>
          <w:b w:val="0"/>
        </w:rPr>
      </w:r>
      <w:r>
        <w:rPr/>
        <w:t>The business environment and the low economic</w:t>
      </w:r>
      <w:r>
        <w:rPr>
          <w:spacing w:val="-30"/>
        </w:rPr>
        <w:t> </w:t>
      </w:r>
      <w:r>
        <w:rPr/>
        <w:t>return</w:t>
      </w:r>
      <w:r>
        <w:rPr>
          <w:b w:val="0"/>
        </w:rPr>
      </w:r>
    </w:p>
    <w:p>
      <w:pPr>
        <w:pStyle w:val="BodyText"/>
        <w:spacing w:line="259" w:lineRule="auto" w:before="192"/>
        <w:ind w:right="1437"/>
        <w:jc w:val="both"/>
      </w:pPr>
      <w:r>
        <w:rPr/>
        <w:t>Tourism</w:t>
      </w:r>
      <w:r>
        <w:rPr>
          <w:rFonts w:ascii="Calibri" w:hAnsi="Calibri" w:cs="Calibri" w:eastAsia="Calibri" w:hint="default"/>
        </w:rPr>
        <w:t>’s ability to provoke </w:t>
      </w:r>
      <w:r>
        <w:rPr/>
        <w:t>economic growth and social prosperity depends upon an attractive investment and business climate. Businesses create jobs; and if the business climate is not conducive to investment, jobs will be wasted or lost. Further, sustainable economic growth could suffer under the condition of a rigid business climate. In order to achieve sustainable economic recovery, the business environment should improve the quality of regulation, promote external competitiveness, and systematically introduce better regulatory procedures and practices.</w:t>
      </w:r>
      <w:r>
        <w:rPr>
          <w:spacing w:val="-10"/>
        </w:rPr>
        <w:t> </w:t>
      </w:r>
      <w:r>
        <w:rPr/>
        <w:t>The</w:t>
      </w:r>
      <w:r>
        <w:rPr>
          <w:spacing w:val="-12"/>
        </w:rPr>
        <w:t> </w:t>
      </w:r>
      <w:r>
        <w:rPr/>
        <w:t>evolving</w:t>
      </w:r>
      <w:r>
        <w:rPr>
          <w:spacing w:val="-12"/>
        </w:rPr>
        <w:t> </w:t>
      </w:r>
      <w:r>
        <w:rPr/>
        <w:t>business</w:t>
      </w:r>
      <w:r>
        <w:rPr>
          <w:spacing w:val="-11"/>
        </w:rPr>
        <w:t> </w:t>
      </w:r>
      <w:r>
        <w:rPr/>
        <w:t>environment</w:t>
      </w:r>
      <w:r>
        <w:rPr>
          <w:spacing w:val="-11"/>
        </w:rPr>
        <w:t> </w:t>
      </w:r>
      <w:r>
        <w:rPr/>
        <w:t>on</w:t>
      </w:r>
      <w:r>
        <w:rPr>
          <w:spacing w:val="-11"/>
        </w:rPr>
        <w:t> </w:t>
      </w:r>
      <w:r>
        <w:rPr/>
        <w:t>the</w:t>
      </w:r>
      <w:r>
        <w:rPr>
          <w:spacing w:val="-12"/>
        </w:rPr>
        <w:t> </w:t>
      </w:r>
      <w:r>
        <w:rPr/>
        <w:t>island,</w:t>
      </w:r>
      <w:r>
        <w:rPr>
          <w:spacing w:val="-11"/>
        </w:rPr>
        <w:t> </w:t>
      </w:r>
      <w:r>
        <w:rPr/>
        <w:t>then,</w:t>
      </w:r>
      <w:r>
        <w:rPr>
          <w:spacing w:val="-11"/>
        </w:rPr>
        <w:t> </w:t>
      </w:r>
      <w:r>
        <w:rPr/>
        <w:t>affects</w:t>
      </w:r>
      <w:r>
        <w:rPr>
          <w:spacing w:val="-12"/>
        </w:rPr>
        <w:t> </w:t>
      </w:r>
      <w:r>
        <w:rPr/>
        <w:t>productivity,</w:t>
      </w:r>
      <w:r>
        <w:rPr>
          <w:spacing w:val="-11"/>
        </w:rPr>
        <w:t> </w:t>
      </w:r>
      <w:r>
        <w:rPr/>
        <w:t>performance,</w:t>
      </w:r>
      <w:r>
        <w:rPr>
          <w:spacing w:val="-11"/>
        </w:rPr>
        <w:t> </w:t>
      </w:r>
      <w:r>
        <w:rPr/>
        <w:t>and</w:t>
      </w:r>
      <w:r>
        <w:rPr>
          <w:spacing w:val="-11"/>
        </w:rPr>
        <w:t> </w:t>
      </w:r>
      <w:r>
        <w:rPr/>
        <w:t>profitability </w:t>
      </w:r>
      <w:r>
        <w:rPr/>
        <w:t>of the tourism</w:t>
      </w:r>
      <w:r>
        <w:rPr>
          <w:spacing w:val="-11"/>
        </w:rPr>
        <w:t> </w:t>
      </w:r>
      <w:r>
        <w:rPr/>
        <w:t>industry.</w:t>
      </w:r>
    </w:p>
    <w:p>
      <w:pPr>
        <w:pStyle w:val="BodyText"/>
        <w:spacing w:line="259" w:lineRule="auto" w:before="158"/>
        <w:ind w:right="1435"/>
        <w:jc w:val="both"/>
      </w:pPr>
      <w:r>
        <w:rPr>
          <w:rFonts w:ascii="Calibri" w:hAnsi="Calibri" w:cs="Calibri" w:eastAsia="Calibri" w:hint="default"/>
        </w:rPr>
        <w:t>The report entitled, “</w:t>
      </w:r>
      <w:r>
        <w:rPr/>
        <w:t>Strategies for sustainable long-</w:t>
      </w:r>
      <w:r>
        <w:rPr>
          <w:rFonts w:ascii="Calibri" w:hAnsi="Calibri" w:cs="Calibri" w:eastAsia="Calibri" w:hint="default"/>
        </w:rPr>
        <w:t>term economic development in Curaçao,” (May, 2013) </w:t>
      </w:r>
      <w:r>
        <w:rPr/>
        <w:t>documents how the current institutional and regulatory framework in Curaçao is impinging upon the business environment on the island.</w:t>
      </w:r>
      <w:r>
        <w:rPr>
          <w:position w:val="5"/>
          <w:sz w:val="12"/>
          <w:szCs w:val="12"/>
        </w:rPr>
        <w:t>38 </w:t>
      </w:r>
      <w:r>
        <w:rPr/>
        <w:t>That is, the current environment is curtailing business initiatives and investments. </w:t>
      </w:r>
      <w:r>
        <w:rPr/>
        <w:t>Consequently, the investment level in the tourism and hospitality industries on the island is low when compared to that of the Caribbean region.</w:t>
      </w:r>
      <w:r>
        <w:rPr>
          <w:position w:val="5"/>
          <w:sz w:val="12"/>
          <w:szCs w:val="12"/>
        </w:rPr>
        <w:t>39 </w:t>
      </w:r>
      <w:r>
        <w:rPr/>
        <w:t>Hence, </w:t>
      </w:r>
      <w:r>
        <w:rPr>
          <w:rFonts w:ascii="Calibri" w:hAnsi="Calibri" w:cs="Calibri" w:eastAsia="Calibri" w:hint="default"/>
        </w:rPr>
        <w:t>the low level of investment flows to low levels of tourists’ spending. </w:t>
      </w:r>
      <w:r>
        <w:rPr/>
        <w:t>Tourists average</w:t>
      </w:r>
      <w:r>
        <w:rPr>
          <w:spacing w:val="-5"/>
        </w:rPr>
        <w:t> </w:t>
      </w:r>
      <w:r>
        <w:rPr/>
        <w:t>daily</w:t>
      </w:r>
      <w:r>
        <w:rPr>
          <w:spacing w:val="-3"/>
        </w:rPr>
        <w:t> </w:t>
      </w:r>
      <w:r>
        <w:rPr/>
        <w:t>spending</w:t>
      </w:r>
      <w:r>
        <w:rPr>
          <w:spacing w:val="-5"/>
        </w:rPr>
        <w:t> </w:t>
      </w:r>
      <w:r>
        <w:rPr/>
        <w:t>is</w:t>
      </w:r>
      <w:r>
        <w:rPr>
          <w:spacing w:val="-6"/>
        </w:rPr>
        <w:t> </w:t>
      </w:r>
      <w:r>
        <w:rPr/>
        <w:t>about</w:t>
      </w:r>
      <w:r>
        <w:rPr>
          <w:spacing w:val="-4"/>
        </w:rPr>
        <w:t> </w:t>
      </w:r>
      <w:r>
        <w:rPr/>
        <w:t>US$100.00</w:t>
      </w:r>
      <w:r>
        <w:rPr>
          <w:spacing w:val="-5"/>
        </w:rPr>
        <w:t> </w:t>
      </w:r>
      <w:r>
        <w:rPr/>
        <w:t>and</w:t>
      </w:r>
      <w:r>
        <w:rPr>
          <w:spacing w:val="-4"/>
        </w:rPr>
        <w:t> </w:t>
      </w:r>
      <w:r>
        <w:rPr/>
        <w:t>the</w:t>
      </w:r>
      <w:r>
        <w:rPr>
          <w:spacing w:val="-5"/>
        </w:rPr>
        <w:t> </w:t>
      </w:r>
      <w:r>
        <w:rPr/>
        <w:t>ADR</w:t>
      </w:r>
      <w:r>
        <w:rPr>
          <w:spacing w:val="-5"/>
        </w:rPr>
        <w:t> </w:t>
      </w:r>
      <w:r>
        <w:rPr/>
        <w:t>of</w:t>
      </w:r>
      <w:r>
        <w:rPr>
          <w:spacing w:val="-5"/>
        </w:rPr>
        <w:t> </w:t>
      </w:r>
      <w:r>
        <w:rPr/>
        <w:t>local</w:t>
      </w:r>
      <w:r>
        <w:rPr>
          <w:spacing w:val="-5"/>
        </w:rPr>
        <w:t> </w:t>
      </w:r>
      <w:r>
        <w:rPr/>
        <w:t>hotels</w:t>
      </w:r>
      <w:r>
        <w:rPr>
          <w:spacing w:val="-6"/>
        </w:rPr>
        <w:t> </w:t>
      </w:r>
      <w:r>
        <w:rPr/>
        <w:t>is</w:t>
      </w:r>
      <w:r>
        <w:rPr>
          <w:spacing w:val="-6"/>
        </w:rPr>
        <w:t> </w:t>
      </w:r>
      <w:r>
        <w:rPr/>
        <w:t>less</w:t>
      </w:r>
      <w:r>
        <w:rPr>
          <w:spacing w:val="-5"/>
        </w:rPr>
        <w:t> </w:t>
      </w:r>
      <w:r>
        <w:rPr/>
        <w:t>than</w:t>
      </w:r>
      <w:r>
        <w:rPr>
          <w:spacing w:val="-3"/>
        </w:rPr>
        <w:t> </w:t>
      </w:r>
      <w:r>
        <w:rPr/>
        <w:t>US$100.00 according</w:t>
      </w:r>
      <w:r>
        <w:rPr>
          <w:spacing w:val="-5"/>
        </w:rPr>
        <w:t> </w:t>
      </w:r>
      <w:r>
        <w:rPr/>
        <w:t>to</w:t>
      </w:r>
      <w:r>
        <w:rPr>
          <w:spacing w:val="-2"/>
        </w:rPr>
        <w:t> </w:t>
      </w:r>
      <w:r>
        <w:rPr/>
        <w:t>the</w:t>
      </w:r>
      <w:r>
        <w:rPr>
          <w:spacing w:val="-5"/>
        </w:rPr>
        <w:t> </w:t>
      </w:r>
      <w:r>
        <w:rPr/>
        <w:t>hotel </w:t>
      </w:r>
      <w:r>
        <w:rPr/>
        <w:t>industry.</w:t>
      </w:r>
    </w:p>
    <w:p>
      <w:pPr>
        <w:pStyle w:val="BodyText"/>
        <w:spacing w:line="259" w:lineRule="auto" w:before="158"/>
        <w:ind w:right="1438"/>
        <w:jc w:val="both"/>
      </w:pPr>
      <w:r>
        <w:rPr/>
        <w:t>In its multiple conversations with stakeholders, the DPITS has also noticed the growing frustration with the institutional and regulatory environment. The labor market and regulations seem to hamper productivity, frustrate the hiring of qualified staff, and hamper labor competitive processes. In addition, the recommended 80/20 rule, which requires a minimum of 80% local workers in local companies, has posed a threat to the competitiveness of tourism businesses. The lengthy and complex regulatory process to hire skillful and experienced management and staff is hindering the adequate training and skill transfer to the locals</w:t>
      </w:r>
      <w:r>
        <w:rPr>
          <w:spacing w:val="-32"/>
        </w:rPr>
        <w:t> </w:t>
      </w:r>
      <w:r>
        <w:rPr/>
        <w:t>employed in the industry.</w:t>
      </w:r>
    </w:p>
    <w:p>
      <w:pPr>
        <w:pStyle w:val="BodyText"/>
        <w:spacing w:line="259" w:lineRule="auto" w:before="161"/>
        <w:ind w:right="1438"/>
        <w:jc w:val="both"/>
      </w:pPr>
      <w:r>
        <w:rPr/>
        <w:t>This situation is affecting the island in areas in which the island needs the most attention: the human resource necessary to move the industry into the 21</w:t>
      </w:r>
      <w:r>
        <w:rPr>
          <w:position w:val="7"/>
          <w:sz w:val="13"/>
          <w:szCs w:val="13"/>
        </w:rPr>
        <w:t>st </w:t>
      </w:r>
      <w:r>
        <w:rPr/>
        <w:t>century. Although appearing to recognize its shortcomings in the </w:t>
      </w:r>
      <w:r>
        <w:rPr/>
        <w:t>delivery of quality service, the tourism industry struggles with implanting the workforce development that is necessary to enhance service delivery. This is because the process for hiring expatriates is inefficient. If the process were</w:t>
      </w:r>
      <w:r>
        <w:rPr>
          <w:spacing w:val="-8"/>
        </w:rPr>
        <w:t> </w:t>
      </w:r>
      <w:r>
        <w:rPr/>
        <w:t>expeditious,</w:t>
      </w:r>
      <w:r>
        <w:rPr>
          <w:spacing w:val="-5"/>
        </w:rPr>
        <w:t> </w:t>
      </w:r>
      <w:r>
        <w:rPr/>
        <w:t>the</w:t>
      </w:r>
      <w:r>
        <w:rPr>
          <w:spacing w:val="-8"/>
        </w:rPr>
        <w:t> </w:t>
      </w:r>
      <w:r>
        <w:rPr/>
        <w:t>ability</w:t>
      </w:r>
      <w:r>
        <w:rPr>
          <w:spacing w:val="-6"/>
        </w:rPr>
        <w:t> </w:t>
      </w:r>
      <w:r>
        <w:rPr/>
        <w:t>to</w:t>
      </w:r>
      <w:r>
        <w:rPr>
          <w:spacing w:val="-7"/>
        </w:rPr>
        <w:t> </w:t>
      </w:r>
      <w:r>
        <w:rPr/>
        <w:t>train</w:t>
      </w:r>
      <w:r>
        <w:rPr>
          <w:spacing w:val="-4"/>
        </w:rPr>
        <w:t> </w:t>
      </w:r>
      <w:r>
        <w:rPr/>
        <w:t>locals</w:t>
      </w:r>
      <w:r>
        <w:rPr>
          <w:spacing w:val="-6"/>
        </w:rPr>
        <w:t> </w:t>
      </w:r>
      <w:r>
        <w:rPr/>
        <w:t>via</w:t>
      </w:r>
      <w:r>
        <w:rPr>
          <w:spacing w:val="-7"/>
        </w:rPr>
        <w:t> </w:t>
      </w:r>
      <w:r>
        <w:rPr/>
        <w:t>the</w:t>
      </w:r>
      <w:r>
        <w:rPr>
          <w:spacing w:val="-8"/>
        </w:rPr>
        <w:t> </w:t>
      </w:r>
      <w:r>
        <w:rPr/>
        <w:t>transfer</w:t>
      </w:r>
      <w:r>
        <w:rPr>
          <w:spacing w:val="-5"/>
        </w:rPr>
        <w:t> </w:t>
      </w:r>
      <w:r>
        <w:rPr/>
        <w:t>of</w:t>
      </w:r>
      <w:r>
        <w:rPr>
          <w:spacing w:val="-7"/>
        </w:rPr>
        <w:t> </w:t>
      </w:r>
      <w:r>
        <w:rPr>
          <w:rFonts w:ascii="Calibri" w:hAnsi="Calibri" w:cs="Calibri" w:eastAsia="Calibri" w:hint="default"/>
        </w:rPr>
        <w:t>expatriates’</w:t>
      </w:r>
      <w:r>
        <w:rPr>
          <w:rFonts w:ascii="Calibri" w:hAnsi="Calibri" w:cs="Calibri" w:eastAsia="Calibri" w:hint="default"/>
          <w:spacing w:val="-5"/>
        </w:rPr>
        <w:t> </w:t>
      </w:r>
      <w:r>
        <w:rPr/>
        <w:t>service</w:t>
      </w:r>
      <w:r>
        <w:rPr>
          <w:spacing w:val="-8"/>
        </w:rPr>
        <w:t> </w:t>
      </w:r>
      <w:r>
        <w:rPr/>
        <w:t>delivery</w:t>
      </w:r>
      <w:r>
        <w:rPr>
          <w:spacing w:val="-4"/>
        </w:rPr>
        <w:t> </w:t>
      </w:r>
      <w:r>
        <w:rPr/>
        <w:t>skills</w:t>
      </w:r>
      <w:r>
        <w:rPr>
          <w:spacing w:val="-5"/>
        </w:rPr>
        <w:t> </w:t>
      </w:r>
      <w:r>
        <w:rPr/>
        <w:t>would</w:t>
      </w:r>
      <w:r>
        <w:rPr>
          <w:spacing w:val="-5"/>
        </w:rPr>
        <w:t> </w:t>
      </w:r>
      <w:r>
        <w:rPr/>
        <w:t>be</w:t>
      </w:r>
      <w:r>
        <w:rPr>
          <w:spacing w:val="-8"/>
        </w:rPr>
        <w:t> </w:t>
      </w:r>
      <w:r>
        <w:rPr/>
        <w:t>introduced </w:t>
      </w:r>
      <w:r>
        <w:rPr/>
      </w:r>
      <w:r>
        <w:rPr>
          <w:rFonts w:ascii="Calibri" w:hAnsi="Calibri" w:cs="Calibri" w:eastAsia="Calibri" w:hint="default"/>
        </w:rPr>
        <w:t>into Curacao’s tourism sector; and the result could provide for quality</w:t>
      </w:r>
      <w:r>
        <w:rPr>
          <w:rFonts w:ascii="Calibri" w:hAnsi="Calibri" w:cs="Calibri" w:eastAsia="Calibri" w:hint="default"/>
          <w:spacing w:val="-22"/>
        </w:rPr>
        <w:t> </w:t>
      </w:r>
      <w:r>
        <w:rPr>
          <w:rFonts w:ascii="Calibri" w:hAnsi="Calibri" w:cs="Calibri" w:eastAsia="Calibri" w:hint="default"/>
        </w:rPr>
        <w:t>service</w:t>
      </w:r>
      <w:r>
        <w:rPr/>
        <w:t>.</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1" w:after="0"/>
        <w:ind w:right="0"/>
        <w:rPr>
          <w:rFonts w:ascii="Calibri" w:hAnsi="Calibri" w:cs="Calibri" w:eastAsia="Calibri" w:hint="default"/>
          <w:sz w:val="18"/>
          <w:szCs w:val="18"/>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before="91"/>
        <w:ind w:left="1440" w:right="0" w:firstLine="0"/>
        <w:jc w:val="left"/>
        <w:rPr>
          <w:rFonts w:ascii="Calibri" w:hAnsi="Calibri" w:cs="Calibri" w:eastAsia="Calibri" w:hint="default"/>
          <w:sz w:val="16"/>
          <w:szCs w:val="16"/>
        </w:rPr>
      </w:pPr>
      <w:r>
        <w:rPr>
          <w:rFonts w:ascii="Calibri"/>
          <w:position w:val="5"/>
          <w:sz w:val="12"/>
        </w:rPr>
        <w:t>38 </w:t>
      </w:r>
      <w:r>
        <w:rPr>
          <w:rFonts w:ascii="Calibri"/>
          <w:sz w:val="16"/>
        </w:rPr>
        <w:t>See the TAC (2013)</w:t>
      </w:r>
      <w:r>
        <w:rPr>
          <w:rFonts w:ascii="Calibri"/>
          <w:spacing w:val="-4"/>
          <w:sz w:val="16"/>
        </w:rPr>
        <w:t> </w:t>
      </w:r>
      <w:r>
        <w:rPr>
          <w:rFonts w:ascii="Calibri"/>
          <w:sz w:val="16"/>
        </w:rPr>
        <w:t>report.</w:t>
      </w:r>
    </w:p>
    <w:p>
      <w:pPr>
        <w:spacing w:line="242" w:lineRule="auto" w:before="11"/>
        <w:ind w:left="1440" w:right="1514" w:firstLine="0"/>
        <w:jc w:val="left"/>
        <w:rPr>
          <w:rFonts w:ascii="Calibri" w:hAnsi="Calibri" w:cs="Calibri" w:eastAsia="Calibri" w:hint="default"/>
          <w:sz w:val="16"/>
          <w:szCs w:val="16"/>
        </w:rPr>
      </w:pPr>
      <w:r>
        <w:rPr>
          <w:rFonts w:ascii="Calibri" w:hAnsi="Calibri"/>
          <w:position w:val="5"/>
          <w:sz w:val="12"/>
        </w:rPr>
        <w:t>39 </w:t>
      </w:r>
      <w:r>
        <w:rPr>
          <w:rFonts w:ascii="Calibri" w:hAnsi="Calibri"/>
          <w:sz w:val="16"/>
        </w:rPr>
        <w:t>The President of the Central Bank alluded to the low level of investment in the hospitality industry in his speech at the 2015 CHATA annual </w:t>
      </w:r>
      <w:r>
        <w:rPr>
          <w:rFonts w:ascii="Calibri" w:hAnsi="Calibri"/>
          <w:sz w:val="16"/>
        </w:rPr>
        <w:t>general meeting. How can we shape a better future for the Curaçao tourism industry? Keynote speech delivered by Dr. Emsley Tromp, President of the Central Bank of Curaçao and St. Maarten, On the occasion of the annual general meeting organized by the Curaçao Hospitality and Tourism Association, March 25th,</w:t>
      </w:r>
      <w:r>
        <w:rPr>
          <w:rFonts w:ascii="Calibri" w:hAnsi="Calibri"/>
          <w:spacing w:val="-8"/>
          <w:sz w:val="16"/>
        </w:rPr>
        <w:t> </w:t>
      </w:r>
      <w:r>
        <w:rPr>
          <w:rFonts w:ascii="Calibri" w:hAnsi="Calibri"/>
          <w:sz w:val="16"/>
        </w:rPr>
        <w:t>2015.</w:t>
      </w:r>
    </w:p>
    <w:p>
      <w:pPr>
        <w:spacing w:after="0" w:line="242"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59" w:lineRule="auto" w:before="59"/>
        <w:ind w:right="1438"/>
        <w:jc w:val="both"/>
      </w:pPr>
      <w:r>
        <w:rPr/>
        <w:t>Along with the rigid regulatory environment are the high operational costs for tourism and hospitality businesses. The</w:t>
      </w:r>
      <w:r>
        <w:rPr>
          <w:spacing w:val="-15"/>
        </w:rPr>
        <w:t> </w:t>
      </w:r>
      <w:r>
        <w:rPr/>
        <w:t>utilities</w:t>
      </w:r>
      <w:r>
        <w:rPr>
          <w:spacing w:val="-13"/>
        </w:rPr>
        <w:t> </w:t>
      </w:r>
      <w:r>
        <w:rPr/>
        <w:t>in</w:t>
      </w:r>
      <w:r>
        <w:rPr>
          <w:spacing w:val="-14"/>
        </w:rPr>
        <w:t> </w:t>
      </w:r>
      <w:r>
        <w:rPr/>
        <w:t>Curaçao</w:t>
      </w:r>
      <w:r>
        <w:rPr>
          <w:spacing w:val="-13"/>
        </w:rPr>
        <w:t> </w:t>
      </w:r>
      <w:r>
        <w:rPr/>
        <w:t>(i.e.</w:t>
      </w:r>
      <w:r>
        <w:rPr>
          <w:spacing w:val="-11"/>
        </w:rPr>
        <w:t> </w:t>
      </w:r>
      <w:r>
        <w:rPr/>
        <w:t>electricity</w:t>
      </w:r>
      <w:r>
        <w:rPr>
          <w:spacing w:val="-13"/>
        </w:rPr>
        <w:t> </w:t>
      </w:r>
      <w:r>
        <w:rPr/>
        <w:t>and</w:t>
      </w:r>
      <w:r>
        <w:rPr>
          <w:spacing w:val="-13"/>
        </w:rPr>
        <w:t> </w:t>
      </w:r>
      <w:r>
        <w:rPr/>
        <w:t>water)</w:t>
      </w:r>
      <w:r>
        <w:rPr>
          <w:spacing w:val="-12"/>
        </w:rPr>
        <w:t> </w:t>
      </w:r>
      <w:r>
        <w:rPr/>
        <w:t>are</w:t>
      </w:r>
      <w:r>
        <w:rPr>
          <w:spacing w:val="-15"/>
        </w:rPr>
        <w:t> </w:t>
      </w:r>
      <w:r>
        <w:rPr/>
        <w:t>40%</w:t>
      </w:r>
      <w:r>
        <w:rPr>
          <w:spacing w:val="-15"/>
        </w:rPr>
        <w:t> </w:t>
      </w:r>
      <w:r>
        <w:rPr/>
        <w:t>higher</w:t>
      </w:r>
      <w:r>
        <w:rPr>
          <w:spacing w:val="-14"/>
        </w:rPr>
        <w:t> </w:t>
      </w:r>
      <w:r>
        <w:rPr/>
        <w:t>than</w:t>
      </w:r>
      <w:r>
        <w:rPr>
          <w:spacing w:val="-13"/>
        </w:rPr>
        <w:t> </w:t>
      </w:r>
      <w:r>
        <w:rPr/>
        <w:t>the</w:t>
      </w:r>
      <w:r>
        <w:rPr>
          <w:spacing w:val="-15"/>
        </w:rPr>
        <w:t> </w:t>
      </w:r>
      <w:r>
        <w:rPr/>
        <w:t>island</w:t>
      </w:r>
      <w:r>
        <w:rPr>
          <w:spacing w:val="-13"/>
        </w:rPr>
        <w:t> </w:t>
      </w:r>
      <w:r>
        <w:rPr/>
        <w:t>of</w:t>
      </w:r>
      <w:r>
        <w:rPr>
          <w:spacing w:val="-13"/>
        </w:rPr>
        <w:t> </w:t>
      </w:r>
      <w:r>
        <w:rPr/>
        <w:t>Aruba,</w:t>
      </w:r>
      <w:r>
        <w:rPr>
          <w:spacing w:val="-13"/>
        </w:rPr>
        <w:t> </w:t>
      </w:r>
      <w:r>
        <w:rPr/>
        <w:t>estimated</w:t>
      </w:r>
      <w:r>
        <w:rPr>
          <w:spacing w:val="-13"/>
        </w:rPr>
        <w:t> </w:t>
      </w:r>
      <w:r>
        <w:rPr/>
        <w:t>at</w:t>
      </w:r>
      <w:r>
        <w:rPr>
          <w:spacing w:val="-13"/>
        </w:rPr>
        <w:t> </w:t>
      </w:r>
      <w:r>
        <w:rPr/>
        <w:t>0.42US$/kwh. </w:t>
      </w:r>
      <w:r>
        <w:rPr/>
        <w:t>Additionally, the cost of hiring quality management staff from abroad is significant, reaching by some account of US$500,000.00 per year due to the tax code, the lengthy permit process, and high costs of living on the island. Combined with the difficulty in finding qualified local staff and the resulting low productivity, it seems that doing </w:t>
      </w:r>
      <w:r>
        <w:rPr>
          <w:rFonts w:ascii="Calibri" w:hAnsi="Calibri" w:cs="Calibri" w:eastAsia="Calibri" w:hint="default"/>
        </w:rPr>
        <w:t>business in Curaçao’s </w:t>
      </w:r>
      <w:r>
        <w:rPr/>
        <w:t>tourism and hospitality industry is not an attractive economic activity. Anecdotal evidence suggests that, because of the regulatory environment and high operational costs, the majority of hotels are either losing money or have an operational profit of less than 5%. This level of operational profit is significantly below the market standards of</w:t>
      </w:r>
      <w:r>
        <w:rPr>
          <w:spacing w:val="-11"/>
        </w:rPr>
        <w:t> </w:t>
      </w:r>
      <w:r>
        <w:rPr/>
        <w:t>10-15%.</w:t>
      </w:r>
    </w:p>
    <w:p>
      <w:pPr>
        <w:pStyle w:val="BodyText"/>
        <w:spacing w:line="259" w:lineRule="auto" w:before="161"/>
        <w:ind w:right="1436"/>
        <w:jc w:val="both"/>
      </w:pPr>
      <w:r>
        <w:rPr/>
        <w:t>The high operational costs are also affecting the quality of service delivery that is required to make the destination more</w:t>
      </w:r>
      <w:r>
        <w:rPr>
          <w:spacing w:val="-11"/>
        </w:rPr>
        <w:t> </w:t>
      </w:r>
      <w:r>
        <w:rPr/>
        <w:t>attractive</w:t>
      </w:r>
      <w:r>
        <w:rPr>
          <w:spacing w:val="-11"/>
        </w:rPr>
        <w:t> </w:t>
      </w:r>
      <w:r>
        <w:rPr/>
        <w:t>and</w:t>
      </w:r>
      <w:r>
        <w:rPr>
          <w:spacing w:val="-10"/>
        </w:rPr>
        <w:t> </w:t>
      </w:r>
      <w:r>
        <w:rPr/>
        <w:t>competitive.</w:t>
      </w:r>
      <w:r>
        <w:rPr>
          <w:spacing w:val="-8"/>
        </w:rPr>
        <w:t> </w:t>
      </w:r>
      <w:r>
        <w:rPr/>
        <w:t>The</w:t>
      </w:r>
      <w:r>
        <w:rPr>
          <w:spacing w:val="-11"/>
        </w:rPr>
        <w:t> </w:t>
      </w:r>
      <w:r>
        <w:rPr/>
        <w:t>low</w:t>
      </w:r>
      <w:r>
        <w:rPr>
          <w:spacing w:val="-9"/>
        </w:rPr>
        <w:t> </w:t>
      </w:r>
      <w:r>
        <w:rPr/>
        <w:t>economic</w:t>
      </w:r>
      <w:r>
        <w:rPr>
          <w:spacing w:val="-11"/>
        </w:rPr>
        <w:t> </w:t>
      </w:r>
      <w:r>
        <w:rPr/>
        <w:t>return</w:t>
      </w:r>
      <w:r>
        <w:rPr>
          <w:spacing w:val="-6"/>
        </w:rPr>
        <w:t> </w:t>
      </w:r>
      <w:r>
        <w:rPr/>
        <w:t>of</w:t>
      </w:r>
      <w:r>
        <w:rPr>
          <w:spacing w:val="-11"/>
        </w:rPr>
        <w:t> </w:t>
      </w:r>
      <w:r>
        <w:rPr/>
        <w:t>tourism</w:t>
      </w:r>
      <w:r>
        <w:rPr>
          <w:spacing w:val="-11"/>
        </w:rPr>
        <w:t> </w:t>
      </w:r>
      <w:r>
        <w:rPr/>
        <w:t>and</w:t>
      </w:r>
      <w:r>
        <w:rPr>
          <w:spacing w:val="-10"/>
        </w:rPr>
        <w:t> </w:t>
      </w:r>
      <w:r>
        <w:rPr/>
        <w:t>hospitality</w:t>
      </w:r>
      <w:r>
        <w:rPr>
          <w:spacing w:val="-9"/>
        </w:rPr>
        <w:t> </w:t>
      </w:r>
      <w:r>
        <w:rPr/>
        <w:t>business</w:t>
      </w:r>
      <w:r>
        <w:rPr>
          <w:spacing w:val="-11"/>
        </w:rPr>
        <w:t> </w:t>
      </w:r>
      <w:r>
        <w:rPr/>
        <w:t>in</w:t>
      </w:r>
      <w:r>
        <w:rPr>
          <w:spacing w:val="-10"/>
        </w:rPr>
        <w:t> </w:t>
      </w:r>
      <w:r>
        <w:rPr/>
        <w:t>Curaçao</w:t>
      </w:r>
      <w:r>
        <w:rPr>
          <w:spacing w:val="-6"/>
        </w:rPr>
        <w:t> </w:t>
      </w:r>
      <w:r>
        <w:rPr/>
        <w:t>is</w:t>
      </w:r>
      <w:r>
        <w:rPr>
          <w:spacing w:val="-12"/>
        </w:rPr>
        <w:t> </w:t>
      </w:r>
      <w:r>
        <w:rPr/>
        <w:t>affecting </w:t>
      </w:r>
      <w:r>
        <w:rPr/>
        <w:t>the physical maintenance level of many hotels. Consequently, many of the hotel facilities are clearly in need of upkeep. Unless the regulatory environment issues are alleviated in the short-term, the island will waste opportunities that will affect its ability to create the amount of jobs that are needed to improve the standard of living for the local</w:t>
      </w:r>
      <w:r>
        <w:rPr>
          <w:spacing w:val="-10"/>
        </w:rPr>
        <w:t> </w:t>
      </w:r>
      <w:r>
        <w:rPr/>
        <w:t>population.</w:t>
      </w:r>
    </w:p>
    <w:p>
      <w:pPr>
        <w:pStyle w:val="BodyText"/>
        <w:spacing w:line="259" w:lineRule="auto" w:before="158"/>
        <w:ind w:right="1435"/>
        <w:jc w:val="both"/>
      </w:pPr>
      <w:r>
        <w:rPr/>
        <w:t>Curaçao</w:t>
      </w:r>
      <w:r>
        <w:rPr>
          <w:rFonts w:ascii="Calibri" w:hAnsi="Calibri" w:cs="Calibri" w:eastAsia="Calibri" w:hint="default"/>
        </w:rPr>
        <w:t>’s</w:t>
      </w:r>
      <w:r>
        <w:rPr>
          <w:rFonts w:ascii="Calibri" w:hAnsi="Calibri" w:cs="Calibri" w:eastAsia="Calibri" w:hint="default"/>
          <w:spacing w:val="-14"/>
        </w:rPr>
        <w:t> </w:t>
      </w:r>
      <w:r>
        <w:rPr/>
        <w:t>hospitality</w:t>
      </w:r>
      <w:r>
        <w:rPr>
          <w:spacing w:val="-11"/>
        </w:rPr>
        <w:t> </w:t>
      </w:r>
      <w:r>
        <w:rPr/>
        <w:t>businesses</w:t>
      </w:r>
      <w:r>
        <w:rPr>
          <w:spacing w:val="-14"/>
        </w:rPr>
        <w:t> </w:t>
      </w:r>
      <w:r>
        <w:rPr/>
        <w:t>have</w:t>
      </w:r>
      <w:r>
        <w:rPr>
          <w:spacing w:val="-13"/>
        </w:rPr>
        <w:t> </w:t>
      </w:r>
      <w:r>
        <w:rPr/>
        <w:t>a</w:t>
      </w:r>
      <w:r>
        <w:rPr>
          <w:spacing w:val="-12"/>
        </w:rPr>
        <w:t> </w:t>
      </w:r>
      <w:r>
        <w:rPr/>
        <w:t>difficult</w:t>
      </w:r>
      <w:r>
        <w:rPr>
          <w:spacing w:val="-13"/>
        </w:rPr>
        <w:t> </w:t>
      </w:r>
      <w:r>
        <w:rPr/>
        <w:t>time</w:t>
      </w:r>
      <w:r>
        <w:rPr>
          <w:spacing w:val="-13"/>
        </w:rPr>
        <w:t> </w:t>
      </w:r>
      <w:r>
        <w:rPr/>
        <w:t>in</w:t>
      </w:r>
      <w:r>
        <w:rPr>
          <w:spacing w:val="-12"/>
        </w:rPr>
        <w:t> </w:t>
      </w:r>
      <w:r>
        <w:rPr/>
        <w:t>obtaining</w:t>
      </w:r>
      <w:r>
        <w:rPr>
          <w:spacing w:val="-9"/>
        </w:rPr>
        <w:t> </w:t>
      </w:r>
      <w:r>
        <w:rPr/>
        <w:t>the</w:t>
      </w:r>
      <w:r>
        <w:rPr>
          <w:spacing w:val="-13"/>
        </w:rPr>
        <w:t> </w:t>
      </w:r>
      <w:r>
        <w:rPr/>
        <w:t>required</w:t>
      </w:r>
      <w:r>
        <w:rPr>
          <w:spacing w:val="-12"/>
        </w:rPr>
        <w:t> </w:t>
      </w:r>
      <w:r>
        <w:rPr/>
        <w:t>financial</w:t>
      </w:r>
      <w:r>
        <w:rPr>
          <w:spacing w:val="-13"/>
        </w:rPr>
        <w:t> </w:t>
      </w:r>
      <w:r>
        <w:rPr/>
        <w:t>resources</w:t>
      </w:r>
      <w:r>
        <w:rPr>
          <w:spacing w:val="-11"/>
        </w:rPr>
        <w:t> </w:t>
      </w:r>
      <w:r>
        <w:rPr/>
        <w:t>necessary</w:t>
      </w:r>
      <w:r>
        <w:rPr>
          <w:spacing w:val="-11"/>
        </w:rPr>
        <w:t> </w:t>
      </w:r>
      <w:r>
        <w:rPr/>
        <w:t>to</w:t>
      </w:r>
      <w:r>
        <w:rPr>
          <w:spacing w:val="-12"/>
        </w:rPr>
        <w:t> </w:t>
      </w:r>
      <w:r>
        <w:rPr/>
        <w:t>invest </w:t>
      </w:r>
      <w:r>
        <w:rPr/>
        <w:t>in new products and/or to reinvest in existing products. The overall low level of investment is mainly due to the </w:t>
      </w:r>
      <w:r>
        <w:rPr>
          <w:rFonts w:ascii="Calibri" w:hAnsi="Calibri" w:cs="Calibri" w:eastAsia="Calibri" w:hint="default"/>
        </w:rPr>
        <w:t>local banks’ </w:t>
      </w:r>
      <w:r>
        <w:rPr/>
        <w:t>perception that tourism and hospitality business endeavors are high risk. This perception has placed the hotel sector under duress due to the </w:t>
      </w:r>
      <w:r>
        <w:rPr>
          <w:rFonts w:ascii="Calibri" w:hAnsi="Calibri" w:cs="Calibri" w:eastAsia="Calibri" w:hint="default"/>
        </w:rPr>
        <w:t>local bank’s </w:t>
      </w:r>
      <w:r>
        <w:rPr/>
        <w:t>unwillingness to provide the financial resources required to maintain existing hotels, or to construct new</w:t>
      </w:r>
      <w:r>
        <w:rPr>
          <w:spacing w:val="-18"/>
        </w:rPr>
        <w:t> </w:t>
      </w:r>
      <w:r>
        <w:rPr/>
        <w:t>hotels.</w:t>
      </w:r>
    </w:p>
    <w:p>
      <w:pPr>
        <w:pStyle w:val="Heading2"/>
        <w:spacing w:line="240" w:lineRule="auto" w:before="157"/>
        <w:ind w:right="0"/>
        <w:jc w:val="both"/>
        <w:rPr>
          <w:b w:val="0"/>
          <w:bCs w:val="0"/>
        </w:rPr>
      </w:pPr>
      <w:bookmarkStart w:name="_bookmark77" w:id="78"/>
      <w:bookmarkEnd w:id="78"/>
      <w:r>
        <w:rPr>
          <w:b w:val="0"/>
        </w:rPr>
      </w:r>
      <w:r>
        <w:rPr/>
        <w:t>Human capital</w:t>
      </w:r>
      <w:r>
        <w:rPr>
          <w:spacing w:val="-7"/>
        </w:rPr>
        <w:t> </w:t>
      </w:r>
      <w:r>
        <w:rPr/>
        <w:t>analysis</w:t>
      </w:r>
      <w:r>
        <w:rPr>
          <w:b w:val="0"/>
        </w:rPr>
      </w:r>
    </w:p>
    <w:p>
      <w:pPr>
        <w:pStyle w:val="BodyText"/>
        <w:spacing w:line="240" w:lineRule="auto" w:before="191"/>
        <w:ind w:right="1438"/>
        <w:jc w:val="both"/>
      </w:pPr>
      <w:r>
        <w:rPr/>
        <w:t>The DPITS has been involved in a series of assessments regarding human capital in the tourism industry. A preliminary human capital analysis reveals that the Curaçao restaurant and hotel operators seem to indicate that the assembling of a high-quality workforce in the hospitality and tourism segment is a significant challenge. Qualitative data analysis suggests three separate but related concerns regarding the workforce in the tourism industry:</w:t>
      </w:r>
    </w:p>
    <w:p>
      <w:pPr>
        <w:pStyle w:val="ListParagraph"/>
        <w:numPr>
          <w:ilvl w:val="1"/>
          <w:numId w:val="2"/>
        </w:numPr>
        <w:tabs>
          <w:tab w:pos="2881" w:val="left" w:leader="none"/>
        </w:tabs>
        <w:spacing w:line="240" w:lineRule="auto" w:before="0" w:after="0"/>
        <w:ind w:left="2880" w:right="0" w:hanging="360"/>
        <w:jc w:val="left"/>
        <w:rPr>
          <w:rFonts w:ascii="Calibri" w:hAnsi="Calibri" w:cs="Calibri" w:eastAsia="Calibri" w:hint="default"/>
          <w:sz w:val="20"/>
          <w:szCs w:val="20"/>
        </w:rPr>
      </w:pPr>
      <w:r>
        <w:rPr>
          <w:rFonts w:ascii="Calibri"/>
          <w:sz w:val="20"/>
        </w:rPr>
        <w:t>Disinterest in</w:t>
      </w:r>
      <w:r>
        <w:rPr>
          <w:rFonts w:ascii="Calibri"/>
          <w:spacing w:val="-10"/>
          <w:sz w:val="20"/>
        </w:rPr>
        <w:t> </w:t>
      </w:r>
      <w:r>
        <w:rPr>
          <w:rFonts w:ascii="Calibri"/>
          <w:sz w:val="20"/>
        </w:rPr>
        <w:t>service</w:t>
      </w:r>
    </w:p>
    <w:p>
      <w:pPr>
        <w:pStyle w:val="ListParagraph"/>
        <w:numPr>
          <w:ilvl w:val="1"/>
          <w:numId w:val="2"/>
        </w:numPr>
        <w:tabs>
          <w:tab w:pos="2881" w:val="left" w:leader="none"/>
        </w:tabs>
        <w:spacing w:line="240" w:lineRule="auto" w:before="0" w:after="0"/>
        <w:ind w:left="2880" w:right="0" w:hanging="360"/>
        <w:jc w:val="left"/>
        <w:rPr>
          <w:rFonts w:ascii="Calibri" w:hAnsi="Calibri" w:cs="Calibri" w:eastAsia="Calibri" w:hint="default"/>
          <w:sz w:val="20"/>
          <w:szCs w:val="20"/>
        </w:rPr>
      </w:pPr>
      <w:r>
        <w:rPr>
          <w:rFonts w:ascii="Calibri"/>
          <w:sz w:val="20"/>
        </w:rPr>
        <w:t>Education and</w:t>
      </w:r>
      <w:r>
        <w:rPr>
          <w:rFonts w:ascii="Calibri"/>
          <w:spacing w:val="-8"/>
          <w:sz w:val="20"/>
        </w:rPr>
        <w:t> </w:t>
      </w:r>
      <w:r>
        <w:rPr>
          <w:rFonts w:ascii="Calibri"/>
          <w:sz w:val="20"/>
        </w:rPr>
        <w:t>training</w:t>
      </w:r>
    </w:p>
    <w:p>
      <w:pPr>
        <w:pStyle w:val="ListParagraph"/>
        <w:numPr>
          <w:ilvl w:val="1"/>
          <w:numId w:val="2"/>
        </w:numPr>
        <w:tabs>
          <w:tab w:pos="2881" w:val="left" w:leader="none"/>
        </w:tabs>
        <w:spacing w:line="240" w:lineRule="auto" w:before="0" w:after="0"/>
        <w:ind w:left="2880" w:right="0" w:hanging="360"/>
        <w:jc w:val="left"/>
        <w:rPr>
          <w:rFonts w:ascii="Calibri" w:hAnsi="Calibri" w:cs="Calibri" w:eastAsia="Calibri" w:hint="default"/>
          <w:sz w:val="20"/>
          <w:szCs w:val="20"/>
        </w:rPr>
      </w:pPr>
      <w:r>
        <w:rPr>
          <w:rFonts w:ascii="Calibri"/>
          <w:sz w:val="20"/>
        </w:rPr>
        <w:t>Local employment</w:t>
      </w:r>
      <w:r>
        <w:rPr>
          <w:rFonts w:ascii="Calibri"/>
          <w:spacing w:val="-9"/>
          <w:sz w:val="20"/>
        </w:rPr>
        <w:t> </w:t>
      </w:r>
      <w:r>
        <w:rPr>
          <w:rFonts w:ascii="Calibri"/>
          <w:sz w:val="20"/>
        </w:rPr>
        <w:t>laws</w:t>
      </w:r>
    </w:p>
    <w:p>
      <w:pPr>
        <w:spacing w:line="240" w:lineRule="auto" w:before="11"/>
        <w:ind w:right="0"/>
        <w:rPr>
          <w:rFonts w:ascii="Calibri" w:hAnsi="Calibri" w:cs="Calibri" w:eastAsia="Calibri" w:hint="default"/>
          <w:sz w:val="19"/>
          <w:szCs w:val="19"/>
        </w:rPr>
      </w:pPr>
    </w:p>
    <w:p>
      <w:pPr>
        <w:pStyle w:val="BodyText"/>
        <w:spacing w:line="240" w:lineRule="auto"/>
        <w:ind w:right="1435"/>
        <w:jc w:val="both"/>
      </w:pPr>
      <w:r>
        <w:rPr/>
        <w:t>The first concern, disinterest in service, was evidenced in commentary related to a lack of service-mindedness and a</w:t>
      </w:r>
      <w:r>
        <w:rPr>
          <w:spacing w:val="-5"/>
        </w:rPr>
        <w:t> </w:t>
      </w:r>
      <w:r>
        <w:rPr/>
        <w:t>lack</w:t>
      </w:r>
      <w:r>
        <w:rPr>
          <w:spacing w:val="-5"/>
        </w:rPr>
        <w:t> </w:t>
      </w:r>
      <w:r>
        <w:rPr/>
        <w:t>of</w:t>
      </w:r>
      <w:r>
        <w:rPr>
          <w:spacing w:val="-9"/>
        </w:rPr>
        <w:t> </w:t>
      </w:r>
      <w:r>
        <w:rPr/>
        <w:t>desire</w:t>
      </w:r>
      <w:r>
        <w:rPr>
          <w:spacing w:val="-6"/>
        </w:rPr>
        <w:t> </w:t>
      </w:r>
      <w:r>
        <w:rPr/>
        <w:t>for</w:t>
      </w:r>
      <w:r>
        <w:rPr>
          <w:spacing w:val="-5"/>
        </w:rPr>
        <w:t> </w:t>
      </w:r>
      <w:r>
        <w:rPr/>
        <w:t>service</w:t>
      </w:r>
      <w:r>
        <w:rPr>
          <w:spacing w:val="-6"/>
        </w:rPr>
        <w:t> </w:t>
      </w:r>
      <w:r>
        <w:rPr/>
        <w:t>and</w:t>
      </w:r>
      <w:r>
        <w:rPr>
          <w:spacing w:val="-5"/>
        </w:rPr>
        <w:t> </w:t>
      </w:r>
      <w:r>
        <w:rPr/>
        <w:t>hospitality</w:t>
      </w:r>
      <w:r>
        <w:rPr>
          <w:spacing w:val="-5"/>
        </w:rPr>
        <w:t> </w:t>
      </w:r>
      <w:r>
        <w:rPr/>
        <w:t>jobs</w:t>
      </w:r>
      <w:r>
        <w:rPr>
          <w:spacing w:val="-6"/>
        </w:rPr>
        <w:t> </w:t>
      </w:r>
      <w:r>
        <w:rPr/>
        <w:t>among</w:t>
      </w:r>
      <w:r>
        <w:rPr>
          <w:spacing w:val="-6"/>
        </w:rPr>
        <w:t> </w:t>
      </w:r>
      <w:r>
        <w:rPr/>
        <w:t>local</w:t>
      </w:r>
      <w:r>
        <w:rPr>
          <w:spacing w:val="-8"/>
        </w:rPr>
        <w:t> </w:t>
      </w:r>
      <w:r>
        <w:rPr/>
        <w:t>workers.</w:t>
      </w:r>
      <w:r>
        <w:rPr>
          <w:spacing w:val="-5"/>
        </w:rPr>
        <w:t> </w:t>
      </w:r>
      <w:r>
        <w:rPr/>
        <w:t>Managers</w:t>
      </w:r>
      <w:r>
        <w:rPr>
          <w:spacing w:val="-2"/>
        </w:rPr>
        <w:t> </w:t>
      </w:r>
      <w:r>
        <w:rPr/>
        <w:t>expressed</w:t>
      </w:r>
      <w:r>
        <w:rPr>
          <w:spacing w:val="-2"/>
        </w:rPr>
        <w:t> </w:t>
      </w:r>
      <w:r>
        <w:rPr/>
        <w:t>concerns</w:t>
      </w:r>
      <w:r>
        <w:rPr>
          <w:spacing w:val="-6"/>
        </w:rPr>
        <w:t> </w:t>
      </w:r>
      <w:r>
        <w:rPr/>
        <w:t>that</w:t>
      </w:r>
      <w:r>
        <w:rPr>
          <w:spacing w:val="-5"/>
        </w:rPr>
        <w:t> </w:t>
      </w:r>
      <w:r>
        <w:rPr/>
        <w:t>most</w:t>
      </w:r>
      <w:r>
        <w:rPr>
          <w:spacing w:val="-5"/>
        </w:rPr>
        <w:t> </w:t>
      </w:r>
      <w:r>
        <w:rPr/>
        <w:t>hourly </w:t>
      </w:r>
      <w:r>
        <w:rPr/>
        <w:t>hotel and restaurant employees do not project the approachable and engaging body language, mannerisms, or communication that is expected of service employees. A consensus opinion seems to be that there is a distinct difference in the mindsets of local workers and foreign workers regarding acceptable levels of service, with foreign workers possessing a stronger service mentality. Also, most managers provide commentary that indicates that service and hospitality jobs are perceived as short-term employment of last resort, rather than as promising, long- term career paths. Some group members attributed this to cultural perceptions among local workers that service is somehow akin to servitude, and is therefore neither desirable nor respectable</w:t>
      </w:r>
      <w:r>
        <w:rPr>
          <w:spacing w:val="-28"/>
        </w:rPr>
        <w:t> </w:t>
      </w:r>
      <w:r>
        <w:rPr/>
        <w:t>employment.</w:t>
      </w:r>
    </w:p>
    <w:p>
      <w:pPr>
        <w:spacing w:line="240" w:lineRule="auto" w:before="11"/>
        <w:ind w:right="0"/>
        <w:rPr>
          <w:rFonts w:ascii="Calibri" w:hAnsi="Calibri" w:cs="Calibri" w:eastAsia="Calibri" w:hint="default"/>
          <w:sz w:val="19"/>
          <w:szCs w:val="19"/>
        </w:rPr>
      </w:pPr>
    </w:p>
    <w:p>
      <w:pPr>
        <w:pStyle w:val="BodyText"/>
        <w:spacing w:line="240" w:lineRule="auto"/>
        <w:ind w:right="1435"/>
        <w:jc w:val="both"/>
      </w:pPr>
      <w:r>
        <w:rPr/>
        <w:t>The second concern, education and training, reflects the comments from managers with regard to the unpreparedness of workers who are entering the industry via local hospitality and tourism schools and training programs. Managers indicate that these programs focus primarily on specific technical skills, which can often be taught or trained on the job, rather than broad competencies that are applicable across a variety of service jobs. Competencies, such as language/communication, service, and professionalism (both on-the-job and during the application/interview process) were specifically highlighted as areas in which the local workforce is lacking. Managers also indicated that trainees lack a general understanding of the industry and its</w:t>
      </w:r>
      <w:r>
        <w:rPr>
          <w:spacing w:val="-31"/>
        </w:rPr>
        <w:t> </w:t>
      </w:r>
      <w:r>
        <w:rPr/>
        <w:t>demands.</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9"/>
        <w:jc w:val="both"/>
      </w:pPr>
      <w:r>
        <w:rPr/>
        <w:t>The third and final concern was related to local employment laws on the island. There was a perception among managers that local workers are protected by employment laws which make it difficult to terminate employees. Managers indicated a willingness to hire local workers, but also indicated a preference for foreign workers because foreign workers were considered better educated in hospitality and service, and possessed more diverse language skills. However, the consensus opinion was that the time for foreign work permits to be processed was excessive, making it challenging to complete the hiring process and bring foreign workers to</w:t>
      </w:r>
      <w:r>
        <w:rPr>
          <w:spacing w:val="-31"/>
        </w:rPr>
        <w:t> </w:t>
      </w:r>
      <w:r>
        <w:rPr/>
        <w:t>Curaçao.</w:t>
      </w:r>
    </w:p>
    <w:p>
      <w:pPr>
        <w:spacing w:line="240" w:lineRule="auto" w:before="11"/>
        <w:ind w:right="0"/>
        <w:rPr>
          <w:rFonts w:ascii="Calibri" w:hAnsi="Calibri" w:cs="Calibri" w:eastAsia="Calibri" w:hint="default"/>
          <w:sz w:val="19"/>
          <w:szCs w:val="19"/>
        </w:rPr>
      </w:pPr>
    </w:p>
    <w:p>
      <w:pPr>
        <w:pStyle w:val="BodyText"/>
        <w:spacing w:line="240" w:lineRule="auto"/>
        <w:ind w:right="1435"/>
        <w:jc w:val="both"/>
      </w:pPr>
      <w:r>
        <w:rPr/>
        <w:t>The culminating theme that emerged in the preliminary human capital analysis is that there is a need among local workers to foster a service mindset and a positive attitude toward service jobs. However, as revealed in Chapter 2 (see Table 7), this may prove a challenging task as there seems to be a disconnect between man</w:t>
      </w:r>
      <w:r>
        <w:rPr>
          <w:rFonts w:ascii="Calibri" w:hAnsi="Calibri" w:cs="Calibri" w:eastAsia="Calibri" w:hint="default"/>
        </w:rPr>
        <w:t>agers’ experience </w:t>
      </w:r>
      <w:r>
        <w:rPr/>
        <w:t>and employee attitudes toward tourism and customer service. Employees seem to have favorable perceptions of the tourism industry and its opportunities, whereas managers have a hard outlook on the service quality abilities </w:t>
      </w:r>
      <w:r>
        <w:rPr>
          <w:rFonts w:ascii="Calibri" w:hAnsi="Calibri" w:cs="Calibri" w:eastAsia="Calibri" w:hint="default"/>
        </w:rPr>
        <w:t>and tourism’s overal</w:t>
      </w:r>
      <w:r>
        <w:rPr/>
        <w:t>l potential impact on the island. To understand this disconnect, the DPITS team did a formal analysis of the relationship between quality of work life and</w:t>
      </w:r>
      <w:r>
        <w:rPr>
          <w:spacing w:val="-23"/>
        </w:rPr>
        <w:t> </w:t>
      </w:r>
      <w:r>
        <w:rPr/>
        <w:t>productivity.</w:t>
      </w:r>
    </w:p>
    <w:p>
      <w:pPr>
        <w:spacing w:line="240" w:lineRule="auto" w:before="2"/>
        <w:ind w:right="0"/>
        <w:rPr>
          <w:rFonts w:ascii="Calibri" w:hAnsi="Calibri" w:cs="Calibri" w:eastAsia="Calibri" w:hint="default"/>
          <w:sz w:val="20"/>
          <w:szCs w:val="20"/>
        </w:rPr>
      </w:pPr>
    </w:p>
    <w:p>
      <w:pPr>
        <w:pStyle w:val="BodyText"/>
        <w:spacing w:line="240" w:lineRule="auto"/>
        <w:ind w:right="1435"/>
        <w:jc w:val="both"/>
      </w:pPr>
      <w:r>
        <w:rPr/>
        <w:t>A survey was conducted among hospitality employees with 518 respondents. The survey used a Likert scale with 1 being completely disagree and 5 being completely agree. Table 23 indicates that </w:t>
      </w:r>
      <w:r>
        <w:rPr>
          <w:rFonts w:ascii="Calibri" w:hAnsi="Calibri" w:cs="Calibri" w:eastAsia="Calibri" w:hint="default"/>
        </w:rPr>
        <w:t>hospitality employees’ </w:t>
      </w:r>
      <w:r>
        <w:rPr/>
        <w:t>turnover intentions are low with mean scores of 2.97 and 2.48. A low turnover intention could mean that there is high motivation</w:t>
      </w:r>
      <w:r>
        <w:rPr>
          <w:spacing w:val="-14"/>
        </w:rPr>
        <w:t> </w:t>
      </w:r>
      <w:r>
        <w:rPr/>
        <w:t>and</w:t>
      </w:r>
      <w:r>
        <w:rPr>
          <w:spacing w:val="-14"/>
        </w:rPr>
        <w:t> </w:t>
      </w:r>
      <w:r>
        <w:rPr/>
        <w:t>productivity</w:t>
      </w:r>
      <w:r>
        <w:rPr>
          <w:spacing w:val="-12"/>
        </w:rPr>
        <w:t> </w:t>
      </w:r>
      <w:r>
        <w:rPr/>
        <w:t>in</w:t>
      </w:r>
      <w:r>
        <w:rPr>
          <w:spacing w:val="-11"/>
        </w:rPr>
        <w:t> </w:t>
      </w:r>
      <w:r>
        <w:rPr/>
        <w:t>the</w:t>
      </w:r>
      <w:r>
        <w:rPr>
          <w:spacing w:val="-15"/>
        </w:rPr>
        <w:t> </w:t>
      </w:r>
      <w:r>
        <w:rPr/>
        <w:t>industry.</w:t>
      </w:r>
      <w:r>
        <w:rPr>
          <w:spacing w:val="-14"/>
        </w:rPr>
        <w:t> </w:t>
      </w:r>
      <w:r>
        <w:rPr/>
        <w:t>However,</w:t>
      </w:r>
      <w:r>
        <w:rPr>
          <w:spacing w:val="-14"/>
        </w:rPr>
        <w:t> </w:t>
      </w:r>
      <w:r>
        <w:rPr/>
        <w:t>in</w:t>
      </w:r>
      <w:r>
        <w:rPr>
          <w:spacing w:val="-14"/>
        </w:rPr>
        <w:t> </w:t>
      </w:r>
      <w:r>
        <w:rPr/>
        <w:t>an</w:t>
      </w:r>
      <w:r>
        <w:rPr>
          <w:spacing w:val="-11"/>
        </w:rPr>
        <w:t> </w:t>
      </w:r>
      <w:r>
        <w:rPr/>
        <w:t>environment</w:t>
      </w:r>
      <w:r>
        <w:rPr>
          <w:spacing w:val="-14"/>
        </w:rPr>
        <w:t> </w:t>
      </w:r>
      <w:r>
        <w:rPr/>
        <w:t>of</w:t>
      </w:r>
      <w:r>
        <w:rPr>
          <w:spacing w:val="-15"/>
        </w:rPr>
        <w:t> </w:t>
      </w:r>
      <w:r>
        <w:rPr/>
        <w:t>high</w:t>
      </w:r>
      <w:r>
        <w:rPr>
          <w:spacing w:val="-14"/>
        </w:rPr>
        <w:t> </w:t>
      </w:r>
      <w:r>
        <w:rPr/>
        <w:t>unemployment,</w:t>
      </w:r>
      <w:r>
        <w:rPr>
          <w:spacing w:val="-14"/>
        </w:rPr>
        <w:t> </w:t>
      </w:r>
      <w:r>
        <w:rPr/>
        <w:t>like</w:t>
      </w:r>
      <w:r>
        <w:rPr>
          <w:spacing w:val="-13"/>
        </w:rPr>
        <w:t> </w:t>
      </w:r>
      <w:r>
        <w:rPr/>
        <w:t>that</w:t>
      </w:r>
      <w:r>
        <w:rPr>
          <w:spacing w:val="-14"/>
        </w:rPr>
        <w:t> </w:t>
      </w:r>
      <w:r>
        <w:rPr/>
        <w:t>of</w:t>
      </w:r>
      <w:r>
        <w:rPr>
          <w:spacing w:val="-12"/>
        </w:rPr>
        <w:t> </w:t>
      </w:r>
      <w:r>
        <w:rPr/>
        <w:t>Curaçao, </w:t>
      </w:r>
      <w:r>
        <w:rPr/>
        <w:t>a low turnover intention could also mean a lack of opportunities. The low productivity number in Curaçao seems to suggest the lack of opportunities. According to the findings, the employees seem relatively satisfied with their tourism jobs. Because job satisfaction can beam productivity, this relationship was further</w:t>
      </w:r>
      <w:r>
        <w:rPr>
          <w:spacing w:val="8"/>
        </w:rPr>
        <w:t> </w:t>
      </w:r>
      <w:r>
        <w:rPr/>
        <w:t>explored.</w:t>
      </w:r>
    </w:p>
    <w:p>
      <w:pPr>
        <w:spacing w:line="240" w:lineRule="auto" w:before="0"/>
        <w:ind w:right="0"/>
        <w:rPr>
          <w:rFonts w:ascii="Calibri" w:hAnsi="Calibri" w:cs="Calibri" w:eastAsia="Calibri" w:hint="default"/>
          <w:sz w:val="20"/>
          <w:szCs w:val="20"/>
        </w:rPr>
      </w:pPr>
    </w:p>
    <w:p>
      <w:pPr>
        <w:spacing w:line="240" w:lineRule="auto" w:before="12"/>
        <w:ind w:right="0"/>
        <w:rPr>
          <w:rFonts w:ascii="Calibri" w:hAnsi="Calibri" w:cs="Calibri" w:eastAsia="Calibri" w:hint="default"/>
          <w:sz w:val="19"/>
          <w:szCs w:val="19"/>
        </w:rPr>
      </w:pPr>
    </w:p>
    <w:p>
      <w:pPr>
        <w:pStyle w:val="Heading9"/>
        <w:tabs>
          <w:tab w:pos="4740" w:val="left" w:leader="none"/>
          <w:tab w:pos="10957" w:val="left" w:leader="none"/>
        </w:tabs>
        <w:spacing w:line="240" w:lineRule="auto" w:after="46"/>
        <w:ind w:left="1440" w:right="0"/>
        <w:jc w:val="both"/>
        <w:rPr>
          <w:b w:val="0"/>
          <w:bCs w:val="0"/>
        </w:rPr>
      </w:pPr>
      <w:bookmarkStart w:name="_bookmark78" w:id="79"/>
      <w:bookmarkEnd w:id="79"/>
      <w:r>
        <w:rPr>
          <w:b w:val="0"/>
        </w:rPr>
      </w:r>
      <w:r>
        <w:rPr>
          <w:w w:val="99"/>
        </w:rPr>
      </w:r>
      <w:r>
        <w:rPr>
          <w:w w:val="99"/>
          <w:u w:val="single" w:color="000000"/>
        </w:rPr>
        <w:t> </w:t>
      </w:r>
      <w:r>
        <w:rPr>
          <w:u w:val="single" w:color="000000"/>
        </w:rPr>
        <w:tab/>
        <w:t>Table 23:  Employee</w:t>
      </w:r>
      <w:r>
        <w:rPr>
          <w:spacing w:val="-19"/>
          <w:u w:val="single" w:color="000000"/>
        </w:rPr>
        <w:t> </w:t>
      </w:r>
      <w:r>
        <w:rPr>
          <w:u w:val="single" w:color="000000"/>
        </w:rPr>
        <w:t>perspectives</w:t>
        <w:tab/>
      </w:r>
      <w:r>
        <w:rPr/>
      </w:r>
      <w:r>
        <w:rPr>
          <w:b w:val="0"/>
        </w:rPr>
      </w:r>
    </w:p>
    <w:tbl>
      <w:tblPr>
        <w:tblW w:w="0" w:type="auto"/>
        <w:jc w:val="left"/>
        <w:tblInd w:w="1440" w:type="dxa"/>
        <w:tblLayout w:type="fixed"/>
        <w:tblCellMar>
          <w:top w:w="0" w:type="dxa"/>
          <w:left w:w="0" w:type="dxa"/>
          <w:bottom w:w="0" w:type="dxa"/>
          <w:right w:w="0" w:type="dxa"/>
        </w:tblCellMar>
        <w:tblLook w:val="01E0"/>
      </w:tblPr>
      <w:tblGrid>
        <w:gridCol w:w="1228"/>
        <w:gridCol w:w="7300"/>
        <w:gridCol w:w="990"/>
      </w:tblGrid>
      <w:tr>
        <w:trPr>
          <w:trHeight w:val="190" w:hRule="exact"/>
        </w:trPr>
        <w:tc>
          <w:tcPr>
            <w:tcW w:w="1228" w:type="dxa"/>
            <w:tcBorders>
              <w:top w:val="nil" w:sz="6" w:space="0" w:color="auto"/>
              <w:left w:val="nil" w:sz="6" w:space="0" w:color="auto"/>
              <w:bottom w:val="single" w:sz="4" w:space="0" w:color="000000"/>
              <w:right w:val="nil" w:sz="6" w:space="0" w:color="auto"/>
            </w:tcBorders>
          </w:tcPr>
          <w:p>
            <w:pPr>
              <w:pStyle w:val="TableParagraph"/>
              <w:spacing w:line="183" w:lineRule="exact"/>
              <w:ind w:left="50" w:right="0"/>
              <w:jc w:val="center"/>
              <w:rPr>
                <w:rFonts w:ascii="Calibri" w:hAnsi="Calibri" w:cs="Calibri" w:eastAsia="Calibri" w:hint="default"/>
                <w:sz w:val="18"/>
                <w:szCs w:val="18"/>
              </w:rPr>
            </w:pPr>
            <w:r>
              <w:rPr>
                <w:rFonts w:ascii="Calibri"/>
                <w:b/>
                <w:sz w:val="18"/>
              </w:rPr>
              <w:t>Factor</w:t>
            </w:r>
            <w:r>
              <w:rPr>
                <w:rFonts w:ascii="Calibri"/>
                <w:sz w:val="18"/>
              </w:rPr>
            </w:r>
          </w:p>
        </w:tc>
        <w:tc>
          <w:tcPr>
            <w:tcW w:w="7300" w:type="dxa"/>
            <w:tcBorders>
              <w:top w:val="nil" w:sz="6" w:space="0" w:color="auto"/>
              <w:left w:val="nil" w:sz="6" w:space="0" w:color="auto"/>
              <w:bottom w:val="single" w:sz="4" w:space="0" w:color="000000"/>
              <w:right w:val="nil" w:sz="6" w:space="0" w:color="auto"/>
            </w:tcBorders>
          </w:tcPr>
          <w:p>
            <w:pPr>
              <w:pStyle w:val="TableParagraph"/>
              <w:spacing w:line="183" w:lineRule="exact"/>
              <w:ind w:right="15"/>
              <w:jc w:val="center"/>
              <w:rPr>
                <w:rFonts w:ascii="Calibri" w:hAnsi="Calibri" w:cs="Calibri" w:eastAsia="Calibri" w:hint="default"/>
                <w:sz w:val="18"/>
                <w:szCs w:val="18"/>
              </w:rPr>
            </w:pPr>
            <w:r>
              <w:rPr>
                <w:rFonts w:ascii="Calibri"/>
                <w:b/>
                <w:sz w:val="18"/>
              </w:rPr>
              <w:t>Item</w:t>
            </w:r>
            <w:r>
              <w:rPr>
                <w:rFonts w:ascii="Calibri"/>
                <w:sz w:val="18"/>
              </w:rPr>
            </w:r>
          </w:p>
        </w:tc>
        <w:tc>
          <w:tcPr>
            <w:tcW w:w="990" w:type="dxa"/>
            <w:tcBorders>
              <w:top w:val="nil" w:sz="6" w:space="0" w:color="auto"/>
              <w:left w:val="nil" w:sz="6" w:space="0" w:color="auto"/>
              <w:bottom w:val="single" w:sz="4" w:space="0" w:color="000000"/>
              <w:right w:val="nil" w:sz="6" w:space="0" w:color="auto"/>
            </w:tcBorders>
          </w:tcPr>
          <w:p>
            <w:pPr>
              <w:pStyle w:val="TableParagraph"/>
              <w:spacing w:line="183" w:lineRule="exact"/>
              <w:ind w:left="243" w:right="0"/>
              <w:jc w:val="left"/>
              <w:rPr>
                <w:rFonts w:ascii="Calibri" w:hAnsi="Calibri" w:cs="Calibri" w:eastAsia="Calibri" w:hint="default"/>
                <w:sz w:val="18"/>
                <w:szCs w:val="18"/>
              </w:rPr>
            </w:pPr>
            <w:r>
              <w:rPr>
                <w:rFonts w:ascii="Calibri"/>
                <w:b/>
                <w:sz w:val="18"/>
              </w:rPr>
              <w:t>Mean</w:t>
            </w:r>
            <w:r>
              <w:rPr>
                <w:rFonts w:ascii="Calibri"/>
                <w:sz w:val="18"/>
              </w:rPr>
            </w:r>
          </w:p>
        </w:tc>
      </w:tr>
      <w:tr>
        <w:trPr>
          <w:trHeight w:val="245" w:hRule="exact"/>
        </w:trPr>
        <w:tc>
          <w:tcPr>
            <w:tcW w:w="1228" w:type="dxa"/>
            <w:tcBorders>
              <w:top w:val="single" w:sz="4" w:space="0" w:color="000000"/>
              <w:left w:val="nil" w:sz="6" w:space="0" w:color="auto"/>
              <w:bottom w:val="nil" w:sz="6" w:space="0" w:color="auto"/>
              <w:right w:val="nil" w:sz="6" w:space="0" w:color="auto"/>
            </w:tcBorders>
          </w:tcPr>
          <w:p>
            <w:pPr/>
          </w:p>
        </w:tc>
        <w:tc>
          <w:tcPr>
            <w:tcW w:w="7300" w:type="dxa"/>
            <w:tcBorders>
              <w:top w:val="single" w:sz="4" w:space="0" w:color="000000"/>
              <w:left w:val="nil" w:sz="6" w:space="0" w:color="auto"/>
              <w:bottom w:val="nil" w:sz="6" w:space="0" w:color="auto"/>
              <w:right w:val="nil" w:sz="6" w:space="0" w:color="auto"/>
            </w:tcBorders>
          </w:tcPr>
          <w:p>
            <w:pPr>
              <w:pStyle w:val="TableParagraph"/>
              <w:spacing w:line="219" w:lineRule="exact"/>
              <w:ind w:left="164" w:right="0"/>
              <w:jc w:val="left"/>
              <w:rPr>
                <w:rFonts w:ascii="Calibri" w:hAnsi="Calibri" w:cs="Calibri" w:eastAsia="Calibri" w:hint="default"/>
                <w:sz w:val="18"/>
                <w:szCs w:val="18"/>
              </w:rPr>
            </w:pPr>
            <w:r>
              <w:rPr>
                <w:rFonts w:ascii="Calibri"/>
                <w:sz w:val="18"/>
              </w:rPr>
              <w:t>Supervisors provide employees instruction on how to improve their</w:t>
            </w:r>
            <w:r>
              <w:rPr>
                <w:rFonts w:ascii="Calibri"/>
                <w:spacing w:val="-22"/>
                <w:sz w:val="18"/>
              </w:rPr>
              <w:t> </w:t>
            </w:r>
            <w:r>
              <w:rPr>
                <w:rFonts w:ascii="Calibri"/>
                <w:sz w:val="18"/>
              </w:rPr>
              <w:t>job</w:t>
            </w:r>
          </w:p>
        </w:tc>
        <w:tc>
          <w:tcPr>
            <w:tcW w:w="990" w:type="dxa"/>
            <w:tcBorders>
              <w:top w:val="single" w:sz="4" w:space="0" w:color="000000"/>
              <w:left w:val="nil" w:sz="6" w:space="0" w:color="auto"/>
              <w:bottom w:val="nil" w:sz="6" w:space="0" w:color="auto"/>
              <w:right w:val="nil" w:sz="6" w:space="0" w:color="auto"/>
            </w:tcBorders>
          </w:tcPr>
          <w:p>
            <w:pPr>
              <w:pStyle w:val="TableParagraph"/>
              <w:spacing w:line="219" w:lineRule="exact"/>
              <w:ind w:left="300" w:right="0"/>
              <w:jc w:val="left"/>
              <w:rPr>
                <w:rFonts w:ascii="Calibri" w:hAnsi="Calibri" w:cs="Calibri" w:eastAsia="Calibri" w:hint="default"/>
                <w:sz w:val="18"/>
                <w:szCs w:val="18"/>
              </w:rPr>
            </w:pPr>
            <w:r>
              <w:rPr>
                <w:rFonts w:ascii="Calibri"/>
                <w:sz w:val="18"/>
              </w:rPr>
              <w:t>3.47</w:t>
            </w:r>
          </w:p>
        </w:tc>
      </w:tr>
      <w:tr>
        <w:trPr>
          <w:trHeight w:val="229" w:hRule="exact"/>
        </w:trPr>
        <w:tc>
          <w:tcPr>
            <w:tcW w:w="1228" w:type="dxa"/>
            <w:vMerge w:val="restart"/>
            <w:tcBorders>
              <w:top w:val="nil" w:sz="6" w:space="0" w:color="auto"/>
              <w:left w:val="nil" w:sz="6" w:space="0" w:color="auto"/>
              <w:right w:val="nil" w:sz="6" w:space="0" w:color="auto"/>
            </w:tcBorders>
          </w:tcPr>
          <w:p>
            <w:pPr>
              <w:pStyle w:val="TableParagraph"/>
              <w:spacing w:line="240" w:lineRule="auto" w:before="104"/>
              <w:ind w:left="254" w:right="0"/>
              <w:jc w:val="left"/>
              <w:rPr>
                <w:rFonts w:ascii="Calibri" w:hAnsi="Calibri" w:cs="Calibri" w:eastAsia="Calibri" w:hint="default"/>
                <w:sz w:val="18"/>
                <w:szCs w:val="18"/>
              </w:rPr>
            </w:pPr>
            <w:r>
              <w:rPr>
                <w:rFonts w:ascii="Calibri"/>
                <w:sz w:val="18"/>
              </w:rPr>
              <w:t>Supervisor</w:t>
            </w:r>
          </w:p>
        </w:tc>
        <w:tc>
          <w:tcPr>
            <w:tcW w:w="7300" w:type="dxa"/>
            <w:tcBorders>
              <w:top w:val="nil" w:sz="6" w:space="0" w:color="auto"/>
              <w:left w:val="nil" w:sz="6" w:space="0" w:color="auto"/>
              <w:bottom w:val="nil" w:sz="6" w:space="0" w:color="auto"/>
              <w:right w:val="nil" w:sz="6" w:space="0" w:color="auto"/>
            </w:tcBorders>
          </w:tcPr>
          <w:p>
            <w:pPr>
              <w:pStyle w:val="TableParagraph"/>
              <w:spacing w:line="209" w:lineRule="exact"/>
              <w:ind w:left="164" w:right="0"/>
              <w:jc w:val="left"/>
              <w:rPr>
                <w:rFonts w:ascii="Calibri" w:hAnsi="Calibri" w:cs="Calibri" w:eastAsia="Calibri" w:hint="default"/>
                <w:sz w:val="18"/>
                <w:szCs w:val="18"/>
              </w:rPr>
            </w:pPr>
            <w:r>
              <w:rPr>
                <w:rFonts w:ascii="Calibri"/>
                <w:sz w:val="18"/>
              </w:rPr>
              <w:t>Supervisors provide employees with assistance to solve job</w:t>
            </w:r>
            <w:r>
              <w:rPr>
                <w:rFonts w:ascii="Calibri"/>
                <w:spacing w:val="-21"/>
                <w:sz w:val="18"/>
              </w:rPr>
              <w:t> </w:t>
            </w:r>
            <w:r>
              <w:rPr>
                <w:rFonts w:ascii="Calibri"/>
                <w:sz w:val="18"/>
              </w:rPr>
              <w:t>problems</w:t>
            </w:r>
          </w:p>
        </w:tc>
        <w:tc>
          <w:tcPr>
            <w:tcW w:w="990" w:type="dxa"/>
            <w:tcBorders>
              <w:top w:val="nil" w:sz="6" w:space="0" w:color="auto"/>
              <w:left w:val="nil" w:sz="6" w:space="0" w:color="auto"/>
              <w:bottom w:val="nil" w:sz="6" w:space="0" w:color="auto"/>
              <w:right w:val="nil" w:sz="6" w:space="0" w:color="auto"/>
            </w:tcBorders>
          </w:tcPr>
          <w:p>
            <w:pPr>
              <w:pStyle w:val="TableParagraph"/>
              <w:spacing w:line="209" w:lineRule="exact"/>
              <w:ind w:left="300" w:right="0"/>
              <w:jc w:val="left"/>
              <w:rPr>
                <w:rFonts w:ascii="Calibri" w:hAnsi="Calibri" w:cs="Calibri" w:eastAsia="Calibri" w:hint="default"/>
                <w:sz w:val="18"/>
                <w:szCs w:val="18"/>
              </w:rPr>
            </w:pPr>
            <w:r>
              <w:rPr>
                <w:rFonts w:ascii="Calibri"/>
                <w:sz w:val="18"/>
              </w:rPr>
              <w:t>3.47</w:t>
            </w:r>
          </w:p>
        </w:tc>
      </w:tr>
      <w:tr>
        <w:trPr>
          <w:trHeight w:val="229" w:hRule="exact"/>
        </w:trPr>
        <w:tc>
          <w:tcPr>
            <w:tcW w:w="1228" w:type="dxa"/>
            <w:vMerge/>
            <w:tcBorders>
              <w:left w:val="nil" w:sz="6" w:space="0" w:color="auto"/>
              <w:bottom w:val="nil" w:sz="6" w:space="0" w:color="auto"/>
              <w:right w:val="nil" w:sz="6" w:space="0" w:color="auto"/>
            </w:tcBorders>
          </w:tcPr>
          <w:p>
            <w:pPr/>
          </w:p>
        </w:tc>
        <w:tc>
          <w:tcPr>
            <w:tcW w:w="7300" w:type="dxa"/>
            <w:tcBorders>
              <w:top w:val="nil" w:sz="6" w:space="0" w:color="auto"/>
              <w:left w:val="nil" w:sz="6" w:space="0" w:color="auto"/>
              <w:bottom w:val="nil" w:sz="6" w:space="0" w:color="auto"/>
              <w:right w:val="nil" w:sz="6" w:space="0" w:color="auto"/>
            </w:tcBorders>
          </w:tcPr>
          <w:p>
            <w:pPr>
              <w:pStyle w:val="TableParagraph"/>
              <w:spacing w:line="207" w:lineRule="exact"/>
              <w:ind w:left="164" w:right="0"/>
              <w:jc w:val="left"/>
              <w:rPr>
                <w:rFonts w:ascii="Calibri" w:hAnsi="Calibri" w:cs="Calibri" w:eastAsia="Calibri" w:hint="default"/>
                <w:sz w:val="18"/>
                <w:szCs w:val="18"/>
              </w:rPr>
            </w:pPr>
            <w:r>
              <w:rPr>
                <w:rFonts w:ascii="Calibri"/>
                <w:sz w:val="18"/>
              </w:rPr>
              <w:t>Supervisors acknowledge employees if they perform their job</w:t>
            </w:r>
            <w:r>
              <w:rPr>
                <w:rFonts w:ascii="Calibri"/>
                <w:spacing w:val="-27"/>
                <w:sz w:val="18"/>
              </w:rPr>
              <w:t> </w:t>
            </w:r>
            <w:r>
              <w:rPr>
                <w:rFonts w:ascii="Calibri"/>
                <w:sz w:val="18"/>
              </w:rPr>
              <w:t>well</w:t>
            </w:r>
          </w:p>
        </w:tc>
        <w:tc>
          <w:tcPr>
            <w:tcW w:w="990" w:type="dxa"/>
            <w:tcBorders>
              <w:top w:val="nil" w:sz="6" w:space="0" w:color="auto"/>
              <w:left w:val="nil" w:sz="6" w:space="0" w:color="auto"/>
              <w:bottom w:val="nil" w:sz="6" w:space="0" w:color="auto"/>
              <w:right w:val="nil" w:sz="6" w:space="0" w:color="auto"/>
            </w:tcBorders>
          </w:tcPr>
          <w:p>
            <w:pPr>
              <w:pStyle w:val="TableParagraph"/>
              <w:spacing w:line="207" w:lineRule="exact"/>
              <w:ind w:left="300" w:right="0"/>
              <w:jc w:val="left"/>
              <w:rPr>
                <w:rFonts w:ascii="Calibri" w:hAnsi="Calibri" w:cs="Calibri" w:eastAsia="Calibri" w:hint="default"/>
                <w:sz w:val="18"/>
                <w:szCs w:val="18"/>
              </w:rPr>
            </w:pPr>
            <w:r>
              <w:rPr>
                <w:rFonts w:ascii="Calibri"/>
                <w:sz w:val="18"/>
              </w:rPr>
              <w:t>3.46</w:t>
            </w:r>
          </w:p>
        </w:tc>
      </w:tr>
      <w:tr>
        <w:trPr>
          <w:trHeight w:val="216" w:hRule="exact"/>
        </w:trPr>
        <w:tc>
          <w:tcPr>
            <w:tcW w:w="1228" w:type="dxa"/>
            <w:tcBorders>
              <w:top w:val="nil" w:sz="6" w:space="0" w:color="auto"/>
              <w:left w:val="nil" w:sz="6" w:space="0" w:color="auto"/>
              <w:bottom w:val="single" w:sz="4" w:space="0" w:color="000000"/>
              <w:right w:val="nil" w:sz="6" w:space="0" w:color="auto"/>
            </w:tcBorders>
          </w:tcPr>
          <w:p>
            <w:pPr/>
          </w:p>
        </w:tc>
        <w:tc>
          <w:tcPr>
            <w:tcW w:w="7300" w:type="dxa"/>
            <w:tcBorders>
              <w:top w:val="nil" w:sz="6" w:space="0" w:color="auto"/>
              <w:left w:val="nil" w:sz="6" w:space="0" w:color="auto"/>
              <w:bottom w:val="single" w:sz="4" w:space="0" w:color="000000"/>
              <w:right w:val="nil" w:sz="6" w:space="0" w:color="auto"/>
            </w:tcBorders>
          </w:tcPr>
          <w:p>
            <w:pPr>
              <w:pStyle w:val="TableParagraph"/>
              <w:spacing w:line="209" w:lineRule="exact"/>
              <w:ind w:left="164" w:right="0"/>
              <w:jc w:val="left"/>
              <w:rPr>
                <w:rFonts w:ascii="Calibri" w:hAnsi="Calibri" w:cs="Calibri" w:eastAsia="Calibri" w:hint="default"/>
                <w:sz w:val="18"/>
                <w:szCs w:val="18"/>
              </w:rPr>
            </w:pPr>
            <w:r>
              <w:rPr>
                <w:rFonts w:ascii="Calibri" w:hAnsi="Calibri" w:cs="Calibri" w:eastAsia="Calibri" w:hint="default"/>
                <w:sz w:val="18"/>
                <w:szCs w:val="18"/>
              </w:rPr>
              <w:t>Supervisors recognize challenges that might affect employee</w:t>
            </w:r>
            <w:r>
              <w:rPr>
                <w:rFonts w:ascii="Calibri" w:hAnsi="Calibri" w:cs="Calibri" w:eastAsia="Calibri" w:hint="default"/>
                <w:sz w:val="18"/>
                <w:szCs w:val="18"/>
              </w:rPr>
              <w:t>s’ </w:t>
            </w:r>
            <w:r>
              <w:rPr>
                <w:rFonts w:ascii="Calibri" w:hAnsi="Calibri" w:cs="Calibri" w:eastAsia="Calibri" w:hint="default"/>
                <w:sz w:val="18"/>
                <w:szCs w:val="18"/>
              </w:rPr>
              <w:t>ability to</w:t>
            </w:r>
            <w:r>
              <w:rPr>
                <w:rFonts w:ascii="Calibri" w:hAnsi="Calibri" w:cs="Calibri" w:eastAsia="Calibri" w:hint="default"/>
                <w:spacing w:val="-20"/>
                <w:sz w:val="18"/>
                <w:szCs w:val="18"/>
              </w:rPr>
              <w:t> </w:t>
            </w:r>
            <w:r>
              <w:rPr>
                <w:rFonts w:ascii="Calibri" w:hAnsi="Calibri" w:cs="Calibri" w:eastAsia="Calibri" w:hint="default"/>
                <w:sz w:val="18"/>
                <w:szCs w:val="18"/>
              </w:rPr>
              <w:t>perform</w:t>
            </w:r>
          </w:p>
        </w:tc>
        <w:tc>
          <w:tcPr>
            <w:tcW w:w="990" w:type="dxa"/>
            <w:tcBorders>
              <w:top w:val="nil" w:sz="6" w:space="0" w:color="auto"/>
              <w:left w:val="nil" w:sz="6" w:space="0" w:color="auto"/>
              <w:bottom w:val="single" w:sz="4" w:space="0" w:color="000000"/>
              <w:right w:val="nil" w:sz="6" w:space="0" w:color="auto"/>
            </w:tcBorders>
          </w:tcPr>
          <w:p>
            <w:pPr>
              <w:pStyle w:val="TableParagraph"/>
              <w:spacing w:line="209" w:lineRule="exact"/>
              <w:ind w:left="300" w:right="0"/>
              <w:jc w:val="left"/>
              <w:rPr>
                <w:rFonts w:ascii="Calibri" w:hAnsi="Calibri" w:cs="Calibri" w:eastAsia="Calibri" w:hint="default"/>
                <w:sz w:val="18"/>
                <w:szCs w:val="18"/>
              </w:rPr>
            </w:pPr>
            <w:r>
              <w:rPr>
                <w:rFonts w:ascii="Calibri"/>
                <w:sz w:val="18"/>
              </w:rPr>
              <w:t>3.36</w:t>
            </w:r>
          </w:p>
        </w:tc>
      </w:tr>
      <w:tr>
        <w:trPr>
          <w:trHeight w:val="245" w:hRule="exact"/>
        </w:trPr>
        <w:tc>
          <w:tcPr>
            <w:tcW w:w="1228" w:type="dxa"/>
            <w:tcBorders>
              <w:top w:val="single" w:sz="4" w:space="0" w:color="000000"/>
              <w:left w:val="nil" w:sz="6" w:space="0" w:color="auto"/>
              <w:bottom w:val="nil" w:sz="6" w:space="0" w:color="auto"/>
              <w:right w:val="nil" w:sz="6" w:space="0" w:color="auto"/>
            </w:tcBorders>
          </w:tcPr>
          <w:p>
            <w:pPr/>
          </w:p>
        </w:tc>
        <w:tc>
          <w:tcPr>
            <w:tcW w:w="7300" w:type="dxa"/>
            <w:tcBorders>
              <w:top w:val="single" w:sz="4" w:space="0" w:color="000000"/>
              <w:left w:val="nil" w:sz="6" w:space="0" w:color="auto"/>
              <w:bottom w:val="nil" w:sz="6" w:space="0" w:color="auto"/>
              <w:right w:val="nil" w:sz="6" w:space="0" w:color="auto"/>
            </w:tcBorders>
          </w:tcPr>
          <w:p>
            <w:pPr>
              <w:pStyle w:val="TableParagraph"/>
              <w:spacing w:line="219" w:lineRule="exact"/>
              <w:ind w:left="164" w:right="0"/>
              <w:jc w:val="left"/>
              <w:rPr>
                <w:rFonts w:ascii="Calibri" w:hAnsi="Calibri" w:cs="Calibri" w:eastAsia="Calibri" w:hint="default"/>
                <w:sz w:val="18"/>
                <w:szCs w:val="18"/>
              </w:rPr>
            </w:pPr>
            <w:r>
              <w:rPr>
                <w:rFonts w:ascii="Calibri"/>
                <w:sz w:val="18"/>
              </w:rPr>
              <w:t>I consider benefits (holidays, meals, bonuses, etc.) in tourism jobs</w:t>
            </w:r>
            <w:r>
              <w:rPr>
                <w:rFonts w:ascii="Calibri"/>
                <w:spacing w:val="-24"/>
                <w:sz w:val="18"/>
              </w:rPr>
              <w:t> </w:t>
            </w:r>
            <w:r>
              <w:rPr>
                <w:rFonts w:ascii="Calibri"/>
                <w:sz w:val="18"/>
              </w:rPr>
              <w:t>adequate</w:t>
            </w:r>
          </w:p>
        </w:tc>
        <w:tc>
          <w:tcPr>
            <w:tcW w:w="990" w:type="dxa"/>
            <w:tcBorders>
              <w:top w:val="single" w:sz="4" w:space="0" w:color="000000"/>
              <w:left w:val="nil" w:sz="6" w:space="0" w:color="auto"/>
              <w:bottom w:val="nil" w:sz="6" w:space="0" w:color="auto"/>
              <w:right w:val="nil" w:sz="6" w:space="0" w:color="auto"/>
            </w:tcBorders>
          </w:tcPr>
          <w:p>
            <w:pPr>
              <w:pStyle w:val="TableParagraph"/>
              <w:spacing w:line="219" w:lineRule="exact"/>
              <w:ind w:left="300" w:right="0"/>
              <w:jc w:val="left"/>
              <w:rPr>
                <w:rFonts w:ascii="Calibri" w:hAnsi="Calibri" w:cs="Calibri" w:eastAsia="Calibri" w:hint="default"/>
                <w:sz w:val="18"/>
                <w:szCs w:val="18"/>
              </w:rPr>
            </w:pPr>
            <w:r>
              <w:rPr>
                <w:rFonts w:ascii="Calibri"/>
                <w:sz w:val="18"/>
              </w:rPr>
              <w:t>2.98</w:t>
            </w:r>
          </w:p>
        </w:tc>
      </w:tr>
      <w:tr>
        <w:trPr>
          <w:trHeight w:val="229" w:hRule="exact"/>
        </w:trPr>
        <w:tc>
          <w:tcPr>
            <w:tcW w:w="1228" w:type="dxa"/>
            <w:vMerge w:val="restart"/>
            <w:tcBorders>
              <w:top w:val="nil" w:sz="6" w:space="0" w:color="auto"/>
              <w:left w:val="nil" w:sz="6" w:space="0" w:color="auto"/>
              <w:right w:val="nil" w:sz="6" w:space="0" w:color="auto"/>
            </w:tcBorders>
          </w:tcPr>
          <w:p>
            <w:pPr>
              <w:pStyle w:val="TableParagraph"/>
              <w:spacing w:line="240" w:lineRule="auto" w:before="101"/>
              <w:ind w:left="343" w:right="0"/>
              <w:jc w:val="left"/>
              <w:rPr>
                <w:rFonts w:ascii="Calibri" w:hAnsi="Calibri" w:cs="Calibri" w:eastAsia="Calibri" w:hint="default"/>
                <w:sz w:val="18"/>
                <w:szCs w:val="18"/>
              </w:rPr>
            </w:pPr>
            <w:r>
              <w:rPr>
                <w:rFonts w:ascii="Calibri"/>
                <w:sz w:val="18"/>
              </w:rPr>
              <w:t>Benefits</w:t>
            </w:r>
          </w:p>
        </w:tc>
        <w:tc>
          <w:tcPr>
            <w:tcW w:w="7300" w:type="dxa"/>
            <w:tcBorders>
              <w:top w:val="nil" w:sz="6" w:space="0" w:color="auto"/>
              <w:left w:val="nil" w:sz="6" w:space="0" w:color="auto"/>
              <w:bottom w:val="nil" w:sz="6" w:space="0" w:color="auto"/>
              <w:right w:val="nil" w:sz="6" w:space="0" w:color="auto"/>
            </w:tcBorders>
          </w:tcPr>
          <w:p>
            <w:pPr>
              <w:pStyle w:val="TableParagraph"/>
              <w:spacing w:line="209" w:lineRule="exact"/>
              <w:ind w:left="164" w:right="0"/>
              <w:jc w:val="left"/>
              <w:rPr>
                <w:rFonts w:ascii="Calibri" w:hAnsi="Calibri" w:cs="Calibri" w:eastAsia="Calibri" w:hint="default"/>
                <w:sz w:val="18"/>
                <w:szCs w:val="18"/>
              </w:rPr>
            </w:pPr>
            <w:r>
              <w:rPr>
                <w:rFonts w:ascii="Calibri"/>
                <w:sz w:val="18"/>
              </w:rPr>
              <w:t>The tourism industry provides an above average starting</w:t>
            </w:r>
            <w:r>
              <w:rPr>
                <w:rFonts w:ascii="Calibri"/>
                <w:spacing w:val="-16"/>
                <w:sz w:val="18"/>
              </w:rPr>
              <w:t> </w:t>
            </w:r>
            <w:r>
              <w:rPr>
                <w:rFonts w:ascii="Calibri"/>
                <w:sz w:val="18"/>
              </w:rPr>
              <w:t>salary</w:t>
            </w:r>
          </w:p>
        </w:tc>
        <w:tc>
          <w:tcPr>
            <w:tcW w:w="990" w:type="dxa"/>
            <w:tcBorders>
              <w:top w:val="nil" w:sz="6" w:space="0" w:color="auto"/>
              <w:left w:val="nil" w:sz="6" w:space="0" w:color="auto"/>
              <w:bottom w:val="nil" w:sz="6" w:space="0" w:color="auto"/>
              <w:right w:val="nil" w:sz="6" w:space="0" w:color="auto"/>
            </w:tcBorders>
          </w:tcPr>
          <w:p>
            <w:pPr>
              <w:pStyle w:val="TableParagraph"/>
              <w:spacing w:line="209" w:lineRule="exact"/>
              <w:ind w:left="300" w:right="0"/>
              <w:jc w:val="left"/>
              <w:rPr>
                <w:rFonts w:ascii="Calibri" w:hAnsi="Calibri" w:cs="Calibri" w:eastAsia="Calibri" w:hint="default"/>
                <w:sz w:val="18"/>
                <w:szCs w:val="18"/>
              </w:rPr>
            </w:pPr>
            <w:r>
              <w:rPr>
                <w:rFonts w:ascii="Calibri"/>
                <w:sz w:val="18"/>
              </w:rPr>
              <w:t>2.73</w:t>
            </w:r>
          </w:p>
        </w:tc>
      </w:tr>
      <w:tr>
        <w:trPr>
          <w:trHeight w:val="229" w:hRule="exact"/>
        </w:trPr>
        <w:tc>
          <w:tcPr>
            <w:tcW w:w="1228" w:type="dxa"/>
            <w:vMerge/>
            <w:tcBorders>
              <w:left w:val="nil" w:sz="6" w:space="0" w:color="auto"/>
              <w:bottom w:val="nil" w:sz="6" w:space="0" w:color="auto"/>
              <w:right w:val="nil" w:sz="6" w:space="0" w:color="auto"/>
            </w:tcBorders>
          </w:tcPr>
          <w:p>
            <w:pPr/>
          </w:p>
        </w:tc>
        <w:tc>
          <w:tcPr>
            <w:tcW w:w="7300" w:type="dxa"/>
            <w:tcBorders>
              <w:top w:val="nil" w:sz="6" w:space="0" w:color="auto"/>
              <w:left w:val="nil" w:sz="6" w:space="0" w:color="auto"/>
              <w:bottom w:val="nil" w:sz="6" w:space="0" w:color="auto"/>
              <w:right w:val="nil" w:sz="6" w:space="0" w:color="auto"/>
            </w:tcBorders>
          </w:tcPr>
          <w:p>
            <w:pPr>
              <w:pStyle w:val="TableParagraph"/>
              <w:spacing w:line="207" w:lineRule="exact"/>
              <w:ind w:left="164" w:right="0"/>
              <w:jc w:val="left"/>
              <w:rPr>
                <w:rFonts w:ascii="Calibri" w:hAnsi="Calibri" w:cs="Calibri" w:eastAsia="Calibri" w:hint="default"/>
                <w:sz w:val="18"/>
                <w:szCs w:val="18"/>
              </w:rPr>
            </w:pPr>
            <w:r>
              <w:rPr>
                <w:rFonts w:ascii="Calibri"/>
                <w:sz w:val="18"/>
              </w:rPr>
              <w:t>The tourism industry provides job security and</w:t>
            </w:r>
            <w:r>
              <w:rPr>
                <w:rFonts w:ascii="Calibri"/>
                <w:spacing w:val="-13"/>
                <w:sz w:val="18"/>
              </w:rPr>
              <w:t> </w:t>
            </w:r>
            <w:r>
              <w:rPr>
                <w:rFonts w:ascii="Calibri"/>
                <w:sz w:val="18"/>
              </w:rPr>
              <w:t>stability</w:t>
            </w:r>
          </w:p>
        </w:tc>
        <w:tc>
          <w:tcPr>
            <w:tcW w:w="990" w:type="dxa"/>
            <w:tcBorders>
              <w:top w:val="nil" w:sz="6" w:space="0" w:color="auto"/>
              <w:left w:val="nil" w:sz="6" w:space="0" w:color="auto"/>
              <w:bottom w:val="nil" w:sz="6" w:space="0" w:color="auto"/>
              <w:right w:val="nil" w:sz="6" w:space="0" w:color="auto"/>
            </w:tcBorders>
          </w:tcPr>
          <w:p>
            <w:pPr>
              <w:pStyle w:val="TableParagraph"/>
              <w:spacing w:line="207" w:lineRule="exact"/>
              <w:ind w:left="300" w:right="0"/>
              <w:jc w:val="left"/>
              <w:rPr>
                <w:rFonts w:ascii="Calibri" w:hAnsi="Calibri" w:cs="Calibri" w:eastAsia="Calibri" w:hint="default"/>
                <w:sz w:val="18"/>
                <w:szCs w:val="18"/>
              </w:rPr>
            </w:pPr>
            <w:r>
              <w:rPr>
                <w:rFonts w:ascii="Calibri"/>
                <w:sz w:val="18"/>
              </w:rPr>
              <w:t>3.09</w:t>
            </w:r>
          </w:p>
        </w:tc>
      </w:tr>
      <w:tr>
        <w:trPr>
          <w:trHeight w:val="215" w:hRule="exact"/>
        </w:trPr>
        <w:tc>
          <w:tcPr>
            <w:tcW w:w="1228" w:type="dxa"/>
            <w:tcBorders>
              <w:top w:val="nil" w:sz="6" w:space="0" w:color="auto"/>
              <w:left w:val="nil" w:sz="6" w:space="0" w:color="auto"/>
              <w:bottom w:val="single" w:sz="4" w:space="0" w:color="000000"/>
              <w:right w:val="nil" w:sz="6" w:space="0" w:color="auto"/>
            </w:tcBorders>
          </w:tcPr>
          <w:p>
            <w:pPr/>
          </w:p>
        </w:tc>
        <w:tc>
          <w:tcPr>
            <w:tcW w:w="7300" w:type="dxa"/>
            <w:tcBorders>
              <w:top w:val="nil" w:sz="6" w:space="0" w:color="auto"/>
              <w:left w:val="nil" w:sz="6" w:space="0" w:color="auto"/>
              <w:bottom w:val="single" w:sz="4" w:space="0" w:color="000000"/>
              <w:right w:val="nil" w:sz="6" w:space="0" w:color="auto"/>
            </w:tcBorders>
          </w:tcPr>
          <w:p>
            <w:pPr>
              <w:pStyle w:val="TableParagraph"/>
              <w:spacing w:line="209" w:lineRule="exact"/>
              <w:ind w:left="164" w:right="0"/>
              <w:jc w:val="left"/>
              <w:rPr>
                <w:rFonts w:ascii="Calibri" w:hAnsi="Calibri" w:cs="Calibri" w:eastAsia="Calibri" w:hint="default"/>
                <w:sz w:val="18"/>
                <w:szCs w:val="18"/>
              </w:rPr>
            </w:pPr>
            <w:r>
              <w:rPr>
                <w:rFonts w:ascii="Calibri"/>
                <w:sz w:val="18"/>
              </w:rPr>
              <w:t>The advantages of working in the tourism industry outweigh the</w:t>
            </w:r>
            <w:r>
              <w:rPr>
                <w:rFonts w:ascii="Calibri"/>
                <w:spacing w:val="-18"/>
                <w:sz w:val="18"/>
              </w:rPr>
              <w:t> </w:t>
            </w:r>
            <w:r>
              <w:rPr>
                <w:rFonts w:ascii="Calibri"/>
                <w:sz w:val="18"/>
              </w:rPr>
              <w:t>disadvantages</w:t>
            </w:r>
          </w:p>
        </w:tc>
        <w:tc>
          <w:tcPr>
            <w:tcW w:w="990" w:type="dxa"/>
            <w:tcBorders>
              <w:top w:val="nil" w:sz="6" w:space="0" w:color="auto"/>
              <w:left w:val="nil" w:sz="6" w:space="0" w:color="auto"/>
              <w:bottom w:val="single" w:sz="4" w:space="0" w:color="000000"/>
              <w:right w:val="nil" w:sz="6" w:space="0" w:color="auto"/>
            </w:tcBorders>
          </w:tcPr>
          <w:p>
            <w:pPr>
              <w:pStyle w:val="TableParagraph"/>
              <w:spacing w:line="209" w:lineRule="exact"/>
              <w:ind w:left="300" w:right="0"/>
              <w:jc w:val="left"/>
              <w:rPr>
                <w:rFonts w:ascii="Calibri" w:hAnsi="Calibri" w:cs="Calibri" w:eastAsia="Calibri" w:hint="default"/>
                <w:sz w:val="18"/>
                <w:szCs w:val="18"/>
              </w:rPr>
            </w:pPr>
            <w:r>
              <w:rPr>
                <w:rFonts w:ascii="Calibri"/>
                <w:sz w:val="18"/>
              </w:rPr>
              <w:t>3.13</w:t>
            </w:r>
          </w:p>
        </w:tc>
      </w:tr>
      <w:tr>
        <w:trPr>
          <w:trHeight w:val="244" w:hRule="exact"/>
        </w:trPr>
        <w:tc>
          <w:tcPr>
            <w:tcW w:w="1228" w:type="dxa"/>
            <w:tcBorders>
              <w:top w:val="single" w:sz="4" w:space="0" w:color="000000"/>
              <w:left w:val="nil" w:sz="6" w:space="0" w:color="auto"/>
              <w:bottom w:val="nil" w:sz="6" w:space="0" w:color="auto"/>
              <w:right w:val="nil" w:sz="6" w:space="0" w:color="auto"/>
            </w:tcBorders>
          </w:tcPr>
          <w:p>
            <w:pPr/>
          </w:p>
        </w:tc>
        <w:tc>
          <w:tcPr>
            <w:tcW w:w="7300" w:type="dxa"/>
            <w:tcBorders>
              <w:top w:val="single" w:sz="4" w:space="0" w:color="000000"/>
              <w:left w:val="nil" w:sz="6" w:space="0" w:color="auto"/>
              <w:bottom w:val="nil" w:sz="6" w:space="0" w:color="auto"/>
              <w:right w:val="nil" w:sz="6" w:space="0" w:color="auto"/>
            </w:tcBorders>
          </w:tcPr>
          <w:p>
            <w:pPr>
              <w:pStyle w:val="TableParagraph"/>
              <w:spacing w:line="219" w:lineRule="exact"/>
              <w:ind w:left="164" w:right="0"/>
              <w:jc w:val="left"/>
              <w:rPr>
                <w:rFonts w:ascii="Calibri" w:hAnsi="Calibri" w:cs="Calibri" w:eastAsia="Calibri" w:hint="default"/>
                <w:sz w:val="18"/>
                <w:szCs w:val="18"/>
              </w:rPr>
            </w:pPr>
            <w:r>
              <w:rPr>
                <w:rFonts w:ascii="Calibri"/>
                <w:sz w:val="18"/>
              </w:rPr>
              <w:t>A job in the tourism industry is creative and</w:t>
            </w:r>
            <w:r>
              <w:rPr>
                <w:rFonts w:ascii="Calibri"/>
                <w:spacing w:val="-16"/>
                <w:sz w:val="18"/>
              </w:rPr>
              <w:t> </w:t>
            </w:r>
            <w:r>
              <w:rPr>
                <w:rFonts w:ascii="Calibri"/>
                <w:sz w:val="18"/>
              </w:rPr>
              <w:t>meaningful</w:t>
            </w:r>
          </w:p>
        </w:tc>
        <w:tc>
          <w:tcPr>
            <w:tcW w:w="990" w:type="dxa"/>
            <w:tcBorders>
              <w:top w:val="single" w:sz="4" w:space="0" w:color="000000"/>
              <w:left w:val="nil" w:sz="6" w:space="0" w:color="auto"/>
              <w:bottom w:val="nil" w:sz="6" w:space="0" w:color="auto"/>
              <w:right w:val="nil" w:sz="6" w:space="0" w:color="auto"/>
            </w:tcBorders>
          </w:tcPr>
          <w:p>
            <w:pPr>
              <w:pStyle w:val="TableParagraph"/>
              <w:spacing w:line="219" w:lineRule="exact"/>
              <w:ind w:left="300" w:right="0"/>
              <w:jc w:val="left"/>
              <w:rPr>
                <w:rFonts w:ascii="Calibri" w:hAnsi="Calibri" w:cs="Calibri" w:eastAsia="Calibri" w:hint="default"/>
                <w:sz w:val="18"/>
                <w:szCs w:val="18"/>
              </w:rPr>
            </w:pPr>
            <w:r>
              <w:rPr>
                <w:rFonts w:ascii="Calibri"/>
                <w:sz w:val="18"/>
              </w:rPr>
              <w:t>4.16</w:t>
            </w:r>
          </w:p>
        </w:tc>
      </w:tr>
      <w:tr>
        <w:trPr>
          <w:trHeight w:val="229" w:hRule="exact"/>
        </w:trPr>
        <w:tc>
          <w:tcPr>
            <w:tcW w:w="1228" w:type="dxa"/>
            <w:vMerge w:val="restart"/>
            <w:tcBorders>
              <w:top w:val="nil" w:sz="6" w:space="0" w:color="auto"/>
              <w:left w:val="nil" w:sz="6" w:space="0" w:color="auto"/>
              <w:right w:val="nil" w:sz="6" w:space="0" w:color="auto"/>
            </w:tcBorders>
          </w:tcPr>
          <w:p>
            <w:pPr>
              <w:pStyle w:val="TableParagraph"/>
              <w:spacing w:line="240" w:lineRule="auto" w:before="103"/>
              <w:ind w:left="251" w:right="0"/>
              <w:jc w:val="left"/>
              <w:rPr>
                <w:rFonts w:ascii="Calibri" w:hAnsi="Calibri" w:cs="Calibri" w:eastAsia="Calibri" w:hint="default"/>
                <w:sz w:val="18"/>
                <w:szCs w:val="18"/>
              </w:rPr>
            </w:pPr>
            <w:r>
              <w:rPr>
                <w:rFonts w:ascii="Calibri"/>
                <w:sz w:val="18"/>
              </w:rPr>
              <w:t>Promotion</w:t>
            </w:r>
          </w:p>
        </w:tc>
        <w:tc>
          <w:tcPr>
            <w:tcW w:w="7300" w:type="dxa"/>
            <w:tcBorders>
              <w:top w:val="nil" w:sz="6" w:space="0" w:color="auto"/>
              <w:left w:val="nil" w:sz="6" w:space="0" w:color="auto"/>
              <w:bottom w:val="nil" w:sz="6" w:space="0" w:color="auto"/>
              <w:right w:val="nil" w:sz="6" w:space="0" w:color="auto"/>
            </w:tcBorders>
          </w:tcPr>
          <w:p>
            <w:pPr>
              <w:pStyle w:val="TableParagraph"/>
              <w:spacing w:line="207" w:lineRule="exact"/>
              <w:ind w:left="164" w:right="0"/>
              <w:jc w:val="left"/>
              <w:rPr>
                <w:rFonts w:ascii="Calibri" w:hAnsi="Calibri" w:cs="Calibri" w:eastAsia="Calibri" w:hint="default"/>
                <w:sz w:val="18"/>
                <w:szCs w:val="18"/>
              </w:rPr>
            </w:pPr>
            <w:r>
              <w:rPr>
                <w:rFonts w:ascii="Calibri"/>
                <w:sz w:val="18"/>
              </w:rPr>
              <w:t>A job in the tourism industry is</w:t>
            </w:r>
            <w:r>
              <w:rPr>
                <w:rFonts w:ascii="Calibri"/>
                <w:spacing w:val="-12"/>
                <w:sz w:val="18"/>
              </w:rPr>
              <w:t> </w:t>
            </w:r>
            <w:r>
              <w:rPr>
                <w:rFonts w:ascii="Calibri"/>
                <w:sz w:val="18"/>
              </w:rPr>
              <w:t>challenging</w:t>
            </w:r>
          </w:p>
        </w:tc>
        <w:tc>
          <w:tcPr>
            <w:tcW w:w="990" w:type="dxa"/>
            <w:tcBorders>
              <w:top w:val="nil" w:sz="6" w:space="0" w:color="auto"/>
              <w:left w:val="nil" w:sz="6" w:space="0" w:color="auto"/>
              <w:bottom w:val="nil" w:sz="6" w:space="0" w:color="auto"/>
              <w:right w:val="nil" w:sz="6" w:space="0" w:color="auto"/>
            </w:tcBorders>
          </w:tcPr>
          <w:p>
            <w:pPr>
              <w:pStyle w:val="TableParagraph"/>
              <w:spacing w:line="207" w:lineRule="exact"/>
              <w:ind w:left="300" w:right="0"/>
              <w:jc w:val="left"/>
              <w:rPr>
                <w:rFonts w:ascii="Calibri" w:hAnsi="Calibri" w:cs="Calibri" w:eastAsia="Calibri" w:hint="default"/>
                <w:sz w:val="18"/>
                <w:szCs w:val="18"/>
              </w:rPr>
            </w:pPr>
            <w:r>
              <w:rPr>
                <w:rFonts w:ascii="Calibri"/>
                <w:sz w:val="18"/>
              </w:rPr>
              <w:t>4.15</w:t>
            </w:r>
          </w:p>
        </w:tc>
      </w:tr>
      <w:tr>
        <w:trPr>
          <w:trHeight w:val="230" w:hRule="exact"/>
        </w:trPr>
        <w:tc>
          <w:tcPr>
            <w:tcW w:w="1228" w:type="dxa"/>
            <w:vMerge/>
            <w:tcBorders>
              <w:left w:val="nil" w:sz="6" w:space="0" w:color="auto"/>
              <w:bottom w:val="nil" w:sz="6" w:space="0" w:color="auto"/>
              <w:right w:val="nil" w:sz="6" w:space="0" w:color="auto"/>
            </w:tcBorders>
          </w:tcPr>
          <w:p>
            <w:pPr/>
          </w:p>
        </w:tc>
        <w:tc>
          <w:tcPr>
            <w:tcW w:w="7300" w:type="dxa"/>
            <w:tcBorders>
              <w:top w:val="nil" w:sz="6" w:space="0" w:color="auto"/>
              <w:left w:val="nil" w:sz="6" w:space="0" w:color="auto"/>
              <w:bottom w:val="nil" w:sz="6" w:space="0" w:color="auto"/>
              <w:right w:val="nil" w:sz="6" w:space="0" w:color="auto"/>
            </w:tcBorders>
          </w:tcPr>
          <w:p>
            <w:pPr>
              <w:pStyle w:val="TableParagraph"/>
              <w:spacing w:line="209" w:lineRule="exact"/>
              <w:ind w:left="164" w:right="0"/>
              <w:jc w:val="left"/>
              <w:rPr>
                <w:rFonts w:ascii="Calibri" w:hAnsi="Calibri" w:cs="Calibri" w:eastAsia="Calibri" w:hint="default"/>
                <w:sz w:val="18"/>
                <w:szCs w:val="18"/>
              </w:rPr>
            </w:pPr>
            <w:r>
              <w:rPr>
                <w:rFonts w:ascii="Calibri"/>
                <w:sz w:val="18"/>
              </w:rPr>
              <w:t>A job in the tourism industry offers opportunities for</w:t>
            </w:r>
            <w:r>
              <w:rPr>
                <w:rFonts w:ascii="Calibri"/>
                <w:spacing w:val="-15"/>
                <w:sz w:val="18"/>
              </w:rPr>
              <w:t> </w:t>
            </w:r>
            <w:r>
              <w:rPr>
                <w:rFonts w:ascii="Calibri"/>
                <w:sz w:val="18"/>
              </w:rPr>
              <w:t>promotions</w:t>
            </w:r>
          </w:p>
        </w:tc>
        <w:tc>
          <w:tcPr>
            <w:tcW w:w="990" w:type="dxa"/>
            <w:tcBorders>
              <w:top w:val="nil" w:sz="6" w:space="0" w:color="auto"/>
              <w:left w:val="nil" w:sz="6" w:space="0" w:color="auto"/>
              <w:bottom w:val="nil" w:sz="6" w:space="0" w:color="auto"/>
              <w:right w:val="nil" w:sz="6" w:space="0" w:color="auto"/>
            </w:tcBorders>
          </w:tcPr>
          <w:p>
            <w:pPr>
              <w:pStyle w:val="TableParagraph"/>
              <w:spacing w:line="209" w:lineRule="exact"/>
              <w:ind w:left="300" w:right="0"/>
              <w:jc w:val="left"/>
              <w:rPr>
                <w:rFonts w:ascii="Calibri" w:hAnsi="Calibri" w:cs="Calibri" w:eastAsia="Calibri" w:hint="default"/>
                <w:sz w:val="18"/>
                <w:szCs w:val="18"/>
              </w:rPr>
            </w:pPr>
            <w:r>
              <w:rPr>
                <w:rFonts w:ascii="Calibri"/>
                <w:sz w:val="18"/>
              </w:rPr>
              <w:t>3.78</w:t>
            </w:r>
          </w:p>
        </w:tc>
      </w:tr>
      <w:tr>
        <w:trPr>
          <w:trHeight w:val="213" w:hRule="exact"/>
        </w:trPr>
        <w:tc>
          <w:tcPr>
            <w:tcW w:w="1228" w:type="dxa"/>
            <w:tcBorders>
              <w:top w:val="nil" w:sz="6" w:space="0" w:color="auto"/>
              <w:left w:val="nil" w:sz="6" w:space="0" w:color="auto"/>
              <w:bottom w:val="single" w:sz="4" w:space="0" w:color="000000"/>
              <w:right w:val="nil" w:sz="6" w:space="0" w:color="auto"/>
            </w:tcBorders>
          </w:tcPr>
          <w:p>
            <w:pPr/>
          </w:p>
        </w:tc>
        <w:tc>
          <w:tcPr>
            <w:tcW w:w="7300" w:type="dxa"/>
            <w:tcBorders>
              <w:top w:val="nil" w:sz="6" w:space="0" w:color="auto"/>
              <w:left w:val="nil" w:sz="6" w:space="0" w:color="auto"/>
              <w:bottom w:val="single" w:sz="4" w:space="0" w:color="000000"/>
              <w:right w:val="nil" w:sz="6" w:space="0" w:color="auto"/>
            </w:tcBorders>
          </w:tcPr>
          <w:p>
            <w:pPr>
              <w:pStyle w:val="TableParagraph"/>
              <w:spacing w:line="209" w:lineRule="exact"/>
              <w:ind w:left="164" w:right="0"/>
              <w:jc w:val="left"/>
              <w:rPr>
                <w:rFonts w:ascii="Calibri" w:hAnsi="Calibri" w:cs="Calibri" w:eastAsia="Calibri" w:hint="default"/>
                <w:sz w:val="18"/>
                <w:szCs w:val="18"/>
              </w:rPr>
            </w:pPr>
            <w:r>
              <w:rPr>
                <w:rFonts w:ascii="Calibri"/>
                <w:sz w:val="18"/>
              </w:rPr>
              <w:t>A job in the tourism industry provides employees with adequate</w:t>
            </w:r>
            <w:r>
              <w:rPr>
                <w:rFonts w:ascii="Calibri"/>
                <w:spacing w:val="-17"/>
                <w:sz w:val="18"/>
              </w:rPr>
              <w:t> </w:t>
            </w:r>
            <w:r>
              <w:rPr>
                <w:rFonts w:ascii="Calibri"/>
                <w:sz w:val="18"/>
              </w:rPr>
              <w:t>training</w:t>
            </w:r>
          </w:p>
        </w:tc>
        <w:tc>
          <w:tcPr>
            <w:tcW w:w="990" w:type="dxa"/>
            <w:tcBorders>
              <w:top w:val="nil" w:sz="6" w:space="0" w:color="auto"/>
              <w:left w:val="nil" w:sz="6" w:space="0" w:color="auto"/>
              <w:bottom w:val="single" w:sz="4" w:space="0" w:color="000000"/>
              <w:right w:val="nil" w:sz="6" w:space="0" w:color="auto"/>
            </w:tcBorders>
          </w:tcPr>
          <w:p>
            <w:pPr>
              <w:pStyle w:val="TableParagraph"/>
              <w:spacing w:line="209" w:lineRule="exact"/>
              <w:ind w:left="300" w:right="0"/>
              <w:jc w:val="left"/>
              <w:rPr>
                <w:rFonts w:ascii="Calibri" w:hAnsi="Calibri" w:cs="Calibri" w:eastAsia="Calibri" w:hint="default"/>
                <w:sz w:val="18"/>
                <w:szCs w:val="18"/>
              </w:rPr>
            </w:pPr>
            <w:r>
              <w:rPr>
                <w:rFonts w:ascii="Calibri"/>
                <w:sz w:val="18"/>
              </w:rPr>
              <w:t>3.61</w:t>
            </w:r>
          </w:p>
        </w:tc>
      </w:tr>
      <w:tr>
        <w:trPr>
          <w:trHeight w:val="247" w:hRule="exact"/>
        </w:trPr>
        <w:tc>
          <w:tcPr>
            <w:tcW w:w="1228" w:type="dxa"/>
            <w:vMerge w:val="restart"/>
            <w:tcBorders>
              <w:top w:val="single" w:sz="4" w:space="0" w:color="000000"/>
              <w:left w:val="nil" w:sz="6" w:space="0" w:color="auto"/>
              <w:right w:val="nil" w:sz="6" w:space="0" w:color="auto"/>
            </w:tcBorders>
          </w:tcPr>
          <w:p>
            <w:pPr>
              <w:pStyle w:val="TableParagraph"/>
              <w:spacing w:line="240" w:lineRule="auto" w:before="121"/>
              <w:ind w:left="290" w:right="227" w:hanging="8"/>
              <w:jc w:val="left"/>
              <w:rPr>
                <w:rFonts w:ascii="Calibri" w:hAnsi="Calibri" w:cs="Calibri" w:eastAsia="Calibri" w:hint="default"/>
                <w:sz w:val="18"/>
                <w:szCs w:val="18"/>
              </w:rPr>
            </w:pPr>
            <w:r>
              <w:rPr>
                <w:rFonts w:ascii="Calibri"/>
                <w:sz w:val="18"/>
              </w:rPr>
              <w:t>Quality</w:t>
            </w:r>
            <w:r>
              <w:rPr>
                <w:rFonts w:ascii="Calibri"/>
                <w:spacing w:val="-4"/>
                <w:sz w:val="18"/>
              </w:rPr>
              <w:t> </w:t>
            </w:r>
            <w:r>
              <w:rPr>
                <w:rFonts w:ascii="Calibri"/>
                <w:sz w:val="18"/>
              </w:rPr>
              <w:t>of </w:t>
            </w:r>
            <w:r>
              <w:rPr>
                <w:rFonts w:ascii="Calibri"/>
                <w:sz w:val="18"/>
              </w:rPr>
              <w:t>Work</w:t>
            </w:r>
            <w:r>
              <w:rPr>
                <w:rFonts w:ascii="Calibri"/>
                <w:spacing w:val="-3"/>
                <w:sz w:val="18"/>
              </w:rPr>
              <w:t> </w:t>
            </w:r>
            <w:r>
              <w:rPr>
                <w:rFonts w:ascii="Calibri"/>
                <w:sz w:val="18"/>
              </w:rPr>
              <w:t>Life</w:t>
            </w:r>
          </w:p>
        </w:tc>
        <w:tc>
          <w:tcPr>
            <w:tcW w:w="7300"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164" w:right="0"/>
              <w:jc w:val="left"/>
              <w:rPr>
                <w:rFonts w:ascii="Calibri" w:hAnsi="Calibri" w:cs="Calibri" w:eastAsia="Calibri" w:hint="default"/>
                <w:sz w:val="18"/>
                <w:szCs w:val="18"/>
              </w:rPr>
            </w:pPr>
            <w:r>
              <w:rPr>
                <w:rFonts w:ascii="Calibri"/>
                <w:sz w:val="18"/>
              </w:rPr>
              <w:t>Working in the tourism industry allows  residents to care for their</w:t>
            </w:r>
            <w:r>
              <w:rPr>
                <w:rFonts w:ascii="Calibri"/>
                <w:spacing w:val="-19"/>
                <w:sz w:val="18"/>
              </w:rPr>
              <w:t> </w:t>
            </w:r>
            <w:r>
              <w:rPr>
                <w:rFonts w:ascii="Calibri"/>
                <w:sz w:val="18"/>
              </w:rPr>
              <w:t>family</w:t>
            </w:r>
          </w:p>
        </w:tc>
        <w:tc>
          <w:tcPr>
            <w:tcW w:w="990"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300" w:right="0"/>
              <w:jc w:val="left"/>
              <w:rPr>
                <w:rFonts w:ascii="Calibri" w:hAnsi="Calibri" w:cs="Calibri" w:eastAsia="Calibri" w:hint="default"/>
                <w:sz w:val="18"/>
                <w:szCs w:val="18"/>
              </w:rPr>
            </w:pPr>
            <w:r>
              <w:rPr>
                <w:rFonts w:ascii="Calibri"/>
                <w:sz w:val="18"/>
              </w:rPr>
              <w:t>3.32</w:t>
            </w:r>
          </w:p>
        </w:tc>
      </w:tr>
      <w:tr>
        <w:trPr>
          <w:trHeight w:val="229" w:hRule="exact"/>
        </w:trPr>
        <w:tc>
          <w:tcPr>
            <w:tcW w:w="1228" w:type="dxa"/>
            <w:vMerge/>
            <w:tcBorders>
              <w:left w:val="nil" w:sz="6" w:space="0" w:color="auto"/>
              <w:right w:val="nil" w:sz="6" w:space="0" w:color="auto"/>
            </w:tcBorders>
          </w:tcPr>
          <w:p>
            <w:pPr/>
          </w:p>
        </w:tc>
        <w:tc>
          <w:tcPr>
            <w:tcW w:w="7300" w:type="dxa"/>
            <w:tcBorders>
              <w:top w:val="nil" w:sz="6" w:space="0" w:color="auto"/>
              <w:left w:val="nil" w:sz="6" w:space="0" w:color="auto"/>
              <w:bottom w:val="nil" w:sz="6" w:space="0" w:color="auto"/>
              <w:right w:val="nil" w:sz="6" w:space="0" w:color="auto"/>
            </w:tcBorders>
          </w:tcPr>
          <w:p>
            <w:pPr>
              <w:pStyle w:val="TableParagraph"/>
              <w:spacing w:line="207" w:lineRule="exact"/>
              <w:ind w:left="164" w:right="0"/>
              <w:jc w:val="left"/>
              <w:rPr>
                <w:rFonts w:ascii="Calibri" w:hAnsi="Calibri" w:cs="Calibri" w:eastAsia="Calibri" w:hint="default"/>
                <w:sz w:val="18"/>
                <w:szCs w:val="18"/>
              </w:rPr>
            </w:pPr>
            <w:r>
              <w:rPr>
                <w:rFonts w:ascii="Calibri"/>
                <w:sz w:val="18"/>
              </w:rPr>
              <w:t>The workload of a tourism job is</w:t>
            </w:r>
            <w:r>
              <w:rPr>
                <w:rFonts w:ascii="Calibri"/>
                <w:spacing w:val="-14"/>
                <w:sz w:val="18"/>
              </w:rPr>
              <w:t> </w:t>
            </w:r>
            <w:r>
              <w:rPr>
                <w:rFonts w:ascii="Calibri"/>
                <w:sz w:val="18"/>
              </w:rPr>
              <w:t>reasonable</w:t>
            </w:r>
          </w:p>
        </w:tc>
        <w:tc>
          <w:tcPr>
            <w:tcW w:w="990" w:type="dxa"/>
            <w:tcBorders>
              <w:top w:val="nil" w:sz="6" w:space="0" w:color="auto"/>
              <w:left w:val="nil" w:sz="6" w:space="0" w:color="auto"/>
              <w:bottom w:val="nil" w:sz="6" w:space="0" w:color="auto"/>
              <w:right w:val="nil" w:sz="6" w:space="0" w:color="auto"/>
            </w:tcBorders>
          </w:tcPr>
          <w:p>
            <w:pPr>
              <w:pStyle w:val="TableParagraph"/>
              <w:spacing w:line="207" w:lineRule="exact"/>
              <w:ind w:left="300" w:right="0"/>
              <w:jc w:val="left"/>
              <w:rPr>
                <w:rFonts w:ascii="Calibri" w:hAnsi="Calibri" w:cs="Calibri" w:eastAsia="Calibri" w:hint="default"/>
                <w:sz w:val="18"/>
                <w:szCs w:val="18"/>
              </w:rPr>
            </w:pPr>
            <w:r>
              <w:rPr>
                <w:rFonts w:ascii="Calibri"/>
                <w:sz w:val="18"/>
              </w:rPr>
              <w:t>3.41</w:t>
            </w:r>
          </w:p>
        </w:tc>
      </w:tr>
      <w:tr>
        <w:trPr>
          <w:trHeight w:val="215" w:hRule="exact"/>
        </w:trPr>
        <w:tc>
          <w:tcPr>
            <w:tcW w:w="1228" w:type="dxa"/>
            <w:vMerge/>
            <w:tcBorders>
              <w:left w:val="nil" w:sz="6" w:space="0" w:color="auto"/>
              <w:bottom w:val="single" w:sz="4" w:space="0" w:color="000000"/>
              <w:right w:val="nil" w:sz="6" w:space="0" w:color="auto"/>
            </w:tcBorders>
          </w:tcPr>
          <w:p>
            <w:pPr/>
          </w:p>
        </w:tc>
        <w:tc>
          <w:tcPr>
            <w:tcW w:w="7300" w:type="dxa"/>
            <w:tcBorders>
              <w:top w:val="nil" w:sz="6" w:space="0" w:color="auto"/>
              <w:left w:val="nil" w:sz="6" w:space="0" w:color="auto"/>
              <w:bottom w:val="single" w:sz="4" w:space="0" w:color="000000"/>
              <w:right w:val="nil" w:sz="6" w:space="0" w:color="auto"/>
            </w:tcBorders>
          </w:tcPr>
          <w:p>
            <w:pPr>
              <w:pStyle w:val="TableParagraph"/>
              <w:spacing w:line="209" w:lineRule="exact"/>
              <w:ind w:left="164" w:right="0"/>
              <w:jc w:val="left"/>
              <w:rPr>
                <w:rFonts w:ascii="Calibri" w:hAnsi="Calibri" w:cs="Calibri" w:eastAsia="Calibri" w:hint="default"/>
                <w:sz w:val="18"/>
                <w:szCs w:val="18"/>
              </w:rPr>
            </w:pPr>
            <w:r>
              <w:rPr>
                <w:rFonts w:ascii="Calibri"/>
                <w:sz w:val="18"/>
              </w:rPr>
              <w:t>A tourism job ensures balance between work and</w:t>
            </w:r>
            <w:r>
              <w:rPr>
                <w:rFonts w:ascii="Calibri"/>
                <w:spacing w:val="-18"/>
                <w:sz w:val="18"/>
              </w:rPr>
              <w:t> </w:t>
            </w:r>
            <w:r>
              <w:rPr>
                <w:rFonts w:ascii="Calibri"/>
                <w:sz w:val="18"/>
              </w:rPr>
              <w:t>life</w:t>
            </w:r>
          </w:p>
        </w:tc>
        <w:tc>
          <w:tcPr>
            <w:tcW w:w="990" w:type="dxa"/>
            <w:tcBorders>
              <w:top w:val="nil" w:sz="6" w:space="0" w:color="auto"/>
              <w:left w:val="nil" w:sz="6" w:space="0" w:color="auto"/>
              <w:bottom w:val="single" w:sz="4" w:space="0" w:color="000000"/>
              <w:right w:val="nil" w:sz="6" w:space="0" w:color="auto"/>
            </w:tcBorders>
          </w:tcPr>
          <w:p>
            <w:pPr>
              <w:pStyle w:val="TableParagraph"/>
              <w:spacing w:line="209" w:lineRule="exact"/>
              <w:ind w:left="300" w:right="0"/>
              <w:jc w:val="left"/>
              <w:rPr>
                <w:rFonts w:ascii="Calibri" w:hAnsi="Calibri" w:cs="Calibri" w:eastAsia="Calibri" w:hint="default"/>
                <w:sz w:val="18"/>
                <w:szCs w:val="18"/>
              </w:rPr>
            </w:pPr>
            <w:r>
              <w:rPr>
                <w:rFonts w:ascii="Calibri"/>
                <w:sz w:val="18"/>
              </w:rPr>
              <w:t>2.91</w:t>
            </w:r>
          </w:p>
        </w:tc>
      </w:tr>
      <w:tr>
        <w:trPr>
          <w:trHeight w:val="245" w:hRule="exact"/>
        </w:trPr>
        <w:tc>
          <w:tcPr>
            <w:tcW w:w="1228" w:type="dxa"/>
            <w:tcBorders>
              <w:top w:val="single" w:sz="4" w:space="0" w:color="000000"/>
              <w:left w:val="nil" w:sz="6" w:space="0" w:color="auto"/>
              <w:bottom w:val="nil" w:sz="6" w:space="0" w:color="auto"/>
              <w:right w:val="nil" w:sz="6" w:space="0" w:color="auto"/>
            </w:tcBorders>
          </w:tcPr>
          <w:p>
            <w:pPr/>
          </w:p>
        </w:tc>
        <w:tc>
          <w:tcPr>
            <w:tcW w:w="7300" w:type="dxa"/>
            <w:tcBorders>
              <w:top w:val="single" w:sz="4" w:space="0" w:color="000000"/>
              <w:left w:val="nil" w:sz="6" w:space="0" w:color="auto"/>
              <w:bottom w:val="nil" w:sz="6" w:space="0" w:color="auto"/>
              <w:right w:val="nil" w:sz="6" w:space="0" w:color="auto"/>
            </w:tcBorders>
          </w:tcPr>
          <w:p>
            <w:pPr>
              <w:pStyle w:val="TableParagraph"/>
              <w:spacing w:line="219" w:lineRule="exact"/>
              <w:ind w:left="164" w:right="0"/>
              <w:jc w:val="left"/>
              <w:rPr>
                <w:rFonts w:ascii="Calibri" w:hAnsi="Calibri" w:cs="Calibri" w:eastAsia="Calibri" w:hint="default"/>
                <w:sz w:val="18"/>
                <w:szCs w:val="18"/>
              </w:rPr>
            </w:pPr>
            <w:r>
              <w:rPr>
                <w:rFonts w:ascii="Calibri"/>
                <w:sz w:val="18"/>
              </w:rPr>
              <w:t>I am satisfied with my working</w:t>
            </w:r>
            <w:r>
              <w:rPr>
                <w:rFonts w:ascii="Calibri"/>
                <w:spacing w:val="-13"/>
                <w:sz w:val="18"/>
              </w:rPr>
              <w:t> </w:t>
            </w:r>
            <w:r>
              <w:rPr>
                <w:rFonts w:ascii="Calibri"/>
                <w:sz w:val="18"/>
              </w:rPr>
              <w:t>conditions</w:t>
            </w:r>
          </w:p>
        </w:tc>
        <w:tc>
          <w:tcPr>
            <w:tcW w:w="990" w:type="dxa"/>
            <w:tcBorders>
              <w:top w:val="single" w:sz="4" w:space="0" w:color="000000"/>
              <w:left w:val="nil" w:sz="6" w:space="0" w:color="auto"/>
              <w:bottom w:val="nil" w:sz="6" w:space="0" w:color="auto"/>
              <w:right w:val="nil" w:sz="6" w:space="0" w:color="auto"/>
            </w:tcBorders>
          </w:tcPr>
          <w:p>
            <w:pPr>
              <w:pStyle w:val="TableParagraph"/>
              <w:spacing w:line="219" w:lineRule="exact"/>
              <w:ind w:left="300" w:right="0"/>
              <w:jc w:val="left"/>
              <w:rPr>
                <w:rFonts w:ascii="Calibri" w:hAnsi="Calibri" w:cs="Calibri" w:eastAsia="Calibri" w:hint="default"/>
                <w:sz w:val="18"/>
                <w:szCs w:val="18"/>
              </w:rPr>
            </w:pPr>
            <w:r>
              <w:rPr>
                <w:rFonts w:ascii="Calibri"/>
                <w:sz w:val="18"/>
              </w:rPr>
              <w:t>3.56</w:t>
            </w:r>
          </w:p>
        </w:tc>
      </w:tr>
      <w:tr>
        <w:trPr>
          <w:trHeight w:val="229" w:hRule="exact"/>
        </w:trPr>
        <w:tc>
          <w:tcPr>
            <w:tcW w:w="1228" w:type="dxa"/>
            <w:tcBorders>
              <w:top w:val="nil" w:sz="6" w:space="0" w:color="auto"/>
              <w:left w:val="nil" w:sz="6" w:space="0" w:color="auto"/>
              <w:bottom w:val="nil" w:sz="6" w:space="0" w:color="auto"/>
              <w:right w:val="nil" w:sz="6" w:space="0" w:color="auto"/>
            </w:tcBorders>
          </w:tcPr>
          <w:p>
            <w:pPr/>
          </w:p>
        </w:tc>
        <w:tc>
          <w:tcPr>
            <w:tcW w:w="7300" w:type="dxa"/>
            <w:tcBorders>
              <w:top w:val="nil" w:sz="6" w:space="0" w:color="auto"/>
              <w:left w:val="nil" w:sz="6" w:space="0" w:color="auto"/>
              <w:bottom w:val="nil" w:sz="6" w:space="0" w:color="auto"/>
              <w:right w:val="nil" w:sz="6" w:space="0" w:color="auto"/>
            </w:tcBorders>
          </w:tcPr>
          <w:p>
            <w:pPr>
              <w:pStyle w:val="TableParagraph"/>
              <w:spacing w:line="209" w:lineRule="exact"/>
              <w:ind w:left="164" w:right="0"/>
              <w:jc w:val="left"/>
              <w:rPr>
                <w:rFonts w:ascii="Calibri" w:hAnsi="Calibri" w:cs="Calibri" w:eastAsia="Calibri" w:hint="default"/>
                <w:sz w:val="18"/>
                <w:szCs w:val="18"/>
              </w:rPr>
            </w:pPr>
            <w:r>
              <w:rPr>
                <w:rFonts w:ascii="Calibri"/>
                <w:sz w:val="18"/>
              </w:rPr>
              <w:t>I am satisfied with my tourism</w:t>
            </w:r>
            <w:r>
              <w:rPr>
                <w:rFonts w:ascii="Calibri"/>
                <w:spacing w:val="-7"/>
                <w:sz w:val="18"/>
              </w:rPr>
              <w:t> </w:t>
            </w:r>
            <w:r>
              <w:rPr>
                <w:rFonts w:ascii="Calibri"/>
                <w:sz w:val="18"/>
              </w:rPr>
              <w:t>job</w:t>
            </w:r>
          </w:p>
        </w:tc>
        <w:tc>
          <w:tcPr>
            <w:tcW w:w="990" w:type="dxa"/>
            <w:tcBorders>
              <w:top w:val="nil" w:sz="6" w:space="0" w:color="auto"/>
              <w:left w:val="nil" w:sz="6" w:space="0" w:color="auto"/>
              <w:bottom w:val="nil" w:sz="6" w:space="0" w:color="auto"/>
              <w:right w:val="nil" w:sz="6" w:space="0" w:color="auto"/>
            </w:tcBorders>
          </w:tcPr>
          <w:p>
            <w:pPr>
              <w:pStyle w:val="TableParagraph"/>
              <w:spacing w:line="209" w:lineRule="exact"/>
              <w:ind w:left="300" w:right="0"/>
              <w:jc w:val="left"/>
              <w:rPr>
                <w:rFonts w:ascii="Calibri" w:hAnsi="Calibri" w:cs="Calibri" w:eastAsia="Calibri" w:hint="default"/>
                <w:sz w:val="18"/>
                <w:szCs w:val="18"/>
              </w:rPr>
            </w:pPr>
            <w:r>
              <w:rPr>
                <w:rFonts w:ascii="Calibri"/>
                <w:sz w:val="18"/>
              </w:rPr>
              <w:t>3.89</w:t>
            </w:r>
          </w:p>
        </w:tc>
      </w:tr>
      <w:tr>
        <w:trPr>
          <w:trHeight w:val="229" w:hRule="exact"/>
        </w:trPr>
        <w:tc>
          <w:tcPr>
            <w:tcW w:w="1228" w:type="dxa"/>
            <w:tcBorders>
              <w:top w:val="nil" w:sz="6" w:space="0" w:color="auto"/>
              <w:left w:val="nil" w:sz="6" w:space="0" w:color="auto"/>
              <w:bottom w:val="nil" w:sz="6" w:space="0" w:color="auto"/>
              <w:right w:val="nil" w:sz="6" w:space="0" w:color="auto"/>
            </w:tcBorders>
          </w:tcPr>
          <w:p>
            <w:pPr/>
          </w:p>
        </w:tc>
        <w:tc>
          <w:tcPr>
            <w:tcW w:w="7300" w:type="dxa"/>
            <w:tcBorders>
              <w:top w:val="nil" w:sz="6" w:space="0" w:color="auto"/>
              <w:left w:val="nil" w:sz="6" w:space="0" w:color="auto"/>
              <w:bottom w:val="nil" w:sz="6" w:space="0" w:color="auto"/>
              <w:right w:val="nil" w:sz="6" w:space="0" w:color="auto"/>
            </w:tcBorders>
          </w:tcPr>
          <w:p>
            <w:pPr>
              <w:pStyle w:val="TableParagraph"/>
              <w:spacing w:line="207" w:lineRule="exact"/>
              <w:ind w:left="164" w:right="0"/>
              <w:jc w:val="left"/>
              <w:rPr>
                <w:rFonts w:ascii="Calibri" w:hAnsi="Calibri" w:cs="Calibri" w:eastAsia="Calibri" w:hint="default"/>
                <w:sz w:val="18"/>
                <w:szCs w:val="18"/>
              </w:rPr>
            </w:pPr>
            <w:r>
              <w:rPr>
                <w:rFonts w:ascii="Calibri"/>
                <w:sz w:val="18"/>
              </w:rPr>
              <w:t>I am satisfied with the amount of spare time that I</w:t>
            </w:r>
            <w:r>
              <w:rPr>
                <w:rFonts w:ascii="Calibri"/>
                <w:spacing w:val="-12"/>
                <w:sz w:val="18"/>
              </w:rPr>
              <w:t> </w:t>
            </w:r>
            <w:r>
              <w:rPr>
                <w:rFonts w:ascii="Calibri"/>
                <w:sz w:val="18"/>
              </w:rPr>
              <w:t>have</w:t>
            </w:r>
          </w:p>
        </w:tc>
        <w:tc>
          <w:tcPr>
            <w:tcW w:w="990" w:type="dxa"/>
            <w:tcBorders>
              <w:top w:val="nil" w:sz="6" w:space="0" w:color="auto"/>
              <w:left w:val="nil" w:sz="6" w:space="0" w:color="auto"/>
              <w:bottom w:val="nil" w:sz="6" w:space="0" w:color="auto"/>
              <w:right w:val="nil" w:sz="6" w:space="0" w:color="auto"/>
            </w:tcBorders>
          </w:tcPr>
          <w:p>
            <w:pPr>
              <w:pStyle w:val="TableParagraph"/>
              <w:spacing w:line="207" w:lineRule="exact"/>
              <w:ind w:left="300" w:right="0"/>
              <w:jc w:val="left"/>
              <w:rPr>
                <w:rFonts w:ascii="Calibri" w:hAnsi="Calibri" w:cs="Calibri" w:eastAsia="Calibri" w:hint="default"/>
                <w:sz w:val="18"/>
                <w:szCs w:val="18"/>
              </w:rPr>
            </w:pPr>
            <w:r>
              <w:rPr>
                <w:rFonts w:ascii="Calibri"/>
                <w:sz w:val="18"/>
              </w:rPr>
              <w:t>3.35</w:t>
            </w:r>
          </w:p>
        </w:tc>
      </w:tr>
      <w:tr>
        <w:trPr>
          <w:trHeight w:val="231" w:hRule="exact"/>
        </w:trPr>
        <w:tc>
          <w:tcPr>
            <w:tcW w:w="1228" w:type="dxa"/>
            <w:vMerge w:val="restart"/>
            <w:tcBorders>
              <w:top w:val="nil" w:sz="6" w:space="0" w:color="auto"/>
              <w:left w:val="nil" w:sz="6" w:space="0" w:color="auto"/>
              <w:right w:val="nil" w:sz="6" w:space="0" w:color="auto"/>
            </w:tcBorders>
          </w:tcPr>
          <w:p>
            <w:pPr>
              <w:pStyle w:val="TableParagraph"/>
              <w:spacing w:line="240" w:lineRule="auto"/>
              <w:ind w:left="215" w:right="162" w:firstLine="302"/>
              <w:jc w:val="left"/>
              <w:rPr>
                <w:rFonts w:ascii="Calibri" w:hAnsi="Calibri" w:cs="Calibri" w:eastAsia="Calibri" w:hint="default"/>
                <w:sz w:val="18"/>
                <w:szCs w:val="18"/>
              </w:rPr>
            </w:pPr>
            <w:r>
              <w:rPr>
                <w:rFonts w:ascii="Calibri"/>
                <w:sz w:val="18"/>
              </w:rPr>
              <w:t>Job </w:t>
            </w:r>
            <w:r>
              <w:rPr>
                <w:rFonts w:ascii="Calibri"/>
                <w:spacing w:val="-1"/>
                <w:sz w:val="18"/>
              </w:rPr>
              <w:t>Satisfaction</w:t>
            </w:r>
          </w:p>
        </w:tc>
        <w:tc>
          <w:tcPr>
            <w:tcW w:w="7300" w:type="dxa"/>
            <w:tcBorders>
              <w:top w:val="nil" w:sz="6" w:space="0" w:color="auto"/>
              <w:left w:val="nil" w:sz="6" w:space="0" w:color="auto"/>
              <w:bottom w:val="nil" w:sz="6" w:space="0" w:color="auto"/>
              <w:right w:val="nil" w:sz="6" w:space="0" w:color="auto"/>
            </w:tcBorders>
          </w:tcPr>
          <w:p>
            <w:pPr>
              <w:pStyle w:val="TableParagraph"/>
              <w:spacing w:line="209" w:lineRule="exact"/>
              <w:ind w:left="164" w:right="0"/>
              <w:jc w:val="left"/>
              <w:rPr>
                <w:rFonts w:ascii="Calibri" w:hAnsi="Calibri" w:cs="Calibri" w:eastAsia="Calibri" w:hint="default"/>
                <w:sz w:val="18"/>
                <w:szCs w:val="18"/>
              </w:rPr>
            </w:pPr>
            <w:r>
              <w:rPr>
                <w:rFonts w:ascii="Calibri"/>
                <w:sz w:val="18"/>
              </w:rPr>
              <w:t>In most ways my life is close to my</w:t>
            </w:r>
            <w:r>
              <w:rPr>
                <w:rFonts w:ascii="Calibri"/>
                <w:spacing w:val="-10"/>
                <w:sz w:val="18"/>
              </w:rPr>
              <w:t> </w:t>
            </w:r>
            <w:r>
              <w:rPr>
                <w:rFonts w:ascii="Calibri"/>
                <w:sz w:val="18"/>
              </w:rPr>
              <w:t>ideal</w:t>
            </w:r>
          </w:p>
        </w:tc>
        <w:tc>
          <w:tcPr>
            <w:tcW w:w="990" w:type="dxa"/>
            <w:tcBorders>
              <w:top w:val="nil" w:sz="6" w:space="0" w:color="auto"/>
              <w:left w:val="nil" w:sz="6" w:space="0" w:color="auto"/>
              <w:bottom w:val="nil" w:sz="6" w:space="0" w:color="auto"/>
              <w:right w:val="nil" w:sz="6" w:space="0" w:color="auto"/>
            </w:tcBorders>
          </w:tcPr>
          <w:p>
            <w:pPr>
              <w:pStyle w:val="TableParagraph"/>
              <w:spacing w:line="209" w:lineRule="exact"/>
              <w:ind w:left="300" w:right="0"/>
              <w:jc w:val="left"/>
              <w:rPr>
                <w:rFonts w:ascii="Calibri" w:hAnsi="Calibri" w:cs="Calibri" w:eastAsia="Calibri" w:hint="default"/>
                <w:sz w:val="18"/>
                <w:szCs w:val="18"/>
              </w:rPr>
            </w:pPr>
            <w:r>
              <w:rPr>
                <w:rFonts w:ascii="Calibri"/>
                <w:sz w:val="18"/>
              </w:rPr>
              <w:t>3.38</w:t>
            </w:r>
          </w:p>
        </w:tc>
      </w:tr>
      <w:tr>
        <w:trPr>
          <w:trHeight w:val="229" w:hRule="exact"/>
        </w:trPr>
        <w:tc>
          <w:tcPr>
            <w:tcW w:w="1228" w:type="dxa"/>
            <w:vMerge/>
            <w:tcBorders>
              <w:left w:val="nil" w:sz="6" w:space="0" w:color="auto"/>
              <w:bottom w:val="nil" w:sz="6" w:space="0" w:color="auto"/>
              <w:right w:val="nil" w:sz="6" w:space="0" w:color="auto"/>
            </w:tcBorders>
          </w:tcPr>
          <w:p>
            <w:pPr/>
          </w:p>
        </w:tc>
        <w:tc>
          <w:tcPr>
            <w:tcW w:w="7300" w:type="dxa"/>
            <w:tcBorders>
              <w:top w:val="nil" w:sz="6" w:space="0" w:color="auto"/>
              <w:left w:val="nil" w:sz="6" w:space="0" w:color="auto"/>
              <w:bottom w:val="nil" w:sz="6" w:space="0" w:color="auto"/>
              <w:right w:val="nil" w:sz="6" w:space="0" w:color="auto"/>
            </w:tcBorders>
          </w:tcPr>
          <w:p>
            <w:pPr>
              <w:pStyle w:val="TableParagraph"/>
              <w:spacing w:line="209" w:lineRule="exact"/>
              <w:ind w:left="164" w:right="0"/>
              <w:jc w:val="left"/>
              <w:rPr>
                <w:rFonts w:ascii="Calibri" w:hAnsi="Calibri" w:cs="Calibri" w:eastAsia="Calibri" w:hint="default"/>
                <w:sz w:val="18"/>
                <w:szCs w:val="18"/>
              </w:rPr>
            </w:pPr>
            <w:r>
              <w:rPr>
                <w:rFonts w:ascii="Calibri"/>
                <w:sz w:val="18"/>
              </w:rPr>
              <w:t>The conditions of my life are</w:t>
            </w:r>
            <w:r>
              <w:rPr>
                <w:rFonts w:ascii="Calibri"/>
                <w:spacing w:val="-16"/>
                <w:sz w:val="18"/>
              </w:rPr>
              <w:t> </w:t>
            </w:r>
            <w:r>
              <w:rPr>
                <w:rFonts w:ascii="Calibri"/>
                <w:sz w:val="18"/>
              </w:rPr>
              <w:t>excellent</w:t>
            </w:r>
          </w:p>
        </w:tc>
        <w:tc>
          <w:tcPr>
            <w:tcW w:w="990" w:type="dxa"/>
            <w:tcBorders>
              <w:top w:val="nil" w:sz="6" w:space="0" w:color="auto"/>
              <w:left w:val="nil" w:sz="6" w:space="0" w:color="auto"/>
              <w:bottom w:val="nil" w:sz="6" w:space="0" w:color="auto"/>
              <w:right w:val="nil" w:sz="6" w:space="0" w:color="auto"/>
            </w:tcBorders>
          </w:tcPr>
          <w:p>
            <w:pPr>
              <w:pStyle w:val="TableParagraph"/>
              <w:spacing w:line="209" w:lineRule="exact"/>
              <w:ind w:left="300" w:right="0"/>
              <w:jc w:val="left"/>
              <w:rPr>
                <w:rFonts w:ascii="Calibri" w:hAnsi="Calibri" w:cs="Calibri" w:eastAsia="Calibri" w:hint="default"/>
                <w:sz w:val="18"/>
                <w:szCs w:val="18"/>
              </w:rPr>
            </w:pPr>
            <w:r>
              <w:rPr>
                <w:rFonts w:ascii="Calibri"/>
                <w:sz w:val="18"/>
              </w:rPr>
              <w:t>3.50</w:t>
            </w:r>
          </w:p>
        </w:tc>
      </w:tr>
      <w:tr>
        <w:trPr>
          <w:trHeight w:val="229" w:hRule="exact"/>
        </w:trPr>
        <w:tc>
          <w:tcPr>
            <w:tcW w:w="1228" w:type="dxa"/>
            <w:tcBorders>
              <w:top w:val="nil" w:sz="6" w:space="0" w:color="auto"/>
              <w:left w:val="nil" w:sz="6" w:space="0" w:color="auto"/>
              <w:bottom w:val="nil" w:sz="6" w:space="0" w:color="auto"/>
              <w:right w:val="nil" w:sz="6" w:space="0" w:color="auto"/>
            </w:tcBorders>
          </w:tcPr>
          <w:p>
            <w:pPr/>
          </w:p>
        </w:tc>
        <w:tc>
          <w:tcPr>
            <w:tcW w:w="7300" w:type="dxa"/>
            <w:tcBorders>
              <w:top w:val="nil" w:sz="6" w:space="0" w:color="auto"/>
              <w:left w:val="nil" w:sz="6" w:space="0" w:color="auto"/>
              <w:bottom w:val="nil" w:sz="6" w:space="0" w:color="auto"/>
              <w:right w:val="nil" w:sz="6" w:space="0" w:color="auto"/>
            </w:tcBorders>
          </w:tcPr>
          <w:p>
            <w:pPr>
              <w:pStyle w:val="TableParagraph"/>
              <w:spacing w:line="207" w:lineRule="exact"/>
              <w:ind w:left="204" w:right="0"/>
              <w:jc w:val="left"/>
              <w:rPr>
                <w:rFonts w:ascii="Calibri" w:hAnsi="Calibri" w:cs="Calibri" w:eastAsia="Calibri" w:hint="default"/>
                <w:sz w:val="18"/>
                <w:szCs w:val="18"/>
              </w:rPr>
            </w:pPr>
            <w:r>
              <w:rPr>
                <w:rFonts w:ascii="Calibri"/>
                <w:sz w:val="18"/>
              </w:rPr>
              <w:t>I am satisfied with</w:t>
            </w:r>
            <w:r>
              <w:rPr>
                <w:rFonts w:ascii="Calibri"/>
                <w:spacing w:val="-10"/>
                <w:sz w:val="18"/>
              </w:rPr>
              <w:t> </w:t>
            </w:r>
            <w:r>
              <w:rPr>
                <w:rFonts w:ascii="Calibri"/>
                <w:sz w:val="18"/>
              </w:rPr>
              <w:t>life</w:t>
            </w:r>
          </w:p>
        </w:tc>
        <w:tc>
          <w:tcPr>
            <w:tcW w:w="990" w:type="dxa"/>
            <w:tcBorders>
              <w:top w:val="nil" w:sz="6" w:space="0" w:color="auto"/>
              <w:left w:val="nil" w:sz="6" w:space="0" w:color="auto"/>
              <w:bottom w:val="nil" w:sz="6" w:space="0" w:color="auto"/>
              <w:right w:val="nil" w:sz="6" w:space="0" w:color="auto"/>
            </w:tcBorders>
          </w:tcPr>
          <w:p>
            <w:pPr>
              <w:pStyle w:val="TableParagraph"/>
              <w:spacing w:line="207" w:lineRule="exact"/>
              <w:ind w:left="300" w:right="0"/>
              <w:jc w:val="left"/>
              <w:rPr>
                <w:rFonts w:ascii="Calibri" w:hAnsi="Calibri" w:cs="Calibri" w:eastAsia="Calibri" w:hint="default"/>
                <w:sz w:val="18"/>
                <w:szCs w:val="18"/>
              </w:rPr>
            </w:pPr>
            <w:r>
              <w:rPr>
                <w:rFonts w:ascii="Calibri"/>
                <w:sz w:val="18"/>
              </w:rPr>
              <w:t>4.04</w:t>
            </w:r>
          </w:p>
        </w:tc>
      </w:tr>
      <w:tr>
        <w:trPr>
          <w:trHeight w:val="230" w:hRule="exact"/>
        </w:trPr>
        <w:tc>
          <w:tcPr>
            <w:tcW w:w="1228" w:type="dxa"/>
            <w:tcBorders>
              <w:top w:val="nil" w:sz="6" w:space="0" w:color="auto"/>
              <w:left w:val="nil" w:sz="6" w:space="0" w:color="auto"/>
              <w:bottom w:val="nil" w:sz="6" w:space="0" w:color="auto"/>
              <w:right w:val="nil" w:sz="6" w:space="0" w:color="auto"/>
            </w:tcBorders>
          </w:tcPr>
          <w:p>
            <w:pPr/>
          </w:p>
        </w:tc>
        <w:tc>
          <w:tcPr>
            <w:tcW w:w="7300" w:type="dxa"/>
            <w:tcBorders>
              <w:top w:val="nil" w:sz="6" w:space="0" w:color="auto"/>
              <w:left w:val="nil" w:sz="6" w:space="0" w:color="auto"/>
              <w:bottom w:val="nil" w:sz="6" w:space="0" w:color="auto"/>
              <w:right w:val="nil" w:sz="6" w:space="0" w:color="auto"/>
            </w:tcBorders>
          </w:tcPr>
          <w:p>
            <w:pPr>
              <w:pStyle w:val="TableParagraph"/>
              <w:spacing w:line="209" w:lineRule="exact"/>
              <w:ind w:left="164" w:right="0"/>
              <w:jc w:val="left"/>
              <w:rPr>
                <w:rFonts w:ascii="Calibri" w:hAnsi="Calibri" w:cs="Calibri" w:eastAsia="Calibri" w:hint="default"/>
                <w:sz w:val="18"/>
                <w:szCs w:val="18"/>
              </w:rPr>
            </w:pPr>
            <w:r>
              <w:rPr>
                <w:rFonts w:ascii="Calibri"/>
                <w:sz w:val="18"/>
              </w:rPr>
              <w:t>So far, I have gotten the important things I want in</w:t>
            </w:r>
            <w:r>
              <w:rPr>
                <w:rFonts w:ascii="Calibri"/>
                <w:spacing w:val="-18"/>
                <w:sz w:val="18"/>
              </w:rPr>
              <w:t> </w:t>
            </w:r>
            <w:r>
              <w:rPr>
                <w:rFonts w:ascii="Calibri"/>
                <w:sz w:val="18"/>
              </w:rPr>
              <w:t>life</w:t>
            </w:r>
          </w:p>
        </w:tc>
        <w:tc>
          <w:tcPr>
            <w:tcW w:w="990" w:type="dxa"/>
            <w:tcBorders>
              <w:top w:val="nil" w:sz="6" w:space="0" w:color="auto"/>
              <w:left w:val="nil" w:sz="6" w:space="0" w:color="auto"/>
              <w:bottom w:val="nil" w:sz="6" w:space="0" w:color="auto"/>
              <w:right w:val="nil" w:sz="6" w:space="0" w:color="auto"/>
            </w:tcBorders>
          </w:tcPr>
          <w:p>
            <w:pPr>
              <w:pStyle w:val="TableParagraph"/>
              <w:spacing w:line="209" w:lineRule="exact"/>
              <w:ind w:left="300" w:right="0"/>
              <w:jc w:val="left"/>
              <w:rPr>
                <w:rFonts w:ascii="Calibri" w:hAnsi="Calibri" w:cs="Calibri" w:eastAsia="Calibri" w:hint="default"/>
                <w:sz w:val="18"/>
                <w:szCs w:val="18"/>
              </w:rPr>
            </w:pPr>
            <w:r>
              <w:rPr>
                <w:rFonts w:ascii="Calibri"/>
                <w:sz w:val="18"/>
              </w:rPr>
              <w:t>3.71</w:t>
            </w:r>
          </w:p>
        </w:tc>
      </w:tr>
      <w:tr>
        <w:trPr>
          <w:trHeight w:val="213" w:hRule="exact"/>
        </w:trPr>
        <w:tc>
          <w:tcPr>
            <w:tcW w:w="1228" w:type="dxa"/>
            <w:tcBorders>
              <w:top w:val="nil" w:sz="6" w:space="0" w:color="auto"/>
              <w:left w:val="nil" w:sz="6" w:space="0" w:color="auto"/>
              <w:bottom w:val="single" w:sz="4" w:space="0" w:color="000000"/>
              <w:right w:val="nil" w:sz="6" w:space="0" w:color="auto"/>
            </w:tcBorders>
          </w:tcPr>
          <w:p>
            <w:pPr/>
          </w:p>
        </w:tc>
        <w:tc>
          <w:tcPr>
            <w:tcW w:w="7300" w:type="dxa"/>
            <w:tcBorders>
              <w:top w:val="nil" w:sz="6" w:space="0" w:color="auto"/>
              <w:left w:val="nil" w:sz="6" w:space="0" w:color="auto"/>
              <w:bottom w:val="single" w:sz="4" w:space="0" w:color="000000"/>
              <w:right w:val="nil" w:sz="6" w:space="0" w:color="auto"/>
            </w:tcBorders>
          </w:tcPr>
          <w:p>
            <w:pPr>
              <w:pStyle w:val="TableParagraph"/>
              <w:spacing w:line="209" w:lineRule="exact"/>
              <w:ind w:left="164" w:right="0"/>
              <w:jc w:val="left"/>
              <w:rPr>
                <w:rFonts w:ascii="Calibri" w:hAnsi="Calibri" w:cs="Calibri" w:eastAsia="Calibri" w:hint="default"/>
                <w:sz w:val="18"/>
                <w:szCs w:val="18"/>
              </w:rPr>
            </w:pPr>
            <w:r>
              <w:rPr>
                <w:rFonts w:ascii="Calibri"/>
                <w:sz w:val="18"/>
              </w:rPr>
              <w:t>If I could live my life over, I would change almost</w:t>
            </w:r>
            <w:r>
              <w:rPr>
                <w:rFonts w:ascii="Calibri"/>
                <w:spacing w:val="-19"/>
                <w:sz w:val="18"/>
              </w:rPr>
              <w:t> </w:t>
            </w:r>
            <w:r>
              <w:rPr>
                <w:rFonts w:ascii="Calibri"/>
                <w:sz w:val="18"/>
              </w:rPr>
              <w:t>nothing</w:t>
            </w:r>
          </w:p>
        </w:tc>
        <w:tc>
          <w:tcPr>
            <w:tcW w:w="990" w:type="dxa"/>
            <w:tcBorders>
              <w:top w:val="nil" w:sz="6" w:space="0" w:color="auto"/>
              <w:left w:val="nil" w:sz="6" w:space="0" w:color="auto"/>
              <w:bottom w:val="single" w:sz="4" w:space="0" w:color="000000"/>
              <w:right w:val="nil" w:sz="6" w:space="0" w:color="auto"/>
            </w:tcBorders>
          </w:tcPr>
          <w:p>
            <w:pPr>
              <w:pStyle w:val="TableParagraph"/>
              <w:spacing w:line="209" w:lineRule="exact"/>
              <w:ind w:left="300" w:right="0"/>
              <w:jc w:val="left"/>
              <w:rPr>
                <w:rFonts w:ascii="Calibri" w:hAnsi="Calibri" w:cs="Calibri" w:eastAsia="Calibri" w:hint="default"/>
                <w:sz w:val="18"/>
                <w:szCs w:val="18"/>
              </w:rPr>
            </w:pPr>
            <w:r>
              <w:rPr>
                <w:rFonts w:ascii="Calibri"/>
                <w:sz w:val="18"/>
              </w:rPr>
              <w:t>3.33</w:t>
            </w:r>
          </w:p>
        </w:tc>
      </w:tr>
      <w:tr>
        <w:trPr>
          <w:trHeight w:val="247" w:hRule="exact"/>
        </w:trPr>
        <w:tc>
          <w:tcPr>
            <w:tcW w:w="1228" w:type="dxa"/>
            <w:tcBorders>
              <w:top w:val="single" w:sz="4" w:space="0" w:color="000000"/>
              <w:left w:val="nil" w:sz="6" w:space="0" w:color="auto"/>
              <w:bottom w:val="nil" w:sz="6" w:space="0" w:color="auto"/>
              <w:right w:val="nil" w:sz="6" w:space="0" w:color="auto"/>
            </w:tcBorders>
          </w:tcPr>
          <w:p>
            <w:pPr/>
          </w:p>
        </w:tc>
        <w:tc>
          <w:tcPr>
            <w:tcW w:w="7300"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164" w:right="0"/>
              <w:jc w:val="left"/>
              <w:rPr>
                <w:rFonts w:ascii="Calibri" w:hAnsi="Calibri" w:cs="Calibri" w:eastAsia="Calibri" w:hint="default"/>
                <w:sz w:val="18"/>
                <w:szCs w:val="18"/>
              </w:rPr>
            </w:pPr>
            <w:r>
              <w:rPr>
                <w:rFonts w:ascii="Calibri"/>
                <w:sz w:val="18"/>
              </w:rPr>
              <w:t>In general I consider myself (1=Less Happy; 5=More</w:t>
            </w:r>
            <w:r>
              <w:rPr>
                <w:rFonts w:ascii="Calibri"/>
                <w:spacing w:val="-17"/>
                <w:sz w:val="18"/>
              </w:rPr>
              <w:t> </w:t>
            </w:r>
            <w:r>
              <w:rPr>
                <w:rFonts w:ascii="Calibri"/>
                <w:sz w:val="18"/>
              </w:rPr>
              <w:t>Happy)</w:t>
            </w:r>
          </w:p>
        </w:tc>
        <w:tc>
          <w:tcPr>
            <w:tcW w:w="990"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300" w:right="0"/>
              <w:jc w:val="left"/>
              <w:rPr>
                <w:rFonts w:ascii="Calibri" w:hAnsi="Calibri" w:cs="Calibri" w:eastAsia="Calibri" w:hint="default"/>
                <w:sz w:val="18"/>
                <w:szCs w:val="18"/>
              </w:rPr>
            </w:pPr>
            <w:r>
              <w:rPr>
                <w:rFonts w:ascii="Calibri"/>
                <w:sz w:val="18"/>
              </w:rPr>
              <w:t>4.26</w:t>
            </w:r>
          </w:p>
        </w:tc>
      </w:tr>
      <w:tr>
        <w:trPr>
          <w:trHeight w:val="229" w:hRule="exact"/>
        </w:trPr>
        <w:tc>
          <w:tcPr>
            <w:tcW w:w="1228" w:type="dxa"/>
            <w:tcBorders>
              <w:top w:val="nil" w:sz="6" w:space="0" w:color="auto"/>
              <w:left w:val="nil" w:sz="6" w:space="0" w:color="auto"/>
              <w:bottom w:val="nil" w:sz="6" w:space="0" w:color="auto"/>
              <w:right w:val="nil" w:sz="6" w:space="0" w:color="auto"/>
            </w:tcBorders>
          </w:tcPr>
          <w:p>
            <w:pPr>
              <w:pStyle w:val="TableParagraph"/>
              <w:spacing w:line="207" w:lineRule="exact"/>
              <w:ind w:left="52" w:right="0"/>
              <w:jc w:val="center"/>
              <w:rPr>
                <w:rFonts w:ascii="Calibri" w:hAnsi="Calibri" w:cs="Calibri" w:eastAsia="Calibri" w:hint="default"/>
                <w:sz w:val="18"/>
                <w:szCs w:val="18"/>
              </w:rPr>
            </w:pPr>
            <w:r>
              <w:rPr>
                <w:rFonts w:ascii="Calibri"/>
                <w:sz w:val="18"/>
              </w:rPr>
              <w:t>Happiness</w:t>
            </w:r>
          </w:p>
        </w:tc>
        <w:tc>
          <w:tcPr>
            <w:tcW w:w="7300" w:type="dxa"/>
            <w:tcBorders>
              <w:top w:val="nil" w:sz="6" w:space="0" w:color="auto"/>
              <w:left w:val="nil" w:sz="6" w:space="0" w:color="auto"/>
              <w:bottom w:val="nil" w:sz="6" w:space="0" w:color="auto"/>
              <w:right w:val="nil" w:sz="6" w:space="0" w:color="auto"/>
            </w:tcBorders>
          </w:tcPr>
          <w:p>
            <w:pPr>
              <w:pStyle w:val="TableParagraph"/>
              <w:spacing w:line="207" w:lineRule="exact"/>
              <w:ind w:left="164" w:right="0"/>
              <w:jc w:val="left"/>
              <w:rPr>
                <w:rFonts w:ascii="Calibri" w:hAnsi="Calibri" w:cs="Calibri" w:eastAsia="Calibri" w:hint="default"/>
                <w:sz w:val="18"/>
                <w:szCs w:val="18"/>
              </w:rPr>
            </w:pPr>
            <w:r>
              <w:rPr>
                <w:rFonts w:ascii="Calibri"/>
                <w:sz w:val="18"/>
              </w:rPr>
              <w:t>Compared with peers, I am  (1=Less Happy; 5=More</w:t>
            </w:r>
            <w:r>
              <w:rPr>
                <w:rFonts w:ascii="Calibri"/>
                <w:spacing w:val="-16"/>
                <w:sz w:val="18"/>
              </w:rPr>
              <w:t> </w:t>
            </w:r>
            <w:r>
              <w:rPr>
                <w:rFonts w:ascii="Calibri"/>
                <w:sz w:val="18"/>
              </w:rPr>
              <w:t>Happy)</w:t>
            </w:r>
          </w:p>
        </w:tc>
        <w:tc>
          <w:tcPr>
            <w:tcW w:w="990" w:type="dxa"/>
            <w:tcBorders>
              <w:top w:val="nil" w:sz="6" w:space="0" w:color="auto"/>
              <w:left w:val="nil" w:sz="6" w:space="0" w:color="auto"/>
              <w:bottom w:val="nil" w:sz="6" w:space="0" w:color="auto"/>
              <w:right w:val="nil" w:sz="6" w:space="0" w:color="auto"/>
            </w:tcBorders>
          </w:tcPr>
          <w:p>
            <w:pPr>
              <w:pStyle w:val="TableParagraph"/>
              <w:spacing w:line="207" w:lineRule="exact"/>
              <w:ind w:left="300" w:right="0"/>
              <w:jc w:val="left"/>
              <w:rPr>
                <w:rFonts w:ascii="Calibri" w:hAnsi="Calibri" w:cs="Calibri" w:eastAsia="Calibri" w:hint="default"/>
                <w:sz w:val="18"/>
                <w:szCs w:val="18"/>
              </w:rPr>
            </w:pPr>
            <w:r>
              <w:rPr>
                <w:rFonts w:ascii="Calibri"/>
                <w:sz w:val="18"/>
              </w:rPr>
              <w:t>4.11</w:t>
            </w:r>
          </w:p>
        </w:tc>
      </w:tr>
      <w:tr>
        <w:trPr>
          <w:trHeight w:val="215" w:hRule="exact"/>
        </w:trPr>
        <w:tc>
          <w:tcPr>
            <w:tcW w:w="1228" w:type="dxa"/>
            <w:tcBorders>
              <w:top w:val="nil" w:sz="6" w:space="0" w:color="auto"/>
              <w:left w:val="nil" w:sz="6" w:space="0" w:color="auto"/>
              <w:bottom w:val="single" w:sz="4" w:space="0" w:color="000000"/>
              <w:right w:val="nil" w:sz="6" w:space="0" w:color="auto"/>
            </w:tcBorders>
          </w:tcPr>
          <w:p>
            <w:pPr/>
          </w:p>
        </w:tc>
        <w:tc>
          <w:tcPr>
            <w:tcW w:w="7300" w:type="dxa"/>
            <w:tcBorders>
              <w:top w:val="nil" w:sz="6" w:space="0" w:color="auto"/>
              <w:left w:val="nil" w:sz="6" w:space="0" w:color="auto"/>
              <w:bottom w:val="single" w:sz="4" w:space="0" w:color="000000"/>
              <w:right w:val="nil" w:sz="6" w:space="0" w:color="auto"/>
            </w:tcBorders>
          </w:tcPr>
          <w:p>
            <w:pPr>
              <w:pStyle w:val="TableParagraph"/>
              <w:spacing w:line="209" w:lineRule="exact"/>
              <w:ind w:left="164" w:right="0"/>
              <w:jc w:val="left"/>
              <w:rPr>
                <w:rFonts w:ascii="Calibri" w:hAnsi="Calibri" w:cs="Calibri" w:eastAsia="Calibri" w:hint="default"/>
                <w:sz w:val="18"/>
                <w:szCs w:val="18"/>
              </w:rPr>
            </w:pPr>
            <w:r>
              <w:rPr>
                <w:rFonts w:ascii="Calibri"/>
                <w:sz w:val="18"/>
              </w:rPr>
              <w:t>People are generally very happy.   Do you fit into this category?  (1=Not At All; 5=A Great</w:t>
            </w:r>
            <w:r>
              <w:rPr>
                <w:rFonts w:ascii="Calibri"/>
                <w:spacing w:val="-26"/>
                <w:sz w:val="18"/>
              </w:rPr>
              <w:t> </w:t>
            </w:r>
            <w:r>
              <w:rPr>
                <w:rFonts w:ascii="Calibri"/>
                <w:sz w:val="18"/>
              </w:rPr>
              <w:t>Deal)</w:t>
            </w:r>
          </w:p>
        </w:tc>
        <w:tc>
          <w:tcPr>
            <w:tcW w:w="990" w:type="dxa"/>
            <w:tcBorders>
              <w:top w:val="nil" w:sz="6" w:space="0" w:color="auto"/>
              <w:left w:val="nil" w:sz="6" w:space="0" w:color="auto"/>
              <w:bottom w:val="single" w:sz="4" w:space="0" w:color="000000"/>
              <w:right w:val="nil" w:sz="6" w:space="0" w:color="auto"/>
            </w:tcBorders>
          </w:tcPr>
          <w:p>
            <w:pPr>
              <w:pStyle w:val="TableParagraph"/>
              <w:spacing w:line="209" w:lineRule="exact"/>
              <w:ind w:left="300" w:right="0"/>
              <w:jc w:val="left"/>
              <w:rPr>
                <w:rFonts w:ascii="Calibri" w:hAnsi="Calibri" w:cs="Calibri" w:eastAsia="Calibri" w:hint="default"/>
                <w:sz w:val="18"/>
                <w:szCs w:val="18"/>
              </w:rPr>
            </w:pPr>
            <w:r>
              <w:rPr>
                <w:rFonts w:ascii="Calibri"/>
                <w:sz w:val="18"/>
              </w:rPr>
              <w:t>3.98</w:t>
            </w:r>
          </w:p>
        </w:tc>
      </w:tr>
      <w:tr>
        <w:trPr>
          <w:trHeight w:val="244" w:hRule="exact"/>
        </w:trPr>
        <w:tc>
          <w:tcPr>
            <w:tcW w:w="1228" w:type="dxa"/>
            <w:vMerge w:val="restart"/>
            <w:tcBorders>
              <w:top w:val="single" w:sz="4" w:space="0" w:color="000000"/>
              <w:left w:val="nil" w:sz="6" w:space="0" w:color="auto"/>
              <w:right w:val="nil" w:sz="6" w:space="0" w:color="auto"/>
            </w:tcBorders>
          </w:tcPr>
          <w:p>
            <w:pPr>
              <w:pStyle w:val="TableParagraph"/>
              <w:spacing w:line="240" w:lineRule="auto" w:before="114"/>
              <w:ind w:left="307" w:right="0"/>
              <w:jc w:val="left"/>
              <w:rPr>
                <w:rFonts w:ascii="Calibri" w:hAnsi="Calibri" w:cs="Calibri" w:eastAsia="Calibri" w:hint="default"/>
                <w:sz w:val="18"/>
                <w:szCs w:val="18"/>
              </w:rPr>
            </w:pPr>
            <w:r>
              <w:rPr>
                <w:rFonts w:ascii="Calibri"/>
                <w:sz w:val="18"/>
              </w:rPr>
              <w:t>Turnover</w:t>
            </w:r>
          </w:p>
        </w:tc>
        <w:tc>
          <w:tcPr>
            <w:tcW w:w="7300" w:type="dxa"/>
            <w:tcBorders>
              <w:top w:val="single" w:sz="4" w:space="0" w:color="000000"/>
              <w:left w:val="nil" w:sz="6" w:space="0" w:color="auto"/>
              <w:bottom w:val="nil" w:sz="6" w:space="0" w:color="auto"/>
              <w:right w:val="nil" w:sz="6" w:space="0" w:color="auto"/>
            </w:tcBorders>
          </w:tcPr>
          <w:p>
            <w:pPr>
              <w:pStyle w:val="TableParagraph"/>
              <w:spacing w:line="219" w:lineRule="exact"/>
              <w:ind w:left="164" w:right="0"/>
              <w:jc w:val="left"/>
              <w:rPr>
                <w:rFonts w:ascii="Calibri" w:hAnsi="Calibri" w:cs="Calibri" w:eastAsia="Calibri" w:hint="default"/>
                <w:sz w:val="18"/>
                <w:szCs w:val="18"/>
              </w:rPr>
            </w:pPr>
            <w:r>
              <w:rPr>
                <w:rFonts w:ascii="Calibri"/>
                <w:sz w:val="18"/>
              </w:rPr>
              <w:t>I have thought of seeking employment in another</w:t>
            </w:r>
            <w:r>
              <w:rPr>
                <w:rFonts w:ascii="Calibri"/>
                <w:spacing w:val="-20"/>
                <w:sz w:val="18"/>
              </w:rPr>
              <w:t> </w:t>
            </w:r>
            <w:r>
              <w:rPr>
                <w:rFonts w:ascii="Calibri"/>
                <w:sz w:val="18"/>
              </w:rPr>
              <w:t>industry</w:t>
            </w:r>
          </w:p>
        </w:tc>
        <w:tc>
          <w:tcPr>
            <w:tcW w:w="990" w:type="dxa"/>
            <w:tcBorders>
              <w:top w:val="single" w:sz="4" w:space="0" w:color="000000"/>
              <w:left w:val="nil" w:sz="6" w:space="0" w:color="auto"/>
              <w:bottom w:val="nil" w:sz="6" w:space="0" w:color="auto"/>
              <w:right w:val="nil" w:sz="6" w:space="0" w:color="auto"/>
            </w:tcBorders>
          </w:tcPr>
          <w:p>
            <w:pPr>
              <w:pStyle w:val="TableParagraph"/>
              <w:spacing w:line="219" w:lineRule="exact"/>
              <w:ind w:left="300" w:right="0"/>
              <w:jc w:val="left"/>
              <w:rPr>
                <w:rFonts w:ascii="Calibri" w:hAnsi="Calibri" w:cs="Calibri" w:eastAsia="Calibri" w:hint="default"/>
                <w:sz w:val="18"/>
                <w:szCs w:val="18"/>
              </w:rPr>
            </w:pPr>
            <w:r>
              <w:rPr>
                <w:rFonts w:ascii="Calibri"/>
                <w:sz w:val="18"/>
              </w:rPr>
              <w:t>2.97</w:t>
            </w:r>
          </w:p>
        </w:tc>
      </w:tr>
      <w:tr>
        <w:trPr>
          <w:trHeight w:val="214" w:hRule="exact"/>
        </w:trPr>
        <w:tc>
          <w:tcPr>
            <w:tcW w:w="1228" w:type="dxa"/>
            <w:vMerge/>
            <w:tcBorders>
              <w:left w:val="nil" w:sz="6" w:space="0" w:color="auto"/>
              <w:bottom w:val="single" w:sz="4" w:space="0" w:color="000000"/>
              <w:right w:val="nil" w:sz="6" w:space="0" w:color="auto"/>
            </w:tcBorders>
          </w:tcPr>
          <w:p>
            <w:pPr/>
          </w:p>
        </w:tc>
        <w:tc>
          <w:tcPr>
            <w:tcW w:w="7300" w:type="dxa"/>
            <w:tcBorders>
              <w:top w:val="nil" w:sz="6" w:space="0" w:color="auto"/>
              <w:left w:val="nil" w:sz="6" w:space="0" w:color="auto"/>
              <w:bottom w:val="single" w:sz="4" w:space="0" w:color="000000"/>
              <w:right w:val="nil" w:sz="6" w:space="0" w:color="auto"/>
            </w:tcBorders>
          </w:tcPr>
          <w:p>
            <w:pPr>
              <w:pStyle w:val="TableParagraph"/>
              <w:spacing w:line="207" w:lineRule="exact"/>
              <w:ind w:left="164" w:right="0"/>
              <w:jc w:val="left"/>
              <w:rPr>
                <w:rFonts w:ascii="Calibri" w:hAnsi="Calibri" w:cs="Calibri" w:eastAsia="Calibri" w:hint="default"/>
                <w:sz w:val="18"/>
                <w:szCs w:val="18"/>
              </w:rPr>
            </w:pPr>
            <w:r>
              <w:rPr>
                <w:rFonts w:ascii="Calibri"/>
                <w:sz w:val="18"/>
              </w:rPr>
              <w:t>I will probably look for a new job in the next</w:t>
            </w:r>
            <w:r>
              <w:rPr>
                <w:rFonts w:ascii="Calibri"/>
                <w:spacing w:val="-15"/>
                <w:sz w:val="18"/>
              </w:rPr>
              <w:t> </w:t>
            </w:r>
            <w:r>
              <w:rPr>
                <w:rFonts w:ascii="Calibri"/>
                <w:sz w:val="18"/>
              </w:rPr>
              <w:t>year</w:t>
            </w:r>
          </w:p>
        </w:tc>
        <w:tc>
          <w:tcPr>
            <w:tcW w:w="990" w:type="dxa"/>
            <w:tcBorders>
              <w:top w:val="nil" w:sz="6" w:space="0" w:color="auto"/>
              <w:left w:val="nil" w:sz="6" w:space="0" w:color="auto"/>
              <w:bottom w:val="single" w:sz="4" w:space="0" w:color="000000"/>
              <w:right w:val="nil" w:sz="6" w:space="0" w:color="auto"/>
            </w:tcBorders>
          </w:tcPr>
          <w:p>
            <w:pPr>
              <w:pStyle w:val="TableParagraph"/>
              <w:spacing w:line="207" w:lineRule="exact"/>
              <w:ind w:left="300" w:right="0"/>
              <w:jc w:val="left"/>
              <w:rPr>
                <w:rFonts w:ascii="Calibri" w:hAnsi="Calibri" w:cs="Calibri" w:eastAsia="Calibri" w:hint="default"/>
                <w:sz w:val="18"/>
                <w:szCs w:val="18"/>
              </w:rPr>
            </w:pPr>
            <w:r>
              <w:rPr>
                <w:rFonts w:ascii="Calibri"/>
                <w:sz w:val="18"/>
              </w:rPr>
              <w:t>2.48</w:t>
            </w:r>
          </w:p>
        </w:tc>
      </w:tr>
    </w:tbl>
    <w:p>
      <w:pPr>
        <w:spacing w:after="0" w:line="207" w:lineRule="exact"/>
        <w:jc w:val="left"/>
        <w:rPr>
          <w:rFonts w:ascii="Calibri" w:hAnsi="Calibri" w:cs="Calibri" w:eastAsia="Calibri" w:hint="default"/>
          <w:sz w:val="18"/>
          <w:szCs w:val="18"/>
        </w:rPr>
        <w:sectPr>
          <w:pgSz w:w="12240" w:h="15840"/>
          <w:pgMar w:header="0" w:footer="533" w:top="840" w:bottom="720" w:left="0" w:right="0"/>
        </w:sectPr>
      </w:pPr>
    </w:p>
    <w:p>
      <w:pPr>
        <w:spacing w:line="240" w:lineRule="auto" w:before="0"/>
        <w:ind w:right="0"/>
        <w:rPr>
          <w:rFonts w:ascii="Calibri" w:hAnsi="Calibri" w:cs="Calibri" w:eastAsia="Calibri" w:hint="default"/>
          <w:b/>
          <w:bCs/>
          <w:sz w:val="20"/>
          <w:szCs w:val="20"/>
        </w:rPr>
      </w:pPr>
    </w:p>
    <w:p>
      <w:pPr>
        <w:spacing w:line="240" w:lineRule="auto" w:before="1"/>
        <w:ind w:right="0"/>
        <w:rPr>
          <w:rFonts w:ascii="Calibri" w:hAnsi="Calibri" w:cs="Calibri" w:eastAsia="Calibri" w:hint="default"/>
          <w:b/>
          <w:bCs/>
          <w:sz w:val="23"/>
          <w:szCs w:val="23"/>
        </w:rPr>
      </w:pPr>
    </w:p>
    <w:p>
      <w:pPr>
        <w:pStyle w:val="BodyText"/>
        <w:spacing w:line="240" w:lineRule="auto" w:before="59"/>
        <w:ind w:right="1440"/>
        <w:jc w:val="both"/>
        <w:rPr>
          <w:sz w:val="12"/>
          <w:szCs w:val="12"/>
        </w:rPr>
      </w:pPr>
      <w:r>
        <w:rPr/>
        <w:t>Quality of work life is defined as a multi-dimensional concept that includes measurement of the quality of supervisors, job benefits, and promotion opportunities. As was expected, job benefits tend to influence the perception of quality of work life the most (the standardized B=0.55). However, besides job benefits, promotion </w:t>
      </w:r>
      <w:r>
        <w:rPr>
          <w:rFonts w:ascii="Calibri" w:hAnsi="Calibri" w:cs="Calibri" w:eastAsia="Calibri" w:hint="default"/>
        </w:rPr>
        <w:t>opportunities and supervisors’ support also seem to have a relativ</w:t>
      </w:r>
      <w:r>
        <w:rPr/>
        <w:t>ely high bearing on the perception of quality of work life. A positive perception of the quality of work life positively affects job satisfaction and explains 66% of overall job satisfaction. This means that there is only 34% of variance that accounts </w:t>
      </w:r>
      <w:r>
        <w:rPr>
          <w:spacing w:val="3"/>
        </w:rPr>
        <w:t>f</w:t>
      </w:r>
      <w:r>
        <w:rPr>
          <w:rFonts w:ascii="Calibri" w:hAnsi="Calibri" w:cs="Calibri" w:eastAsia="Calibri" w:hint="default"/>
          <w:spacing w:val="3"/>
        </w:rPr>
        <w:t>or </w:t>
      </w:r>
      <w:r>
        <w:rPr>
          <w:rFonts w:ascii="Calibri" w:hAnsi="Calibri" w:cs="Calibri" w:eastAsia="Calibri" w:hint="default"/>
        </w:rPr>
        <w:t>a tourism employee’s job </w:t>
      </w:r>
      <w:r>
        <w:rPr>
          <w:rFonts w:ascii="Calibri" w:hAnsi="Calibri" w:cs="Calibri" w:eastAsia="Calibri" w:hint="default"/>
        </w:rPr>
      </w:r>
      <w:r>
        <w:rPr/>
        <w:t>satisfaction in Curaçao. As was expected, job satisfaction is negatively correlated to employee turnover intentions as is explained by the 44% of the variation in the latter (see Figure</w:t>
      </w:r>
      <w:r>
        <w:rPr>
          <w:spacing w:val="-24"/>
        </w:rPr>
        <w:t> </w:t>
      </w:r>
      <w:r>
        <w:rPr/>
        <w:t>17).</w:t>
      </w:r>
      <w:r>
        <w:rPr>
          <w:position w:val="5"/>
          <w:sz w:val="12"/>
          <w:szCs w:val="12"/>
        </w:rPr>
        <w:t>40</w:t>
      </w:r>
      <w:r>
        <w:rPr>
          <w:sz w:val="12"/>
          <w:szCs w:val="12"/>
        </w:rPr>
      </w:r>
    </w:p>
    <w:p>
      <w:pPr>
        <w:spacing w:line="240" w:lineRule="auto" w:before="1"/>
        <w:ind w:right="0"/>
        <w:rPr>
          <w:rFonts w:ascii="Calibri" w:hAnsi="Calibri" w:cs="Calibri" w:eastAsia="Calibri" w:hint="default"/>
          <w:sz w:val="20"/>
          <w:szCs w:val="20"/>
        </w:rPr>
      </w:pPr>
    </w:p>
    <w:p>
      <w:pPr>
        <w:pStyle w:val="BodyText"/>
        <w:spacing w:line="240" w:lineRule="auto"/>
        <w:ind w:right="1437"/>
        <w:jc w:val="both"/>
      </w:pPr>
      <w:r>
        <w:rPr/>
        <w:t>Because</w:t>
      </w:r>
      <w:r>
        <w:rPr>
          <w:spacing w:val="-10"/>
        </w:rPr>
        <w:t> </w:t>
      </w:r>
      <w:r>
        <w:rPr/>
        <w:t>the</w:t>
      </w:r>
      <w:r>
        <w:rPr>
          <w:spacing w:val="-10"/>
        </w:rPr>
        <w:t> </w:t>
      </w:r>
      <w:r>
        <w:rPr/>
        <w:t>perception</w:t>
      </w:r>
      <w:r>
        <w:rPr>
          <w:spacing w:val="-9"/>
        </w:rPr>
        <w:t> </w:t>
      </w:r>
      <w:r>
        <w:rPr/>
        <w:t>of</w:t>
      </w:r>
      <w:r>
        <w:rPr>
          <w:spacing w:val="-10"/>
        </w:rPr>
        <w:t> </w:t>
      </w:r>
      <w:r>
        <w:rPr/>
        <w:t>quality</w:t>
      </w:r>
      <w:r>
        <w:rPr>
          <w:spacing w:val="-5"/>
        </w:rPr>
        <w:t> </w:t>
      </w:r>
      <w:r>
        <w:rPr>
          <w:rFonts w:ascii="Calibri" w:hAnsi="Calibri" w:cs="Calibri" w:eastAsia="Calibri" w:hint="default"/>
        </w:rPr>
        <w:t>of</w:t>
      </w:r>
      <w:r>
        <w:rPr>
          <w:rFonts w:ascii="Calibri" w:hAnsi="Calibri" w:cs="Calibri" w:eastAsia="Calibri" w:hint="default"/>
          <w:spacing w:val="-10"/>
        </w:rPr>
        <w:t> </w:t>
      </w:r>
      <w:r>
        <w:rPr>
          <w:rFonts w:ascii="Calibri" w:hAnsi="Calibri" w:cs="Calibri" w:eastAsia="Calibri" w:hint="default"/>
        </w:rPr>
        <w:t>work</w:t>
      </w:r>
      <w:r>
        <w:rPr>
          <w:rFonts w:ascii="Calibri" w:hAnsi="Calibri" w:cs="Calibri" w:eastAsia="Calibri" w:hint="default"/>
          <w:spacing w:val="-9"/>
        </w:rPr>
        <w:t> </w:t>
      </w:r>
      <w:r>
        <w:rPr>
          <w:rFonts w:ascii="Calibri" w:hAnsi="Calibri" w:cs="Calibri" w:eastAsia="Calibri" w:hint="default"/>
        </w:rPr>
        <w:t>life</w:t>
      </w:r>
      <w:r>
        <w:rPr>
          <w:rFonts w:ascii="Calibri" w:hAnsi="Calibri" w:cs="Calibri" w:eastAsia="Calibri" w:hint="default"/>
          <w:spacing w:val="-10"/>
        </w:rPr>
        <w:t> </w:t>
      </w:r>
      <w:r>
        <w:rPr>
          <w:rFonts w:ascii="Calibri" w:hAnsi="Calibri" w:cs="Calibri" w:eastAsia="Calibri" w:hint="default"/>
        </w:rPr>
        <w:t>could</w:t>
      </w:r>
      <w:r>
        <w:rPr>
          <w:rFonts w:ascii="Calibri" w:hAnsi="Calibri" w:cs="Calibri" w:eastAsia="Calibri" w:hint="default"/>
          <w:spacing w:val="-9"/>
        </w:rPr>
        <w:t> </w:t>
      </w:r>
      <w:r>
        <w:rPr>
          <w:rFonts w:ascii="Calibri" w:hAnsi="Calibri" w:cs="Calibri" w:eastAsia="Calibri" w:hint="default"/>
        </w:rPr>
        <w:t>be</w:t>
      </w:r>
      <w:r>
        <w:rPr>
          <w:rFonts w:ascii="Calibri" w:hAnsi="Calibri" w:cs="Calibri" w:eastAsia="Calibri" w:hint="default"/>
          <w:spacing w:val="-10"/>
        </w:rPr>
        <w:t> </w:t>
      </w:r>
      <w:r>
        <w:rPr>
          <w:rFonts w:ascii="Calibri" w:hAnsi="Calibri" w:cs="Calibri" w:eastAsia="Calibri" w:hint="default"/>
        </w:rPr>
        <w:t>influenced</w:t>
      </w:r>
      <w:r>
        <w:rPr>
          <w:rFonts w:ascii="Calibri" w:hAnsi="Calibri" w:cs="Calibri" w:eastAsia="Calibri" w:hint="default"/>
          <w:spacing w:val="-8"/>
        </w:rPr>
        <w:t> </w:t>
      </w:r>
      <w:r>
        <w:rPr>
          <w:rFonts w:ascii="Calibri" w:hAnsi="Calibri" w:cs="Calibri" w:eastAsia="Calibri" w:hint="default"/>
        </w:rPr>
        <w:t>by</w:t>
      </w:r>
      <w:r>
        <w:rPr>
          <w:rFonts w:ascii="Calibri" w:hAnsi="Calibri" w:cs="Calibri" w:eastAsia="Calibri" w:hint="default"/>
          <w:spacing w:val="-8"/>
        </w:rPr>
        <w:t> </w:t>
      </w:r>
      <w:r>
        <w:rPr>
          <w:rFonts w:ascii="Calibri" w:hAnsi="Calibri" w:cs="Calibri" w:eastAsia="Calibri" w:hint="default"/>
        </w:rPr>
        <w:t>employees’</w:t>
      </w:r>
      <w:r>
        <w:rPr>
          <w:rFonts w:ascii="Calibri" w:hAnsi="Calibri" w:cs="Calibri" w:eastAsia="Calibri" w:hint="default"/>
          <w:spacing w:val="-9"/>
        </w:rPr>
        <w:t> </w:t>
      </w:r>
      <w:r>
        <w:rPr>
          <w:rFonts w:ascii="Calibri" w:hAnsi="Calibri" w:cs="Calibri" w:eastAsia="Calibri" w:hint="default"/>
        </w:rPr>
        <w:t>personality</w:t>
      </w:r>
      <w:r>
        <w:rPr>
          <w:rFonts w:ascii="Calibri" w:hAnsi="Calibri" w:cs="Calibri" w:eastAsia="Calibri" w:hint="default"/>
          <w:spacing w:val="-8"/>
        </w:rPr>
        <w:t> </w:t>
      </w:r>
      <w:r>
        <w:rPr>
          <w:rFonts w:ascii="Calibri" w:hAnsi="Calibri" w:cs="Calibri" w:eastAsia="Calibri" w:hint="default"/>
        </w:rPr>
        <w:t>traits</w:t>
      </w:r>
      <w:r>
        <w:rPr/>
        <w:t>,</w:t>
      </w:r>
      <w:r>
        <w:rPr>
          <w:spacing w:val="-9"/>
        </w:rPr>
        <w:t> </w:t>
      </w:r>
      <w:r>
        <w:rPr/>
        <w:t>a</w:t>
      </w:r>
      <w:r>
        <w:rPr>
          <w:spacing w:val="-9"/>
        </w:rPr>
        <w:t> </w:t>
      </w:r>
      <w:r>
        <w:rPr/>
        <w:t>further</w:t>
      </w:r>
      <w:r>
        <w:rPr>
          <w:spacing w:val="-9"/>
        </w:rPr>
        <w:t> </w:t>
      </w:r>
      <w:r>
        <w:rPr/>
        <w:t>analysis </w:t>
      </w:r>
      <w:r>
        <w:rPr/>
        <w:t>in understanding this relationship was conducted. Personality traits were measured by the concept of</w:t>
      </w:r>
      <w:r>
        <w:rPr>
          <w:spacing w:val="-13"/>
        </w:rPr>
        <w:t> </w:t>
      </w:r>
      <w:r>
        <w:rPr/>
        <w:t>congeniality,</w:t>
      </w:r>
    </w:p>
    <w:p>
      <w:pPr>
        <w:pStyle w:val="ListParagraph"/>
        <w:numPr>
          <w:ilvl w:val="1"/>
          <w:numId w:val="3"/>
        </w:numPr>
        <w:tabs>
          <w:tab w:pos="1787" w:val="left" w:leader="none"/>
        </w:tabs>
        <w:spacing w:line="240" w:lineRule="auto" w:before="0" w:after="0"/>
        <w:ind w:left="1440" w:right="1439" w:firstLine="0"/>
        <w:jc w:val="both"/>
        <w:rPr>
          <w:rFonts w:ascii="Calibri" w:hAnsi="Calibri" w:cs="Calibri" w:eastAsia="Calibri" w:hint="default"/>
          <w:sz w:val="20"/>
          <w:szCs w:val="20"/>
        </w:rPr>
      </w:pPr>
      <w:r>
        <w:rPr>
          <w:rFonts w:ascii="Calibri" w:hAnsi="Calibri" w:cs="Calibri" w:eastAsia="Calibri" w:hint="default"/>
          <w:sz w:val="20"/>
          <w:szCs w:val="20"/>
        </w:rPr>
        <w:t>traits that are amenable to working in the hospitality industry. A composite score of congeniality was subsequently</w:t>
      </w:r>
      <w:r>
        <w:rPr>
          <w:rFonts w:ascii="Calibri" w:hAnsi="Calibri" w:cs="Calibri" w:eastAsia="Calibri" w:hint="default"/>
          <w:spacing w:val="-7"/>
          <w:sz w:val="20"/>
          <w:szCs w:val="20"/>
        </w:rPr>
        <w:t> </w:t>
      </w:r>
      <w:r>
        <w:rPr>
          <w:rFonts w:ascii="Calibri" w:hAnsi="Calibri" w:cs="Calibri" w:eastAsia="Calibri" w:hint="default"/>
          <w:sz w:val="20"/>
          <w:szCs w:val="20"/>
        </w:rPr>
        <w:t>developed</w:t>
      </w:r>
      <w:r>
        <w:rPr>
          <w:rFonts w:ascii="Calibri" w:hAnsi="Calibri" w:cs="Calibri" w:eastAsia="Calibri" w:hint="default"/>
          <w:spacing w:val="-7"/>
          <w:sz w:val="20"/>
          <w:szCs w:val="20"/>
        </w:rPr>
        <w:t> </w:t>
      </w:r>
      <w:r>
        <w:rPr>
          <w:rFonts w:ascii="Calibri" w:hAnsi="Calibri" w:cs="Calibri" w:eastAsia="Calibri" w:hint="default"/>
          <w:sz w:val="20"/>
          <w:szCs w:val="20"/>
        </w:rPr>
        <w:t>consisting</w:t>
      </w:r>
      <w:r>
        <w:rPr>
          <w:rFonts w:ascii="Calibri" w:hAnsi="Calibri" w:cs="Calibri" w:eastAsia="Calibri" w:hint="default"/>
          <w:spacing w:val="-8"/>
          <w:sz w:val="20"/>
          <w:szCs w:val="20"/>
        </w:rPr>
        <w:t> </w:t>
      </w:r>
      <w:r>
        <w:rPr>
          <w:rFonts w:ascii="Calibri" w:hAnsi="Calibri" w:cs="Calibri" w:eastAsia="Calibri" w:hint="default"/>
          <w:sz w:val="20"/>
          <w:szCs w:val="20"/>
        </w:rPr>
        <w:t>of</w:t>
      </w:r>
      <w:r>
        <w:rPr>
          <w:rFonts w:ascii="Calibri" w:hAnsi="Calibri" w:cs="Calibri" w:eastAsia="Calibri" w:hint="default"/>
          <w:spacing w:val="-9"/>
          <w:sz w:val="20"/>
          <w:szCs w:val="20"/>
        </w:rPr>
        <w:t> </w:t>
      </w:r>
      <w:r>
        <w:rPr>
          <w:rFonts w:ascii="Calibri" w:hAnsi="Calibri" w:cs="Calibri" w:eastAsia="Calibri" w:hint="default"/>
          <w:sz w:val="20"/>
          <w:szCs w:val="20"/>
        </w:rPr>
        <w:t>two</w:t>
      </w:r>
      <w:r>
        <w:rPr>
          <w:rFonts w:ascii="Calibri" w:hAnsi="Calibri" w:cs="Calibri" w:eastAsia="Calibri" w:hint="default"/>
          <w:spacing w:val="-8"/>
          <w:sz w:val="20"/>
          <w:szCs w:val="20"/>
        </w:rPr>
        <w:t> </w:t>
      </w:r>
      <w:r>
        <w:rPr>
          <w:rFonts w:ascii="Calibri" w:hAnsi="Calibri" w:cs="Calibri" w:eastAsia="Calibri" w:hint="default"/>
          <w:sz w:val="20"/>
          <w:szCs w:val="20"/>
        </w:rPr>
        <w:t>levels</w:t>
      </w:r>
      <w:r>
        <w:rPr>
          <w:rFonts w:ascii="Calibri" w:hAnsi="Calibri" w:cs="Calibri" w:eastAsia="Calibri" w:hint="default"/>
          <w:spacing w:val="-6"/>
          <w:sz w:val="20"/>
          <w:szCs w:val="20"/>
        </w:rPr>
        <w:t> </w:t>
      </w:r>
      <w:r>
        <w:rPr>
          <w:rFonts w:ascii="Calibri" w:hAnsi="Calibri" w:cs="Calibri" w:eastAsia="Calibri" w:hint="default"/>
          <w:sz w:val="20"/>
          <w:szCs w:val="20"/>
        </w:rPr>
        <w:t>–</w:t>
      </w:r>
      <w:r>
        <w:rPr>
          <w:rFonts w:ascii="Calibri" w:hAnsi="Calibri" w:cs="Calibri" w:eastAsia="Calibri" w:hint="default"/>
          <w:spacing w:val="-9"/>
          <w:sz w:val="20"/>
          <w:szCs w:val="20"/>
        </w:rPr>
        <w:t> </w:t>
      </w:r>
      <w:r>
        <w:rPr>
          <w:rFonts w:ascii="Calibri" w:hAnsi="Calibri" w:cs="Calibri" w:eastAsia="Calibri" w:hint="default"/>
          <w:sz w:val="20"/>
          <w:szCs w:val="20"/>
        </w:rPr>
        <w:t>that</w:t>
      </w:r>
      <w:r>
        <w:rPr>
          <w:rFonts w:ascii="Calibri" w:hAnsi="Calibri" w:cs="Calibri" w:eastAsia="Calibri" w:hint="default"/>
          <w:spacing w:val="-7"/>
          <w:sz w:val="20"/>
          <w:szCs w:val="20"/>
        </w:rPr>
        <w:t> </w:t>
      </w:r>
      <w:r>
        <w:rPr>
          <w:rFonts w:ascii="Calibri" w:hAnsi="Calibri" w:cs="Calibri" w:eastAsia="Calibri" w:hint="default"/>
          <w:sz w:val="20"/>
          <w:szCs w:val="20"/>
        </w:rPr>
        <w:t>of</w:t>
      </w:r>
      <w:r>
        <w:rPr>
          <w:rFonts w:ascii="Calibri" w:hAnsi="Calibri" w:cs="Calibri" w:eastAsia="Calibri" w:hint="default"/>
          <w:spacing w:val="-8"/>
          <w:sz w:val="20"/>
          <w:szCs w:val="20"/>
        </w:rPr>
        <w:t> </w:t>
      </w:r>
      <w:r>
        <w:rPr>
          <w:rFonts w:ascii="Calibri" w:hAnsi="Calibri" w:cs="Calibri" w:eastAsia="Calibri" w:hint="default"/>
          <w:i/>
          <w:sz w:val="20"/>
          <w:szCs w:val="20"/>
        </w:rPr>
        <w:t>high</w:t>
      </w:r>
      <w:r>
        <w:rPr>
          <w:rFonts w:ascii="Calibri" w:hAnsi="Calibri" w:cs="Calibri" w:eastAsia="Calibri" w:hint="default"/>
          <w:i/>
          <w:spacing w:val="-6"/>
          <w:sz w:val="20"/>
          <w:szCs w:val="20"/>
        </w:rPr>
        <w:t> </w:t>
      </w:r>
      <w:r>
        <w:rPr>
          <w:rFonts w:ascii="Calibri" w:hAnsi="Calibri" w:cs="Calibri" w:eastAsia="Calibri" w:hint="default"/>
          <w:sz w:val="20"/>
          <w:szCs w:val="20"/>
        </w:rPr>
        <w:t>and</w:t>
      </w:r>
      <w:r>
        <w:rPr>
          <w:rFonts w:ascii="Calibri" w:hAnsi="Calibri" w:cs="Calibri" w:eastAsia="Calibri" w:hint="default"/>
          <w:spacing w:val="-6"/>
          <w:sz w:val="20"/>
          <w:szCs w:val="20"/>
        </w:rPr>
        <w:t> </w:t>
      </w:r>
      <w:r>
        <w:rPr>
          <w:rFonts w:ascii="Calibri" w:hAnsi="Calibri" w:cs="Calibri" w:eastAsia="Calibri" w:hint="default"/>
          <w:i/>
          <w:sz w:val="20"/>
          <w:szCs w:val="20"/>
        </w:rPr>
        <w:t>low</w:t>
      </w:r>
      <w:r>
        <w:rPr>
          <w:rFonts w:ascii="Calibri" w:hAnsi="Calibri" w:cs="Calibri" w:eastAsia="Calibri" w:hint="default"/>
          <w:i/>
          <w:spacing w:val="-9"/>
          <w:sz w:val="20"/>
          <w:szCs w:val="20"/>
        </w:rPr>
        <w:t> </w:t>
      </w:r>
      <w:r>
        <w:rPr>
          <w:rFonts w:ascii="Calibri" w:hAnsi="Calibri" w:cs="Calibri" w:eastAsia="Calibri" w:hint="default"/>
          <w:sz w:val="20"/>
          <w:szCs w:val="20"/>
        </w:rPr>
        <w:t>congeniality.</w:t>
      </w:r>
      <w:r>
        <w:rPr>
          <w:rFonts w:ascii="Calibri" w:hAnsi="Calibri" w:cs="Calibri" w:eastAsia="Calibri" w:hint="default"/>
          <w:spacing w:val="-8"/>
          <w:sz w:val="20"/>
          <w:szCs w:val="20"/>
        </w:rPr>
        <w:t> </w:t>
      </w:r>
      <w:r>
        <w:rPr>
          <w:rFonts w:ascii="Calibri" w:hAnsi="Calibri" w:cs="Calibri" w:eastAsia="Calibri" w:hint="default"/>
          <w:sz w:val="20"/>
          <w:szCs w:val="20"/>
        </w:rPr>
        <w:t>The</w:t>
      </w:r>
      <w:r>
        <w:rPr>
          <w:rFonts w:ascii="Calibri" w:hAnsi="Calibri" w:cs="Calibri" w:eastAsia="Calibri" w:hint="default"/>
          <w:spacing w:val="-9"/>
          <w:sz w:val="20"/>
          <w:szCs w:val="20"/>
        </w:rPr>
        <w:t> </w:t>
      </w:r>
      <w:r>
        <w:rPr>
          <w:rFonts w:ascii="Calibri" w:hAnsi="Calibri" w:cs="Calibri" w:eastAsia="Calibri" w:hint="default"/>
          <w:sz w:val="20"/>
          <w:szCs w:val="20"/>
        </w:rPr>
        <w:t>structural</w:t>
      </w:r>
      <w:r>
        <w:rPr>
          <w:rFonts w:ascii="Calibri" w:hAnsi="Calibri" w:cs="Calibri" w:eastAsia="Calibri" w:hint="default"/>
          <w:spacing w:val="-8"/>
          <w:sz w:val="20"/>
          <w:szCs w:val="20"/>
        </w:rPr>
        <w:t> </w:t>
      </w:r>
      <w:r>
        <w:rPr>
          <w:rFonts w:ascii="Calibri" w:hAnsi="Calibri" w:cs="Calibri" w:eastAsia="Calibri" w:hint="default"/>
          <w:sz w:val="20"/>
          <w:szCs w:val="20"/>
        </w:rPr>
        <w:t>model</w:t>
      </w:r>
      <w:r>
        <w:rPr>
          <w:rFonts w:ascii="Calibri" w:hAnsi="Calibri" w:cs="Calibri" w:eastAsia="Calibri" w:hint="default"/>
          <w:spacing w:val="-8"/>
          <w:sz w:val="20"/>
          <w:szCs w:val="20"/>
        </w:rPr>
        <w:t> </w:t>
      </w:r>
      <w:r>
        <w:rPr>
          <w:rFonts w:ascii="Calibri" w:hAnsi="Calibri" w:cs="Calibri" w:eastAsia="Calibri" w:hint="default"/>
          <w:sz w:val="20"/>
          <w:szCs w:val="20"/>
        </w:rPr>
        <w:t>previously </w:t>
      </w:r>
      <w:r>
        <w:rPr>
          <w:rFonts w:ascii="Calibri" w:hAnsi="Calibri" w:cs="Calibri" w:eastAsia="Calibri" w:hint="default"/>
          <w:sz w:val="20"/>
          <w:szCs w:val="20"/>
        </w:rPr>
        <w:t>alluded to in Figure 17 was then tested for the moderation effect of congeniality on the relationship between variables. The variables consisted of supervisor, job benefits, promotion opportunities, and turnover intentions. Table 24 below provides an overview of measurement items</w:t>
      </w:r>
      <w:r>
        <w:rPr>
          <w:rFonts w:ascii="Calibri" w:hAnsi="Calibri" w:cs="Calibri" w:eastAsia="Calibri" w:hint="default"/>
          <w:spacing w:val="-32"/>
          <w:sz w:val="20"/>
          <w:szCs w:val="20"/>
        </w:rPr>
        <w:t> </w:t>
      </w:r>
      <w:r>
        <w:rPr>
          <w:rFonts w:ascii="Calibri" w:hAnsi="Calibri" w:cs="Calibri" w:eastAsia="Calibri" w:hint="default"/>
          <w:sz w:val="20"/>
          <w:szCs w:val="20"/>
        </w:rPr>
        <w:t>used in defining congeniality.</w:t>
      </w:r>
    </w:p>
    <w:p>
      <w:pPr>
        <w:spacing w:line="240" w:lineRule="auto" w:before="11" w:after="0"/>
        <w:ind w:right="0"/>
        <w:rPr>
          <w:rFonts w:ascii="Calibri" w:hAnsi="Calibri" w:cs="Calibri" w:eastAsia="Calibri" w:hint="default"/>
          <w:sz w:val="19"/>
          <w:szCs w:val="19"/>
        </w:rPr>
      </w:pPr>
    </w:p>
    <w:p>
      <w:pPr>
        <w:spacing w:line="240" w:lineRule="auto"/>
        <w:ind w:left="2774"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4216245" cy="1526571"/>
            <wp:effectExtent l="0" t="0" r="0" b="0"/>
            <wp:docPr id="37" name="image22.png" descr=""/>
            <wp:cNvGraphicFramePr>
              <a:graphicFrameLocks noChangeAspect="1"/>
            </wp:cNvGraphicFramePr>
            <a:graphic>
              <a:graphicData uri="http://schemas.openxmlformats.org/drawingml/2006/picture">
                <pic:pic>
                  <pic:nvPicPr>
                    <pic:cNvPr id="38" name="image22.png"/>
                    <pic:cNvPicPr/>
                  </pic:nvPicPr>
                  <pic:blipFill>
                    <a:blip r:embed="rId42" cstate="print"/>
                    <a:stretch>
                      <a:fillRect/>
                    </a:stretch>
                  </pic:blipFill>
                  <pic:spPr>
                    <a:xfrm>
                      <a:off x="0" y="0"/>
                      <a:ext cx="4216245" cy="1526571"/>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27"/>
        <w:ind w:right="26"/>
        <w:jc w:val="center"/>
        <w:rPr>
          <w:b w:val="0"/>
          <w:bCs w:val="0"/>
        </w:rPr>
      </w:pPr>
      <w:bookmarkStart w:name="_bookmark79" w:id="80"/>
      <w:bookmarkEnd w:id="80"/>
      <w:r>
        <w:rPr>
          <w:b w:val="0"/>
        </w:rPr>
      </w:r>
      <w:r>
        <w:rPr/>
        <w:t>Figure 17:  Job satisfaction and turnover</w:t>
      </w:r>
      <w:r>
        <w:rPr>
          <w:spacing w:val="-25"/>
        </w:rPr>
        <w:t> </w:t>
      </w:r>
      <w:r>
        <w:rPr/>
        <w:t>intentions</w:t>
      </w:r>
      <w:r>
        <w:rPr>
          <w:b w:val="0"/>
        </w:rPr>
      </w:r>
    </w:p>
    <w:p>
      <w:pPr>
        <w:spacing w:line="240" w:lineRule="auto" w:before="12"/>
        <w:ind w:right="0"/>
        <w:rPr>
          <w:rFonts w:ascii="Calibri" w:hAnsi="Calibri" w:cs="Calibri" w:eastAsia="Calibri" w:hint="default"/>
          <w:b/>
          <w:bCs/>
          <w:sz w:val="19"/>
          <w:szCs w:val="19"/>
        </w:rPr>
      </w:pPr>
    </w:p>
    <w:p>
      <w:pPr>
        <w:pStyle w:val="Heading9"/>
        <w:tabs>
          <w:tab w:pos="4085" w:val="left" w:leader="none"/>
          <w:tab w:pos="10667" w:val="left" w:leader="none"/>
        </w:tabs>
        <w:spacing w:line="240" w:lineRule="auto" w:after="51"/>
        <w:ind w:left="1440" w:right="0"/>
        <w:jc w:val="both"/>
        <w:rPr>
          <w:b w:val="0"/>
          <w:bCs w:val="0"/>
        </w:rPr>
      </w:pPr>
      <w:bookmarkStart w:name="_bookmark80" w:id="81"/>
      <w:bookmarkEnd w:id="81"/>
      <w:r>
        <w:rPr>
          <w:b w:val="0"/>
        </w:rPr>
      </w:r>
      <w:r>
        <w:rPr>
          <w:w w:val="99"/>
        </w:rPr>
      </w:r>
      <w:r>
        <w:rPr>
          <w:w w:val="99"/>
          <w:u w:val="single" w:color="000000"/>
        </w:rPr>
        <w:t> </w:t>
      </w:r>
      <w:r>
        <w:rPr>
          <w:u w:val="single" w:color="000000"/>
        </w:rPr>
        <w:tab/>
        <w:t>Table 24: Measurement items of job</w:t>
      </w:r>
      <w:r>
        <w:rPr>
          <w:spacing w:val="-25"/>
          <w:u w:val="single" w:color="000000"/>
        </w:rPr>
        <w:t> </w:t>
      </w:r>
      <w:r>
        <w:rPr>
          <w:u w:val="single" w:color="000000"/>
        </w:rPr>
        <w:t>congeniality</w:t>
        <w:tab/>
      </w:r>
      <w:r>
        <w:rPr/>
      </w:r>
      <w:r>
        <w:rPr>
          <w:b w:val="0"/>
        </w:rPr>
      </w:r>
    </w:p>
    <w:tbl>
      <w:tblPr>
        <w:tblW w:w="0" w:type="auto"/>
        <w:jc w:val="left"/>
        <w:tblInd w:w="1426" w:type="dxa"/>
        <w:tblLayout w:type="fixed"/>
        <w:tblCellMar>
          <w:top w:w="0" w:type="dxa"/>
          <w:left w:w="0" w:type="dxa"/>
          <w:bottom w:w="0" w:type="dxa"/>
          <w:right w:w="0" w:type="dxa"/>
        </w:tblCellMar>
        <w:tblLook w:val="01E0"/>
      </w:tblPr>
      <w:tblGrid>
        <w:gridCol w:w="6759"/>
        <w:gridCol w:w="1196"/>
        <w:gridCol w:w="1287"/>
      </w:tblGrid>
      <w:tr>
        <w:trPr>
          <w:trHeight w:val="472" w:hRule="exact"/>
        </w:trPr>
        <w:tc>
          <w:tcPr>
            <w:tcW w:w="6759" w:type="dxa"/>
            <w:tcBorders>
              <w:top w:val="nil" w:sz="6" w:space="0" w:color="auto"/>
              <w:left w:val="nil" w:sz="6" w:space="0" w:color="auto"/>
              <w:bottom w:val="nil" w:sz="6" w:space="0" w:color="auto"/>
              <w:right w:val="nil" w:sz="6" w:space="0" w:color="auto"/>
            </w:tcBorders>
          </w:tcPr>
          <w:p>
            <w:pPr>
              <w:pStyle w:val="TableParagraph"/>
              <w:spacing w:line="240" w:lineRule="auto" w:before="81"/>
              <w:ind w:left="122" w:right="0"/>
              <w:jc w:val="left"/>
              <w:rPr>
                <w:rFonts w:ascii="Calibri" w:hAnsi="Calibri" w:cs="Calibri" w:eastAsia="Calibri" w:hint="default"/>
                <w:sz w:val="20"/>
                <w:szCs w:val="20"/>
              </w:rPr>
            </w:pPr>
            <w:r>
              <w:rPr>
                <w:rFonts w:ascii="Calibri"/>
                <w:b/>
                <w:sz w:val="20"/>
              </w:rPr>
              <w:t>Tourism/Hospitality</w:t>
            </w:r>
            <w:r>
              <w:rPr>
                <w:rFonts w:ascii="Calibri"/>
                <w:b/>
                <w:spacing w:val="-18"/>
                <w:sz w:val="20"/>
              </w:rPr>
              <w:t> </w:t>
            </w:r>
            <w:r>
              <w:rPr>
                <w:rFonts w:ascii="Calibri"/>
                <w:b/>
                <w:sz w:val="20"/>
              </w:rPr>
              <w:t>Congeniality</w:t>
            </w:r>
            <w:r>
              <w:rPr>
                <w:rFonts w:ascii="Calibri"/>
                <w:sz w:val="20"/>
              </w:rPr>
            </w:r>
          </w:p>
        </w:tc>
        <w:tc>
          <w:tcPr>
            <w:tcW w:w="1196" w:type="dxa"/>
            <w:tcBorders>
              <w:top w:val="nil" w:sz="6" w:space="0" w:color="auto"/>
              <w:left w:val="nil" w:sz="6" w:space="0" w:color="auto"/>
              <w:bottom w:val="nil" w:sz="6" w:space="0" w:color="auto"/>
              <w:right w:val="nil" w:sz="6" w:space="0" w:color="auto"/>
            </w:tcBorders>
          </w:tcPr>
          <w:p>
            <w:pPr>
              <w:pStyle w:val="TableParagraph"/>
              <w:spacing w:line="240" w:lineRule="auto" w:before="81"/>
              <w:ind w:right="210"/>
              <w:jc w:val="right"/>
              <w:rPr>
                <w:rFonts w:ascii="Calibri" w:hAnsi="Calibri" w:cs="Calibri" w:eastAsia="Calibri" w:hint="default"/>
                <w:sz w:val="20"/>
                <w:szCs w:val="20"/>
              </w:rPr>
            </w:pPr>
            <w:r>
              <w:rPr>
                <w:rFonts w:ascii="Calibri"/>
                <w:b/>
                <w:w w:val="95"/>
                <w:sz w:val="20"/>
              </w:rPr>
              <w:t>Mean</w:t>
            </w:r>
            <w:r>
              <w:rPr>
                <w:rFonts w:ascii="Calibri"/>
                <w:sz w:val="20"/>
              </w:rPr>
            </w:r>
          </w:p>
        </w:tc>
        <w:tc>
          <w:tcPr>
            <w:tcW w:w="1287" w:type="dxa"/>
            <w:tcBorders>
              <w:top w:val="nil" w:sz="6" w:space="0" w:color="auto"/>
              <w:left w:val="nil" w:sz="6" w:space="0" w:color="auto"/>
              <w:bottom w:val="nil" w:sz="6" w:space="0" w:color="auto"/>
              <w:right w:val="nil" w:sz="6" w:space="0" w:color="auto"/>
            </w:tcBorders>
          </w:tcPr>
          <w:p>
            <w:pPr>
              <w:pStyle w:val="TableParagraph"/>
              <w:spacing w:line="203" w:lineRule="exact"/>
              <w:ind w:right="61"/>
              <w:jc w:val="center"/>
              <w:rPr>
                <w:rFonts w:ascii="Calibri" w:hAnsi="Calibri" w:cs="Calibri" w:eastAsia="Calibri" w:hint="default"/>
                <w:sz w:val="20"/>
                <w:szCs w:val="20"/>
              </w:rPr>
            </w:pPr>
            <w:r>
              <w:rPr>
                <w:rFonts w:ascii="Calibri"/>
                <w:b/>
                <w:sz w:val="20"/>
              </w:rPr>
              <w:t>Std.</w:t>
            </w:r>
            <w:r>
              <w:rPr>
                <w:rFonts w:ascii="Calibri"/>
                <w:sz w:val="20"/>
              </w:rPr>
            </w:r>
          </w:p>
          <w:p>
            <w:pPr>
              <w:pStyle w:val="TableParagraph"/>
              <w:tabs>
                <w:tab w:pos="212" w:val="left" w:leader="none"/>
                <w:tab w:pos="1287" w:val="left" w:leader="none"/>
              </w:tabs>
              <w:spacing w:line="240" w:lineRule="auto"/>
              <w:ind w:left="-7940" w:right="-1"/>
              <w:jc w:val="left"/>
              <w:rPr>
                <w:rFonts w:ascii="Calibri" w:hAnsi="Calibri" w:cs="Calibri" w:eastAsia="Calibri" w:hint="default"/>
                <w:sz w:val="20"/>
                <w:szCs w:val="20"/>
              </w:rPr>
            </w:pPr>
            <w:r>
              <w:rPr>
                <w:rFonts w:ascii="Calibri"/>
                <w:b/>
                <w:w w:val="99"/>
                <w:sz w:val="20"/>
              </w:rPr>
            </w:r>
            <w:r>
              <w:rPr>
                <w:rFonts w:ascii="Calibri"/>
                <w:b/>
                <w:w w:val="99"/>
                <w:sz w:val="20"/>
                <w:u w:val="single" w:color="000000"/>
              </w:rPr>
              <w:t> </w:t>
            </w:r>
            <w:r>
              <w:rPr>
                <w:rFonts w:ascii="Calibri"/>
                <w:b/>
                <w:sz w:val="20"/>
                <w:u w:val="single" w:color="000000"/>
              </w:rPr>
              <w:tab/>
              <w:t>Deviation</w:t>
              <w:tab/>
            </w:r>
            <w:r>
              <w:rPr>
                <w:rFonts w:ascii="Calibri"/>
                <w:b/>
                <w:sz w:val="20"/>
              </w:rPr>
            </w:r>
            <w:r>
              <w:rPr>
                <w:rFonts w:ascii="Calibri"/>
                <w:sz w:val="20"/>
              </w:rPr>
            </w:r>
          </w:p>
        </w:tc>
      </w:tr>
      <w:tr>
        <w:trPr>
          <w:trHeight w:val="250" w:hRule="exact"/>
        </w:trPr>
        <w:tc>
          <w:tcPr>
            <w:tcW w:w="6759" w:type="dxa"/>
            <w:tcBorders>
              <w:top w:val="nil" w:sz="6" w:space="0" w:color="auto"/>
              <w:left w:val="nil" w:sz="6" w:space="0" w:color="auto"/>
              <w:bottom w:val="nil" w:sz="6" w:space="0" w:color="auto"/>
              <w:right w:val="nil" w:sz="6" w:space="0" w:color="auto"/>
            </w:tcBorders>
          </w:tcPr>
          <w:p>
            <w:pPr>
              <w:pStyle w:val="TableParagraph"/>
              <w:spacing w:line="231" w:lineRule="exact"/>
              <w:ind w:left="122" w:right="0"/>
              <w:jc w:val="left"/>
              <w:rPr>
                <w:rFonts w:ascii="Calibri" w:hAnsi="Calibri" w:cs="Calibri" w:eastAsia="Calibri" w:hint="default"/>
                <w:sz w:val="20"/>
                <w:szCs w:val="20"/>
              </w:rPr>
            </w:pPr>
            <w:r>
              <w:rPr>
                <w:rFonts w:ascii="Calibri"/>
                <w:sz w:val="20"/>
              </w:rPr>
              <w:t>I think my personality fits a career in the tourism</w:t>
            </w:r>
            <w:r>
              <w:rPr>
                <w:rFonts w:ascii="Calibri"/>
                <w:spacing w:val="-26"/>
                <w:sz w:val="20"/>
              </w:rPr>
              <w:t> </w:t>
            </w:r>
            <w:r>
              <w:rPr>
                <w:rFonts w:ascii="Calibri"/>
                <w:sz w:val="20"/>
              </w:rPr>
              <w:t>industry</w:t>
            </w:r>
          </w:p>
        </w:tc>
        <w:tc>
          <w:tcPr>
            <w:tcW w:w="1196" w:type="dxa"/>
            <w:tcBorders>
              <w:top w:val="nil" w:sz="6" w:space="0" w:color="auto"/>
              <w:left w:val="nil" w:sz="6" w:space="0" w:color="auto"/>
              <w:bottom w:val="nil" w:sz="6" w:space="0" w:color="auto"/>
              <w:right w:val="nil" w:sz="6" w:space="0" w:color="auto"/>
            </w:tcBorders>
          </w:tcPr>
          <w:p>
            <w:pPr>
              <w:pStyle w:val="TableParagraph"/>
              <w:spacing w:line="231" w:lineRule="exact"/>
              <w:ind w:right="275"/>
              <w:jc w:val="right"/>
              <w:rPr>
                <w:rFonts w:ascii="Calibri" w:hAnsi="Calibri" w:cs="Calibri" w:eastAsia="Calibri" w:hint="default"/>
                <w:sz w:val="20"/>
                <w:szCs w:val="20"/>
              </w:rPr>
            </w:pPr>
            <w:r>
              <w:rPr>
                <w:rFonts w:ascii="Calibri"/>
                <w:w w:val="95"/>
                <w:sz w:val="20"/>
              </w:rPr>
              <w:t>4.08</w:t>
            </w:r>
            <w:r>
              <w:rPr>
                <w:rFonts w:ascii="Calibri"/>
                <w:sz w:val="20"/>
              </w:rPr>
            </w:r>
          </w:p>
        </w:tc>
        <w:tc>
          <w:tcPr>
            <w:tcW w:w="1287" w:type="dxa"/>
            <w:tcBorders>
              <w:top w:val="nil" w:sz="6" w:space="0" w:color="auto"/>
              <w:left w:val="nil" w:sz="6" w:space="0" w:color="auto"/>
              <w:bottom w:val="nil" w:sz="6" w:space="0" w:color="auto"/>
              <w:right w:val="nil" w:sz="6" w:space="0" w:color="auto"/>
            </w:tcBorders>
          </w:tcPr>
          <w:p>
            <w:pPr>
              <w:pStyle w:val="TableParagraph"/>
              <w:spacing w:line="231" w:lineRule="exact"/>
              <w:ind w:right="61"/>
              <w:jc w:val="center"/>
              <w:rPr>
                <w:rFonts w:ascii="Calibri" w:hAnsi="Calibri" w:cs="Calibri" w:eastAsia="Calibri" w:hint="default"/>
                <w:sz w:val="20"/>
                <w:szCs w:val="20"/>
              </w:rPr>
            </w:pPr>
            <w:r>
              <w:rPr>
                <w:rFonts w:ascii="Calibri"/>
                <w:sz w:val="20"/>
              </w:rPr>
              <w:t>0.98</w:t>
            </w:r>
          </w:p>
        </w:tc>
      </w:tr>
      <w:tr>
        <w:trPr>
          <w:trHeight w:val="244" w:hRule="exact"/>
        </w:trPr>
        <w:tc>
          <w:tcPr>
            <w:tcW w:w="6759" w:type="dxa"/>
            <w:tcBorders>
              <w:top w:val="nil" w:sz="6" w:space="0" w:color="auto"/>
              <w:left w:val="nil" w:sz="6" w:space="0" w:color="auto"/>
              <w:bottom w:val="nil" w:sz="6" w:space="0" w:color="auto"/>
              <w:right w:val="nil" w:sz="6" w:space="0" w:color="auto"/>
            </w:tcBorders>
          </w:tcPr>
          <w:p>
            <w:pPr>
              <w:pStyle w:val="TableParagraph"/>
              <w:spacing w:line="226" w:lineRule="exact"/>
              <w:ind w:left="122" w:right="0"/>
              <w:jc w:val="left"/>
              <w:rPr>
                <w:rFonts w:ascii="Calibri" w:hAnsi="Calibri" w:cs="Calibri" w:eastAsia="Calibri" w:hint="default"/>
                <w:sz w:val="20"/>
                <w:szCs w:val="20"/>
              </w:rPr>
            </w:pPr>
            <w:r>
              <w:rPr>
                <w:rFonts w:ascii="Calibri"/>
                <w:sz w:val="20"/>
              </w:rPr>
              <w:t>At work, I consider myself a hospitable</w:t>
            </w:r>
            <w:r>
              <w:rPr>
                <w:rFonts w:ascii="Calibri"/>
                <w:spacing w:val="-20"/>
                <w:sz w:val="20"/>
              </w:rPr>
              <w:t> </w:t>
            </w:r>
            <w:r>
              <w:rPr>
                <w:rFonts w:ascii="Calibri"/>
                <w:sz w:val="20"/>
              </w:rPr>
              <w:t>person</w:t>
            </w:r>
          </w:p>
        </w:tc>
        <w:tc>
          <w:tcPr>
            <w:tcW w:w="1196" w:type="dxa"/>
            <w:tcBorders>
              <w:top w:val="nil" w:sz="6" w:space="0" w:color="auto"/>
              <w:left w:val="nil" w:sz="6" w:space="0" w:color="auto"/>
              <w:bottom w:val="nil" w:sz="6" w:space="0" w:color="auto"/>
              <w:right w:val="nil" w:sz="6" w:space="0" w:color="auto"/>
            </w:tcBorders>
          </w:tcPr>
          <w:p>
            <w:pPr>
              <w:pStyle w:val="TableParagraph"/>
              <w:spacing w:line="226" w:lineRule="exact"/>
              <w:ind w:right="275"/>
              <w:jc w:val="right"/>
              <w:rPr>
                <w:rFonts w:ascii="Calibri" w:hAnsi="Calibri" w:cs="Calibri" w:eastAsia="Calibri" w:hint="default"/>
                <w:sz w:val="20"/>
                <w:szCs w:val="20"/>
              </w:rPr>
            </w:pPr>
            <w:r>
              <w:rPr>
                <w:rFonts w:ascii="Calibri"/>
                <w:w w:val="95"/>
                <w:sz w:val="20"/>
              </w:rPr>
              <w:t>4.34</w:t>
            </w:r>
            <w:r>
              <w:rPr>
                <w:rFonts w:ascii="Calibri"/>
                <w:sz w:val="20"/>
              </w:rPr>
            </w:r>
          </w:p>
        </w:tc>
        <w:tc>
          <w:tcPr>
            <w:tcW w:w="1287" w:type="dxa"/>
            <w:tcBorders>
              <w:top w:val="nil" w:sz="6" w:space="0" w:color="auto"/>
              <w:left w:val="nil" w:sz="6" w:space="0" w:color="auto"/>
              <w:bottom w:val="nil" w:sz="6" w:space="0" w:color="auto"/>
              <w:right w:val="nil" w:sz="6" w:space="0" w:color="auto"/>
            </w:tcBorders>
          </w:tcPr>
          <w:p>
            <w:pPr>
              <w:pStyle w:val="TableParagraph"/>
              <w:spacing w:line="226" w:lineRule="exact"/>
              <w:ind w:right="61"/>
              <w:jc w:val="center"/>
              <w:rPr>
                <w:rFonts w:ascii="Calibri" w:hAnsi="Calibri" w:cs="Calibri" w:eastAsia="Calibri" w:hint="default"/>
                <w:sz w:val="20"/>
                <w:szCs w:val="20"/>
              </w:rPr>
            </w:pPr>
            <w:r>
              <w:rPr>
                <w:rFonts w:ascii="Calibri"/>
                <w:sz w:val="20"/>
              </w:rPr>
              <w:t>0.81</w:t>
            </w:r>
          </w:p>
        </w:tc>
      </w:tr>
      <w:tr>
        <w:trPr>
          <w:trHeight w:val="244" w:hRule="exact"/>
        </w:trPr>
        <w:tc>
          <w:tcPr>
            <w:tcW w:w="6759" w:type="dxa"/>
            <w:tcBorders>
              <w:top w:val="nil" w:sz="6" w:space="0" w:color="auto"/>
              <w:left w:val="nil" w:sz="6" w:space="0" w:color="auto"/>
              <w:bottom w:val="nil" w:sz="6" w:space="0" w:color="auto"/>
              <w:right w:val="nil" w:sz="6" w:space="0" w:color="auto"/>
            </w:tcBorders>
          </w:tcPr>
          <w:p>
            <w:pPr>
              <w:pStyle w:val="TableParagraph"/>
              <w:spacing w:line="225" w:lineRule="exact"/>
              <w:ind w:left="122" w:right="0"/>
              <w:jc w:val="left"/>
              <w:rPr>
                <w:rFonts w:ascii="Calibri" w:hAnsi="Calibri" w:cs="Calibri" w:eastAsia="Calibri" w:hint="default"/>
                <w:sz w:val="20"/>
                <w:szCs w:val="20"/>
              </w:rPr>
            </w:pPr>
            <w:r>
              <w:rPr>
                <w:rFonts w:ascii="Calibri"/>
                <w:sz w:val="20"/>
              </w:rPr>
              <w:t>I can use my skills and abilities in the tourism</w:t>
            </w:r>
            <w:r>
              <w:rPr>
                <w:rFonts w:ascii="Calibri"/>
                <w:spacing w:val="-25"/>
                <w:sz w:val="20"/>
              </w:rPr>
              <w:t> </w:t>
            </w:r>
            <w:r>
              <w:rPr>
                <w:rFonts w:ascii="Calibri"/>
                <w:sz w:val="20"/>
              </w:rPr>
              <w:t>industry</w:t>
            </w:r>
          </w:p>
        </w:tc>
        <w:tc>
          <w:tcPr>
            <w:tcW w:w="1196" w:type="dxa"/>
            <w:tcBorders>
              <w:top w:val="nil" w:sz="6" w:space="0" w:color="auto"/>
              <w:left w:val="nil" w:sz="6" w:space="0" w:color="auto"/>
              <w:bottom w:val="nil" w:sz="6" w:space="0" w:color="auto"/>
              <w:right w:val="nil" w:sz="6" w:space="0" w:color="auto"/>
            </w:tcBorders>
          </w:tcPr>
          <w:p>
            <w:pPr>
              <w:pStyle w:val="TableParagraph"/>
              <w:spacing w:line="225" w:lineRule="exact"/>
              <w:ind w:right="275"/>
              <w:jc w:val="right"/>
              <w:rPr>
                <w:rFonts w:ascii="Calibri" w:hAnsi="Calibri" w:cs="Calibri" w:eastAsia="Calibri" w:hint="default"/>
                <w:sz w:val="20"/>
                <w:szCs w:val="20"/>
              </w:rPr>
            </w:pPr>
            <w:r>
              <w:rPr>
                <w:rFonts w:ascii="Calibri"/>
                <w:w w:val="95"/>
                <w:sz w:val="20"/>
              </w:rPr>
              <w:t>4.29</w:t>
            </w:r>
            <w:r>
              <w:rPr>
                <w:rFonts w:ascii="Calibri"/>
                <w:sz w:val="20"/>
              </w:rPr>
            </w:r>
          </w:p>
        </w:tc>
        <w:tc>
          <w:tcPr>
            <w:tcW w:w="1287" w:type="dxa"/>
            <w:tcBorders>
              <w:top w:val="nil" w:sz="6" w:space="0" w:color="auto"/>
              <w:left w:val="nil" w:sz="6" w:space="0" w:color="auto"/>
              <w:bottom w:val="nil" w:sz="6" w:space="0" w:color="auto"/>
              <w:right w:val="nil" w:sz="6" w:space="0" w:color="auto"/>
            </w:tcBorders>
          </w:tcPr>
          <w:p>
            <w:pPr>
              <w:pStyle w:val="TableParagraph"/>
              <w:spacing w:line="225" w:lineRule="exact"/>
              <w:ind w:right="61"/>
              <w:jc w:val="center"/>
              <w:rPr>
                <w:rFonts w:ascii="Calibri" w:hAnsi="Calibri" w:cs="Calibri" w:eastAsia="Calibri" w:hint="default"/>
                <w:sz w:val="20"/>
                <w:szCs w:val="20"/>
              </w:rPr>
            </w:pPr>
            <w:r>
              <w:rPr>
                <w:rFonts w:ascii="Calibri"/>
                <w:sz w:val="20"/>
              </w:rPr>
              <w:t>0.88</w:t>
            </w:r>
          </w:p>
        </w:tc>
      </w:tr>
      <w:tr>
        <w:trPr>
          <w:trHeight w:val="245" w:hRule="exact"/>
        </w:trPr>
        <w:tc>
          <w:tcPr>
            <w:tcW w:w="6759" w:type="dxa"/>
            <w:tcBorders>
              <w:top w:val="nil" w:sz="6" w:space="0" w:color="auto"/>
              <w:left w:val="nil" w:sz="6" w:space="0" w:color="auto"/>
              <w:bottom w:val="nil" w:sz="6" w:space="0" w:color="auto"/>
              <w:right w:val="nil" w:sz="6" w:space="0" w:color="auto"/>
            </w:tcBorders>
          </w:tcPr>
          <w:p>
            <w:pPr>
              <w:pStyle w:val="TableParagraph"/>
              <w:spacing w:line="226" w:lineRule="exact"/>
              <w:ind w:left="122" w:right="0"/>
              <w:jc w:val="left"/>
              <w:rPr>
                <w:rFonts w:ascii="Calibri" w:hAnsi="Calibri" w:cs="Calibri" w:eastAsia="Calibri" w:hint="default"/>
                <w:sz w:val="20"/>
                <w:szCs w:val="20"/>
              </w:rPr>
            </w:pPr>
            <w:r>
              <w:rPr>
                <w:rFonts w:ascii="Calibri"/>
                <w:sz w:val="20"/>
              </w:rPr>
              <w:t>I get pleasure working in the tourism</w:t>
            </w:r>
            <w:r>
              <w:rPr>
                <w:rFonts w:ascii="Calibri"/>
                <w:spacing w:val="-20"/>
                <w:sz w:val="20"/>
              </w:rPr>
              <w:t> </w:t>
            </w:r>
            <w:r>
              <w:rPr>
                <w:rFonts w:ascii="Calibri"/>
                <w:sz w:val="20"/>
              </w:rPr>
              <w:t>industry</w:t>
            </w:r>
          </w:p>
        </w:tc>
        <w:tc>
          <w:tcPr>
            <w:tcW w:w="1196" w:type="dxa"/>
            <w:tcBorders>
              <w:top w:val="nil" w:sz="6" w:space="0" w:color="auto"/>
              <w:left w:val="nil" w:sz="6" w:space="0" w:color="auto"/>
              <w:bottom w:val="nil" w:sz="6" w:space="0" w:color="auto"/>
              <w:right w:val="nil" w:sz="6" w:space="0" w:color="auto"/>
            </w:tcBorders>
          </w:tcPr>
          <w:p>
            <w:pPr>
              <w:pStyle w:val="TableParagraph"/>
              <w:spacing w:line="226" w:lineRule="exact"/>
              <w:ind w:right="275"/>
              <w:jc w:val="right"/>
              <w:rPr>
                <w:rFonts w:ascii="Calibri" w:hAnsi="Calibri" w:cs="Calibri" w:eastAsia="Calibri" w:hint="default"/>
                <w:sz w:val="20"/>
                <w:szCs w:val="20"/>
              </w:rPr>
            </w:pPr>
            <w:r>
              <w:rPr>
                <w:rFonts w:ascii="Calibri"/>
                <w:w w:val="95"/>
                <w:sz w:val="20"/>
              </w:rPr>
              <w:t>4.24</w:t>
            </w:r>
            <w:r>
              <w:rPr>
                <w:rFonts w:ascii="Calibri"/>
                <w:sz w:val="20"/>
              </w:rPr>
            </w:r>
          </w:p>
        </w:tc>
        <w:tc>
          <w:tcPr>
            <w:tcW w:w="1287" w:type="dxa"/>
            <w:tcBorders>
              <w:top w:val="nil" w:sz="6" w:space="0" w:color="auto"/>
              <w:left w:val="nil" w:sz="6" w:space="0" w:color="auto"/>
              <w:bottom w:val="nil" w:sz="6" w:space="0" w:color="auto"/>
              <w:right w:val="nil" w:sz="6" w:space="0" w:color="auto"/>
            </w:tcBorders>
          </w:tcPr>
          <w:p>
            <w:pPr>
              <w:pStyle w:val="TableParagraph"/>
              <w:spacing w:line="226" w:lineRule="exact"/>
              <w:ind w:right="61"/>
              <w:jc w:val="center"/>
              <w:rPr>
                <w:rFonts w:ascii="Calibri" w:hAnsi="Calibri" w:cs="Calibri" w:eastAsia="Calibri" w:hint="default"/>
                <w:sz w:val="20"/>
                <w:szCs w:val="20"/>
              </w:rPr>
            </w:pPr>
            <w:r>
              <w:rPr>
                <w:rFonts w:ascii="Calibri"/>
                <w:sz w:val="20"/>
              </w:rPr>
              <w:t>0.84</w:t>
            </w:r>
          </w:p>
        </w:tc>
      </w:tr>
      <w:tr>
        <w:trPr>
          <w:trHeight w:val="244" w:hRule="exact"/>
        </w:trPr>
        <w:tc>
          <w:tcPr>
            <w:tcW w:w="6759" w:type="dxa"/>
            <w:tcBorders>
              <w:top w:val="nil" w:sz="6" w:space="0" w:color="auto"/>
              <w:left w:val="nil" w:sz="6" w:space="0" w:color="auto"/>
              <w:bottom w:val="nil" w:sz="6" w:space="0" w:color="auto"/>
              <w:right w:val="nil" w:sz="6" w:space="0" w:color="auto"/>
            </w:tcBorders>
          </w:tcPr>
          <w:p>
            <w:pPr>
              <w:pStyle w:val="TableParagraph"/>
              <w:spacing w:line="226" w:lineRule="exact"/>
              <w:ind w:left="122" w:right="0"/>
              <w:jc w:val="left"/>
              <w:rPr>
                <w:rFonts w:ascii="Calibri" w:hAnsi="Calibri" w:cs="Calibri" w:eastAsia="Calibri" w:hint="default"/>
                <w:sz w:val="20"/>
                <w:szCs w:val="20"/>
              </w:rPr>
            </w:pPr>
            <w:r>
              <w:rPr>
                <w:rFonts w:ascii="Calibri"/>
                <w:sz w:val="20"/>
              </w:rPr>
              <w:t>I take pride in seeing satisfied</w:t>
            </w:r>
            <w:r>
              <w:rPr>
                <w:rFonts w:ascii="Calibri"/>
                <w:spacing w:val="-17"/>
                <w:sz w:val="20"/>
              </w:rPr>
              <w:t> </w:t>
            </w:r>
            <w:r>
              <w:rPr>
                <w:rFonts w:ascii="Calibri"/>
                <w:sz w:val="20"/>
              </w:rPr>
              <w:t>customers</w:t>
            </w:r>
          </w:p>
        </w:tc>
        <w:tc>
          <w:tcPr>
            <w:tcW w:w="1196" w:type="dxa"/>
            <w:tcBorders>
              <w:top w:val="nil" w:sz="6" w:space="0" w:color="auto"/>
              <w:left w:val="nil" w:sz="6" w:space="0" w:color="auto"/>
              <w:bottom w:val="nil" w:sz="6" w:space="0" w:color="auto"/>
              <w:right w:val="nil" w:sz="6" w:space="0" w:color="auto"/>
            </w:tcBorders>
          </w:tcPr>
          <w:p>
            <w:pPr>
              <w:pStyle w:val="TableParagraph"/>
              <w:spacing w:line="226" w:lineRule="exact"/>
              <w:ind w:right="275"/>
              <w:jc w:val="right"/>
              <w:rPr>
                <w:rFonts w:ascii="Calibri" w:hAnsi="Calibri" w:cs="Calibri" w:eastAsia="Calibri" w:hint="default"/>
                <w:sz w:val="20"/>
                <w:szCs w:val="20"/>
              </w:rPr>
            </w:pPr>
            <w:r>
              <w:rPr>
                <w:rFonts w:ascii="Calibri"/>
                <w:w w:val="95"/>
                <w:sz w:val="20"/>
              </w:rPr>
              <w:t>4.50</w:t>
            </w:r>
            <w:r>
              <w:rPr>
                <w:rFonts w:ascii="Calibri"/>
                <w:sz w:val="20"/>
              </w:rPr>
            </w:r>
          </w:p>
        </w:tc>
        <w:tc>
          <w:tcPr>
            <w:tcW w:w="1287" w:type="dxa"/>
            <w:tcBorders>
              <w:top w:val="nil" w:sz="6" w:space="0" w:color="auto"/>
              <w:left w:val="nil" w:sz="6" w:space="0" w:color="auto"/>
              <w:bottom w:val="nil" w:sz="6" w:space="0" w:color="auto"/>
              <w:right w:val="nil" w:sz="6" w:space="0" w:color="auto"/>
            </w:tcBorders>
          </w:tcPr>
          <w:p>
            <w:pPr>
              <w:pStyle w:val="TableParagraph"/>
              <w:spacing w:line="226" w:lineRule="exact"/>
              <w:ind w:right="61"/>
              <w:jc w:val="center"/>
              <w:rPr>
                <w:rFonts w:ascii="Calibri" w:hAnsi="Calibri" w:cs="Calibri" w:eastAsia="Calibri" w:hint="default"/>
                <w:sz w:val="20"/>
                <w:szCs w:val="20"/>
              </w:rPr>
            </w:pPr>
            <w:r>
              <w:rPr>
                <w:rFonts w:ascii="Calibri"/>
                <w:sz w:val="20"/>
              </w:rPr>
              <w:t>0.81</w:t>
            </w:r>
          </w:p>
        </w:tc>
      </w:tr>
      <w:tr>
        <w:trPr>
          <w:trHeight w:val="231" w:hRule="exact"/>
        </w:trPr>
        <w:tc>
          <w:tcPr>
            <w:tcW w:w="6759" w:type="dxa"/>
            <w:tcBorders>
              <w:top w:val="nil" w:sz="6" w:space="0" w:color="auto"/>
              <w:left w:val="nil" w:sz="6" w:space="0" w:color="auto"/>
              <w:bottom w:val="single" w:sz="4" w:space="0" w:color="000000"/>
              <w:right w:val="nil" w:sz="6" w:space="0" w:color="auto"/>
            </w:tcBorders>
          </w:tcPr>
          <w:p>
            <w:pPr>
              <w:pStyle w:val="TableParagraph"/>
              <w:spacing w:line="225" w:lineRule="exact"/>
              <w:ind w:left="122" w:right="0"/>
              <w:jc w:val="left"/>
              <w:rPr>
                <w:rFonts w:ascii="Calibri" w:hAnsi="Calibri" w:cs="Calibri" w:eastAsia="Calibri" w:hint="default"/>
                <w:sz w:val="20"/>
                <w:szCs w:val="20"/>
              </w:rPr>
            </w:pPr>
            <w:r>
              <w:rPr>
                <w:rFonts w:ascii="Calibri"/>
                <w:sz w:val="20"/>
              </w:rPr>
              <w:t>I like a job that allows me to interact with people from various</w:t>
            </w:r>
            <w:r>
              <w:rPr>
                <w:rFonts w:ascii="Calibri"/>
                <w:spacing w:val="-28"/>
                <w:sz w:val="20"/>
              </w:rPr>
              <w:t> </w:t>
            </w:r>
            <w:r>
              <w:rPr>
                <w:rFonts w:ascii="Calibri"/>
                <w:sz w:val="20"/>
              </w:rPr>
              <w:t>backgrounds</w:t>
            </w:r>
          </w:p>
        </w:tc>
        <w:tc>
          <w:tcPr>
            <w:tcW w:w="1196" w:type="dxa"/>
            <w:tcBorders>
              <w:top w:val="nil" w:sz="6" w:space="0" w:color="auto"/>
              <w:left w:val="nil" w:sz="6" w:space="0" w:color="auto"/>
              <w:bottom w:val="single" w:sz="4" w:space="0" w:color="000000"/>
              <w:right w:val="nil" w:sz="6" w:space="0" w:color="auto"/>
            </w:tcBorders>
          </w:tcPr>
          <w:p>
            <w:pPr>
              <w:pStyle w:val="TableParagraph"/>
              <w:spacing w:line="225" w:lineRule="exact"/>
              <w:ind w:right="275"/>
              <w:jc w:val="right"/>
              <w:rPr>
                <w:rFonts w:ascii="Calibri" w:hAnsi="Calibri" w:cs="Calibri" w:eastAsia="Calibri" w:hint="default"/>
                <w:sz w:val="20"/>
                <w:szCs w:val="20"/>
              </w:rPr>
            </w:pPr>
            <w:r>
              <w:rPr>
                <w:rFonts w:ascii="Calibri"/>
                <w:w w:val="95"/>
                <w:sz w:val="20"/>
              </w:rPr>
              <w:t>4.44</w:t>
            </w:r>
            <w:r>
              <w:rPr>
                <w:rFonts w:ascii="Calibri"/>
                <w:sz w:val="20"/>
              </w:rPr>
            </w:r>
          </w:p>
        </w:tc>
        <w:tc>
          <w:tcPr>
            <w:tcW w:w="1287" w:type="dxa"/>
            <w:tcBorders>
              <w:top w:val="nil" w:sz="6" w:space="0" w:color="auto"/>
              <w:left w:val="nil" w:sz="6" w:space="0" w:color="auto"/>
              <w:bottom w:val="single" w:sz="4" w:space="0" w:color="000000"/>
              <w:right w:val="nil" w:sz="6" w:space="0" w:color="auto"/>
            </w:tcBorders>
          </w:tcPr>
          <w:p>
            <w:pPr>
              <w:pStyle w:val="TableParagraph"/>
              <w:spacing w:line="225" w:lineRule="exact"/>
              <w:ind w:right="61"/>
              <w:jc w:val="center"/>
              <w:rPr>
                <w:rFonts w:ascii="Calibri" w:hAnsi="Calibri" w:cs="Calibri" w:eastAsia="Calibri" w:hint="default"/>
                <w:sz w:val="20"/>
                <w:szCs w:val="20"/>
              </w:rPr>
            </w:pPr>
            <w:r>
              <w:rPr>
                <w:rFonts w:ascii="Calibri"/>
                <w:sz w:val="20"/>
              </w:rPr>
              <w:t>0.82</w:t>
            </w:r>
          </w:p>
        </w:tc>
      </w:tr>
    </w:tbl>
    <w:p>
      <w:pPr>
        <w:spacing w:line="240" w:lineRule="auto" w:before="2"/>
        <w:ind w:right="0"/>
        <w:rPr>
          <w:rFonts w:ascii="Calibri" w:hAnsi="Calibri" w:cs="Calibri" w:eastAsia="Calibri" w:hint="default"/>
          <w:b/>
          <w:bCs/>
          <w:sz w:val="15"/>
          <w:szCs w:val="15"/>
        </w:rPr>
      </w:pPr>
    </w:p>
    <w:p>
      <w:pPr>
        <w:pStyle w:val="BodyText"/>
        <w:spacing w:line="240" w:lineRule="auto" w:before="59"/>
        <w:ind w:right="1438"/>
        <w:jc w:val="both"/>
      </w:pPr>
      <w:r>
        <w:rPr/>
        <w:t>The results indicate that for employees with low congeniality, the supervisor is not a significant predictor of their quality of work life. Also, promotion is more important for workers with low congeniality compared to high congeniality workers. In other words, workers with high congeniality evaluate their quality of work life more based on their relationship with their supervisor, rather than the job benefits and promotional</w:t>
      </w:r>
      <w:r>
        <w:rPr>
          <w:spacing w:val="-29"/>
        </w:rPr>
        <w:t> </w:t>
      </w:r>
      <w:r>
        <w:rPr/>
        <w:t>opportunities.</w:t>
      </w:r>
    </w:p>
    <w:p>
      <w:pPr>
        <w:spacing w:line="240" w:lineRule="auto" w:before="4"/>
        <w:ind w:right="0"/>
        <w:rPr>
          <w:rFonts w:ascii="Calibri" w:hAnsi="Calibri" w:cs="Calibri" w:eastAsia="Calibri" w:hint="default"/>
          <w:sz w:val="20"/>
          <w:szCs w:val="20"/>
        </w:rPr>
      </w:pPr>
    </w:p>
    <w:p>
      <w:pPr>
        <w:pStyle w:val="BodyText"/>
        <w:spacing w:line="237" w:lineRule="auto"/>
        <w:ind w:right="1436"/>
        <w:jc w:val="both"/>
      </w:pPr>
      <w:r>
        <w:rPr/>
        <w:t>In addition, unlike workers with low congeniality (whose job benefits and promotions explain the majority of their perceived work life quality (R</w:t>
      </w:r>
      <w:r>
        <w:rPr>
          <w:position w:val="7"/>
          <w:sz w:val="13"/>
          <w:szCs w:val="13"/>
        </w:rPr>
        <w:t>2</w:t>
      </w:r>
      <w:r>
        <w:rPr/>
        <w:t>=71%), for workers with high congeniality, supervisor relationships and job benefits </w:t>
      </w:r>
      <w:r>
        <w:rPr/>
        <w:t>explain a lower amount of variability of their perceived work life quality (R2=64%). Finally, for high congeniality employees,</w:t>
      </w:r>
      <w:r>
        <w:rPr>
          <w:spacing w:val="-10"/>
        </w:rPr>
        <w:t> </w:t>
      </w:r>
      <w:r>
        <w:rPr/>
        <w:t>job</w:t>
      </w:r>
      <w:r>
        <w:rPr>
          <w:spacing w:val="-7"/>
        </w:rPr>
        <w:t> </w:t>
      </w:r>
      <w:r>
        <w:rPr/>
        <w:t>satisfaction</w:t>
      </w:r>
      <w:r>
        <w:rPr>
          <w:spacing w:val="-9"/>
        </w:rPr>
        <w:t> </w:t>
      </w:r>
      <w:r>
        <w:rPr/>
        <w:t>is</w:t>
      </w:r>
      <w:r>
        <w:rPr>
          <w:spacing w:val="-7"/>
        </w:rPr>
        <w:t> </w:t>
      </w:r>
      <w:r>
        <w:rPr/>
        <w:t>the</w:t>
      </w:r>
      <w:r>
        <w:rPr>
          <w:spacing w:val="-11"/>
        </w:rPr>
        <w:t> </w:t>
      </w:r>
      <w:r>
        <w:rPr/>
        <w:t>major</w:t>
      </w:r>
      <w:r>
        <w:rPr>
          <w:spacing w:val="-10"/>
        </w:rPr>
        <w:t> </w:t>
      </w:r>
      <w:r>
        <w:rPr/>
        <w:t>predictor</w:t>
      </w:r>
      <w:r>
        <w:rPr>
          <w:spacing w:val="-8"/>
        </w:rPr>
        <w:t> </w:t>
      </w:r>
      <w:r>
        <w:rPr/>
        <w:t>of</w:t>
      </w:r>
      <w:r>
        <w:rPr>
          <w:spacing w:val="-11"/>
        </w:rPr>
        <w:t> </w:t>
      </w:r>
      <w:r>
        <w:rPr/>
        <w:t>their</w:t>
      </w:r>
      <w:r>
        <w:rPr>
          <w:spacing w:val="-8"/>
        </w:rPr>
        <w:t> </w:t>
      </w:r>
      <w:r>
        <w:rPr/>
        <w:t>turnover</w:t>
      </w:r>
      <w:r>
        <w:rPr>
          <w:spacing w:val="-10"/>
        </w:rPr>
        <w:t> </w:t>
      </w:r>
      <w:r>
        <w:rPr/>
        <w:t>intention</w:t>
      </w:r>
      <w:r>
        <w:rPr>
          <w:spacing w:val="-10"/>
        </w:rPr>
        <w:t> </w:t>
      </w:r>
      <w:r>
        <w:rPr/>
        <w:t>(R</w:t>
      </w:r>
      <w:r>
        <w:rPr>
          <w:position w:val="7"/>
          <w:sz w:val="13"/>
          <w:szCs w:val="13"/>
        </w:rPr>
        <w:t>2</w:t>
      </w:r>
      <w:r>
        <w:rPr/>
        <w:t>=60%)</w:t>
      </w:r>
      <w:r>
        <w:rPr>
          <w:spacing w:val="-11"/>
        </w:rPr>
        <w:t> </w:t>
      </w:r>
      <w:r>
        <w:rPr/>
        <w:t>compared</w:t>
      </w:r>
      <w:r>
        <w:rPr>
          <w:spacing w:val="-10"/>
        </w:rPr>
        <w:t> </w:t>
      </w:r>
      <w:r>
        <w:rPr/>
        <w:t>to</w:t>
      </w:r>
      <w:r>
        <w:rPr>
          <w:spacing w:val="-10"/>
        </w:rPr>
        <w:t> </w:t>
      </w:r>
      <w:r>
        <w:rPr/>
        <w:t>low</w:t>
      </w:r>
      <w:r>
        <w:rPr>
          <w:spacing w:val="-9"/>
        </w:rPr>
        <w:t> </w:t>
      </w:r>
      <w:r>
        <w:rPr/>
        <w:t>congeniality </w:t>
      </w:r>
      <w:r>
        <w:rPr/>
        <w:t>employees. In other words, high congeniality employees make their decision to quit based on their job satisfaction, while</w:t>
      </w:r>
      <w:r>
        <w:rPr>
          <w:spacing w:val="-4"/>
        </w:rPr>
        <w:t> </w:t>
      </w:r>
      <w:r>
        <w:rPr/>
        <w:t>for</w:t>
      </w:r>
      <w:r>
        <w:rPr>
          <w:spacing w:val="-3"/>
        </w:rPr>
        <w:t> </w:t>
      </w:r>
      <w:r>
        <w:rPr/>
        <w:t>low</w:t>
      </w:r>
      <w:r>
        <w:rPr>
          <w:spacing w:val="-4"/>
        </w:rPr>
        <w:t> </w:t>
      </w:r>
      <w:r>
        <w:rPr/>
        <w:t>congeniality</w:t>
      </w:r>
      <w:r>
        <w:rPr>
          <w:spacing w:val="-3"/>
        </w:rPr>
        <w:t> </w:t>
      </w:r>
      <w:r>
        <w:rPr/>
        <w:t>employees</w:t>
      </w:r>
      <w:r>
        <w:rPr>
          <w:rFonts w:ascii="Calibri" w:hAnsi="Calibri" w:cs="Calibri" w:eastAsia="Calibri" w:hint="default"/>
        </w:rPr>
        <w:t>’</w:t>
      </w:r>
      <w:r>
        <w:rPr>
          <w:rFonts w:ascii="Calibri" w:hAnsi="Calibri" w:cs="Calibri" w:eastAsia="Calibri" w:hint="default"/>
          <w:spacing w:val="-2"/>
        </w:rPr>
        <w:t> </w:t>
      </w:r>
      <w:r>
        <w:rPr/>
        <w:t>job</w:t>
      </w:r>
      <w:r>
        <w:rPr>
          <w:spacing w:val="-3"/>
        </w:rPr>
        <w:t> </w:t>
      </w:r>
      <w:r>
        <w:rPr/>
        <w:t>satisfaction</w:t>
      </w:r>
      <w:r>
        <w:rPr>
          <w:spacing w:val="-3"/>
        </w:rPr>
        <w:t> </w:t>
      </w:r>
      <w:r>
        <w:rPr/>
        <w:t>only</w:t>
      </w:r>
      <w:r>
        <w:rPr>
          <w:spacing w:val="-3"/>
        </w:rPr>
        <w:t> </w:t>
      </w:r>
      <w:r>
        <w:rPr/>
        <w:t>explains</w:t>
      </w:r>
      <w:r>
        <w:rPr>
          <w:spacing w:val="-4"/>
        </w:rPr>
        <w:t> </w:t>
      </w:r>
      <w:r>
        <w:rPr/>
        <w:t>25%</w:t>
      </w:r>
      <w:r>
        <w:rPr>
          <w:spacing w:val="-4"/>
        </w:rPr>
        <w:t> </w:t>
      </w:r>
      <w:r>
        <w:rPr/>
        <w:t>of</w:t>
      </w:r>
      <w:r>
        <w:rPr>
          <w:spacing w:val="-5"/>
        </w:rPr>
        <w:t> </w:t>
      </w:r>
      <w:r>
        <w:rPr/>
        <w:t>their</w:t>
      </w:r>
      <w:r>
        <w:rPr>
          <w:spacing w:val="-4"/>
        </w:rPr>
        <w:t> </w:t>
      </w:r>
      <w:r>
        <w:rPr/>
        <w:t>turnover</w:t>
      </w:r>
      <w:r>
        <w:rPr>
          <w:spacing w:val="-1"/>
        </w:rPr>
        <w:t> </w:t>
      </w:r>
      <w:r>
        <w:rPr/>
        <w:t>intention.</w:t>
      </w:r>
    </w:p>
    <w:p>
      <w:pPr>
        <w:spacing w:line="240" w:lineRule="auto" w:before="8" w:after="0"/>
        <w:ind w:right="0"/>
        <w:rPr>
          <w:rFonts w:ascii="Calibri" w:hAnsi="Calibri" w:cs="Calibri" w:eastAsia="Calibri" w:hint="default"/>
          <w:sz w:val="17"/>
          <w:szCs w:val="17"/>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before="91"/>
        <w:ind w:left="1440" w:right="0" w:firstLine="0"/>
        <w:jc w:val="left"/>
        <w:rPr>
          <w:rFonts w:ascii="Calibri" w:hAnsi="Calibri" w:cs="Calibri" w:eastAsia="Calibri" w:hint="default"/>
          <w:sz w:val="16"/>
          <w:szCs w:val="16"/>
        </w:rPr>
      </w:pPr>
      <w:r>
        <w:rPr>
          <w:rFonts w:ascii="Calibri"/>
          <w:position w:val="5"/>
          <w:sz w:val="12"/>
        </w:rPr>
        <w:t>40 </w:t>
      </w:r>
      <w:r>
        <w:rPr>
          <w:rFonts w:ascii="Calibri"/>
          <w:sz w:val="16"/>
        </w:rPr>
        <w:t>Model Fit: Chi</w:t>
      </w:r>
      <w:r>
        <w:rPr>
          <w:rFonts w:ascii="Calibri"/>
          <w:position w:val="5"/>
          <w:sz w:val="10"/>
        </w:rPr>
        <w:t>2=</w:t>
      </w:r>
      <w:r>
        <w:rPr>
          <w:rFonts w:ascii="Calibri"/>
          <w:sz w:val="16"/>
        </w:rPr>
        <w:t>1,058; </w:t>
      </w:r>
      <w:r>
        <w:rPr>
          <w:rFonts w:ascii="Calibri"/>
          <w:i/>
          <w:sz w:val="16"/>
        </w:rPr>
        <w:t>df</w:t>
      </w:r>
      <w:r>
        <w:rPr>
          <w:rFonts w:ascii="Calibri"/>
          <w:sz w:val="16"/>
        </w:rPr>
        <w:t>=477; </w:t>
      </w:r>
      <w:r>
        <w:rPr>
          <w:rFonts w:ascii="Calibri"/>
          <w:i/>
          <w:sz w:val="16"/>
        </w:rPr>
        <w:t>p</w:t>
      </w:r>
      <w:r>
        <w:rPr>
          <w:rFonts w:ascii="Calibri"/>
          <w:sz w:val="16"/>
        </w:rPr>
        <w:t>&lt;.000; CFI=.93;TLI=.916;</w:t>
      </w:r>
      <w:r>
        <w:rPr>
          <w:rFonts w:ascii="Calibri"/>
          <w:spacing w:val="-20"/>
          <w:sz w:val="16"/>
        </w:rPr>
        <w:t> </w:t>
      </w:r>
      <w:r>
        <w:rPr>
          <w:rFonts w:ascii="Calibri"/>
          <w:sz w:val="16"/>
        </w:rPr>
        <w:t>RMSEA=.039</w:t>
      </w:r>
    </w:p>
    <w:p>
      <w:pPr>
        <w:spacing w:after="0"/>
        <w:jc w:val="left"/>
        <w:rPr>
          <w:rFonts w:ascii="Calibri" w:hAnsi="Calibri" w:cs="Calibri" w:eastAsia="Calibri" w:hint="default"/>
          <w:sz w:val="16"/>
          <w:szCs w:val="16"/>
        </w:rPr>
        <w:sectPr>
          <w:footerReference w:type="default" r:id="rId41"/>
          <w:pgSz w:w="12240" w:h="15840"/>
          <w:pgMar w:footer="533" w:header="0"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5"/>
        <w:jc w:val="both"/>
      </w:pPr>
      <w:r>
        <w:rPr/>
        <w:t>Nurturing human capital requires attending to the whole job satisfaction process; however, in the case of Curaçao, the</w:t>
      </w:r>
      <w:r>
        <w:rPr>
          <w:spacing w:val="-7"/>
        </w:rPr>
        <w:t> </w:t>
      </w:r>
      <w:r>
        <w:rPr/>
        <w:t>hiring</w:t>
      </w:r>
      <w:r>
        <w:rPr>
          <w:spacing w:val="-7"/>
        </w:rPr>
        <w:t> </w:t>
      </w:r>
      <w:r>
        <w:rPr/>
        <w:t>process</w:t>
      </w:r>
      <w:r>
        <w:rPr>
          <w:spacing w:val="-5"/>
        </w:rPr>
        <w:t> </w:t>
      </w:r>
      <w:r>
        <w:rPr/>
        <w:t>(the</w:t>
      </w:r>
      <w:r>
        <w:rPr>
          <w:spacing w:val="-7"/>
        </w:rPr>
        <w:t> </w:t>
      </w:r>
      <w:r>
        <w:rPr/>
        <w:t>input</w:t>
      </w:r>
      <w:r>
        <w:rPr>
          <w:spacing w:val="-6"/>
        </w:rPr>
        <w:t> </w:t>
      </w:r>
      <w:r>
        <w:rPr/>
        <w:t>aspect</w:t>
      </w:r>
      <w:r>
        <w:rPr>
          <w:spacing w:val="-7"/>
        </w:rPr>
        <w:t> </w:t>
      </w:r>
      <w:r>
        <w:rPr/>
        <w:t>of</w:t>
      </w:r>
      <w:r>
        <w:rPr>
          <w:spacing w:val="-7"/>
        </w:rPr>
        <w:t> </w:t>
      </w:r>
      <w:r>
        <w:rPr/>
        <w:t>the</w:t>
      </w:r>
      <w:r>
        <w:rPr>
          <w:spacing w:val="-7"/>
        </w:rPr>
        <w:t> </w:t>
      </w:r>
      <w:r>
        <w:rPr/>
        <w:t>job</w:t>
      </w:r>
      <w:r>
        <w:rPr>
          <w:spacing w:val="-6"/>
        </w:rPr>
        <w:t> </w:t>
      </w:r>
      <w:r>
        <w:rPr/>
        <w:t>satisfaction)</w:t>
      </w:r>
      <w:r>
        <w:rPr>
          <w:spacing w:val="-7"/>
        </w:rPr>
        <w:t> </w:t>
      </w:r>
      <w:r>
        <w:rPr/>
        <w:t>seems</w:t>
      </w:r>
      <w:r>
        <w:rPr>
          <w:spacing w:val="-7"/>
        </w:rPr>
        <w:t> </w:t>
      </w:r>
      <w:r>
        <w:rPr/>
        <w:t>to</w:t>
      </w:r>
      <w:r>
        <w:rPr>
          <w:spacing w:val="-6"/>
        </w:rPr>
        <w:t> </w:t>
      </w:r>
      <w:r>
        <w:rPr/>
        <w:t>require</w:t>
      </w:r>
      <w:r>
        <w:rPr>
          <w:spacing w:val="-7"/>
        </w:rPr>
        <w:t> </w:t>
      </w:r>
      <w:r>
        <w:rPr/>
        <w:t>the</w:t>
      </w:r>
      <w:r>
        <w:rPr>
          <w:spacing w:val="-5"/>
        </w:rPr>
        <w:t> </w:t>
      </w:r>
      <w:r>
        <w:rPr/>
        <w:t>greatest</w:t>
      </w:r>
      <w:r>
        <w:rPr>
          <w:spacing w:val="-6"/>
        </w:rPr>
        <w:t> </w:t>
      </w:r>
      <w:r>
        <w:rPr/>
        <w:t>amount</w:t>
      </w:r>
      <w:r>
        <w:rPr>
          <w:spacing w:val="-6"/>
        </w:rPr>
        <w:t> </w:t>
      </w:r>
      <w:r>
        <w:rPr/>
        <w:t>of</w:t>
      </w:r>
      <w:r>
        <w:rPr>
          <w:spacing w:val="-7"/>
        </w:rPr>
        <w:t> </w:t>
      </w:r>
      <w:r>
        <w:rPr/>
        <w:t>attention.</w:t>
      </w:r>
      <w:r>
        <w:rPr>
          <w:spacing w:val="-7"/>
        </w:rPr>
        <w:t> </w:t>
      </w:r>
      <w:r>
        <w:rPr/>
        <w:t>What </w:t>
      </w:r>
      <w:r>
        <w:rPr/>
        <w:t>is clear from the survey is that the hiring process should be directed by determining the self-esteem level of the potential employee as well as ensuring that job title and personality match. Human resource management in the hospitality industry should engage in a pro-active practice which includes the</w:t>
      </w:r>
      <w:r>
        <w:rPr>
          <w:spacing w:val="-27"/>
        </w:rPr>
        <w:t> </w:t>
      </w:r>
      <w:r>
        <w:rPr/>
        <w:t>following:</w:t>
      </w:r>
    </w:p>
    <w:p>
      <w:pPr>
        <w:spacing w:line="240" w:lineRule="auto" w:before="10"/>
        <w:ind w:right="0"/>
        <w:rPr>
          <w:rFonts w:ascii="Calibri" w:hAnsi="Calibri" w:cs="Calibri" w:eastAsia="Calibri" w:hint="default"/>
          <w:sz w:val="19"/>
          <w:szCs w:val="19"/>
        </w:rPr>
      </w:pPr>
    </w:p>
    <w:p>
      <w:pPr>
        <w:pStyle w:val="ListParagraph"/>
        <w:numPr>
          <w:ilvl w:val="2"/>
          <w:numId w:val="3"/>
        </w:numPr>
        <w:tabs>
          <w:tab w:pos="2161" w:val="left" w:leader="none"/>
        </w:tabs>
        <w:spacing w:line="240" w:lineRule="auto" w:before="0" w:after="0"/>
        <w:ind w:left="2160" w:right="0" w:hanging="360"/>
        <w:jc w:val="left"/>
        <w:rPr>
          <w:rFonts w:ascii="Calibri" w:hAnsi="Calibri" w:cs="Calibri" w:eastAsia="Calibri" w:hint="default"/>
          <w:sz w:val="20"/>
          <w:szCs w:val="20"/>
        </w:rPr>
      </w:pPr>
      <w:r>
        <w:rPr>
          <w:rFonts w:ascii="Calibri"/>
          <w:sz w:val="20"/>
        </w:rPr>
        <w:t>Low self-esteem means focus on benefits and</w:t>
      </w:r>
      <w:r>
        <w:rPr>
          <w:rFonts w:ascii="Calibri"/>
          <w:spacing w:val="-19"/>
          <w:sz w:val="20"/>
        </w:rPr>
        <w:t> </w:t>
      </w:r>
      <w:r>
        <w:rPr>
          <w:rFonts w:ascii="Calibri"/>
          <w:sz w:val="20"/>
        </w:rPr>
        <w:t>promotion</w:t>
      </w:r>
    </w:p>
    <w:p>
      <w:pPr>
        <w:pStyle w:val="ListParagraph"/>
        <w:numPr>
          <w:ilvl w:val="2"/>
          <w:numId w:val="3"/>
        </w:numPr>
        <w:tabs>
          <w:tab w:pos="2161" w:val="left" w:leader="none"/>
        </w:tabs>
        <w:spacing w:line="240" w:lineRule="auto" w:before="16" w:after="0"/>
        <w:ind w:left="2160" w:right="0" w:hanging="360"/>
        <w:jc w:val="left"/>
        <w:rPr>
          <w:rFonts w:ascii="Calibri" w:hAnsi="Calibri" w:cs="Calibri" w:eastAsia="Calibri" w:hint="default"/>
          <w:sz w:val="20"/>
          <w:szCs w:val="20"/>
        </w:rPr>
      </w:pPr>
      <w:r>
        <w:rPr>
          <w:rFonts w:ascii="Calibri"/>
          <w:sz w:val="20"/>
        </w:rPr>
        <w:t>High self-esteem means focus on direction and</w:t>
      </w:r>
      <w:r>
        <w:rPr>
          <w:rFonts w:ascii="Calibri"/>
          <w:spacing w:val="-16"/>
          <w:sz w:val="20"/>
        </w:rPr>
        <w:t> </w:t>
      </w:r>
      <w:r>
        <w:rPr>
          <w:rFonts w:ascii="Calibri"/>
          <w:sz w:val="20"/>
        </w:rPr>
        <w:t>guidance</w:t>
      </w:r>
    </w:p>
    <w:p>
      <w:pPr>
        <w:pStyle w:val="ListParagraph"/>
        <w:numPr>
          <w:ilvl w:val="2"/>
          <w:numId w:val="3"/>
        </w:numPr>
        <w:tabs>
          <w:tab w:pos="2161" w:val="left" w:leader="none"/>
        </w:tabs>
        <w:spacing w:line="240" w:lineRule="auto" w:before="16" w:after="0"/>
        <w:ind w:left="2160" w:right="0" w:hanging="360"/>
        <w:jc w:val="left"/>
        <w:rPr>
          <w:rFonts w:ascii="Calibri" w:hAnsi="Calibri" w:cs="Calibri" w:eastAsia="Calibri" w:hint="default"/>
          <w:sz w:val="20"/>
          <w:szCs w:val="20"/>
        </w:rPr>
      </w:pPr>
      <w:r>
        <w:rPr>
          <w:rFonts w:ascii="Calibri"/>
          <w:sz w:val="20"/>
        </w:rPr>
        <w:t>Attention should be paid to supervisors on the work</w:t>
      </w:r>
      <w:r>
        <w:rPr>
          <w:rFonts w:ascii="Calibri"/>
          <w:spacing w:val="-26"/>
          <w:sz w:val="20"/>
        </w:rPr>
        <w:t> </w:t>
      </w:r>
      <w:r>
        <w:rPr>
          <w:rFonts w:ascii="Calibri"/>
          <w:sz w:val="20"/>
        </w:rPr>
        <w:t>floor</w:t>
      </w:r>
    </w:p>
    <w:p>
      <w:pPr>
        <w:pStyle w:val="ListParagraph"/>
        <w:numPr>
          <w:ilvl w:val="2"/>
          <w:numId w:val="3"/>
        </w:numPr>
        <w:tabs>
          <w:tab w:pos="2161" w:val="left" w:leader="none"/>
        </w:tabs>
        <w:spacing w:line="256" w:lineRule="auto" w:before="16" w:after="0"/>
        <w:ind w:left="2160" w:right="1463" w:hanging="360"/>
        <w:jc w:val="left"/>
        <w:rPr>
          <w:rFonts w:ascii="Calibri" w:hAnsi="Calibri" w:cs="Calibri" w:eastAsia="Calibri" w:hint="default"/>
          <w:sz w:val="20"/>
          <w:szCs w:val="20"/>
        </w:rPr>
      </w:pPr>
      <w:r>
        <w:rPr>
          <w:rFonts w:ascii="Calibri"/>
          <w:sz w:val="20"/>
        </w:rPr>
        <w:t>It is imperative that supervisor skills should include encouragement, motivation, empowerment, problem- solving, and team</w:t>
      </w:r>
      <w:r>
        <w:rPr>
          <w:rFonts w:ascii="Calibri"/>
          <w:spacing w:val="-10"/>
          <w:sz w:val="20"/>
        </w:rPr>
        <w:t> </w:t>
      </w:r>
      <w:r>
        <w:rPr>
          <w:rFonts w:ascii="Calibri"/>
          <w:sz w:val="20"/>
        </w:rPr>
        <w:t>building.</w:t>
      </w:r>
    </w:p>
    <w:p>
      <w:pPr>
        <w:pStyle w:val="BodyText"/>
        <w:spacing w:line="240" w:lineRule="auto" w:before="158"/>
        <w:ind w:right="1435"/>
        <w:jc w:val="both"/>
      </w:pPr>
      <w:r>
        <w:rPr/>
        <w:t>Tourism</w:t>
      </w:r>
      <w:r>
        <w:rPr>
          <w:spacing w:val="-7"/>
        </w:rPr>
        <w:t> </w:t>
      </w:r>
      <w:r>
        <w:rPr/>
        <w:t>has</w:t>
      </w:r>
      <w:r>
        <w:rPr>
          <w:spacing w:val="-7"/>
        </w:rPr>
        <w:t> </w:t>
      </w:r>
      <w:r>
        <w:rPr/>
        <w:t>grown</w:t>
      </w:r>
      <w:r>
        <w:rPr>
          <w:spacing w:val="-7"/>
        </w:rPr>
        <w:t> </w:t>
      </w:r>
      <w:r>
        <w:rPr/>
        <w:t>over</w:t>
      </w:r>
      <w:r>
        <w:rPr>
          <w:spacing w:val="-7"/>
        </w:rPr>
        <w:t> </w:t>
      </w:r>
      <w:r>
        <w:rPr/>
        <w:t>the</w:t>
      </w:r>
      <w:r>
        <w:rPr>
          <w:spacing w:val="-8"/>
        </w:rPr>
        <w:t> </w:t>
      </w:r>
      <w:r>
        <w:rPr/>
        <w:t>last</w:t>
      </w:r>
      <w:r>
        <w:rPr>
          <w:spacing w:val="-6"/>
        </w:rPr>
        <w:t> </w:t>
      </w:r>
      <w:r>
        <w:rPr/>
        <w:t>two</w:t>
      </w:r>
      <w:r>
        <w:rPr>
          <w:spacing w:val="-7"/>
        </w:rPr>
        <w:t> </w:t>
      </w:r>
      <w:r>
        <w:rPr/>
        <w:t>decades</w:t>
      </w:r>
      <w:r>
        <w:rPr>
          <w:spacing w:val="-6"/>
        </w:rPr>
        <w:t> </w:t>
      </w:r>
      <w:r>
        <w:rPr/>
        <w:t>presenting</w:t>
      </w:r>
      <w:r>
        <w:rPr>
          <w:spacing w:val="-7"/>
        </w:rPr>
        <w:t> </w:t>
      </w:r>
      <w:r>
        <w:rPr/>
        <w:t>a</w:t>
      </w:r>
      <w:r>
        <w:rPr>
          <w:spacing w:val="-6"/>
        </w:rPr>
        <w:t> </w:t>
      </w:r>
      <w:r>
        <w:rPr/>
        <w:t>need</w:t>
      </w:r>
      <w:r>
        <w:rPr>
          <w:spacing w:val="-6"/>
        </w:rPr>
        <w:t> </w:t>
      </w:r>
      <w:r>
        <w:rPr/>
        <w:t>for</w:t>
      </w:r>
      <w:r>
        <w:rPr>
          <w:spacing w:val="-5"/>
        </w:rPr>
        <w:t> </w:t>
      </w:r>
      <w:r>
        <w:rPr/>
        <w:t>professional</w:t>
      </w:r>
      <w:r>
        <w:rPr>
          <w:spacing w:val="-6"/>
        </w:rPr>
        <w:t> </w:t>
      </w:r>
      <w:r>
        <w:rPr/>
        <w:t>skills</w:t>
      </w:r>
      <w:r>
        <w:rPr>
          <w:spacing w:val="-8"/>
        </w:rPr>
        <w:t> </w:t>
      </w:r>
      <w:r>
        <w:rPr/>
        <w:t>within</w:t>
      </w:r>
      <w:r>
        <w:rPr>
          <w:spacing w:val="-6"/>
        </w:rPr>
        <w:t> </w:t>
      </w:r>
      <w:r>
        <w:rPr/>
        <w:t>the</w:t>
      </w:r>
      <w:r>
        <w:rPr>
          <w:spacing w:val="-8"/>
        </w:rPr>
        <w:t> </w:t>
      </w:r>
      <w:r>
        <w:rPr/>
        <w:t>industry.</w:t>
      </w:r>
      <w:r>
        <w:rPr>
          <w:spacing w:val="32"/>
        </w:rPr>
        <w:t> </w:t>
      </w:r>
      <w:r>
        <w:rPr/>
        <w:t>However, </w:t>
      </w:r>
      <w:r>
        <w:rPr/>
        <w:t>students at the high learning institutions are not acquiring those skills. The educational institutions seem lacking in providing the required skills and attitudes to move the industry forward. There is a widespread idea that the only career opportunities available in the tourism industry are to become a waiter, a maid, or a bellman. While there is nothing wrong with these jobs, there are plenty more lucrative opportunities for persons to exploit, such as legal experts in tourism, health and safety experts, and experts in management positions </w:t>
      </w:r>
      <w:r>
        <w:rPr>
          <w:rFonts w:ascii="Calibri" w:hAnsi="Calibri" w:cs="Calibri" w:eastAsia="Calibri" w:hint="default"/>
        </w:rPr>
        <w:t>– </w:t>
      </w:r>
      <w:r>
        <w:rPr/>
        <w:t>all of which are available in hotels, restaurants, attractions, and transportation</w:t>
      </w:r>
      <w:r>
        <w:rPr>
          <w:spacing w:val="-20"/>
        </w:rPr>
        <w:t> </w:t>
      </w:r>
      <w:r>
        <w:rPr/>
        <w:t>sectors.</w:t>
      </w:r>
    </w:p>
    <w:p>
      <w:pPr>
        <w:pStyle w:val="Heading2"/>
        <w:spacing w:line="240" w:lineRule="auto" w:before="35"/>
        <w:ind w:right="0"/>
        <w:jc w:val="both"/>
        <w:rPr>
          <w:b w:val="0"/>
          <w:bCs w:val="0"/>
        </w:rPr>
      </w:pPr>
      <w:bookmarkStart w:name="_bookmark81" w:id="82"/>
      <w:bookmarkEnd w:id="82"/>
      <w:r>
        <w:rPr>
          <w:b w:val="0"/>
          <w:bCs w:val="0"/>
        </w:rPr>
      </w:r>
      <w:r>
        <w:rPr/>
        <w:t>The CT</w:t>
      </w:r>
      <w:r>
        <w:rPr>
          <w:rFonts w:ascii="Calibri" w:hAnsi="Calibri" w:cs="Calibri" w:eastAsia="Calibri" w:hint="default"/>
        </w:rPr>
        <w:t>B’s</w:t>
      </w:r>
      <w:r>
        <w:rPr>
          <w:rFonts w:ascii="Calibri" w:hAnsi="Calibri" w:cs="Calibri" w:eastAsia="Calibri" w:hint="default"/>
          <w:spacing w:val="-12"/>
        </w:rPr>
        <w:t> </w:t>
      </w:r>
      <w:r>
        <w:rPr>
          <w:rFonts w:ascii="Calibri" w:hAnsi="Calibri" w:cs="Calibri" w:eastAsia="Calibri" w:hint="default"/>
        </w:rPr>
        <w:t>c</w:t>
      </w:r>
      <w:r>
        <w:rPr/>
        <w:t>onundrum</w:t>
      </w:r>
      <w:r>
        <w:rPr>
          <w:b w:val="0"/>
          <w:bCs w:val="0"/>
        </w:rPr>
      </w:r>
    </w:p>
    <w:p>
      <w:pPr>
        <w:pStyle w:val="BodyText"/>
        <w:spacing w:line="240" w:lineRule="auto" w:before="191"/>
        <w:ind w:right="1441"/>
        <w:jc w:val="both"/>
      </w:pPr>
      <w:r>
        <w:rPr/>
        <w:t>A destination management organization (DMO) is a catalyst and facilitator for the realization of tourism development with the aim of making the destination competitive and sustainable. The CTB organization, structure and organizational culture are assessed through the competitiveness and sustainability lens as required by the competitive</w:t>
      </w:r>
      <w:r>
        <w:rPr>
          <w:spacing w:val="-6"/>
        </w:rPr>
        <w:t> </w:t>
      </w:r>
      <w:r>
        <w:rPr/>
        <w:t>global</w:t>
      </w:r>
      <w:r>
        <w:rPr>
          <w:spacing w:val="-7"/>
        </w:rPr>
        <w:t> </w:t>
      </w:r>
      <w:r>
        <w:rPr/>
        <w:t>environment.</w:t>
      </w:r>
      <w:r>
        <w:rPr>
          <w:spacing w:val="-5"/>
        </w:rPr>
        <w:t> </w:t>
      </w:r>
      <w:r>
        <w:rPr/>
        <w:t>Consequently,</w:t>
      </w:r>
      <w:r>
        <w:rPr>
          <w:spacing w:val="-7"/>
        </w:rPr>
        <w:t> </w:t>
      </w:r>
      <w:r>
        <w:rPr/>
        <w:t>a</w:t>
      </w:r>
      <w:r>
        <w:rPr>
          <w:spacing w:val="-7"/>
        </w:rPr>
        <w:t> </w:t>
      </w:r>
      <w:r>
        <w:rPr/>
        <w:t>DMO</w:t>
      </w:r>
      <w:r>
        <w:rPr>
          <w:spacing w:val="-8"/>
        </w:rPr>
        <w:t> </w:t>
      </w:r>
      <w:r>
        <w:rPr/>
        <w:t>engages</w:t>
      </w:r>
      <w:r>
        <w:rPr>
          <w:spacing w:val="-7"/>
        </w:rPr>
        <w:t> </w:t>
      </w:r>
      <w:r>
        <w:rPr/>
        <w:t>in</w:t>
      </w:r>
      <w:r>
        <w:rPr>
          <w:spacing w:val="-7"/>
        </w:rPr>
        <w:t> </w:t>
      </w:r>
      <w:r>
        <w:rPr/>
        <w:t>two</w:t>
      </w:r>
      <w:r>
        <w:rPr>
          <w:spacing w:val="-5"/>
        </w:rPr>
        <w:t> </w:t>
      </w:r>
      <w:r>
        <w:rPr/>
        <w:t>main</w:t>
      </w:r>
      <w:r>
        <w:rPr>
          <w:spacing w:val="-7"/>
        </w:rPr>
        <w:t> </w:t>
      </w:r>
      <w:r>
        <w:rPr/>
        <w:t>activities,</w:t>
      </w:r>
      <w:r>
        <w:rPr>
          <w:spacing w:val="-7"/>
        </w:rPr>
        <w:t> </w:t>
      </w:r>
      <w:r>
        <w:rPr/>
        <w:t>i.e.,</w:t>
      </w:r>
      <w:r>
        <w:rPr>
          <w:spacing w:val="-7"/>
        </w:rPr>
        <w:t> </w:t>
      </w:r>
      <w:r>
        <w:rPr/>
        <w:t>marketing</w:t>
      </w:r>
      <w:r>
        <w:rPr>
          <w:spacing w:val="-6"/>
        </w:rPr>
        <w:t> </w:t>
      </w:r>
      <w:r>
        <w:rPr/>
        <w:t>(external)</w:t>
      </w:r>
      <w:r>
        <w:rPr>
          <w:spacing w:val="-8"/>
        </w:rPr>
        <w:t> </w:t>
      </w:r>
      <w:r>
        <w:rPr/>
        <w:t>and </w:t>
      </w:r>
      <w:r>
        <w:rPr/>
        <w:t>coordination (internal) activities. The latter references the activities necessary to connect all stakeholders in the supply of the tourism experience.</w:t>
      </w:r>
      <w:r>
        <w:rPr>
          <w:position w:val="5"/>
          <w:sz w:val="12"/>
          <w:szCs w:val="12"/>
        </w:rPr>
        <w:t>41 </w:t>
      </w:r>
      <w:r>
        <w:rPr/>
        <w:t>The assessment is based on extensive conversations with the leadership and </w:t>
      </w:r>
      <w:r>
        <w:rPr/>
        <w:t>staff of the CTB, as well as in the reading of relevant policy documents. The DPITS has observed the CTB staff </w:t>
      </w:r>
      <w:r>
        <w:rPr>
          <w:rFonts w:ascii="Calibri" w:hAnsi="Calibri" w:cs="Calibri" w:eastAsia="Calibri" w:hint="default"/>
        </w:rPr>
        <w:t>members’ commitment, dedication, and passion to see the tourism industry succeed. These observations were </w:t>
      </w:r>
      <w:r>
        <w:rPr/>
        <w:t>made through lengthy conversations and working with staff</w:t>
      </w:r>
      <w:r>
        <w:rPr>
          <w:spacing w:val="-25"/>
        </w:rPr>
        <w:t> </w:t>
      </w:r>
      <w:r>
        <w:rPr/>
        <w:t>members.</w:t>
      </w:r>
    </w:p>
    <w:p>
      <w:pPr>
        <w:pStyle w:val="BodyText"/>
        <w:spacing w:line="240" w:lineRule="auto"/>
        <w:ind w:right="0"/>
        <w:jc w:val="both"/>
      </w:pPr>
      <w:r>
        <w:rPr/>
        <w:t>As an organization, the CTB is faced with three tactical</w:t>
      </w:r>
      <w:r>
        <w:rPr>
          <w:spacing w:val="-22"/>
        </w:rPr>
        <w:t> </w:t>
      </w:r>
      <w:r>
        <w:rPr/>
        <w:t>challenges.</w:t>
      </w:r>
    </w:p>
    <w:p>
      <w:pPr>
        <w:spacing w:line="240" w:lineRule="auto" w:before="11"/>
        <w:ind w:right="0"/>
        <w:rPr>
          <w:rFonts w:ascii="Calibri" w:hAnsi="Calibri" w:cs="Calibri" w:eastAsia="Calibri" w:hint="default"/>
          <w:sz w:val="19"/>
          <w:szCs w:val="19"/>
        </w:rPr>
      </w:pPr>
    </w:p>
    <w:p>
      <w:pPr>
        <w:pStyle w:val="ListParagraph"/>
        <w:numPr>
          <w:ilvl w:val="0"/>
          <w:numId w:val="4"/>
        </w:numPr>
        <w:tabs>
          <w:tab w:pos="2161" w:val="left" w:leader="none"/>
        </w:tabs>
        <w:spacing w:line="240" w:lineRule="auto" w:before="0" w:after="0"/>
        <w:ind w:left="2160" w:right="0" w:hanging="360"/>
        <w:jc w:val="left"/>
        <w:rPr>
          <w:rFonts w:ascii="Calibri" w:hAnsi="Calibri" w:cs="Calibri" w:eastAsia="Calibri" w:hint="default"/>
          <w:sz w:val="20"/>
          <w:szCs w:val="20"/>
        </w:rPr>
      </w:pPr>
      <w:r>
        <w:rPr>
          <w:rFonts w:ascii="Calibri" w:hAnsi="Calibri" w:cs="Calibri" w:eastAsia="Calibri" w:hint="default"/>
          <w:sz w:val="20"/>
          <w:szCs w:val="20"/>
        </w:rPr>
        <w:t>Lack of Curaçao</w:t>
      </w:r>
      <w:r>
        <w:rPr>
          <w:rFonts w:ascii="Calibri" w:hAnsi="Calibri" w:cs="Calibri" w:eastAsia="Calibri" w:hint="default"/>
          <w:sz w:val="20"/>
          <w:szCs w:val="20"/>
        </w:rPr>
        <w:t>’s brand</w:t>
      </w:r>
      <w:r>
        <w:rPr>
          <w:rFonts w:ascii="Calibri" w:hAnsi="Calibri" w:cs="Calibri" w:eastAsia="Calibri" w:hint="default"/>
          <w:spacing w:val="-14"/>
          <w:sz w:val="20"/>
          <w:szCs w:val="20"/>
        </w:rPr>
        <w:t> </w:t>
      </w:r>
      <w:r>
        <w:rPr>
          <w:rFonts w:ascii="Calibri" w:hAnsi="Calibri" w:cs="Calibri" w:eastAsia="Calibri" w:hint="default"/>
          <w:sz w:val="20"/>
          <w:szCs w:val="20"/>
        </w:rPr>
        <w:t>position</w:t>
      </w:r>
    </w:p>
    <w:p>
      <w:pPr>
        <w:pStyle w:val="ListParagraph"/>
        <w:numPr>
          <w:ilvl w:val="0"/>
          <w:numId w:val="4"/>
        </w:numPr>
        <w:tabs>
          <w:tab w:pos="2161" w:val="left" w:leader="none"/>
        </w:tabs>
        <w:spacing w:line="240" w:lineRule="auto" w:before="15" w:after="0"/>
        <w:ind w:left="2160" w:right="0" w:hanging="360"/>
        <w:jc w:val="left"/>
        <w:rPr>
          <w:rFonts w:ascii="Calibri" w:hAnsi="Calibri" w:cs="Calibri" w:eastAsia="Calibri" w:hint="default"/>
          <w:sz w:val="20"/>
          <w:szCs w:val="20"/>
        </w:rPr>
      </w:pPr>
      <w:r>
        <w:rPr>
          <w:rFonts w:ascii="Calibri"/>
          <w:sz w:val="20"/>
        </w:rPr>
        <w:t>Multiple tasks that extend beyond the core activities of a</w:t>
      </w:r>
      <w:r>
        <w:rPr>
          <w:rFonts w:ascii="Calibri"/>
          <w:spacing w:val="-26"/>
          <w:sz w:val="20"/>
        </w:rPr>
        <w:t> </w:t>
      </w:r>
      <w:r>
        <w:rPr>
          <w:rFonts w:ascii="Calibri"/>
          <w:sz w:val="20"/>
        </w:rPr>
        <w:t>DMO</w:t>
      </w:r>
    </w:p>
    <w:p>
      <w:pPr>
        <w:pStyle w:val="ListParagraph"/>
        <w:numPr>
          <w:ilvl w:val="0"/>
          <w:numId w:val="4"/>
        </w:numPr>
        <w:tabs>
          <w:tab w:pos="2161" w:val="left" w:leader="none"/>
        </w:tabs>
        <w:spacing w:line="240" w:lineRule="auto" w:before="17" w:after="0"/>
        <w:ind w:left="2160" w:right="0" w:hanging="360"/>
        <w:jc w:val="left"/>
        <w:rPr>
          <w:rFonts w:ascii="Calibri" w:hAnsi="Calibri" w:cs="Calibri" w:eastAsia="Calibri" w:hint="default"/>
          <w:sz w:val="20"/>
          <w:szCs w:val="20"/>
        </w:rPr>
      </w:pPr>
      <w:r>
        <w:rPr>
          <w:rFonts w:ascii="Calibri" w:hAnsi="Calibri" w:cs="Calibri" w:eastAsia="Calibri" w:hint="default"/>
          <w:sz w:val="20"/>
          <w:szCs w:val="20"/>
        </w:rPr>
        <w:t>Lack of sufficient financial resources to carry out a DMO’s primary</w:t>
      </w:r>
      <w:r>
        <w:rPr>
          <w:rFonts w:ascii="Calibri" w:hAnsi="Calibri" w:cs="Calibri" w:eastAsia="Calibri" w:hint="default"/>
          <w:spacing w:val="-26"/>
          <w:sz w:val="20"/>
          <w:szCs w:val="20"/>
        </w:rPr>
        <w:t> </w:t>
      </w:r>
      <w:r>
        <w:rPr>
          <w:rFonts w:ascii="Calibri" w:hAnsi="Calibri" w:cs="Calibri" w:eastAsia="Calibri" w:hint="default"/>
          <w:sz w:val="20"/>
          <w:szCs w:val="20"/>
        </w:rPr>
        <w:t>tasks</w:t>
      </w:r>
    </w:p>
    <w:p>
      <w:pPr>
        <w:pStyle w:val="BodyText"/>
        <w:spacing w:line="240" w:lineRule="auto" w:before="176"/>
        <w:ind w:right="1438"/>
        <w:jc w:val="both"/>
      </w:pPr>
      <w:r>
        <w:rPr/>
        <w:t>The first challenge is that the CTB has not been able to portray a clear product identity for the destination in the international market. For quite some time the destination does not seem to enjoy a clear brand position, therefore affecting the optimal return of the tourism industry.</w:t>
      </w:r>
      <w:r>
        <w:rPr>
          <w:position w:val="5"/>
          <w:sz w:val="12"/>
          <w:szCs w:val="12"/>
        </w:rPr>
        <w:t>42 </w:t>
      </w:r>
      <w:r>
        <w:rPr/>
        <w:t>For example, the 2014 CTB business plan reveals some </w:t>
      </w:r>
      <w:r>
        <w:rPr/>
      </w:r>
      <w:r>
        <w:rPr>
          <w:rFonts w:ascii="Calibri" w:hAnsi="Calibri" w:cs="Calibri" w:eastAsia="Calibri" w:hint="default"/>
        </w:rPr>
        <w:t>interesting</w:t>
      </w:r>
      <w:r>
        <w:rPr>
          <w:rFonts w:ascii="Calibri" w:hAnsi="Calibri" w:cs="Calibri" w:eastAsia="Calibri" w:hint="default"/>
          <w:spacing w:val="-5"/>
        </w:rPr>
        <w:t> </w:t>
      </w:r>
      <w:r>
        <w:rPr>
          <w:rFonts w:ascii="Calibri" w:hAnsi="Calibri" w:cs="Calibri" w:eastAsia="Calibri" w:hint="default"/>
        </w:rPr>
        <w:t>notions</w:t>
      </w:r>
      <w:r>
        <w:rPr>
          <w:rFonts w:ascii="Calibri" w:hAnsi="Calibri" w:cs="Calibri" w:eastAsia="Calibri" w:hint="default"/>
          <w:spacing w:val="-8"/>
        </w:rPr>
        <w:t> </w:t>
      </w:r>
      <w:r>
        <w:rPr>
          <w:rFonts w:ascii="Calibri" w:hAnsi="Calibri" w:cs="Calibri" w:eastAsia="Calibri" w:hint="default"/>
        </w:rPr>
        <w:t>regarding</w:t>
      </w:r>
      <w:r>
        <w:rPr>
          <w:rFonts w:ascii="Calibri" w:hAnsi="Calibri" w:cs="Calibri" w:eastAsia="Calibri" w:hint="default"/>
          <w:spacing w:val="-5"/>
        </w:rPr>
        <w:t> </w:t>
      </w:r>
      <w:r>
        <w:rPr>
          <w:rFonts w:ascii="Calibri" w:hAnsi="Calibri" w:cs="Calibri" w:eastAsia="Calibri" w:hint="default"/>
        </w:rPr>
        <w:t>the</w:t>
      </w:r>
      <w:r>
        <w:rPr>
          <w:rFonts w:ascii="Calibri" w:hAnsi="Calibri" w:cs="Calibri" w:eastAsia="Calibri" w:hint="default"/>
          <w:spacing w:val="-8"/>
        </w:rPr>
        <w:t> </w:t>
      </w:r>
      <w:r>
        <w:rPr>
          <w:rFonts w:ascii="Calibri" w:hAnsi="Calibri" w:cs="Calibri" w:eastAsia="Calibri" w:hint="default"/>
        </w:rPr>
        <w:t>acquisition</w:t>
      </w:r>
      <w:r>
        <w:rPr>
          <w:rFonts w:ascii="Calibri" w:hAnsi="Calibri" w:cs="Calibri" w:eastAsia="Calibri" w:hint="default"/>
          <w:spacing w:val="-6"/>
        </w:rPr>
        <w:t> </w:t>
      </w:r>
      <w:r>
        <w:rPr>
          <w:rFonts w:ascii="Calibri" w:hAnsi="Calibri" w:cs="Calibri" w:eastAsia="Calibri" w:hint="default"/>
        </w:rPr>
        <w:t>of</w:t>
      </w:r>
      <w:r>
        <w:rPr>
          <w:rFonts w:ascii="Calibri" w:hAnsi="Calibri" w:cs="Calibri" w:eastAsia="Calibri" w:hint="default"/>
          <w:spacing w:val="-8"/>
        </w:rPr>
        <w:t> </w:t>
      </w:r>
      <w:r>
        <w:rPr>
          <w:rFonts w:ascii="Calibri" w:hAnsi="Calibri" w:cs="Calibri" w:eastAsia="Calibri" w:hint="default"/>
        </w:rPr>
        <w:t>a</w:t>
      </w:r>
      <w:r>
        <w:rPr>
          <w:rFonts w:ascii="Calibri" w:hAnsi="Calibri" w:cs="Calibri" w:eastAsia="Calibri" w:hint="default"/>
          <w:spacing w:val="-6"/>
        </w:rPr>
        <w:t> </w:t>
      </w:r>
      <w:r>
        <w:rPr>
          <w:rFonts w:ascii="Calibri" w:hAnsi="Calibri" w:cs="Calibri" w:eastAsia="Calibri" w:hint="default"/>
        </w:rPr>
        <w:t>new</w:t>
      </w:r>
      <w:r>
        <w:rPr>
          <w:rFonts w:ascii="Calibri" w:hAnsi="Calibri" w:cs="Calibri" w:eastAsia="Calibri" w:hint="default"/>
          <w:spacing w:val="-5"/>
        </w:rPr>
        <w:t> </w:t>
      </w:r>
      <w:r>
        <w:rPr>
          <w:rFonts w:ascii="Calibri" w:hAnsi="Calibri" w:cs="Calibri" w:eastAsia="Calibri" w:hint="default"/>
        </w:rPr>
        <w:t>market</w:t>
      </w:r>
      <w:r>
        <w:rPr>
          <w:rFonts w:ascii="Calibri" w:hAnsi="Calibri" w:cs="Calibri" w:eastAsia="Calibri" w:hint="default"/>
          <w:spacing w:val="-6"/>
        </w:rPr>
        <w:t> </w:t>
      </w:r>
      <w:r>
        <w:rPr>
          <w:rFonts w:ascii="Calibri" w:hAnsi="Calibri" w:cs="Calibri" w:eastAsia="Calibri" w:hint="default"/>
        </w:rPr>
        <w:t>segment</w:t>
      </w:r>
      <w:r>
        <w:rPr>
          <w:rFonts w:ascii="Calibri" w:hAnsi="Calibri" w:cs="Calibri" w:eastAsia="Calibri" w:hint="default"/>
          <w:spacing w:val="-6"/>
        </w:rPr>
        <w:t> </w:t>
      </w:r>
      <w:r>
        <w:rPr>
          <w:rFonts w:ascii="Calibri" w:hAnsi="Calibri" w:cs="Calibri" w:eastAsia="Calibri" w:hint="default"/>
        </w:rPr>
        <w:t>that</w:t>
      </w:r>
      <w:r>
        <w:rPr>
          <w:rFonts w:ascii="Calibri" w:hAnsi="Calibri" w:cs="Calibri" w:eastAsia="Calibri" w:hint="default"/>
          <w:spacing w:val="-4"/>
        </w:rPr>
        <w:t> </w:t>
      </w:r>
      <w:r>
        <w:rPr>
          <w:rFonts w:ascii="Calibri" w:hAnsi="Calibri" w:cs="Calibri" w:eastAsia="Calibri" w:hint="default"/>
        </w:rPr>
        <w:t>may</w:t>
      </w:r>
      <w:r>
        <w:rPr>
          <w:rFonts w:ascii="Calibri" w:hAnsi="Calibri" w:cs="Calibri" w:eastAsia="Calibri" w:hint="default"/>
          <w:spacing w:val="-5"/>
        </w:rPr>
        <w:t> </w:t>
      </w:r>
      <w:r>
        <w:rPr>
          <w:rFonts w:ascii="Calibri" w:hAnsi="Calibri" w:cs="Calibri" w:eastAsia="Calibri" w:hint="default"/>
        </w:rPr>
        <w:t>enhance</w:t>
      </w:r>
      <w:r>
        <w:rPr>
          <w:rFonts w:ascii="Calibri" w:hAnsi="Calibri" w:cs="Calibri" w:eastAsia="Calibri" w:hint="default"/>
          <w:spacing w:val="-5"/>
        </w:rPr>
        <w:t> </w:t>
      </w:r>
      <w:r>
        <w:rPr>
          <w:rFonts w:ascii="Calibri" w:hAnsi="Calibri" w:cs="Calibri" w:eastAsia="Calibri" w:hint="default"/>
        </w:rPr>
        <w:t>the</w:t>
      </w:r>
      <w:r>
        <w:rPr>
          <w:rFonts w:ascii="Calibri" w:hAnsi="Calibri" w:cs="Calibri" w:eastAsia="Calibri" w:hint="default"/>
          <w:spacing w:val="-8"/>
        </w:rPr>
        <w:t> </w:t>
      </w:r>
      <w:r>
        <w:rPr>
          <w:rFonts w:ascii="Calibri" w:hAnsi="Calibri" w:cs="Calibri" w:eastAsia="Calibri" w:hint="default"/>
        </w:rPr>
        <w:t>destination’s</w:t>
      </w:r>
      <w:r>
        <w:rPr>
          <w:rFonts w:ascii="Calibri" w:hAnsi="Calibri" w:cs="Calibri" w:eastAsia="Calibri" w:hint="default"/>
          <w:spacing w:val="-6"/>
        </w:rPr>
        <w:t> </w:t>
      </w:r>
      <w:r>
        <w:rPr>
          <w:rFonts w:ascii="Calibri" w:hAnsi="Calibri" w:cs="Calibri" w:eastAsia="Calibri" w:hint="default"/>
        </w:rPr>
        <w:t>demand. </w:t>
      </w:r>
      <w:r>
        <w:rPr>
          <w:rFonts w:ascii="Calibri" w:hAnsi="Calibri" w:cs="Calibri" w:eastAsia="Calibri" w:hint="default"/>
        </w:rPr>
        <w:t>This new segment is referenced as the ‘cultural explorer’.</w:t>
      </w:r>
      <w:r>
        <w:rPr>
          <w:position w:val="5"/>
          <w:sz w:val="12"/>
          <w:szCs w:val="12"/>
        </w:rPr>
        <w:t>43 </w:t>
      </w:r>
      <w:r>
        <w:rPr/>
        <w:t>While the notion to procure this market segment is </w:t>
      </w:r>
      <w:r>
        <w:rPr/>
        <w:t>interesting, not all of the unit actions are directly related to the objectives of the CTB. In other words, not all of</w:t>
      </w:r>
      <w:r>
        <w:rPr>
          <w:spacing w:val="9"/>
        </w:rPr>
        <w:t> </w:t>
      </w:r>
      <w:r>
        <w:rPr/>
        <w:t>the</w:t>
      </w:r>
    </w:p>
    <w:p>
      <w:pPr>
        <w:spacing w:line="240" w:lineRule="auto" w:before="3" w:after="0"/>
        <w:ind w:right="0"/>
        <w:rPr>
          <w:rFonts w:ascii="Calibri" w:hAnsi="Calibri" w:cs="Calibri" w:eastAsia="Calibri" w:hint="default"/>
          <w:sz w:val="20"/>
          <w:szCs w:val="20"/>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line="242" w:lineRule="auto" w:before="89"/>
        <w:ind w:left="1440" w:right="1589" w:firstLine="0"/>
        <w:jc w:val="left"/>
        <w:rPr>
          <w:rFonts w:ascii="Calibri" w:hAnsi="Calibri" w:cs="Calibri" w:eastAsia="Calibri" w:hint="default"/>
          <w:sz w:val="16"/>
          <w:szCs w:val="16"/>
        </w:rPr>
      </w:pPr>
      <w:r>
        <w:rPr>
          <w:rFonts w:ascii="Calibri"/>
          <w:position w:val="5"/>
          <w:sz w:val="12"/>
        </w:rPr>
        <w:t>41 </w:t>
      </w:r>
      <w:r>
        <w:rPr>
          <w:rFonts w:ascii="Calibri"/>
          <w:sz w:val="16"/>
        </w:rPr>
        <w:t>For a discussion on the challenges facing small destinations in this regard, see Croes, R. (2011). The Small Island Paradox. Tourism </w:t>
      </w:r>
      <w:r>
        <w:rPr>
          <w:rFonts w:ascii="Calibri"/>
          <w:sz w:val="16"/>
        </w:rPr>
        <w:t>Specialization as a Potential Solution, Lambert Academic Publishing: Saarbrucken, German; and Candela, G., Figini, P. and Scorcu, A. E. (2008). The Economics of Local Tourist Systems, in R. Brau, A. Lanza, and S. Usai (eds.), Tourism and Sustainable Economic Development: Macroeconomic Models and Empirical Methods, Cheltenham: Edward</w:t>
      </w:r>
      <w:r>
        <w:rPr>
          <w:rFonts w:ascii="Calibri"/>
          <w:spacing w:val="-25"/>
          <w:sz w:val="16"/>
        </w:rPr>
        <w:t> </w:t>
      </w:r>
      <w:r>
        <w:rPr>
          <w:rFonts w:ascii="Calibri"/>
          <w:sz w:val="16"/>
        </w:rPr>
        <w:t>Elgar.</w:t>
      </w:r>
    </w:p>
    <w:p>
      <w:pPr>
        <w:spacing w:line="247" w:lineRule="auto" w:before="4"/>
        <w:ind w:left="1440" w:right="1686" w:firstLine="0"/>
        <w:jc w:val="left"/>
        <w:rPr>
          <w:rFonts w:ascii="Calibri" w:hAnsi="Calibri" w:cs="Calibri" w:eastAsia="Calibri" w:hint="default"/>
          <w:sz w:val="16"/>
          <w:szCs w:val="16"/>
        </w:rPr>
      </w:pPr>
      <w:r>
        <w:rPr>
          <w:rFonts w:ascii="Calibri"/>
          <w:position w:val="5"/>
          <w:sz w:val="12"/>
        </w:rPr>
        <w:t>42 </w:t>
      </w:r>
      <w:r>
        <w:rPr>
          <w:rFonts w:ascii="Calibri"/>
          <w:sz w:val="16"/>
        </w:rPr>
        <w:t>The lack of product identity was referenced in many conversations with stakeholders including the meeting with Parliament in December, </w:t>
      </w:r>
      <w:r>
        <w:rPr>
          <w:rFonts w:ascii="Calibri"/>
          <w:sz w:val="16"/>
        </w:rPr>
        <w:t>2014.</w:t>
      </w:r>
    </w:p>
    <w:p>
      <w:pPr>
        <w:spacing w:line="242" w:lineRule="auto" w:before="0"/>
        <w:ind w:left="1440" w:right="1510" w:firstLine="0"/>
        <w:jc w:val="left"/>
        <w:rPr>
          <w:rFonts w:ascii="Calibri" w:hAnsi="Calibri" w:cs="Calibri" w:eastAsia="Calibri" w:hint="default"/>
          <w:sz w:val="16"/>
          <w:szCs w:val="16"/>
        </w:rPr>
      </w:pPr>
      <w:r>
        <w:rPr>
          <w:rFonts w:ascii="Calibri" w:hAnsi="Calibri" w:cs="Calibri" w:eastAsia="Calibri" w:hint="default"/>
          <w:position w:val="5"/>
          <w:sz w:val="12"/>
          <w:szCs w:val="12"/>
        </w:rPr>
        <w:t>43 </w:t>
      </w:r>
      <w:r>
        <w:rPr>
          <w:rFonts w:ascii="Calibri" w:hAnsi="Calibri" w:cs="Calibri" w:eastAsia="Calibri" w:hint="default"/>
          <w:sz w:val="16"/>
          <w:szCs w:val="16"/>
        </w:rPr>
        <w:t>The analysis of the ‘cultural explorer’ is based on </w:t>
      </w:r>
      <w:r>
        <w:rPr>
          <w:rFonts w:ascii="Calibri" w:hAnsi="Calibri" w:cs="Calibri" w:eastAsia="Calibri" w:hint="default"/>
          <w:sz w:val="16"/>
          <w:szCs w:val="16"/>
        </w:rPr>
        <w:t>the definition drawn from the framework suggested by McKercher and du Cros (2003), Testing a Cultural To</w:t>
      </w:r>
      <w:r>
        <w:rPr>
          <w:rFonts w:ascii="Calibri" w:hAnsi="Calibri" w:cs="Calibri" w:eastAsia="Calibri" w:hint="default"/>
          <w:sz w:val="16"/>
          <w:szCs w:val="16"/>
        </w:rPr>
        <w:t>urism Typology. The use of the term cultural explorer has a recognized definition. Therefore, when we reviewed the CTB’s </w:t>
      </w:r>
      <w:r>
        <w:rPr>
          <w:rFonts w:ascii="Calibri" w:hAnsi="Calibri" w:cs="Calibri" w:eastAsia="Calibri" w:hint="default"/>
          <w:sz w:val="16"/>
          <w:szCs w:val="16"/>
        </w:rPr>
        <w:t>efforts to acquire this market segment there seemed to be some disconnect based on the formal definition. However, we now know that the CTB is functioning from their own definition of this term which combines several different forms of market segments. Nevertheless, the </w:t>
      </w:r>
      <w:r>
        <w:rPr>
          <w:rFonts w:ascii="Calibri" w:hAnsi="Calibri" w:cs="Calibri" w:eastAsia="Calibri" w:hint="default"/>
          <w:sz w:val="16"/>
          <w:szCs w:val="16"/>
        </w:rPr>
        <w:t>concern</w:t>
      </w:r>
      <w:r>
        <w:rPr>
          <w:rFonts w:ascii="Calibri" w:hAnsi="Calibri" w:cs="Calibri" w:eastAsia="Calibri" w:hint="default"/>
          <w:spacing w:val="-3"/>
          <w:sz w:val="16"/>
          <w:szCs w:val="16"/>
        </w:rPr>
        <w:t> </w:t>
      </w:r>
      <w:r>
        <w:rPr>
          <w:rFonts w:ascii="Calibri" w:hAnsi="Calibri" w:cs="Calibri" w:eastAsia="Calibri" w:hint="default"/>
          <w:sz w:val="16"/>
          <w:szCs w:val="16"/>
        </w:rPr>
        <w:t>in</w:t>
      </w:r>
      <w:r>
        <w:rPr>
          <w:rFonts w:ascii="Calibri" w:hAnsi="Calibri" w:cs="Calibri" w:eastAsia="Calibri" w:hint="default"/>
          <w:spacing w:val="-1"/>
          <w:sz w:val="16"/>
          <w:szCs w:val="16"/>
        </w:rPr>
        <w:t> </w:t>
      </w:r>
      <w:r>
        <w:rPr>
          <w:rFonts w:ascii="Calibri" w:hAnsi="Calibri" w:cs="Calibri" w:eastAsia="Calibri" w:hint="default"/>
          <w:sz w:val="16"/>
          <w:szCs w:val="16"/>
        </w:rPr>
        <w:t>deviating</w:t>
      </w:r>
      <w:r>
        <w:rPr>
          <w:rFonts w:ascii="Calibri" w:hAnsi="Calibri" w:cs="Calibri" w:eastAsia="Calibri" w:hint="default"/>
          <w:spacing w:val="-2"/>
          <w:sz w:val="16"/>
          <w:szCs w:val="16"/>
        </w:rPr>
        <w:t> </w:t>
      </w:r>
      <w:r>
        <w:rPr>
          <w:rFonts w:ascii="Calibri" w:hAnsi="Calibri" w:cs="Calibri" w:eastAsia="Calibri" w:hint="default"/>
          <w:sz w:val="16"/>
          <w:szCs w:val="16"/>
        </w:rPr>
        <w:t>from</w:t>
      </w:r>
      <w:r>
        <w:rPr>
          <w:rFonts w:ascii="Calibri" w:hAnsi="Calibri" w:cs="Calibri" w:eastAsia="Calibri" w:hint="default"/>
          <w:spacing w:val="-1"/>
          <w:sz w:val="16"/>
          <w:szCs w:val="16"/>
        </w:rPr>
        <w:t> </w:t>
      </w:r>
      <w:r>
        <w:rPr>
          <w:rFonts w:ascii="Calibri" w:hAnsi="Calibri" w:cs="Calibri" w:eastAsia="Calibri" w:hint="default"/>
          <w:sz w:val="16"/>
          <w:szCs w:val="16"/>
        </w:rPr>
        <w:t>the</w:t>
      </w:r>
      <w:r>
        <w:rPr>
          <w:rFonts w:ascii="Calibri" w:hAnsi="Calibri" w:cs="Calibri" w:eastAsia="Calibri" w:hint="default"/>
          <w:spacing w:val="-4"/>
          <w:sz w:val="16"/>
          <w:szCs w:val="16"/>
        </w:rPr>
        <w:t> </w:t>
      </w:r>
      <w:r>
        <w:rPr>
          <w:rFonts w:ascii="Calibri" w:hAnsi="Calibri" w:cs="Calibri" w:eastAsia="Calibri" w:hint="default"/>
          <w:sz w:val="16"/>
          <w:szCs w:val="16"/>
        </w:rPr>
        <w:t>formal</w:t>
      </w:r>
      <w:r>
        <w:rPr>
          <w:rFonts w:ascii="Calibri" w:hAnsi="Calibri" w:cs="Calibri" w:eastAsia="Calibri" w:hint="default"/>
          <w:spacing w:val="-4"/>
          <w:sz w:val="16"/>
          <w:szCs w:val="16"/>
        </w:rPr>
        <w:t> </w:t>
      </w:r>
      <w:r>
        <w:rPr>
          <w:rFonts w:ascii="Calibri" w:hAnsi="Calibri" w:cs="Calibri" w:eastAsia="Calibri" w:hint="default"/>
          <w:sz w:val="16"/>
          <w:szCs w:val="16"/>
        </w:rPr>
        <w:t>definition</w:t>
      </w:r>
      <w:r>
        <w:rPr>
          <w:rFonts w:ascii="Calibri" w:hAnsi="Calibri" w:cs="Calibri" w:eastAsia="Calibri" w:hint="default"/>
          <w:spacing w:val="-3"/>
          <w:sz w:val="16"/>
          <w:szCs w:val="16"/>
        </w:rPr>
        <w:t> </w:t>
      </w:r>
      <w:r>
        <w:rPr>
          <w:rFonts w:ascii="Calibri" w:hAnsi="Calibri" w:cs="Calibri" w:eastAsia="Calibri" w:hint="default"/>
          <w:sz w:val="16"/>
          <w:szCs w:val="16"/>
        </w:rPr>
        <w:t>is</w:t>
      </w:r>
      <w:r>
        <w:rPr>
          <w:rFonts w:ascii="Calibri" w:hAnsi="Calibri" w:cs="Calibri" w:eastAsia="Calibri" w:hint="default"/>
          <w:spacing w:val="-1"/>
          <w:sz w:val="16"/>
          <w:szCs w:val="16"/>
        </w:rPr>
        <w:t> </w:t>
      </w:r>
      <w:r>
        <w:rPr>
          <w:rFonts w:ascii="Calibri" w:hAnsi="Calibri" w:cs="Calibri" w:eastAsia="Calibri" w:hint="default"/>
          <w:sz w:val="16"/>
          <w:szCs w:val="16"/>
        </w:rPr>
        <w:t>that</w:t>
      </w:r>
      <w:r>
        <w:rPr>
          <w:rFonts w:ascii="Calibri" w:hAnsi="Calibri" w:cs="Calibri" w:eastAsia="Calibri" w:hint="default"/>
          <w:spacing w:val="-2"/>
          <w:sz w:val="16"/>
          <w:szCs w:val="16"/>
        </w:rPr>
        <w:t> </w:t>
      </w:r>
      <w:r>
        <w:rPr>
          <w:rFonts w:ascii="Calibri" w:hAnsi="Calibri" w:cs="Calibri" w:eastAsia="Calibri" w:hint="default"/>
          <w:sz w:val="16"/>
          <w:szCs w:val="16"/>
        </w:rPr>
        <w:t>it</w:t>
      </w:r>
      <w:r>
        <w:rPr>
          <w:rFonts w:ascii="Calibri" w:hAnsi="Calibri" w:cs="Calibri" w:eastAsia="Calibri" w:hint="default"/>
          <w:spacing w:val="-3"/>
          <w:sz w:val="16"/>
          <w:szCs w:val="16"/>
        </w:rPr>
        <w:t> </w:t>
      </w:r>
      <w:r>
        <w:rPr>
          <w:rFonts w:ascii="Calibri" w:hAnsi="Calibri" w:cs="Calibri" w:eastAsia="Calibri" w:hint="default"/>
          <w:sz w:val="16"/>
          <w:szCs w:val="16"/>
        </w:rPr>
        <w:t>allows</w:t>
      </w:r>
      <w:r>
        <w:rPr>
          <w:rFonts w:ascii="Calibri" w:hAnsi="Calibri" w:cs="Calibri" w:eastAsia="Calibri" w:hint="default"/>
          <w:spacing w:val="-3"/>
          <w:sz w:val="16"/>
          <w:szCs w:val="16"/>
        </w:rPr>
        <w:t> </w:t>
      </w:r>
      <w:r>
        <w:rPr>
          <w:rFonts w:ascii="Calibri" w:hAnsi="Calibri" w:cs="Calibri" w:eastAsia="Calibri" w:hint="default"/>
          <w:sz w:val="16"/>
          <w:szCs w:val="16"/>
        </w:rPr>
        <w:t>for</w:t>
      </w:r>
      <w:r>
        <w:rPr>
          <w:rFonts w:ascii="Calibri" w:hAnsi="Calibri" w:cs="Calibri" w:eastAsia="Calibri" w:hint="default"/>
          <w:spacing w:val="-3"/>
          <w:sz w:val="16"/>
          <w:szCs w:val="16"/>
        </w:rPr>
        <w:t> </w:t>
      </w:r>
      <w:r>
        <w:rPr>
          <w:rFonts w:ascii="Calibri" w:hAnsi="Calibri" w:cs="Calibri" w:eastAsia="Calibri" w:hint="default"/>
          <w:sz w:val="16"/>
          <w:szCs w:val="16"/>
        </w:rPr>
        <w:t>a</w:t>
      </w:r>
      <w:r>
        <w:rPr>
          <w:rFonts w:ascii="Calibri" w:hAnsi="Calibri" w:cs="Calibri" w:eastAsia="Calibri" w:hint="default"/>
          <w:spacing w:val="-3"/>
          <w:sz w:val="16"/>
          <w:szCs w:val="16"/>
        </w:rPr>
        <w:t> </w:t>
      </w:r>
      <w:r>
        <w:rPr>
          <w:rFonts w:ascii="Calibri" w:hAnsi="Calibri" w:cs="Calibri" w:eastAsia="Calibri" w:hint="default"/>
          <w:sz w:val="16"/>
          <w:szCs w:val="16"/>
        </w:rPr>
        <w:t>subjective</w:t>
      </w:r>
      <w:r>
        <w:rPr>
          <w:rFonts w:ascii="Calibri" w:hAnsi="Calibri" w:cs="Calibri" w:eastAsia="Calibri" w:hint="default"/>
          <w:spacing w:val="-3"/>
          <w:sz w:val="16"/>
          <w:szCs w:val="16"/>
        </w:rPr>
        <w:t> </w:t>
      </w:r>
      <w:r>
        <w:rPr>
          <w:rFonts w:ascii="Calibri" w:hAnsi="Calibri" w:cs="Calibri" w:eastAsia="Calibri" w:hint="default"/>
          <w:sz w:val="16"/>
          <w:szCs w:val="16"/>
        </w:rPr>
        <w:t>interpretation</w:t>
      </w:r>
      <w:r>
        <w:rPr>
          <w:rFonts w:ascii="Calibri" w:hAnsi="Calibri" w:cs="Calibri" w:eastAsia="Calibri" w:hint="default"/>
          <w:spacing w:val="-3"/>
          <w:sz w:val="16"/>
          <w:szCs w:val="16"/>
        </w:rPr>
        <w:t> </w:t>
      </w:r>
      <w:r>
        <w:rPr>
          <w:rFonts w:ascii="Calibri" w:hAnsi="Calibri" w:cs="Calibri" w:eastAsia="Calibri" w:hint="default"/>
          <w:sz w:val="16"/>
          <w:szCs w:val="16"/>
        </w:rPr>
        <w:t>of</w:t>
      </w:r>
      <w:r>
        <w:rPr>
          <w:rFonts w:ascii="Calibri" w:hAnsi="Calibri" w:cs="Calibri" w:eastAsia="Calibri" w:hint="default"/>
          <w:spacing w:val="-3"/>
          <w:sz w:val="16"/>
          <w:szCs w:val="16"/>
        </w:rPr>
        <w:t> </w:t>
      </w:r>
      <w:r>
        <w:rPr>
          <w:rFonts w:ascii="Calibri" w:hAnsi="Calibri" w:cs="Calibri" w:eastAsia="Calibri" w:hint="default"/>
          <w:sz w:val="16"/>
          <w:szCs w:val="16"/>
        </w:rPr>
        <w:t>“who”</w:t>
      </w:r>
      <w:r>
        <w:rPr>
          <w:rFonts w:ascii="Calibri" w:hAnsi="Calibri" w:cs="Calibri" w:eastAsia="Calibri" w:hint="default"/>
          <w:spacing w:val="-2"/>
          <w:sz w:val="16"/>
          <w:szCs w:val="16"/>
        </w:rPr>
        <w:t> </w:t>
      </w:r>
      <w:r>
        <w:rPr>
          <w:rFonts w:ascii="Calibri" w:hAnsi="Calibri" w:cs="Calibri" w:eastAsia="Calibri" w:hint="default"/>
          <w:sz w:val="16"/>
          <w:szCs w:val="16"/>
        </w:rPr>
        <w:t>the</w:t>
      </w:r>
      <w:r>
        <w:rPr>
          <w:rFonts w:ascii="Calibri" w:hAnsi="Calibri" w:cs="Calibri" w:eastAsia="Calibri" w:hint="default"/>
          <w:spacing w:val="-3"/>
          <w:sz w:val="16"/>
          <w:szCs w:val="16"/>
        </w:rPr>
        <w:t> </w:t>
      </w:r>
      <w:r>
        <w:rPr>
          <w:rFonts w:ascii="Calibri" w:hAnsi="Calibri" w:cs="Calibri" w:eastAsia="Calibri" w:hint="default"/>
          <w:sz w:val="16"/>
          <w:szCs w:val="16"/>
        </w:rPr>
        <w:t>actual</w:t>
      </w:r>
      <w:r>
        <w:rPr>
          <w:rFonts w:ascii="Calibri" w:hAnsi="Calibri" w:cs="Calibri" w:eastAsia="Calibri" w:hint="default"/>
          <w:spacing w:val="1"/>
          <w:sz w:val="16"/>
          <w:szCs w:val="16"/>
        </w:rPr>
        <w:t> </w:t>
      </w:r>
      <w:r>
        <w:rPr>
          <w:rFonts w:ascii="Calibri" w:hAnsi="Calibri" w:cs="Calibri" w:eastAsia="Calibri" w:hint="default"/>
          <w:sz w:val="16"/>
          <w:szCs w:val="16"/>
        </w:rPr>
        <w:t>cultural</w:t>
      </w:r>
      <w:r>
        <w:rPr>
          <w:rFonts w:ascii="Calibri" w:hAnsi="Calibri" w:cs="Calibri" w:eastAsia="Calibri" w:hint="default"/>
          <w:spacing w:val="-3"/>
          <w:sz w:val="16"/>
          <w:szCs w:val="16"/>
        </w:rPr>
        <w:t> </w:t>
      </w:r>
      <w:r>
        <w:rPr>
          <w:rFonts w:ascii="Calibri" w:hAnsi="Calibri" w:cs="Calibri" w:eastAsia="Calibri" w:hint="default"/>
          <w:sz w:val="16"/>
          <w:szCs w:val="16"/>
        </w:rPr>
        <w:t>explorers</w:t>
      </w:r>
      <w:r>
        <w:rPr>
          <w:rFonts w:ascii="Calibri" w:hAnsi="Calibri" w:cs="Calibri" w:eastAsia="Calibri" w:hint="default"/>
          <w:spacing w:val="-3"/>
          <w:sz w:val="16"/>
          <w:szCs w:val="16"/>
        </w:rPr>
        <w:t> </w:t>
      </w:r>
      <w:r>
        <w:rPr>
          <w:rFonts w:ascii="Calibri" w:hAnsi="Calibri" w:cs="Calibri" w:eastAsia="Calibri" w:hint="default"/>
          <w:sz w:val="16"/>
          <w:szCs w:val="16"/>
        </w:rPr>
        <w:t>may</w:t>
      </w:r>
      <w:r>
        <w:rPr>
          <w:rFonts w:ascii="Calibri" w:hAnsi="Calibri" w:cs="Calibri" w:eastAsia="Calibri" w:hint="default"/>
          <w:spacing w:val="-3"/>
          <w:sz w:val="16"/>
          <w:szCs w:val="16"/>
        </w:rPr>
        <w:t> </w:t>
      </w:r>
      <w:r>
        <w:rPr>
          <w:rFonts w:ascii="Calibri" w:hAnsi="Calibri" w:cs="Calibri" w:eastAsia="Calibri" w:hint="default"/>
          <w:sz w:val="16"/>
          <w:szCs w:val="16"/>
        </w:rPr>
        <w:t>be.</w:t>
      </w:r>
    </w:p>
    <w:p>
      <w:pPr>
        <w:spacing w:after="0" w:line="242" w:lineRule="auto"/>
        <w:jc w:val="left"/>
        <w:rPr>
          <w:rFonts w:ascii="Calibri" w:hAnsi="Calibri" w:cs="Calibri" w:eastAsia="Calibri" w:hint="default"/>
          <w:sz w:val="16"/>
          <w:szCs w:val="16"/>
        </w:rPr>
        <w:sectPr>
          <w:footerReference w:type="default" r:id="rId43"/>
          <w:pgSz w:w="12240" w:h="15840"/>
          <w:pgMar w:footer="533" w:header="0" w:top="840" w:bottom="720" w:left="0" w:right="0"/>
          <w:pgNumType w:start="41"/>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51"/>
        <w:jc w:val="both"/>
      </w:pPr>
      <w:r>
        <w:rPr/>
        <w:t>marketing strategies and actions are aligned with the overall aim to procure and nurture the cultural explorer segment.</w:t>
      </w:r>
    </w:p>
    <w:p>
      <w:pPr>
        <w:spacing w:line="240" w:lineRule="auto" w:before="11"/>
        <w:ind w:right="0"/>
        <w:rPr>
          <w:rFonts w:ascii="Calibri" w:hAnsi="Calibri" w:cs="Calibri" w:eastAsia="Calibri" w:hint="default"/>
          <w:sz w:val="19"/>
          <w:szCs w:val="19"/>
        </w:rPr>
      </w:pPr>
    </w:p>
    <w:p>
      <w:pPr>
        <w:pStyle w:val="BodyText"/>
        <w:spacing w:line="240" w:lineRule="auto"/>
        <w:ind w:right="1439"/>
        <w:jc w:val="both"/>
      </w:pPr>
      <w:r>
        <w:rPr>
          <w:rFonts w:ascii="Calibri" w:hAnsi="Calibri" w:cs="Calibri" w:eastAsia="Calibri" w:hint="default"/>
        </w:rPr>
        <w:t>In review of the CTB’s a</w:t>
      </w:r>
      <w:r>
        <w:rPr/>
        <w:t>ction plans to acquire this new market segment, most of the strategies and tactics that are outlined</w:t>
      </w:r>
      <w:r>
        <w:rPr>
          <w:spacing w:val="-10"/>
        </w:rPr>
        <w:t> </w:t>
      </w:r>
      <w:r>
        <w:rPr/>
        <w:t>in</w:t>
      </w:r>
      <w:r>
        <w:rPr>
          <w:spacing w:val="-10"/>
        </w:rPr>
        <w:t> </w:t>
      </w:r>
      <w:r>
        <w:rPr/>
        <w:t>the</w:t>
      </w:r>
      <w:r>
        <w:rPr>
          <w:spacing w:val="-11"/>
        </w:rPr>
        <w:t> </w:t>
      </w:r>
      <w:r>
        <w:rPr/>
        <w:t>plan</w:t>
      </w:r>
      <w:r>
        <w:rPr>
          <w:spacing w:val="-9"/>
        </w:rPr>
        <w:t> </w:t>
      </w:r>
      <w:r>
        <w:rPr/>
        <w:t>are</w:t>
      </w:r>
      <w:r>
        <w:rPr>
          <w:spacing w:val="-11"/>
        </w:rPr>
        <w:t> </w:t>
      </w:r>
      <w:r>
        <w:rPr/>
        <w:t>normative</w:t>
      </w:r>
      <w:r>
        <w:rPr>
          <w:spacing w:val="-11"/>
        </w:rPr>
        <w:t> </w:t>
      </w:r>
      <w:r>
        <w:rPr/>
        <w:t>and</w:t>
      </w:r>
      <w:r>
        <w:rPr>
          <w:spacing w:val="-10"/>
        </w:rPr>
        <w:t> </w:t>
      </w:r>
      <w:r>
        <w:rPr/>
        <w:t>do</w:t>
      </w:r>
      <w:r>
        <w:rPr>
          <w:spacing w:val="-10"/>
        </w:rPr>
        <w:t> </w:t>
      </w:r>
      <w:r>
        <w:rPr/>
        <w:t>not</w:t>
      </w:r>
      <w:r>
        <w:rPr>
          <w:spacing w:val="-10"/>
        </w:rPr>
        <w:t> </w:t>
      </w:r>
      <w:r>
        <w:rPr/>
        <w:t>provide</w:t>
      </w:r>
      <w:r>
        <w:rPr>
          <w:spacing w:val="-11"/>
        </w:rPr>
        <w:t> </w:t>
      </w:r>
      <w:r>
        <w:rPr/>
        <w:t>operational</w:t>
      </w:r>
      <w:r>
        <w:rPr>
          <w:spacing w:val="-10"/>
        </w:rPr>
        <w:t> </w:t>
      </w:r>
      <w:r>
        <w:rPr/>
        <w:t>based</w:t>
      </w:r>
      <w:r>
        <w:rPr>
          <w:spacing w:val="-10"/>
        </w:rPr>
        <w:t> </w:t>
      </w:r>
      <w:r>
        <w:rPr/>
        <w:t>strategies</w:t>
      </w:r>
      <w:r>
        <w:rPr>
          <w:spacing w:val="-11"/>
        </w:rPr>
        <w:t> </w:t>
      </w:r>
      <w:r>
        <w:rPr/>
        <w:t>that</w:t>
      </w:r>
      <w:r>
        <w:rPr>
          <w:spacing w:val="-9"/>
        </w:rPr>
        <w:t> </w:t>
      </w:r>
      <w:r>
        <w:rPr/>
        <w:t>would</w:t>
      </w:r>
      <w:r>
        <w:rPr>
          <w:spacing w:val="-10"/>
        </w:rPr>
        <w:t> </w:t>
      </w:r>
      <w:r>
        <w:rPr/>
        <w:t>implement</w:t>
      </w:r>
      <w:r>
        <w:rPr>
          <w:spacing w:val="-10"/>
        </w:rPr>
        <w:t> </w:t>
      </w:r>
      <w:r>
        <w:rPr/>
        <w:t>marketing </w:t>
      </w:r>
      <w:r>
        <w:rPr/>
        <w:t>initiatives to attract this target segment. In addition, there are no clear targets in order to promote any type of accountability to any specific unit directly related to the CTB. Moreover, outside of the CTB, not all of the tourism </w:t>
      </w:r>
      <w:r>
        <w:rPr>
          <w:rFonts w:ascii="Calibri" w:hAnsi="Calibri" w:cs="Calibri" w:eastAsia="Calibri" w:hint="default"/>
        </w:rPr>
        <w:t>industry stakeholders are aware of the CTB’s efforts to attract the cult</w:t>
      </w:r>
      <w:r>
        <w:rPr/>
        <w:t>ural explorer market segment. Most hotel </w:t>
      </w:r>
      <w:r>
        <w:rPr>
          <w:rFonts w:ascii="Calibri" w:hAnsi="Calibri" w:cs="Calibri" w:eastAsia="Calibri" w:hint="default"/>
        </w:rPr>
        <w:t>properties possess their own yield management tactics to attract other market segments that exclude the CTB’s </w:t>
      </w:r>
      <w:r>
        <w:rPr/>
        <w:t>initiatives. </w:t>
      </w:r>
      <w:r>
        <w:rPr>
          <w:rFonts w:ascii="Calibri" w:hAnsi="Calibri" w:cs="Calibri" w:eastAsia="Calibri" w:hint="default"/>
        </w:rPr>
        <w:t>The overall evaluation regarding the CTB’s initiative to attract the cultural explorer is </w:t>
      </w:r>
      <w:r>
        <w:rPr>
          <w:rFonts w:ascii="Calibri" w:hAnsi="Calibri" w:cs="Calibri" w:eastAsia="Calibri" w:hint="default"/>
          <w:spacing w:val="2"/>
        </w:rPr>
        <w:t>th</w:t>
      </w:r>
      <w:r>
        <w:rPr>
          <w:spacing w:val="2"/>
        </w:rPr>
        <w:t>at </w:t>
      </w:r>
      <w:r>
        <w:rPr/>
        <w:t>the idea may </w:t>
      </w:r>
      <w:r>
        <w:rPr/>
        <w:t>be worthwhile; however, there are no direct means to attract or acquire this market. </w:t>
      </w:r>
      <w:r>
        <w:rPr>
          <w:rFonts w:ascii="Calibri" w:hAnsi="Calibri" w:cs="Calibri" w:eastAsia="Calibri" w:hint="default"/>
        </w:rPr>
        <w:t>In other words, the CTB’s </w:t>
      </w:r>
      <w:r>
        <w:rPr/>
        <w:t>strategies to attract this segment are</w:t>
      </w:r>
      <w:r>
        <w:rPr>
          <w:spacing w:val="-17"/>
        </w:rPr>
        <w:t> </w:t>
      </w:r>
      <w:r>
        <w:rPr/>
        <w:t>deficient.</w:t>
      </w:r>
    </w:p>
    <w:p>
      <w:pPr>
        <w:spacing w:line="240" w:lineRule="auto" w:before="11"/>
        <w:ind w:right="0"/>
        <w:rPr>
          <w:rFonts w:ascii="Calibri" w:hAnsi="Calibri" w:cs="Calibri" w:eastAsia="Calibri" w:hint="default"/>
          <w:sz w:val="19"/>
          <w:szCs w:val="19"/>
        </w:rPr>
      </w:pPr>
    </w:p>
    <w:p>
      <w:pPr>
        <w:pStyle w:val="BodyText"/>
        <w:spacing w:line="240" w:lineRule="auto"/>
        <w:ind w:right="1435"/>
        <w:jc w:val="both"/>
      </w:pPr>
      <w:r>
        <w:rPr/>
        <w:t>The second tactical challenge is that while the CTB is involved with what its core business should be, marketing the destination, it is also involved in product development, human capital enhancement, cleaning the beaches, safety and security, managing the Hotel Academy, protecting Willemstad on the UNESCO heritage list, etc. Most of these activities</w:t>
      </w:r>
      <w:r>
        <w:rPr>
          <w:spacing w:val="-8"/>
        </w:rPr>
        <w:t> </w:t>
      </w:r>
      <w:r>
        <w:rPr/>
        <w:t>are</w:t>
      </w:r>
      <w:r>
        <w:rPr>
          <w:spacing w:val="-8"/>
        </w:rPr>
        <w:t> </w:t>
      </w:r>
      <w:r>
        <w:rPr/>
        <w:t>undertaken</w:t>
      </w:r>
      <w:r>
        <w:rPr>
          <w:spacing w:val="-6"/>
        </w:rPr>
        <w:t> </w:t>
      </w:r>
      <w:r>
        <w:rPr/>
        <w:t>by</w:t>
      </w:r>
      <w:r>
        <w:rPr>
          <w:spacing w:val="-6"/>
        </w:rPr>
        <w:t> </w:t>
      </w:r>
      <w:r>
        <w:rPr/>
        <w:t>the</w:t>
      </w:r>
      <w:r>
        <w:rPr>
          <w:spacing w:val="-8"/>
        </w:rPr>
        <w:t> </w:t>
      </w:r>
      <w:r>
        <w:rPr/>
        <w:t>CTB</w:t>
      </w:r>
      <w:r>
        <w:rPr>
          <w:spacing w:val="-7"/>
        </w:rPr>
        <w:t> </w:t>
      </w:r>
      <w:r>
        <w:rPr/>
        <w:t>because</w:t>
      </w:r>
      <w:r>
        <w:rPr>
          <w:spacing w:val="-8"/>
        </w:rPr>
        <w:t> </w:t>
      </w:r>
      <w:r>
        <w:rPr/>
        <w:t>other</w:t>
      </w:r>
      <w:r>
        <w:rPr>
          <w:spacing w:val="-3"/>
        </w:rPr>
        <w:t> </w:t>
      </w:r>
      <w:r>
        <w:rPr/>
        <w:t>agencies</w:t>
      </w:r>
      <w:r>
        <w:rPr>
          <w:spacing w:val="-8"/>
        </w:rPr>
        <w:t> </w:t>
      </w:r>
      <w:r>
        <w:rPr/>
        <w:t>or</w:t>
      </w:r>
      <w:r>
        <w:rPr>
          <w:spacing w:val="-7"/>
        </w:rPr>
        <w:t> </w:t>
      </w:r>
      <w:r>
        <w:rPr/>
        <w:t>organizations</w:t>
      </w:r>
      <w:r>
        <w:rPr>
          <w:spacing w:val="-8"/>
        </w:rPr>
        <w:t> </w:t>
      </w:r>
      <w:r>
        <w:rPr/>
        <w:t>are</w:t>
      </w:r>
      <w:r>
        <w:rPr>
          <w:spacing w:val="-8"/>
        </w:rPr>
        <w:t> </w:t>
      </w:r>
      <w:r>
        <w:rPr/>
        <w:t>either</w:t>
      </w:r>
      <w:r>
        <w:rPr>
          <w:spacing w:val="-7"/>
        </w:rPr>
        <w:t> </w:t>
      </w:r>
      <w:r>
        <w:rPr/>
        <w:t>not</w:t>
      </w:r>
      <w:r>
        <w:rPr>
          <w:spacing w:val="-3"/>
        </w:rPr>
        <w:t> </w:t>
      </w:r>
      <w:r>
        <w:rPr/>
        <w:t>performing</w:t>
      </w:r>
      <w:r>
        <w:rPr>
          <w:spacing w:val="-5"/>
        </w:rPr>
        <w:t> </w:t>
      </w:r>
      <w:r>
        <w:rPr/>
        <w:t>according</w:t>
      </w:r>
      <w:r>
        <w:rPr>
          <w:spacing w:val="-7"/>
        </w:rPr>
        <w:t> </w:t>
      </w:r>
      <w:r>
        <w:rPr/>
        <w:t>to </w:t>
      </w:r>
      <w:r>
        <w:rPr/>
        <w:t>their administrative responsibilities, or they are functioning poorly. Under these circumstances, the CTB was compelled to take over the task from others in order to keep the destination, attractive, safe, and</w:t>
      </w:r>
      <w:r>
        <w:rPr>
          <w:spacing w:val="-28"/>
        </w:rPr>
        <w:t> </w:t>
      </w:r>
      <w:r>
        <w:rPr/>
        <w:t>clean.</w:t>
      </w:r>
    </w:p>
    <w:p>
      <w:pPr>
        <w:pStyle w:val="BodyText"/>
        <w:spacing w:line="240" w:lineRule="auto"/>
        <w:ind w:right="1435"/>
        <w:jc w:val="both"/>
      </w:pPr>
      <w:r>
        <w:rPr/>
        <w:t>A clear example of this situation is the CTB</w:t>
      </w:r>
      <w:r>
        <w:rPr>
          <w:rFonts w:ascii="Calibri" w:hAnsi="Calibri" w:cs="Calibri" w:eastAsia="Calibri" w:hint="default"/>
        </w:rPr>
        <w:t>’s </w:t>
      </w:r>
      <w:r>
        <w:rPr/>
        <w:t>involvement in cleaning up and providing security to several beaches on the island. In another case, the CTB took the initiative of setting up a project that would identify job openings/positions</w:t>
      </w:r>
      <w:r>
        <w:rPr>
          <w:spacing w:val="-7"/>
        </w:rPr>
        <w:t> </w:t>
      </w:r>
      <w:r>
        <w:rPr/>
        <w:t>available</w:t>
      </w:r>
      <w:r>
        <w:rPr>
          <w:spacing w:val="-8"/>
        </w:rPr>
        <w:t> </w:t>
      </w:r>
      <w:r>
        <w:rPr/>
        <w:t>in</w:t>
      </w:r>
      <w:r>
        <w:rPr>
          <w:spacing w:val="-6"/>
        </w:rPr>
        <w:t> </w:t>
      </w:r>
      <w:r>
        <w:rPr/>
        <w:t>the</w:t>
      </w:r>
      <w:r>
        <w:rPr>
          <w:spacing w:val="-8"/>
        </w:rPr>
        <w:t> </w:t>
      </w:r>
      <w:r>
        <w:rPr/>
        <w:t>tourism</w:t>
      </w:r>
      <w:r>
        <w:rPr>
          <w:spacing w:val="-5"/>
        </w:rPr>
        <w:t> </w:t>
      </w:r>
      <w:r>
        <w:rPr/>
        <w:t>industry.</w:t>
      </w:r>
      <w:r>
        <w:rPr>
          <w:spacing w:val="32"/>
        </w:rPr>
        <w:t> </w:t>
      </w:r>
      <w:r>
        <w:rPr/>
        <w:t>The</w:t>
      </w:r>
      <w:r>
        <w:rPr>
          <w:spacing w:val="-8"/>
        </w:rPr>
        <w:t> </w:t>
      </w:r>
      <w:r>
        <w:rPr/>
        <w:t>project</w:t>
      </w:r>
      <w:r>
        <w:rPr>
          <w:spacing w:val="-6"/>
        </w:rPr>
        <w:t> </w:t>
      </w:r>
      <w:r>
        <w:rPr/>
        <w:t>was</w:t>
      </w:r>
      <w:r>
        <w:rPr>
          <w:spacing w:val="-8"/>
        </w:rPr>
        <w:t> </w:t>
      </w:r>
      <w:r>
        <w:rPr/>
        <w:t>then</w:t>
      </w:r>
      <w:r>
        <w:rPr>
          <w:spacing w:val="-6"/>
        </w:rPr>
        <w:t> </w:t>
      </w:r>
      <w:r>
        <w:rPr/>
        <w:t>handed</w:t>
      </w:r>
      <w:r>
        <w:rPr>
          <w:spacing w:val="-6"/>
        </w:rPr>
        <w:t> </w:t>
      </w:r>
      <w:r>
        <w:rPr/>
        <w:t>over</w:t>
      </w:r>
      <w:r>
        <w:rPr>
          <w:spacing w:val="-7"/>
        </w:rPr>
        <w:t> </w:t>
      </w:r>
      <w:r>
        <w:rPr/>
        <w:t>to</w:t>
      </w:r>
      <w:r>
        <w:rPr>
          <w:spacing w:val="-7"/>
        </w:rPr>
        <w:t> </w:t>
      </w:r>
      <w:r>
        <w:rPr/>
        <w:t>the</w:t>
      </w:r>
      <w:r>
        <w:rPr>
          <w:spacing w:val="-8"/>
        </w:rPr>
        <w:t> </w:t>
      </w:r>
      <w:r>
        <w:rPr/>
        <w:t>Department</w:t>
      </w:r>
      <w:r>
        <w:rPr>
          <w:spacing w:val="-6"/>
        </w:rPr>
        <w:t> </w:t>
      </w:r>
      <w:r>
        <w:rPr/>
        <w:t>of</w:t>
      </w:r>
      <w:r>
        <w:rPr>
          <w:spacing w:val="-8"/>
        </w:rPr>
        <w:t> </w:t>
      </w:r>
      <w:r>
        <w:rPr/>
        <w:t>Labor </w:t>
      </w:r>
      <w:r>
        <w:rPr/>
        <w:t>to manage. However, the project never came to fruition. Thus, substantial resources were wasted on a project that was well intended to align supply and demand. Further, to date, an accurate account for employment openings in the hospitality industry does not</w:t>
      </w:r>
      <w:r>
        <w:rPr>
          <w:spacing w:val="-14"/>
        </w:rPr>
        <w:t> </w:t>
      </w:r>
      <w:r>
        <w:rPr/>
        <w:t>exist.</w:t>
      </w:r>
    </w:p>
    <w:p>
      <w:pPr>
        <w:spacing w:line="240" w:lineRule="auto" w:before="1"/>
        <w:ind w:right="0"/>
        <w:rPr>
          <w:rFonts w:ascii="Calibri" w:hAnsi="Calibri" w:cs="Calibri" w:eastAsia="Calibri" w:hint="default"/>
          <w:sz w:val="20"/>
          <w:szCs w:val="20"/>
        </w:rPr>
      </w:pPr>
    </w:p>
    <w:p>
      <w:pPr>
        <w:pStyle w:val="BodyText"/>
        <w:spacing w:line="240" w:lineRule="auto"/>
        <w:ind w:right="1436"/>
        <w:jc w:val="both"/>
        <w:rPr>
          <w:sz w:val="12"/>
          <w:szCs w:val="12"/>
        </w:rPr>
      </w:pPr>
      <w:r>
        <w:rPr>
          <w:rFonts w:ascii="Calibri" w:hAnsi="Calibri" w:cs="Calibri" w:eastAsia="Calibri" w:hint="default"/>
        </w:rPr>
        <w:t>The</w:t>
      </w:r>
      <w:r>
        <w:rPr>
          <w:rFonts w:ascii="Calibri" w:hAnsi="Calibri" w:cs="Calibri" w:eastAsia="Calibri" w:hint="default"/>
          <w:spacing w:val="-8"/>
        </w:rPr>
        <w:t> </w:t>
      </w:r>
      <w:r>
        <w:rPr>
          <w:rFonts w:ascii="Calibri" w:hAnsi="Calibri" w:cs="Calibri" w:eastAsia="Calibri" w:hint="default"/>
        </w:rPr>
        <w:t>CTB’s</w:t>
      </w:r>
      <w:r>
        <w:rPr>
          <w:rFonts w:ascii="Calibri" w:hAnsi="Calibri" w:cs="Calibri" w:eastAsia="Calibri" w:hint="default"/>
          <w:spacing w:val="-8"/>
        </w:rPr>
        <w:t> </w:t>
      </w:r>
      <w:r>
        <w:rPr>
          <w:rFonts w:ascii="Calibri" w:hAnsi="Calibri" w:cs="Calibri" w:eastAsia="Calibri" w:hint="default"/>
        </w:rPr>
        <w:t>continued</w:t>
      </w:r>
      <w:r>
        <w:rPr>
          <w:rFonts w:ascii="Calibri" w:hAnsi="Calibri" w:cs="Calibri" w:eastAsia="Calibri" w:hint="default"/>
          <w:spacing w:val="-7"/>
        </w:rPr>
        <w:t> </w:t>
      </w:r>
      <w:r>
        <w:rPr>
          <w:rFonts w:ascii="Calibri" w:hAnsi="Calibri" w:cs="Calibri" w:eastAsia="Calibri" w:hint="default"/>
        </w:rPr>
        <w:t>involvement</w:t>
      </w:r>
      <w:r>
        <w:rPr>
          <w:rFonts w:ascii="Calibri" w:hAnsi="Calibri" w:cs="Calibri" w:eastAsia="Calibri" w:hint="default"/>
          <w:spacing w:val="-7"/>
        </w:rPr>
        <w:t> </w:t>
      </w:r>
      <w:r>
        <w:rPr>
          <w:rFonts w:ascii="Calibri" w:hAnsi="Calibri" w:cs="Calibri" w:eastAsia="Calibri" w:hint="default"/>
        </w:rPr>
        <w:t>in</w:t>
      </w:r>
      <w:r>
        <w:rPr>
          <w:rFonts w:ascii="Calibri" w:hAnsi="Calibri" w:cs="Calibri" w:eastAsia="Calibri" w:hint="default"/>
          <w:spacing w:val="-7"/>
        </w:rPr>
        <w:t> </w:t>
      </w:r>
      <w:r>
        <w:rPr>
          <w:rFonts w:ascii="Calibri" w:hAnsi="Calibri" w:cs="Calibri" w:eastAsia="Calibri" w:hint="default"/>
        </w:rPr>
        <w:t>so</w:t>
      </w:r>
      <w:r>
        <w:rPr>
          <w:rFonts w:ascii="Calibri" w:hAnsi="Calibri" w:cs="Calibri" w:eastAsia="Calibri" w:hint="default"/>
          <w:spacing w:val="-7"/>
        </w:rPr>
        <w:t> </w:t>
      </w:r>
      <w:r>
        <w:rPr>
          <w:rFonts w:ascii="Calibri" w:hAnsi="Calibri" w:cs="Calibri" w:eastAsia="Calibri" w:hint="default"/>
        </w:rPr>
        <w:t>many</w:t>
      </w:r>
      <w:r>
        <w:rPr>
          <w:rFonts w:ascii="Calibri" w:hAnsi="Calibri" w:cs="Calibri" w:eastAsia="Calibri" w:hint="default"/>
          <w:spacing w:val="-7"/>
        </w:rPr>
        <w:t> </w:t>
      </w:r>
      <w:r>
        <w:rPr>
          <w:rFonts w:ascii="Calibri" w:hAnsi="Calibri" w:cs="Calibri" w:eastAsia="Calibri" w:hint="default"/>
        </w:rPr>
        <w:t>activities</w:t>
      </w:r>
      <w:r>
        <w:rPr>
          <w:rFonts w:ascii="Calibri" w:hAnsi="Calibri" w:cs="Calibri" w:eastAsia="Calibri" w:hint="default"/>
          <w:spacing w:val="-8"/>
        </w:rPr>
        <w:t> </w:t>
      </w:r>
      <w:r>
        <w:rPr>
          <w:rFonts w:ascii="Calibri" w:hAnsi="Calibri" w:cs="Calibri" w:eastAsia="Calibri" w:hint="default"/>
        </w:rPr>
        <w:t>affects</w:t>
      </w:r>
      <w:r>
        <w:rPr>
          <w:rFonts w:ascii="Calibri" w:hAnsi="Calibri" w:cs="Calibri" w:eastAsia="Calibri" w:hint="default"/>
          <w:spacing w:val="-8"/>
        </w:rPr>
        <w:t> </w:t>
      </w:r>
      <w:r>
        <w:rPr>
          <w:rFonts w:ascii="Calibri" w:hAnsi="Calibri" w:cs="Calibri" w:eastAsia="Calibri" w:hint="default"/>
        </w:rPr>
        <w:t>its</w:t>
      </w:r>
      <w:r>
        <w:rPr>
          <w:rFonts w:ascii="Calibri" w:hAnsi="Calibri" w:cs="Calibri" w:eastAsia="Calibri" w:hint="default"/>
          <w:spacing w:val="-8"/>
        </w:rPr>
        <w:t> </w:t>
      </w:r>
      <w:r>
        <w:rPr>
          <w:rFonts w:ascii="Calibri" w:hAnsi="Calibri" w:cs="Calibri" w:eastAsia="Calibri" w:hint="default"/>
        </w:rPr>
        <w:t>over</w:t>
      </w:r>
      <w:r>
        <w:rPr/>
        <w:t>all</w:t>
      </w:r>
      <w:r>
        <w:rPr>
          <w:spacing w:val="-7"/>
        </w:rPr>
        <w:t> </w:t>
      </w:r>
      <w:r>
        <w:rPr/>
        <w:t>performance</w:t>
      </w:r>
      <w:r>
        <w:rPr>
          <w:spacing w:val="-8"/>
        </w:rPr>
        <w:t> </w:t>
      </w:r>
      <w:r>
        <w:rPr/>
        <w:t>and</w:t>
      </w:r>
      <w:r>
        <w:rPr>
          <w:spacing w:val="-7"/>
        </w:rPr>
        <w:t> </w:t>
      </w:r>
      <w:r>
        <w:rPr/>
        <w:t>success.</w:t>
      </w:r>
      <w:r>
        <w:rPr>
          <w:spacing w:val="34"/>
        </w:rPr>
        <w:t> </w:t>
      </w:r>
      <w:r>
        <w:rPr/>
        <w:t>For</w:t>
      </w:r>
      <w:r>
        <w:rPr>
          <w:spacing w:val="-7"/>
        </w:rPr>
        <w:t> </w:t>
      </w:r>
      <w:r>
        <w:rPr/>
        <w:t>example,</w:t>
      </w:r>
      <w:r>
        <w:rPr>
          <w:spacing w:val="-7"/>
        </w:rPr>
        <w:t> </w:t>
      </w:r>
      <w:r>
        <w:rPr/>
        <w:t>the </w:t>
      </w:r>
      <w:r>
        <w:rPr/>
        <w:t>CTB is in charge of collecting room tax.</w:t>
      </w:r>
      <w:r>
        <w:rPr>
          <w:spacing w:val="-5"/>
        </w:rPr>
        <w:t> </w:t>
      </w:r>
      <w:r>
        <w:rPr/>
        <w:t>The result of that activity is that the CTB is only able to collect about 60% of </w:t>
      </w:r>
      <w:r>
        <w:rPr/>
        <w:t>the</w:t>
      </w:r>
      <w:r>
        <w:rPr>
          <w:spacing w:val="-12"/>
        </w:rPr>
        <w:t> </w:t>
      </w:r>
      <w:r>
        <w:rPr/>
        <w:t>total</w:t>
      </w:r>
      <w:r>
        <w:rPr>
          <w:spacing w:val="-12"/>
        </w:rPr>
        <w:t> </w:t>
      </w:r>
      <w:r>
        <w:rPr/>
        <w:t>amount</w:t>
      </w:r>
      <w:r>
        <w:rPr>
          <w:spacing w:val="-11"/>
        </w:rPr>
        <w:t> </w:t>
      </w:r>
      <w:r>
        <w:rPr/>
        <w:t>of</w:t>
      </w:r>
      <w:r>
        <w:rPr>
          <w:spacing w:val="-11"/>
        </w:rPr>
        <w:t> </w:t>
      </w:r>
      <w:r>
        <w:rPr/>
        <w:t>the</w:t>
      </w:r>
      <w:r>
        <w:rPr>
          <w:spacing w:val="-12"/>
        </w:rPr>
        <w:t> </w:t>
      </w:r>
      <w:r>
        <w:rPr/>
        <w:t>annual</w:t>
      </w:r>
      <w:r>
        <w:rPr>
          <w:spacing w:val="-11"/>
        </w:rPr>
        <w:t> </w:t>
      </w:r>
      <w:r>
        <w:rPr/>
        <w:t>room</w:t>
      </w:r>
      <w:r>
        <w:rPr>
          <w:spacing w:val="-12"/>
        </w:rPr>
        <w:t> </w:t>
      </w:r>
      <w:r>
        <w:rPr/>
        <w:t>tax</w:t>
      </w:r>
      <w:r>
        <w:rPr>
          <w:spacing w:val="-12"/>
        </w:rPr>
        <w:t> </w:t>
      </w:r>
      <w:r>
        <w:rPr/>
        <w:t>due.</w:t>
      </w:r>
      <w:r>
        <w:rPr>
          <w:spacing w:val="24"/>
        </w:rPr>
        <w:t> </w:t>
      </w:r>
      <w:r>
        <w:rPr/>
        <w:t>According</w:t>
      </w:r>
      <w:r>
        <w:rPr>
          <w:spacing w:val="-12"/>
        </w:rPr>
        <w:t> </w:t>
      </w:r>
      <w:r>
        <w:rPr/>
        <w:t>to</w:t>
      </w:r>
      <w:r>
        <w:rPr>
          <w:spacing w:val="-11"/>
        </w:rPr>
        <w:t> </w:t>
      </w:r>
      <w:r>
        <w:rPr/>
        <w:t>anecdotal</w:t>
      </w:r>
      <w:r>
        <w:rPr>
          <w:spacing w:val="-12"/>
        </w:rPr>
        <w:t> </w:t>
      </w:r>
      <w:r>
        <w:rPr/>
        <w:t>evidence,</w:t>
      </w:r>
      <w:r>
        <w:rPr>
          <w:spacing w:val="-11"/>
        </w:rPr>
        <w:t> </w:t>
      </w:r>
      <w:r>
        <w:rPr/>
        <w:t>there</w:t>
      </w:r>
      <w:r>
        <w:rPr>
          <w:spacing w:val="-12"/>
        </w:rPr>
        <w:t> </w:t>
      </w:r>
      <w:r>
        <w:rPr/>
        <w:t>is</w:t>
      </w:r>
      <w:r>
        <w:rPr>
          <w:spacing w:val="-13"/>
        </w:rPr>
        <w:t> </w:t>
      </w:r>
      <w:r>
        <w:rPr/>
        <w:t>approximately</w:t>
      </w:r>
      <w:r>
        <w:rPr>
          <w:spacing w:val="-11"/>
        </w:rPr>
        <w:t> </w:t>
      </w:r>
      <w:r>
        <w:rPr/>
        <w:t>US$50</w:t>
      </w:r>
      <w:r>
        <w:rPr>
          <w:spacing w:val="-10"/>
        </w:rPr>
        <w:t> </w:t>
      </w:r>
      <w:r>
        <w:rPr/>
        <w:t>million </w:t>
      </w:r>
      <w:r>
        <w:rPr/>
        <w:t>that is not collected by the CTB. The consequence of this is that the CTB does not have the appropriate funding to support its core business, which is that of marketing the destination. It is clear that while the CTB has good intentions, the agency does not possess the capabilities, the institutional prowess, or the resources to accomplish all these complex tasks. This results in occasions where assignments are not completed, thus wasting valuable resources.</w:t>
      </w:r>
      <w:r>
        <w:rPr>
          <w:position w:val="5"/>
          <w:sz w:val="12"/>
          <w:szCs w:val="12"/>
        </w:rPr>
        <w:t>44</w:t>
      </w:r>
      <w:r>
        <w:rPr>
          <w:sz w:val="12"/>
          <w:szCs w:val="12"/>
        </w:rPr>
      </w:r>
    </w:p>
    <w:p>
      <w:pPr>
        <w:spacing w:line="240" w:lineRule="auto" w:before="0"/>
        <w:ind w:right="0"/>
        <w:rPr>
          <w:rFonts w:ascii="Calibri" w:hAnsi="Calibri" w:cs="Calibri" w:eastAsia="Calibri" w:hint="default"/>
          <w:sz w:val="20"/>
          <w:szCs w:val="20"/>
        </w:rPr>
      </w:pPr>
    </w:p>
    <w:p>
      <w:pPr>
        <w:spacing w:line="240" w:lineRule="auto" w:before="12"/>
        <w:ind w:right="0"/>
        <w:rPr>
          <w:rFonts w:ascii="Calibri" w:hAnsi="Calibri" w:cs="Calibri" w:eastAsia="Calibri" w:hint="default"/>
          <w:sz w:val="19"/>
          <w:szCs w:val="19"/>
        </w:rPr>
      </w:pPr>
    </w:p>
    <w:p>
      <w:pPr>
        <w:pStyle w:val="BodyText"/>
        <w:spacing w:line="240" w:lineRule="auto"/>
        <w:ind w:right="1434"/>
        <w:jc w:val="both"/>
      </w:pPr>
      <w:r>
        <w:rPr/>
        <w:t>The lack of optimal outcomes in providing for all these tasks has resulted in frustration, exhaustion, </w:t>
      </w:r>
      <w:r>
        <w:rPr>
          <w:spacing w:val="2"/>
        </w:rPr>
        <w:t>burn- </w:t>
      </w:r>
      <w:r>
        <w:rPr/>
        <w:t>out, and </w:t>
      </w:r>
      <w:r>
        <w:rPr/>
        <w:t>apathy within the organization, as well as waste of valuable resources. The absence of a clear focus regarding the CTB core business has led to confusion with regard to the vision, mission and expectations of what the activities initiated, managed, and implemented by the CTB should be. At the present time, the CTB lacks an organizational vision and mission that could direct its actions and measure the level of </w:t>
      </w:r>
      <w:r>
        <w:rPr>
          <w:rFonts w:ascii="Calibri" w:hAnsi="Calibri" w:cs="Calibri" w:eastAsia="Calibri" w:hint="default"/>
        </w:rPr>
        <w:t>the CTB’s</w:t>
      </w:r>
      <w:r>
        <w:rPr>
          <w:rFonts w:ascii="Calibri" w:hAnsi="Calibri" w:cs="Calibri" w:eastAsia="Calibri" w:hint="default"/>
          <w:spacing w:val="-25"/>
        </w:rPr>
        <w:t> </w:t>
      </w:r>
      <w:r>
        <w:rPr/>
        <w:t>success.</w:t>
      </w:r>
    </w:p>
    <w:p>
      <w:pPr>
        <w:pStyle w:val="BodyText"/>
        <w:spacing w:line="240" w:lineRule="auto"/>
        <w:ind w:right="1433"/>
        <w:jc w:val="both"/>
      </w:pPr>
      <w:r>
        <w:rPr/>
        <w:t>The </w:t>
      </w:r>
      <w:r>
        <w:rPr>
          <w:rFonts w:ascii="Calibri" w:hAnsi="Calibri" w:cs="Calibri" w:eastAsia="Calibri" w:hint="default"/>
        </w:rPr>
        <w:t>CTB’s lack of vision and mission have been </w:t>
      </w:r>
      <w:r>
        <w:rPr/>
        <w:t>compounded by the absence of a CEO to direct the assignment and tasks of the organization. The Interim CEO is stretched thin with multiple tasks (managing the organization, leading Latin American promotions, coordinating with local and international stakeholders, remaining abreast of the CTB Board</w:t>
      </w:r>
      <w:r>
        <w:rPr>
          <w:spacing w:val="15"/>
        </w:rPr>
        <w:t> </w:t>
      </w:r>
      <w:r>
        <w:rPr/>
        <w:t>requirements</w:t>
      </w:r>
      <w:r>
        <w:rPr>
          <w:spacing w:val="14"/>
        </w:rPr>
        <w:t> </w:t>
      </w:r>
      <w:r>
        <w:rPr/>
        <w:t>and</w:t>
      </w:r>
      <w:r>
        <w:rPr>
          <w:spacing w:val="15"/>
        </w:rPr>
        <w:t> </w:t>
      </w:r>
      <w:r>
        <w:rPr/>
        <w:t>policies,</w:t>
      </w:r>
      <w:r>
        <w:rPr>
          <w:spacing w:val="15"/>
        </w:rPr>
        <w:t> </w:t>
      </w:r>
      <w:r>
        <w:rPr/>
        <w:t>and</w:t>
      </w:r>
      <w:r>
        <w:rPr>
          <w:spacing w:val="20"/>
        </w:rPr>
        <w:t> </w:t>
      </w:r>
      <w:r>
        <w:rPr/>
        <w:t>directing</w:t>
      </w:r>
      <w:r>
        <w:rPr>
          <w:spacing w:val="15"/>
        </w:rPr>
        <w:t> </w:t>
      </w:r>
      <w:r>
        <w:rPr/>
        <w:t>the</w:t>
      </w:r>
      <w:r>
        <w:rPr>
          <w:spacing w:val="14"/>
        </w:rPr>
        <w:t> </w:t>
      </w:r>
      <w:r>
        <w:rPr/>
        <w:t>tourism</w:t>
      </w:r>
      <w:r>
        <w:rPr>
          <w:spacing w:val="14"/>
        </w:rPr>
        <w:t> </w:t>
      </w:r>
      <w:r>
        <w:rPr/>
        <w:t>master</w:t>
      </w:r>
      <w:r>
        <w:rPr>
          <w:spacing w:val="14"/>
        </w:rPr>
        <w:t> </w:t>
      </w:r>
      <w:r>
        <w:rPr/>
        <w:t>plan</w:t>
      </w:r>
      <w:r>
        <w:rPr>
          <w:spacing w:val="15"/>
        </w:rPr>
        <w:t> </w:t>
      </w:r>
      <w:r>
        <w:rPr/>
        <w:t>process</w:t>
      </w:r>
      <w:r>
        <w:rPr>
          <w:spacing w:val="19"/>
        </w:rPr>
        <w:t> </w:t>
      </w:r>
      <w:r>
        <w:rPr>
          <w:rFonts w:ascii="Calibri" w:hAnsi="Calibri" w:cs="Calibri" w:eastAsia="Calibri" w:hint="default"/>
        </w:rPr>
        <w:t>–</w:t>
      </w:r>
      <w:r>
        <w:rPr>
          <w:rFonts w:ascii="Calibri" w:hAnsi="Calibri" w:cs="Calibri" w:eastAsia="Calibri" w:hint="default"/>
          <w:spacing w:val="14"/>
        </w:rPr>
        <w:t> </w:t>
      </w:r>
      <w:r>
        <w:rPr/>
        <w:t>each</w:t>
      </w:r>
      <w:r>
        <w:rPr>
          <w:spacing w:val="15"/>
        </w:rPr>
        <w:t> </w:t>
      </w:r>
      <w:r>
        <w:rPr/>
        <w:t>of</w:t>
      </w:r>
      <w:r>
        <w:rPr>
          <w:spacing w:val="14"/>
        </w:rPr>
        <w:t> </w:t>
      </w:r>
      <w:r>
        <w:rPr/>
        <w:t>which</w:t>
      </w:r>
      <w:r>
        <w:rPr>
          <w:spacing w:val="15"/>
        </w:rPr>
        <w:t> </w:t>
      </w:r>
      <w:r>
        <w:rPr/>
        <w:t>is</w:t>
      </w:r>
      <w:r>
        <w:rPr>
          <w:spacing w:val="13"/>
        </w:rPr>
        <w:t> </w:t>
      </w:r>
      <w:r>
        <w:rPr/>
        <w:t>a</w:t>
      </w:r>
      <w:r>
        <w:rPr>
          <w:spacing w:val="17"/>
        </w:rPr>
        <w:t> </w:t>
      </w:r>
      <w:r>
        <w:rPr/>
        <w:t>challenging</w:t>
      </w:r>
    </w:p>
    <w:p>
      <w:pPr>
        <w:spacing w:line="240" w:lineRule="auto" w:before="0"/>
        <w:ind w:right="0"/>
        <w:rPr>
          <w:rFonts w:ascii="Calibri" w:hAnsi="Calibri" w:cs="Calibri" w:eastAsia="Calibri" w:hint="default"/>
          <w:sz w:val="20"/>
          <w:szCs w:val="20"/>
        </w:rPr>
      </w:pPr>
    </w:p>
    <w:p>
      <w:pPr>
        <w:spacing w:line="240" w:lineRule="auto" w:before="1" w:after="0"/>
        <w:ind w:right="0"/>
        <w:rPr>
          <w:rFonts w:ascii="Calibri" w:hAnsi="Calibri" w:cs="Calibri" w:eastAsia="Calibri" w:hint="default"/>
          <w:sz w:val="19"/>
          <w:szCs w:val="19"/>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2" w:lineRule="auto" w:before="91"/>
        <w:ind w:left="1440" w:right="1529" w:firstLine="0"/>
        <w:jc w:val="left"/>
        <w:rPr>
          <w:rFonts w:ascii="Calibri" w:hAnsi="Calibri" w:cs="Calibri" w:eastAsia="Calibri" w:hint="default"/>
          <w:sz w:val="16"/>
          <w:szCs w:val="16"/>
        </w:rPr>
      </w:pPr>
      <w:r>
        <w:rPr>
          <w:rFonts w:ascii="Calibri" w:hAnsi="Calibri"/>
          <w:position w:val="5"/>
          <w:sz w:val="12"/>
        </w:rPr>
        <w:t>44 </w:t>
      </w:r>
      <w:r>
        <w:rPr>
          <w:rFonts w:ascii="Calibri" w:hAnsi="Calibri"/>
          <w:sz w:val="16"/>
        </w:rPr>
        <w:t>Another example is the creation of the vacancy data bank in the hospitality industry. The Human Resources Infrastructure System project </w:t>
      </w:r>
      <w:r>
        <w:rPr>
          <w:rFonts w:ascii="Calibri" w:hAnsi="Calibri"/>
          <w:sz w:val="16"/>
        </w:rPr>
        <w:t>(HRIS) was created to realize three main objectives: (1) to reduce gaps in supply and demand of human resources that are willing to work in tourism in Curaçao, (2) to provide information on human resources availability and (3) to gather historical information about labor markets for the future projections. Eventually, the project was abandoned by the Department of Labor resulting in the non-existence of a databank. At present,</w:t>
      </w:r>
      <w:r>
        <w:rPr>
          <w:rFonts w:ascii="Calibri" w:hAnsi="Calibri"/>
          <w:spacing w:val="-2"/>
          <w:sz w:val="16"/>
        </w:rPr>
        <w:t> </w:t>
      </w:r>
      <w:r>
        <w:rPr>
          <w:rFonts w:ascii="Calibri" w:hAnsi="Calibri"/>
          <w:sz w:val="16"/>
        </w:rPr>
        <w:t>no</w:t>
      </w:r>
      <w:r>
        <w:rPr>
          <w:rFonts w:ascii="Calibri" w:hAnsi="Calibri"/>
          <w:spacing w:val="-3"/>
          <w:sz w:val="16"/>
        </w:rPr>
        <w:t> </w:t>
      </w:r>
      <w:r>
        <w:rPr>
          <w:rFonts w:ascii="Calibri" w:hAnsi="Calibri"/>
          <w:sz w:val="16"/>
        </w:rPr>
        <w:t>one</w:t>
      </w:r>
      <w:r>
        <w:rPr>
          <w:rFonts w:ascii="Calibri" w:hAnsi="Calibri"/>
          <w:spacing w:val="-2"/>
          <w:sz w:val="16"/>
        </w:rPr>
        <w:t> </w:t>
      </w:r>
      <w:r>
        <w:rPr>
          <w:rFonts w:ascii="Calibri" w:hAnsi="Calibri"/>
          <w:sz w:val="16"/>
        </w:rPr>
        <w:t>on</w:t>
      </w:r>
      <w:r>
        <w:rPr>
          <w:rFonts w:ascii="Calibri" w:hAnsi="Calibri"/>
          <w:spacing w:val="-3"/>
          <w:sz w:val="16"/>
        </w:rPr>
        <w:t> </w:t>
      </w:r>
      <w:r>
        <w:rPr>
          <w:rFonts w:ascii="Calibri" w:hAnsi="Calibri"/>
          <w:sz w:val="16"/>
        </w:rPr>
        <w:t>the</w:t>
      </w:r>
      <w:r>
        <w:rPr>
          <w:rFonts w:ascii="Calibri" w:hAnsi="Calibri"/>
          <w:spacing w:val="-2"/>
          <w:sz w:val="16"/>
        </w:rPr>
        <w:t> </w:t>
      </w:r>
      <w:r>
        <w:rPr>
          <w:rFonts w:ascii="Calibri" w:hAnsi="Calibri"/>
          <w:sz w:val="16"/>
        </w:rPr>
        <w:t>island</w:t>
      </w:r>
      <w:r>
        <w:rPr>
          <w:rFonts w:ascii="Calibri" w:hAnsi="Calibri"/>
          <w:spacing w:val="-3"/>
          <w:sz w:val="16"/>
        </w:rPr>
        <w:t> </w:t>
      </w:r>
      <w:r>
        <w:rPr>
          <w:rFonts w:ascii="Calibri" w:hAnsi="Calibri"/>
          <w:sz w:val="16"/>
        </w:rPr>
        <w:t>knows</w:t>
      </w:r>
      <w:r>
        <w:rPr>
          <w:rFonts w:ascii="Calibri" w:hAnsi="Calibri"/>
          <w:spacing w:val="-3"/>
          <w:sz w:val="16"/>
        </w:rPr>
        <w:t> </w:t>
      </w:r>
      <w:r>
        <w:rPr>
          <w:rFonts w:ascii="Calibri" w:hAnsi="Calibri"/>
          <w:sz w:val="16"/>
        </w:rPr>
        <w:t>the</w:t>
      </w:r>
      <w:r>
        <w:rPr>
          <w:rFonts w:ascii="Calibri" w:hAnsi="Calibri"/>
          <w:spacing w:val="-4"/>
          <w:sz w:val="16"/>
        </w:rPr>
        <w:t> </w:t>
      </w:r>
      <w:r>
        <w:rPr>
          <w:rFonts w:ascii="Calibri" w:hAnsi="Calibri"/>
          <w:sz w:val="16"/>
        </w:rPr>
        <w:t>exact</w:t>
      </w:r>
      <w:r>
        <w:rPr>
          <w:rFonts w:ascii="Calibri" w:hAnsi="Calibri"/>
          <w:spacing w:val="-3"/>
          <w:sz w:val="16"/>
        </w:rPr>
        <w:t> </w:t>
      </w:r>
      <w:r>
        <w:rPr>
          <w:rFonts w:ascii="Calibri" w:hAnsi="Calibri"/>
          <w:sz w:val="16"/>
        </w:rPr>
        <w:t>amount</w:t>
      </w:r>
      <w:r>
        <w:rPr>
          <w:rFonts w:ascii="Calibri" w:hAnsi="Calibri"/>
          <w:spacing w:val="-3"/>
          <w:sz w:val="16"/>
        </w:rPr>
        <w:t> </w:t>
      </w:r>
      <w:r>
        <w:rPr>
          <w:rFonts w:ascii="Calibri" w:hAnsi="Calibri"/>
          <w:sz w:val="16"/>
        </w:rPr>
        <w:t>of</w:t>
      </w:r>
      <w:r>
        <w:rPr>
          <w:rFonts w:ascii="Calibri" w:hAnsi="Calibri"/>
          <w:spacing w:val="-3"/>
          <w:sz w:val="16"/>
        </w:rPr>
        <w:t> </w:t>
      </w:r>
      <w:r>
        <w:rPr>
          <w:rFonts w:ascii="Calibri" w:hAnsi="Calibri"/>
          <w:sz w:val="16"/>
        </w:rPr>
        <w:t>vacancies</w:t>
      </w:r>
      <w:r>
        <w:rPr>
          <w:rFonts w:ascii="Calibri" w:hAnsi="Calibri"/>
          <w:spacing w:val="-3"/>
          <w:sz w:val="16"/>
        </w:rPr>
        <w:t> </w:t>
      </w:r>
      <w:r>
        <w:rPr>
          <w:rFonts w:ascii="Calibri" w:hAnsi="Calibri"/>
          <w:sz w:val="16"/>
        </w:rPr>
        <w:t>and</w:t>
      </w:r>
      <w:r>
        <w:rPr>
          <w:rFonts w:ascii="Calibri" w:hAnsi="Calibri"/>
          <w:spacing w:val="-1"/>
          <w:sz w:val="16"/>
        </w:rPr>
        <w:t> </w:t>
      </w:r>
      <w:r>
        <w:rPr>
          <w:rFonts w:ascii="Calibri" w:hAnsi="Calibri"/>
          <w:sz w:val="16"/>
        </w:rPr>
        <w:t>the</w:t>
      </w:r>
      <w:r>
        <w:rPr>
          <w:rFonts w:ascii="Calibri" w:hAnsi="Calibri"/>
          <w:spacing w:val="-3"/>
          <w:sz w:val="16"/>
        </w:rPr>
        <w:t> </w:t>
      </w:r>
      <w:r>
        <w:rPr>
          <w:rFonts w:ascii="Calibri" w:hAnsi="Calibri"/>
          <w:sz w:val="16"/>
        </w:rPr>
        <w:t>skills</w:t>
      </w:r>
      <w:r>
        <w:rPr>
          <w:rFonts w:ascii="Calibri" w:hAnsi="Calibri"/>
          <w:spacing w:val="-3"/>
          <w:sz w:val="16"/>
        </w:rPr>
        <w:t> </w:t>
      </w:r>
      <w:r>
        <w:rPr>
          <w:rFonts w:ascii="Calibri" w:hAnsi="Calibri"/>
          <w:sz w:val="16"/>
        </w:rPr>
        <w:t>required</w:t>
      </w:r>
      <w:r>
        <w:rPr>
          <w:rFonts w:ascii="Calibri" w:hAnsi="Calibri"/>
          <w:spacing w:val="-3"/>
          <w:sz w:val="16"/>
        </w:rPr>
        <w:t> </w:t>
      </w:r>
      <w:r>
        <w:rPr>
          <w:rFonts w:ascii="Calibri" w:hAnsi="Calibri"/>
          <w:sz w:val="16"/>
        </w:rPr>
        <w:t>to</w:t>
      </w:r>
      <w:r>
        <w:rPr>
          <w:rFonts w:ascii="Calibri" w:hAnsi="Calibri"/>
          <w:spacing w:val="-1"/>
          <w:sz w:val="16"/>
        </w:rPr>
        <w:t> </w:t>
      </w:r>
      <w:r>
        <w:rPr>
          <w:rFonts w:ascii="Calibri" w:hAnsi="Calibri"/>
          <w:sz w:val="16"/>
        </w:rPr>
        <w:t>fill</w:t>
      </w:r>
      <w:r>
        <w:rPr>
          <w:rFonts w:ascii="Calibri" w:hAnsi="Calibri"/>
          <w:spacing w:val="-3"/>
          <w:sz w:val="16"/>
        </w:rPr>
        <w:t> </w:t>
      </w:r>
      <w:r>
        <w:rPr>
          <w:rFonts w:ascii="Calibri" w:hAnsi="Calibri"/>
          <w:sz w:val="16"/>
        </w:rPr>
        <w:t>these</w:t>
      </w:r>
      <w:r>
        <w:rPr>
          <w:rFonts w:ascii="Calibri" w:hAnsi="Calibri"/>
          <w:spacing w:val="-3"/>
          <w:sz w:val="16"/>
        </w:rPr>
        <w:t> </w:t>
      </w:r>
      <w:r>
        <w:rPr>
          <w:rFonts w:ascii="Calibri" w:hAnsi="Calibri"/>
          <w:sz w:val="16"/>
        </w:rPr>
        <w:t>vacancies</w:t>
      </w:r>
      <w:r>
        <w:rPr>
          <w:rFonts w:ascii="Calibri" w:hAnsi="Calibri"/>
          <w:spacing w:val="-1"/>
          <w:sz w:val="16"/>
        </w:rPr>
        <w:t> </w:t>
      </w:r>
      <w:r>
        <w:rPr>
          <w:rFonts w:ascii="Calibri" w:hAnsi="Calibri"/>
          <w:sz w:val="16"/>
        </w:rPr>
        <w:t>in</w:t>
      </w:r>
      <w:r>
        <w:rPr>
          <w:rFonts w:ascii="Calibri" w:hAnsi="Calibri"/>
          <w:spacing w:val="-3"/>
          <w:sz w:val="16"/>
        </w:rPr>
        <w:t> </w:t>
      </w:r>
      <w:r>
        <w:rPr>
          <w:rFonts w:ascii="Calibri" w:hAnsi="Calibri"/>
          <w:sz w:val="16"/>
        </w:rPr>
        <w:t>the</w:t>
      </w:r>
      <w:r>
        <w:rPr>
          <w:rFonts w:ascii="Calibri" w:hAnsi="Calibri"/>
          <w:spacing w:val="-4"/>
          <w:sz w:val="16"/>
        </w:rPr>
        <w:t> </w:t>
      </w:r>
      <w:r>
        <w:rPr>
          <w:rFonts w:ascii="Calibri" w:hAnsi="Calibri"/>
          <w:sz w:val="16"/>
        </w:rPr>
        <w:t>hospitality</w:t>
      </w:r>
      <w:r>
        <w:rPr>
          <w:rFonts w:ascii="Calibri" w:hAnsi="Calibri"/>
          <w:spacing w:val="-3"/>
          <w:sz w:val="16"/>
        </w:rPr>
        <w:t> </w:t>
      </w:r>
      <w:r>
        <w:rPr>
          <w:rFonts w:ascii="Calibri" w:hAnsi="Calibri"/>
          <w:sz w:val="16"/>
        </w:rPr>
        <w:t>industry.</w:t>
      </w:r>
    </w:p>
    <w:p>
      <w:pPr>
        <w:spacing w:line="242" w:lineRule="auto" w:before="0"/>
        <w:ind w:left="1440" w:right="1640" w:firstLine="0"/>
        <w:jc w:val="left"/>
        <w:rPr>
          <w:rFonts w:ascii="Calibri" w:hAnsi="Calibri" w:cs="Calibri" w:eastAsia="Calibri" w:hint="default"/>
          <w:sz w:val="16"/>
          <w:szCs w:val="16"/>
        </w:rPr>
      </w:pPr>
      <w:r>
        <w:rPr>
          <w:rFonts w:ascii="Calibri" w:hAnsi="Calibri"/>
          <w:sz w:val="16"/>
        </w:rPr>
        <w:t>A</w:t>
      </w:r>
      <w:r>
        <w:rPr>
          <w:rFonts w:ascii="Calibri" w:hAnsi="Calibri"/>
          <w:spacing w:val="-2"/>
          <w:sz w:val="16"/>
        </w:rPr>
        <w:t> </w:t>
      </w:r>
      <w:r>
        <w:rPr>
          <w:rFonts w:ascii="Calibri" w:hAnsi="Calibri"/>
          <w:sz w:val="16"/>
        </w:rPr>
        <w:t>similar</w:t>
      </w:r>
      <w:r>
        <w:rPr>
          <w:rFonts w:ascii="Calibri" w:hAnsi="Calibri"/>
          <w:spacing w:val="-3"/>
          <w:sz w:val="16"/>
        </w:rPr>
        <w:t> </w:t>
      </w:r>
      <w:r>
        <w:rPr>
          <w:rFonts w:ascii="Calibri" w:hAnsi="Calibri"/>
          <w:sz w:val="16"/>
        </w:rPr>
        <w:t>fate</w:t>
      </w:r>
      <w:r>
        <w:rPr>
          <w:rFonts w:ascii="Calibri" w:hAnsi="Calibri"/>
          <w:spacing w:val="-3"/>
          <w:sz w:val="16"/>
        </w:rPr>
        <w:t> </w:t>
      </w:r>
      <w:r>
        <w:rPr>
          <w:rFonts w:ascii="Calibri" w:hAnsi="Calibri"/>
          <w:sz w:val="16"/>
        </w:rPr>
        <w:t>was</w:t>
      </w:r>
      <w:r>
        <w:rPr>
          <w:rFonts w:ascii="Calibri" w:hAnsi="Calibri"/>
          <w:spacing w:val="-3"/>
          <w:sz w:val="16"/>
        </w:rPr>
        <w:t> </w:t>
      </w:r>
      <w:r>
        <w:rPr>
          <w:rFonts w:ascii="Calibri" w:hAnsi="Calibri"/>
          <w:sz w:val="16"/>
        </w:rPr>
        <w:t>bestowed</w:t>
      </w:r>
      <w:r>
        <w:rPr>
          <w:rFonts w:ascii="Calibri" w:hAnsi="Calibri"/>
          <w:spacing w:val="-3"/>
          <w:sz w:val="16"/>
        </w:rPr>
        <w:t> </w:t>
      </w:r>
      <w:r>
        <w:rPr>
          <w:rFonts w:ascii="Calibri" w:hAnsi="Calibri"/>
          <w:sz w:val="16"/>
        </w:rPr>
        <w:t>on</w:t>
      </w:r>
      <w:r>
        <w:rPr>
          <w:rFonts w:ascii="Calibri" w:hAnsi="Calibri"/>
          <w:spacing w:val="-3"/>
          <w:sz w:val="16"/>
        </w:rPr>
        <w:t> </w:t>
      </w:r>
      <w:r>
        <w:rPr>
          <w:rFonts w:ascii="Calibri" w:hAnsi="Calibri"/>
          <w:sz w:val="16"/>
        </w:rPr>
        <w:t>the</w:t>
      </w:r>
      <w:r>
        <w:rPr>
          <w:rFonts w:ascii="Calibri" w:hAnsi="Calibri"/>
          <w:spacing w:val="-3"/>
          <w:sz w:val="16"/>
        </w:rPr>
        <w:t> </w:t>
      </w:r>
      <w:r>
        <w:rPr>
          <w:rFonts w:ascii="Calibri" w:hAnsi="Calibri"/>
          <w:sz w:val="16"/>
        </w:rPr>
        <w:t>Curaçao</w:t>
      </w:r>
      <w:r>
        <w:rPr>
          <w:rFonts w:ascii="Calibri" w:hAnsi="Calibri"/>
          <w:spacing w:val="-3"/>
          <w:sz w:val="16"/>
        </w:rPr>
        <w:t> </w:t>
      </w:r>
      <w:r>
        <w:rPr>
          <w:rFonts w:ascii="Calibri" w:hAnsi="Calibri"/>
          <w:sz w:val="16"/>
        </w:rPr>
        <w:t>Hospitality</w:t>
      </w:r>
      <w:r>
        <w:rPr>
          <w:rFonts w:ascii="Calibri" w:hAnsi="Calibri"/>
          <w:spacing w:val="-3"/>
          <w:sz w:val="16"/>
        </w:rPr>
        <w:t> </w:t>
      </w:r>
      <w:r>
        <w:rPr>
          <w:rFonts w:ascii="Calibri" w:hAnsi="Calibri"/>
          <w:sz w:val="16"/>
        </w:rPr>
        <w:t>Training,</w:t>
      </w:r>
      <w:r>
        <w:rPr>
          <w:rFonts w:ascii="Calibri" w:hAnsi="Calibri"/>
          <w:spacing w:val="-2"/>
          <w:sz w:val="16"/>
        </w:rPr>
        <w:t> </w:t>
      </w:r>
      <w:r>
        <w:rPr>
          <w:rFonts w:ascii="Calibri" w:hAnsi="Calibri"/>
          <w:sz w:val="16"/>
        </w:rPr>
        <w:t>a</w:t>
      </w:r>
      <w:r>
        <w:rPr>
          <w:rFonts w:ascii="Calibri" w:hAnsi="Calibri"/>
          <w:spacing w:val="-3"/>
          <w:sz w:val="16"/>
        </w:rPr>
        <w:t> </w:t>
      </w:r>
      <w:r>
        <w:rPr>
          <w:rFonts w:ascii="Calibri" w:hAnsi="Calibri"/>
          <w:sz w:val="16"/>
        </w:rPr>
        <w:t>project</w:t>
      </w:r>
      <w:r>
        <w:rPr>
          <w:rFonts w:ascii="Calibri" w:hAnsi="Calibri"/>
          <w:spacing w:val="-2"/>
          <w:sz w:val="16"/>
        </w:rPr>
        <w:t> </w:t>
      </w:r>
      <w:r>
        <w:rPr>
          <w:rFonts w:ascii="Calibri" w:hAnsi="Calibri"/>
          <w:sz w:val="16"/>
        </w:rPr>
        <w:t>initiated</w:t>
      </w:r>
      <w:r>
        <w:rPr>
          <w:rFonts w:ascii="Calibri" w:hAnsi="Calibri"/>
          <w:spacing w:val="-3"/>
          <w:sz w:val="16"/>
        </w:rPr>
        <w:t> </w:t>
      </w:r>
      <w:r>
        <w:rPr>
          <w:rFonts w:ascii="Calibri" w:hAnsi="Calibri"/>
          <w:sz w:val="16"/>
        </w:rPr>
        <w:t>in</w:t>
      </w:r>
      <w:r>
        <w:rPr>
          <w:rFonts w:ascii="Calibri" w:hAnsi="Calibri"/>
          <w:spacing w:val="-3"/>
          <w:sz w:val="16"/>
        </w:rPr>
        <w:t> </w:t>
      </w:r>
      <w:r>
        <w:rPr>
          <w:rFonts w:ascii="Calibri" w:hAnsi="Calibri"/>
          <w:sz w:val="16"/>
        </w:rPr>
        <w:t>2008</w:t>
      </w:r>
      <w:r>
        <w:rPr>
          <w:rFonts w:ascii="Calibri" w:hAnsi="Calibri"/>
          <w:spacing w:val="-2"/>
          <w:sz w:val="16"/>
        </w:rPr>
        <w:t> </w:t>
      </w:r>
      <w:r>
        <w:rPr>
          <w:rFonts w:ascii="Calibri" w:hAnsi="Calibri"/>
          <w:sz w:val="16"/>
        </w:rPr>
        <w:t>and</w:t>
      </w:r>
      <w:r>
        <w:rPr>
          <w:rFonts w:ascii="Calibri" w:hAnsi="Calibri"/>
          <w:spacing w:val="-3"/>
          <w:sz w:val="16"/>
        </w:rPr>
        <w:t> </w:t>
      </w:r>
      <w:r>
        <w:rPr>
          <w:rFonts w:ascii="Calibri" w:hAnsi="Calibri"/>
          <w:sz w:val="16"/>
        </w:rPr>
        <w:t>terminated</w:t>
      </w:r>
      <w:r>
        <w:rPr>
          <w:rFonts w:ascii="Calibri" w:hAnsi="Calibri"/>
          <w:spacing w:val="-1"/>
          <w:sz w:val="16"/>
        </w:rPr>
        <w:t> </w:t>
      </w:r>
      <w:r>
        <w:rPr>
          <w:rFonts w:ascii="Calibri" w:hAnsi="Calibri"/>
          <w:sz w:val="16"/>
        </w:rPr>
        <w:t>in</w:t>
      </w:r>
      <w:r>
        <w:rPr>
          <w:rFonts w:ascii="Calibri" w:hAnsi="Calibri"/>
          <w:spacing w:val="-3"/>
          <w:sz w:val="16"/>
        </w:rPr>
        <w:t> </w:t>
      </w:r>
      <w:r>
        <w:rPr>
          <w:rFonts w:ascii="Calibri" w:hAnsi="Calibri"/>
          <w:sz w:val="16"/>
        </w:rPr>
        <w:t>2014</w:t>
      </w:r>
      <w:r>
        <w:rPr>
          <w:rFonts w:ascii="Calibri" w:hAnsi="Calibri"/>
          <w:spacing w:val="-2"/>
          <w:sz w:val="16"/>
        </w:rPr>
        <w:t> </w:t>
      </w:r>
      <w:r>
        <w:rPr>
          <w:rFonts w:ascii="Calibri" w:hAnsi="Calibri"/>
          <w:sz w:val="16"/>
        </w:rPr>
        <w:t>without</w:t>
      </w:r>
      <w:r>
        <w:rPr>
          <w:rFonts w:ascii="Calibri" w:hAnsi="Calibri"/>
          <w:spacing w:val="-4"/>
          <w:sz w:val="16"/>
        </w:rPr>
        <w:t> </w:t>
      </w:r>
      <w:r>
        <w:rPr>
          <w:rFonts w:ascii="Calibri" w:hAnsi="Calibri"/>
          <w:sz w:val="16"/>
        </w:rPr>
        <w:t>accomplishing</w:t>
      </w:r>
      <w:r>
        <w:rPr>
          <w:rFonts w:ascii="Calibri" w:hAnsi="Calibri"/>
          <w:spacing w:val="-2"/>
          <w:sz w:val="16"/>
        </w:rPr>
        <w:t> </w:t>
      </w:r>
      <w:r>
        <w:rPr>
          <w:rFonts w:ascii="Calibri" w:hAnsi="Calibri"/>
          <w:sz w:val="16"/>
        </w:rPr>
        <w:t>its </w:t>
      </w:r>
      <w:r>
        <w:rPr>
          <w:rFonts w:ascii="Calibri" w:hAnsi="Calibri"/>
          <w:sz w:val="16"/>
        </w:rPr>
        <w:t>objectives.</w:t>
      </w:r>
      <w:r>
        <w:rPr>
          <w:rFonts w:ascii="Calibri" w:hAnsi="Calibri"/>
          <w:spacing w:val="-3"/>
          <w:sz w:val="16"/>
        </w:rPr>
        <w:t> </w:t>
      </w:r>
      <w:r>
        <w:rPr>
          <w:rFonts w:ascii="Calibri" w:hAnsi="Calibri"/>
          <w:sz w:val="16"/>
        </w:rPr>
        <w:t>For</w:t>
      </w:r>
      <w:r>
        <w:rPr>
          <w:rFonts w:ascii="Calibri" w:hAnsi="Calibri"/>
          <w:spacing w:val="-3"/>
          <w:sz w:val="16"/>
        </w:rPr>
        <w:t> </w:t>
      </w:r>
      <w:r>
        <w:rPr>
          <w:rFonts w:ascii="Calibri" w:hAnsi="Calibri"/>
          <w:sz w:val="16"/>
        </w:rPr>
        <w:t>a</w:t>
      </w:r>
      <w:r>
        <w:rPr>
          <w:rFonts w:ascii="Calibri" w:hAnsi="Calibri"/>
          <w:spacing w:val="-3"/>
          <w:sz w:val="16"/>
        </w:rPr>
        <w:t> </w:t>
      </w:r>
      <w:r>
        <w:rPr>
          <w:rFonts w:ascii="Calibri" w:hAnsi="Calibri"/>
          <w:sz w:val="16"/>
        </w:rPr>
        <w:t>more</w:t>
      </w:r>
      <w:r>
        <w:rPr>
          <w:rFonts w:ascii="Calibri" w:hAnsi="Calibri"/>
          <w:spacing w:val="-3"/>
          <w:sz w:val="16"/>
        </w:rPr>
        <w:t> </w:t>
      </w:r>
      <w:r>
        <w:rPr>
          <w:rFonts w:ascii="Calibri" w:hAnsi="Calibri"/>
          <w:sz w:val="16"/>
        </w:rPr>
        <w:t>detailed</w:t>
      </w:r>
      <w:r>
        <w:rPr>
          <w:rFonts w:ascii="Calibri" w:hAnsi="Calibri"/>
          <w:spacing w:val="-3"/>
          <w:sz w:val="16"/>
        </w:rPr>
        <w:t> </w:t>
      </w:r>
      <w:r>
        <w:rPr>
          <w:rFonts w:ascii="Calibri" w:hAnsi="Calibri"/>
          <w:sz w:val="16"/>
        </w:rPr>
        <w:t>analysis</w:t>
      </w:r>
      <w:r>
        <w:rPr>
          <w:rFonts w:ascii="Calibri" w:hAnsi="Calibri"/>
          <w:spacing w:val="-3"/>
          <w:sz w:val="16"/>
        </w:rPr>
        <w:t> </w:t>
      </w:r>
      <w:r>
        <w:rPr>
          <w:rFonts w:ascii="Calibri" w:hAnsi="Calibri"/>
          <w:sz w:val="16"/>
        </w:rPr>
        <w:t>of</w:t>
      </w:r>
      <w:r>
        <w:rPr>
          <w:rFonts w:ascii="Calibri" w:hAnsi="Calibri"/>
          <w:spacing w:val="-3"/>
          <w:sz w:val="16"/>
        </w:rPr>
        <w:t> </w:t>
      </w:r>
      <w:r>
        <w:rPr>
          <w:rFonts w:ascii="Calibri" w:hAnsi="Calibri"/>
          <w:sz w:val="16"/>
        </w:rPr>
        <w:t>the</w:t>
      </w:r>
      <w:r>
        <w:rPr>
          <w:rFonts w:ascii="Calibri" w:hAnsi="Calibri"/>
          <w:spacing w:val="-3"/>
          <w:sz w:val="16"/>
        </w:rPr>
        <w:t> </w:t>
      </w:r>
      <w:r>
        <w:rPr>
          <w:rFonts w:ascii="Calibri" w:hAnsi="Calibri"/>
          <w:sz w:val="16"/>
        </w:rPr>
        <w:t>project,</w:t>
      </w:r>
      <w:r>
        <w:rPr>
          <w:rFonts w:ascii="Calibri" w:hAnsi="Calibri"/>
          <w:spacing w:val="-2"/>
          <w:sz w:val="16"/>
        </w:rPr>
        <w:t> </w:t>
      </w:r>
      <w:r>
        <w:rPr>
          <w:rFonts w:ascii="Calibri" w:hAnsi="Calibri"/>
          <w:sz w:val="16"/>
        </w:rPr>
        <w:t>see</w:t>
      </w:r>
      <w:r>
        <w:rPr>
          <w:rFonts w:ascii="Calibri" w:hAnsi="Calibri"/>
          <w:spacing w:val="-3"/>
          <w:sz w:val="16"/>
        </w:rPr>
        <w:t> </w:t>
      </w:r>
      <w:r>
        <w:rPr>
          <w:rFonts w:ascii="Calibri" w:hAnsi="Calibri"/>
          <w:sz w:val="16"/>
        </w:rPr>
        <w:t>NASCI</w:t>
      </w:r>
      <w:r>
        <w:rPr>
          <w:rFonts w:ascii="Calibri" w:hAnsi="Calibri"/>
          <w:spacing w:val="-2"/>
          <w:sz w:val="16"/>
        </w:rPr>
        <w:t> </w:t>
      </w:r>
      <w:r>
        <w:rPr>
          <w:rFonts w:ascii="Calibri" w:hAnsi="Calibri"/>
          <w:sz w:val="16"/>
        </w:rPr>
        <w:t>(2014).</w:t>
      </w:r>
      <w:r>
        <w:rPr>
          <w:rFonts w:ascii="Calibri" w:hAnsi="Calibri"/>
          <w:spacing w:val="-3"/>
          <w:sz w:val="16"/>
        </w:rPr>
        <w:t> </w:t>
      </w:r>
      <w:r>
        <w:rPr>
          <w:rFonts w:ascii="Calibri" w:hAnsi="Calibri"/>
          <w:sz w:val="16"/>
        </w:rPr>
        <w:t>Project</w:t>
      </w:r>
      <w:r>
        <w:rPr>
          <w:rFonts w:ascii="Calibri" w:hAnsi="Calibri"/>
          <w:spacing w:val="-3"/>
          <w:sz w:val="16"/>
        </w:rPr>
        <w:t> </w:t>
      </w:r>
      <w:r>
        <w:rPr>
          <w:rFonts w:ascii="Calibri" w:hAnsi="Calibri"/>
          <w:sz w:val="16"/>
        </w:rPr>
        <w:t>Horecatraining</w:t>
      </w:r>
      <w:r>
        <w:rPr>
          <w:rFonts w:ascii="Calibri" w:hAnsi="Calibri"/>
          <w:spacing w:val="-2"/>
          <w:sz w:val="16"/>
        </w:rPr>
        <w:t> </w:t>
      </w:r>
      <w:r>
        <w:rPr>
          <w:rFonts w:ascii="Calibri" w:hAnsi="Calibri"/>
          <w:sz w:val="16"/>
        </w:rPr>
        <w:t>Werkzoekenden.</w:t>
      </w:r>
      <w:r>
        <w:rPr>
          <w:rFonts w:ascii="Calibri" w:hAnsi="Calibri"/>
          <w:spacing w:val="-2"/>
          <w:sz w:val="16"/>
        </w:rPr>
        <w:t> </w:t>
      </w:r>
      <w:r>
        <w:rPr>
          <w:rFonts w:ascii="Calibri" w:hAnsi="Calibri"/>
          <w:sz w:val="16"/>
        </w:rPr>
        <w:t>CTB.</w:t>
      </w:r>
    </w:p>
    <w:p>
      <w:pPr>
        <w:spacing w:after="0" w:line="242"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40"/>
        <w:jc w:val="both"/>
      </w:pPr>
      <w:r>
        <w:rPr/>
        <w:t>responsibility in itself. Additionally, the blurred responsibilities between the CTB Board and the Interim CEO create confusion in the direction and management of the</w:t>
      </w:r>
      <w:r>
        <w:rPr>
          <w:spacing w:val="-16"/>
        </w:rPr>
        <w:t> </w:t>
      </w:r>
      <w:r>
        <w:rPr/>
        <w:t>institution.</w:t>
      </w:r>
    </w:p>
    <w:p>
      <w:pPr>
        <w:spacing w:line="240" w:lineRule="auto" w:before="11"/>
        <w:ind w:right="0"/>
        <w:rPr>
          <w:rFonts w:ascii="Calibri" w:hAnsi="Calibri" w:cs="Calibri" w:eastAsia="Calibri" w:hint="default"/>
          <w:sz w:val="19"/>
          <w:szCs w:val="19"/>
        </w:rPr>
      </w:pPr>
    </w:p>
    <w:p>
      <w:pPr>
        <w:pStyle w:val="BodyText"/>
        <w:spacing w:line="240" w:lineRule="auto"/>
        <w:ind w:right="1437"/>
        <w:jc w:val="both"/>
      </w:pPr>
      <w:r>
        <w:rPr/>
        <w:t>In</w:t>
      </w:r>
      <w:r>
        <w:rPr>
          <w:spacing w:val="-2"/>
        </w:rPr>
        <w:t> </w:t>
      </w:r>
      <w:r>
        <w:rPr/>
        <w:t>its</w:t>
      </w:r>
      <w:r>
        <w:rPr>
          <w:spacing w:val="-4"/>
        </w:rPr>
        <w:t> </w:t>
      </w:r>
      <w:r>
        <w:rPr/>
        <w:t>current</w:t>
      </w:r>
      <w:r>
        <w:rPr>
          <w:spacing w:val="-2"/>
        </w:rPr>
        <w:t> </w:t>
      </w:r>
      <w:r>
        <w:rPr/>
        <w:t>position</w:t>
      </w:r>
      <w:r>
        <w:rPr>
          <w:spacing w:val="-2"/>
        </w:rPr>
        <w:t> </w:t>
      </w:r>
      <w:r>
        <w:rPr/>
        <w:t>(as</w:t>
      </w:r>
      <w:r>
        <w:rPr>
          <w:spacing w:val="-4"/>
        </w:rPr>
        <w:t> </w:t>
      </w:r>
      <w:r>
        <w:rPr/>
        <w:t>expressed</w:t>
      </w:r>
      <w:r>
        <w:rPr>
          <w:spacing w:val="-2"/>
        </w:rPr>
        <w:t> </w:t>
      </w:r>
      <w:r>
        <w:rPr/>
        <w:t>in</w:t>
      </w:r>
      <w:r>
        <w:rPr>
          <w:spacing w:val="-2"/>
        </w:rPr>
        <w:t> </w:t>
      </w:r>
      <w:r>
        <w:rPr/>
        <w:t>the</w:t>
      </w:r>
      <w:r>
        <w:rPr>
          <w:spacing w:val="-3"/>
        </w:rPr>
        <w:t> </w:t>
      </w:r>
      <w:r>
        <w:rPr/>
        <w:t>2014</w:t>
      </w:r>
      <w:r>
        <w:rPr>
          <w:spacing w:val="-3"/>
        </w:rPr>
        <w:t> </w:t>
      </w:r>
      <w:r>
        <w:rPr/>
        <w:t>business</w:t>
      </w:r>
      <w:r>
        <w:rPr>
          <w:spacing w:val="-4"/>
        </w:rPr>
        <w:t> </w:t>
      </w:r>
      <w:r>
        <w:rPr/>
        <w:t>plan)</w:t>
      </w:r>
      <w:r>
        <w:rPr>
          <w:spacing w:val="-3"/>
        </w:rPr>
        <w:t> </w:t>
      </w:r>
      <w:r>
        <w:rPr/>
        <w:t>the</w:t>
      </w:r>
      <w:r>
        <w:rPr>
          <w:spacing w:val="-3"/>
        </w:rPr>
        <w:t> </w:t>
      </w:r>
      <w:r>
        <w:rPr/>
        <w:t>CTB</w:t>
      </w:r>
      <w:r>
        <w:rPr>
          <w:spacing w:val="-3"/>
        </w:rPr>
        <w:t> </w:t>
      </w:r>
      <w:r>
        <w:rPr/>
        <w:t>appears</w:t>
      </w:r>
      <w:r>
        <w:rPr>
          <w:spacing w:val="-4"/>
        </w:rPr>
        <w:t> </w:t>
      </w:r>
      <w:r>
        <w:rPr/>
        <w:t>to</w:t>
      </w:r>
      <w:r>
        <w:rPr>
          <w:spacing w:val="-2"/>
        </w:rPr>
        <w:t> </w:t>
      </w:r>
      <w:r>
        <w:rPr/>
        <w:t>be</w:t>
      </w:r>
      <w:r>
        <w:rPr>
          <w:spacing w:val="-3"/>
        </w:rPr>
        <w:t> </w:t>
      </w:r>
      <w:r>
        <w:rPr/>
        <w:t>an</w:t>
      </w:r>
      <w:r>
        <w:rPr>
          <w:spacing w:val="-2"/>
        </w:rPr>
        <w:t> </w:t>
      </w:r>
      <w:r>
        <w:rPr/>
        <w:t>organization</w:t>
      </w:r>
      <w:r>
        <w:rPr>
          <w:spacing w:val="-2"/>
        </w:rPr>
        <w:t> </w:t>
      </w:r>
      <w:r>
        <w:rPr/>
        <w:t>that</w:t>
      </w:r>
      <w:r>
        <w:rPr>
          <w:spacing w:val="-2"/>
        </w:rPr>
        <w:t> </w:t>
      </w:r>
      <w:r>
        <w:rPr>
          <w:spacing w:val="5"/>
        </w:rPr>
        <w:t>i</w:t>
      </w:r>
      <w:r>
        <w:rPr>
          <w:rFonts w:ascii="Calibri" w:hAnsi="Calibri" w:cs="Calibri" w:eastAsia="Calibri" w:hint="default"/>
          <w:spacing w:val="5"/>
        </w:rPr>
        <w:t>s</w:t>
      </w:r>
      <w:r>
        <w:rPr>
          <w:rFonts w:ascii="Calibri" w:hAnsi="Calibri" w:cs="Calibri" w:eastAsia="Calibri" w:hint="default"/>
          <w:spacing w:val="-4"/>
        </w:rPr>
        <w:t> </w:t>
      </w:r>
      <w:r>
        <w:rPr>
          <w:rFonts w:ascii="Calibri" w:hAnsi="Calibri" w:cs="Calibri" w:eastAsia="Calibri" w:hint="default"/>
        </w:rPr>
        <w:t>a,</w:t>
      </w:r>
      <w:r>
        <w:rPr>
          <w:rFonts w:ascii="Calibri" w:hAnsi="Calibri" w:cs="Calibri" w:eastAsia="Calibri" w:hint="default"/>
          <w:spacing w:val="-2"/>
        </w:rPr>
        <w:t> </w:t>
      </w:r>
      <w:r>
        <w:rPr>
          <w:rFonts w:ascii="Calibri" w:hAnsi="Calibri" w:cs="Calibri" w:eastAsia="Calibri" w:hint="default"/>
        </w:rPr>
        <w:t>‘Jack </w:t>
      </w:r>
      <w:r>
        <w:rPr>
          <w:rFonts w:ascii="Calibri" w:hAnsi="Calibri" w:cs="Calibri" w:eastAsia="Calibri" w:hint="default"/>
        </w:rPr>
      </w:r>
      <w:r>
        <w:rPr/>
        <w:t>of all </w:t>
      </w:r>
      <w:r>
        <w:rPr>
          <w:rFonts w:ascii="Calibri" w:hAnsi="Calibri" w:cs="Calibri" w:eastAsia="Calibri" w:hint="default"/>
        </w:rPr>
        <w:t>trades’</w:t>
      </w:r>
      <w:r>
        <w:rPr/>
        <w:t>. An organization that acts as a Jack of all trades in an industry that requires speed and accuracy to optimize the sales of perishable products cannot be the driving force for that industry. Either by convention or by circumstances, the amount of tasks and assignments that the CTB is currently engaged in is preventing the organization from having a clear focus on its core</w:t>
      </w:r>
      <w:r>
        <w:rPr>
          <w:spacing w:val="-27"/>
        </w:rPr>
        <w:t> </w:t>
      </w:r>
      <w:r>
        <w:rPr/>
        <w:t>business.</w:t>
      </w:r>
    </w:p>
    <w:p>
      <w:pPr>
        <w:spacing w:line="240" w:lineRule="auto" w:before="1"/>
        <w:ind w:right="0"/>
        <w:rPr>
          <w:rFonts w:ascii="Calibri" w:hAnsi="Calibri" w:cs="Calibri" w:eastAsia="Calibri" w:hint="default"/>
          <w:sz w:val="20"/>
          <w:szCs w:val="20"/>
        </w:rPr>
      </w:pPr>
    </w:p>
    <w:p>
      <w:pPr>
        <w:pStyle w:val="BodyText"/>
        <w:spacing w:line="240" w:lineRule="auto"/>
        <w:ind w:right="1436"/>
        <w:jc w:val="both"/>
        <w:rPr>
          <w:sz w:val="12"/>
          <w:szCs w:val="12"/>
        </w:rPr>
      </w:pPr>
      <w:r>
        <w:rPr/>
        <w:t>The third tactical challenge for the CTB is its struggle with a deficient budget to carry out its tasks. A quick analysis of the budget spanning 2002 to 2014 reveals that the allocation of budget resources has been intermittent and unstable. This has resulted in marketing cuts that have an adverse effect on driving demand. An assessment of the relationship between marketing budget allocations and arrivals suggests a very weak relationship as depicted in Figure</w:t>
      </w:r>
      <w:r>
        <w:rPr>
          <w:spacing w:val="-8"/>
        </w:rPr>
        <w:t> </w:t>
      </w:r>
      <w:r>
        <w:rPr/>
        <w:t>18.</w:t>
      </w:r>
      <w:r>
        <w:rPr>
          <w:position w:val="5"/>
          <w:sz w:val="12"/>
        </w:rPr>
        <w:t>45</w:t>
      </w:r>
      <w:r>
        <w:rPr>
          <w:spacing w:val="21"/>
          <w:position w:val="5"/>
          <w:sz w:val="12"/>
        </w:rPr>
        <w:t> </w:t>
      </w:r>
      <w:r>
        <w:rPr/>
        <w:t>Current</w:t>
      </w:r>
      <w:r>
        <w:rPr>
          <w:spacing w:val="-7"/>
        </w:rPr>
        <w:t> </w:t>
      </w:r>
      <w:r>
        <w:rPr/>
        <w:t>figures</w:t>
      </w:r>
      <w:r>
        <w:rPr>
          <w:spacing w:val="-9"/>
        </w:rPr>
        <w:t> </w:t>
      </w:r>
      <w:r>
        <w:rPr/>
        <w:t>indicate</w:t>
      </w:r>
      <w:r>
        <w:rPr>
          <w:spacing w:val="-9"/>
        </w:rPr>
        <w:t> </w:t>
      </w:r>
      <w:r>
        <w:rPr/>
        <w:t>that</w:t>
      </w:r>
      <w:r>
        <w:rPr>
          <w:spacing w:val="-7"/>
        </w:rPr>
        <w:t> </w:t>
      </w:r>
      <w:r>
        <w:rPr/>
        <w:t>CTB</w:t>
      </w:r>
      <w:r>
        <w:rPr>
          <w:spacing w:val="-6"/>
        </w:rPr>
        <w:t> </w:t>
      </w:r>
      <w:r>
        <w:rPr/>
        <w:t>marketing</w:t>
      </w:r>
      <w:r>
        <w:rPr>
          <w:spacing w:val="-8"/>
        </w:rPr>
        <w:t> </w:t>
      </w:r>
      <w:r>
        <w:rPr/>
        <w:t>productivity</w:t>
      </w:r>
      <w:r>
        <w:rPr>
          <w:spacing w:val="-7"/>
        </w:rPr>
        <w:t> </w:t>
      </w:r>
      <w:r>
        <w:rPr/>
        <w:t>is</w:t>
      </w:r>
      <w:r>
        <w:rPr>
          <w:spacing w:val="-9"/>
        </w:rPr>
        <w:t> </w:t>
      </w:r>
      <w:r>
        <w:rPr/>
        <w:t>relatively</w:t>
      </w:r>
      <w:r>
        <w:rPr>
          <w:spacing w:val="-7"/>
        </w:rPr>
        <w:t> </w:t>
      </w:r>
      <w:r>
        <w:rPr/>
        <w:t>low.</w:t>
      </w:r>
      <w:r>
        <w:rPr>
          <w:spacing w:val="-1"/>
        </w:rPr>
        <w:t> </w:t>
      </w:r>
      <w:r>
        <w:rPr/>
        <w:t>According</w:t>
      </w:r>
      <w:r>
        <w:rPr>
          <w:spacing w:val="-8"/>
        </w:rPr>
        <w:t> </w:t>
      </w:r>
      <w:r>
        <w:rPr/>
        <w:t>to</w:t>
      </w:r>
      <w:r>
        <w:rPr>
          <w:spacing w:val="-7"/>
        </w:rPr>
        <w:t> </w:t>
      </w:r>
      <w:r>
        <w:rPr/>
        <w:t>the</w:t>
      </w:r>
      <w:r>
        <w:rPr>
          <w:spacing w:val="-9"/>
        </w:rPr>
        <w:t> </w:t>
      </w:r>
      <w:r>
        <w:rPr/>
        <w:t>2015</w:t>
      </w:r>
      <w:r>
        <w:rPr>
          <w:spacing w:val="-9"/>
        </w:rPr>
        <w:t> </w:t>
      </w:r>
      <w:r>
        <w:rPr/>
        <w:t>budget, </w:t>
      </w:r>
      <w:r>
        <w:rPr/>
        <w:t>the</w:t>
      </w:r>
      <w:r>
        <w:rPr>
          <w:spacing w:val="-9"/>
        </w:rPr>
        <w:t> </w:t>
      </w:r>
      <w:r>
        <w:rPr/>
        <w:t>marketing</w:t>
      </w:r>
      <w:r>
        <w:rPr>
          <w:spacing w:val="-8"/>
        </w:rPr>
        <w:t> </w:t>
      </w:r>
      <w:r>
        <w:rPr/>
        <w:t>costs</w:t>
      </w:r>
      <w:r>
        <w:rPr>
          <w:spacing w:val="-9"/>
        </w:rPr>
        <w:t> </w:t>
      </w:r>
      <w:r>
        <w:rPr/>
        <w:t>for</w:t>
      </w:r>
      <w:r>
        <w:rPr>
          <w:spacing w:val="-8"/>
        </w:rPr>
        <w:t> </w:t>
      </w:r>
      <w:r>
        <w:rPr/>
        <w:t>acquiring</w:t>
      </w:r>
      <w:r>
        <w:rPr>
          <w:spacing w:val="-8"/>
        </w:rPr>
        <w:t> </w:t>
      </w:r>
      <w:r>
        <w:rPr/>
        <w:t>one</w:t>
      </w:r>
      <w:r>
        <w:rPr>
          <w:spacing w:val="-9"/>
        </w:rPr>
        <w:t> </w:t>
      </w:r>
      <w:r>
        <w:rPr/>
        <w:t>tourist</w:t>
      </w:r>
      <w:r>
        <w:rPr>
          <w:spacing w:val="-6"/>
        </w:rPr>
        <w:t> </w:t>
      </w:r>
      <w:r>
        <w:rPr/>
        <w:t>is</w:t>
      </w:r>
      <w:r>
        <w:rPr>
          <w:spacing w:val="-9"/>
        </w:rPr>
        <w:t> </w:t>
      </w:r>
      <w:r>
        <w:rPr/>
        <w:t>approximately</w:t>
      </w:r>
      <w:r>
        <w:rPr>
          <w:spacing w:val="-6"/>
        </w:rPr>
        <w:t> </w:t>
      </w:r>
      <w:r>
        <w:rPr/>
        <w:t>US$38.00.</w:t>
      </w:r>
      <w:r>
        <w:rPr>
          <w:spacing w:val="31"/>
        </w:rPr>
        <w:t> </w:t>
      </w:r>
      <w:r>
        <w:rPr/>
        <w:t>However,</w:t>
      </w:r>
      <w:r>
        <w:rPr>
          <w:spacing w:val="-7"/>
        </w:rPr>
        <w:t> </w:t>
      </w:r>
      <w:r>
        <w:rPr/>
        <w:t>the</w:t>
      </w:r>
      <w:r>
        <w:rPr>
          <w:spacing w:val="-9"/>
        </w:rPr>
        <w:t> </w:t>
      </w:r>
      <w:r>
        <w:rPr/>
        <w:t>return</w:t>
      </w:r>
      <w:r>
        <w:rPr>
          <w:spacing w:val="-7"/>
        </w:rPr>
        <w:t> </w:t>
      </w:r>
      <w:r>
        <w:rPr/>
        <w:t>on</w:t>
      </w:r>
      <w:r>
        <w:rPr>
          <w:spacing w:val="-7"/>
        </w:rPr>
        <w:t> </w:t>
      </w:r>
      <w:r>
        <w:rPr/>
        <w:t>investment</w:t>
      </w:r>
      <w:r>
        <w:rPr>
          <w:spacing w:val="-7"/>
        </w:rPr>
        <w:t> </w:t>
      </w:r>
      <w:r>
        <w:rPr/>
        <w:t>for</w:t>
      </w:r>
      <w:r>
        <w:rPr>
          <w:spacing w:val="-8"/>
        </w:rPr>
        <w:t> </w:t>
      </w:r>
      <w:r>
        <w:rPr/>
        <w:t>the </w:t>
      </w:r>
      <w:r>
        <w:rPr/>
        <w:t>US$38.00</w:t>
      </w:r>
      <w:r>
        <w:rPr>
          <w:spacing w:val="-8"/>
        </w:rPr>
        <w:t> </w:t>
      </w:r>
      <w:r>
        <w:rPr/>
        <w:t>equates</w:t>
      </w:r>
      <w:r>
        <w:rPr>
          <w:spacing w:val="-10"/>
        </w:rPr>
        <w:t> </w:t>
      </w:r>
      <w:r>
        <w:rPr/>
        <w:t>to</w:t>
      </w:r>
      <w:r>
        <w:rPr>
          <w:spacing w:val="-9"/>
        </w:rPr>
        <w:t> </w:t>
      </w:r>
      <w:r>
        <w:rPr/>
        <w:t>an</w:t>
      </w:r>
      <w:r>
        <w:rPr>
          <w:spacing w:val="-8"/>
        </w:rPr>
        <w:t> </w:t>
      </w:r>
      <w:r>
        <w:rPr/>
        <w:t>average</w:t>
      </w:r>
      <w:r>
        <w:rPr>
          <w:spacing w:val="-10"/>
        </w:rPr>
        <w:t> </w:t>
      </w:r>
      <w:r>
        <w:rPr/>
        <w:t>US$925.50</w:t>
      </w:r>
      <w:r>
        <w:rPr>
          <w:spacing w:val="-9"/>
        </w:rPr>
        <w:t> </w:t>
      </w:r>
      <w:r>
        <w:rPr/>
        <w:t>per</w:t>
      </w:r>
      <w:r>
        <w:rPr>
          <w:spacing w:val="-9"/>
        </w:rPr>
        <w:t> </w:t>
      </w:r>
      <w:r>
        <w:rPr/>
        <w:t>person.</w:t>
      </w:r>
      <w:r>
        <w:rPr>
          <w:spacing w:val="-8"/>
        </w:rPr>
        <w:t> </w:t>
      </w:r>
      <w:r>
        <w:rPr/>
        <w:t>This</w:t>
      </w:r>
      <w:r>
        <w:rPr>
          <w:spacing w:val="-8"/>
        </w:rPr>
        <w:t> </w:t>
      </w:r>
      <w:r>
        <w:rPr/>
        <w:t>brings</w:t>
      </w:r>
      <w:r>
        <w:rPr>
          <w:spacing w:val="-11"/>
        </w:rPr>
        <w:t> </w:t>
      </w:r>
      <w:r>
        <w:rPr/>
        <w:t>a</w:t>
      </w:r>
      <w:r>
        <w:rPr>
          <w:spacing w:val="-9"/>
        </w:rPr>
        <w:t> </w:t>
      </w:r>
      <w:r>
        <w:rPr/>
        <w:t>ratio</w:t>
      </w:r>
      <w:r>
        <w:rPr>
          <w:spacing w:val="-9"/>
        </w:rPr>
        <w:t> </w:t>
      </w:r>
      <w:r>
        <w:rPr/>
        <w:t>acquisition-spending</w:t>
      </w:r>
      <w:r>
        <w:rPr>
          <w:spacing w:val="-9"/>
        </w:rPr>
        <w:t> </w:t>
      </w:r>
      <w:r>
        <w:rPr/>
        <w:t>of</w:t>
      </w:r>
      <w:r>
        <w:rPr>
          <w:spacing w:val="-10"/>
        </w:rPr>
        <w:t> </w:t>
      </w:r>
      <w:r>
        <w:rPr/>
        <w:t>one</w:t>
      </w:r>
      <w:r>
        <w:rPr>
          <w:spacing w:val="-10"/>
        </w:rPr>
        <w:t> </w:t>
      </w:r>
      <w:r>
        <w:rPr/>
        <w:t>(1)</w:t>
      </w:r>
      <w:r>
        <w:rPr>
          <w:spacing w:val="-10"/>
        </w:rPr>
        <w:t> </w:t>
      </w:r>
      <w:r>
        <w:rPr/>
        <w:t>to</w:t>
      </w:r>
      <w:r>
        <w:rPr>
          <w:spacing w:val="-9"/>
        </w:rPr>
        <w:t> </w:t>
      </w:r>
      <w:r>
        <w:rPr/>
        <w:t>twenty- </w:t>
      </w:r>
      <w:r>
        <w:rPr/>
        <w:t>four</w:t>
      </w:r>
      <w:r>
        <w:rPr>
          <w:spacing w:val="-1"/>
        </w:rPr>
        <w:t> </w:t>
      </w:r>
      <w:r>
        <w:rPr/>
        <w:t>(24)</w:t>
      </w:r>
      <w:r>
        <w:rPr>
          <w:spacing w:val="-3"/>
        </w:rPr>
        <w:t> </w:t>
      </w:r>
      <w:r>
        <w:rPr/>
        <w:t>(1:24).</w:t>
      </w:r>
      <w:r>
        <w:rPr>
          <w:spacing w:val="-2"/>
        </w:rPr>
        <w:t> </w:t>
      </w:r>
      <w:r>
        <w:rPr/>
        <w:t>In</w:t>
      </w:r>
      <w:r>
        <w:rPr>
          <w:spacing w:val="-2"/>
        </w:rPr>
        <w:t> </w:t>
      </w:r>
      <w:r>
        <w:rPr/>
        <w:t>addition,</w:t>
      </w:r>
      <w:r>
        <w:rPr>
          <w:spacing w:val="-4"/>
        </w:rPr>
        <w:t> </w:t>
      </w:r>
      <w:r>
        <w:rPr/>
        <w:t>marketing</w:t>
      </w:r>
      <w:r>
        <w:rPr>
          <w:spacing w:val="-3"/>
        </w:rPr>
        <w:t> </w:t>
      </w:r>
      <w:r>
        <w:rPr/>
        <w:t>hard</w:t>
      </w:r>
      <w:r>
        <w:rPr>
          <w:spacing w:val="-2"/>
        </w:rPr>
        <w:t> </w:t>
      </w:r>
      <w:r>
        <w:rPr/>
        <w:t>dollars</w:t>
      </w:r>
      <w:r>
        <w:rPr>
          <w:spacing w:val="-4"/>
        </w:rPr>
        <w:t> </w:t>
      </w:r>
      <w:r>
        <w:rPr/>
        <w:t>spent</w:t>
      </w:r>
      <w:r>
        <w:rPr>
          <w:spacing w:val="-2"/>
        </w:rPr>
        <w:t> </w:t>
      </w:r>
      <w:r>
        <w:rPr/>
        <w:t>is</w:t>
      </w:r>
      <w:r>
        <w:rPr>
          <w:spacing w:val="-4"/>
        </w:rPr>
        <w:t> </w:t>
      </w:r>
      <w:r>
        <w:rPr/>
        <w:t>only</w:t>
      </w:r>
      <w:r>
        <w:rPr>
          <w:spacing w:val="-2"/>
        </w:rPr>
        <w:t> </w:t>
      </w:r>
      <w:r>
        <w:rPr/>
        <w:t>equivalent</w:t>
      </w:r>
      <w:r>
        <w:rPr>
          <w:spacing w:val="-2"/>
        </w:rPr>
        <w:t> </w:t>
      </w:r>
      <w:r>
        <w:rPr/>
        <w:t>to</w:t>
      </w:r>
      <w:r>
        <w:rPr>
          <w:spacing w:val="-2"/>
        </w:rPr>
        <w:t> </w:t>
      </w:r>
      <w:r>
        <w:rPr/>
        <w:t>38%</w:t>
      </w:r>
      <w:r>
        <w:rPr>
          <w:spacing w:val="-3"/>
        </w:rPr>
        <w:t> </w:t>
      </w:r>
      <w:r>
        <w:rPr/>
        <w:t>of</w:t>
      </w:r>
      <w:r>
        <w:rPr>
          <w:spacing w:val="-4"/>
        </w:rPr>
        <w:t> </w:t>
      </w:r>
      <w:r>
        <w:rPr/>
        <w:t>the</w:t>
      </w:r>
      <w:r>
        <w:rPr>
          <w:spacing w:val="-3"/>
        </w:rPr>
        <w:t> </w:t>
      </w:r>
      <w:r>
        <w:rPr/>
        <w:t>total</w:t>
      </w:r>
      <w:r>
        <w:rPr>
          <w:spacing w:val="-3"/>
        </w:rPr>
        <w:t> </w:t>
      </w:r>
      <w:r>
        <w:rPr/>
        <w:t>CTB</w:t>
      </w:r>
      <w:r>
        <w:rPr>
          <w:spacing w:val="-3"/>
        </w:rPr>
        <w:t> </w:t>
      </w:r>
      <w:r>
        <w:rPr/>
        <w:t>budget.</w:t>
      </w:r>
      <w:r>
        <w:rPr>
          <w:position w:val="5"/>
          <w:sz w:val="12"/>
        </w:rPr>
        <w:t>46</w:t>
      </w:r>
      <w:r>
        <w:rPr>
          <w:sz w:val="12"/>
        </w:rPr>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t>All of this information regarding the effective use of the marketing budget implies two things. First, the marketing dollars</w:t>
      </w:r>
      <w:r>
        <w:rPr>
          <w:spacing w:val="-5"/>
        </w:rPr>
        <w:t> </w:t>
      </w:r>
      <w:r>
        <w:rPr/>
        <w:t>spent</w:t>
      </w:r>
      <w:r>
        <w:rPr>
          <w:spacing w:val="-3"/>
        </w:rPr>
        <w:t> </w:t>
      </w:r>
      <w:r>
        <w:rPr/>
        <w:t>to</w:t>
      </w:r>
      <w:r>
        <w:rPr>
          <w:spacing w:val="-4"/>
        </w:rPr>
        <w:t> </w:t>
      </w:r>
      <w:r>
        <w:rPr/>
        <w:t>acquire</w:t>
      </w:r>
      <w:r>
        <w:rPr>
          <w:spacing w:val="-5"/>
        </w:rPr>
        <w:t> </w:t>
      </w:r>
      <w:r>
        <w:rPr/>
        <w:t>tourists</w:t>
      </w:r>
      <w:r>
        <w:rPr>
          <w:spacing w:val="-5"/>
        </w:rPr>
        <w:t> </w:t>
      </w:r>
      <w:r>
        <w:rPr/>
        <w:t>is</w:t>
      </w:r>
      <w:r>
        <w:rPr>
          <w:spacing w:val="-4"/>
        </w:rPr>
        <w:t> </w:t>
      </w:r>
      <w:r>
        <w:rPr/>
        <w:t>ineffective</w:t>
      </w:r>
      <w:r>
        <w:rPr>
          <w:spacing w:val="-5"/>
        </w:rPr>
        <w:t> </w:t>
      </w:r>
      <w:r>
        <w:rPr/>
        <w:t>and</w:t>
      </w:r>
      <w:r>
        <w:rPr>
          <w:spacing w:val="-4"/>
        </w:rPr>
        <w:t> </w:t>
      </w:r>
      <w:r>
        <w:rPr/>
        <w:t>second,</w:t>
      </w:r>
      <w:r>
        <w:rPr>
          <w:spacing w:val="-4"/>
        </w:rPr>
        <w:t> </w:t>
      </w:r>
      <w:r>
        <w:rPr/>
        <w:t>the</w:t>
      </w:r>
      <w:r>
        <w:rPr>
          <w:spacing w:val="-1"/>
        </w:rPr>
        <w:t> </w:t>
      </w:r>
      <w:r>
        <w:rPr/>
        <w:t>markets</w:t>
      </w:r>
      <w:r>
        <w:rPr>
          <w:spacing w:val="-5"/>
        </w:rPr>
        <w:t> </w:t>
      </w:r>
      <w:r>
        <w:rPr/>
        <w:t>that</w:t>
      </w:r>
      <w:r>
        <w:rPr>
          <w:spacing w:val="-4"/>
        </w:rPr>
        <w:t> </w:t>
      </w:r>
      <w:r>
        <w:rPr/>
        <w:t>are</w:t>
      </w:r>
      <w:r>
        <w:rPr>
          <w:spacing w:val="-4"/>
        </w:rPr>
        <w:t> </w:t>
      </w:r>
      <w:r>
        <w:rPr/>
        <w:t>arriving</w:t>
      </w:r>
      <w:r>
        <w:rPr>
          <w:spacing w:val="-5"/>
        </w:rPr>
        <w:t> </w:t>
      </w:r>
      <w:r>
        <w:rPr/>
        <w:t>to</w:t>
      </w:r>
      <w:r>
        <w:rPr>
          <w:spacing w:val="-2"/>
        </w:rPr>
        <w:t> </w:t>
      </w:r>
      <w:r>
        <w:rPr/>
        <w:t>Curacao</w:t>
      </w:r>
      <w:r>
        <w:rPr>
          <w:spacing w:val="-4"/>
        </w:rPr>
        <w:t> </w:t>
      </w:r>
      <w:r>
        <w:rPr/>
        <w:t>are</w:t>
      </w:r>
      <w:r>
        <w:rPr>
          <w:spacing w:val="-5"/>
        </w:rPr>
        <w:t> </w:t>
      </w:r>
      <w:r>
        <w:rPr/>
        <w:t>not</w:t>
      </w:r>
      <w:r>
        <w:rPr>
          <w:spacing w:val="-4"/>
        </w:rPr>
        <w:t> </w:t>
      </w:r>
      <w:r>
        <w:rPr/>
        <w:t>spending </w:t>
      </w:r>
      <w:r>
        <w:rPr/>
        <w:t>enough money on the</w:t>
      </w:r>
      <w:r>
        <w:rPr>
          <w:spacing w:val="-11"/>
        </w:rPr>
        <w:t> </w:t>
      </w:r>
      <w:r>
        <w:rPr/>
        <w:t>island.</w:t>
      </w:r>
    </w:p>
    <w:p>
      <w:pPr>
        <w:spacing w:line="240" w:lineRule="auto"/>
        <w:ind w:left="2983"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977920" cy="2084831"/>
            <wp:effectExtent l="0" t="0" r="0" b="0"/>
            <wp:docPr id="39" name="image23.png" descr=""/>
            <wp:cNvGraphicFramePr>
              <a:graphicFrameLocks noChangeAspect="1"/>
            </wp:cNvGraphicFramePr>
            <a:graphic>
              <a:graphicData uri="http://schemas.openxmlformats.org/drawingml/2006/picture">
                <pic:pic>
                  <pic:nvPicPr>
                    <pic:cNvPr id="40" name="image23.png"/>
                    <pic:cNvPicPr/>
                  </pic:nvPicPr>
                  <pic:blipFill>
                    <a:blip r:embed="rId44" cstate="print"/>
                    <a:stretch>
                      <a:fillRect/>
                    </a:stretch>
                  </pic:blipFill>
                  <pic:spPr>
                    <a:xfrm>
                      <a:off x="0" y="0"/>
                      <a:ext cx="3977920" cy="2084831"/>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5"/>
        <w:ind w:left="2702" w:right="0"/>
        <w:jc w:val="left"/>
        <w:rPr>
          <w:b w:val="0"/>
          <w:bCs w:val="0"/>
        </w:rPr>
      </w:pPr>
      <w:bookmarkStart w:name="_bookmark82" w:id="83"/>
      <w:bookmarkEnd w:id="83"/>
      <w:r>
        <w:rPr>
          <w:b w:val="0"/>
        </w:rPr>
      </w:r>
      <w:r>
        <w:rPr/>
        <w:t>Figure 18:  Relationship between marketing budget and arrivals, 2002-2014 in</w:t>
      </w:r>
      <w:r>
        <w:rPr>
          <w:spacing w:val="-24"/>
        </w:rPr>
        <w:t> </w:t>
      </w:r>
      <w:r>
        <w:rPr/>
        <w:t>NAF</w:t>
      </w:r>
      <w:r>
        <w:rPr>
          <w:b w:val="0"/>
        </w:rPr>
      </w:r>
    </w:p>
    <w:p>
      <w:pPr>
        <w:spacing w:line="240" w:lineRule="auto" w:before="1"/>
        <w:ind w:right="0"/>
        <w:rPr>
          <w:rFonts w:ascii="Calibri" w:hAnsi="Calibri" w:cs="Calibri" w:eastAsia="Calibri" w:hint="default"/>
          <w:b/>
          <w:bCs/>
          <w:sz w:val="20"/>
          <w:szCs w:val="20"/>
        </w:rPr>
      </w:pPr>
    </w:p>
    <w:p>
      <w:pPr>
        <w:pStyle w:val="BodyText"/>
        <w:spacing w:line="240" w:lineRule="auto"/>
        <w:ind w:right="1435"/>
        <w:jc w:val="both"/>
      </w:pPr>
      <w:r>
        <w:rPr/>
        <w:t>Yet,</w:t>
      </w:r>
      <w:r>
        <w:rPr>
          <w:spacing w:val="-7"/>
        </w:rPr>
        <w:t> </w:t>
      </w:r>
      <w:r>
        <w:rPr/>
        <w:t>even</w:t>
      </w:r>
      <w:r>
        <w:rPr>
          <w:spacing w:val="-7"/>
        </w:rPr>
        <w:t> </w:t>
      </w:r>
      <w:r>
        <w:rPr/>
        <w:t>if</w:t>
      </w:r>
      <w:r>
        <w:rPr>
          <w:spacing w:val="-9"/>
        </w:rPr>
        <w:t> </w:t>
      </w:r>
      <w:r>
        <w:rPr/>
        <w:t>it</w:t>
      </w:r>
      <w:r>
        <w:rPr>
          <w:spacing w:val="-8"/>
        </w:rPr>
        <w:t> </w:t>
      </w:r>
      <w:r>
        <w:rPr/>
        <w:t>was</w:t>
      </w:r>
      <w:r>
        <w:rPr>
          <w:spacing w:val="-8"/>
        </w:rPr>
        <w:t> </w:t>
      </w:r>
      <w:r>
        <w:rPr/>
        <w:t>awarded</w:t>
      </w:r>
      <w:r>
        <w:rPr>
          <w:spacing w:val="-7"/>
        </w:rPr>
        <w:t> </w:t>
      </w:r>
      <w:r>
        <w:rPr/>
        <w:t>the</w:t>
      </w:r>
      <w:r>
        <w:rPr>
          <w:spacing w:val="-9"/>
        </w:rPr>
        <w:t> </w:t>
      </w:r>
      <w:r>
        <w:rPr/>
        <w:t>appropriate</w:t>
      </w:r>
      <w:r>
        <w:rPr>
          <w:spacing w:val="-9"/>
        </w:rPr>
        <w:t> </w:t>
      </w:r>
      <w:r>
        <w:rPr/>
        <w:t>funds</w:t>
      </w:r>
      <w:r>
        <w:rPr>
          <w:spacing w:val="-9"/>
        </w:rPr>
        <w:t> </w:t>
      </w:r>
      <w:r>
        <w:rPr/>
        <w:t>to</w:t>
      </w:r>
      <w:r>
        <w:rPr>
          <w:spacing w:val="-9"/>
        </w:rPr>
        <w:t> </w:t>
      </w:r>
      <w:r>
        <w:rPr/>
        <w:t>support</w:t>
      </w:r>
      <w:r>
        <w:rPr>
          <w:spacing w:val="-7"/>
        </w:rPr>
        <w:t> </w:t>
      </w:r>
      <w:r>
        <w:rPr/>
        <w:t>its</w:t>
      </w:r>
      <w:r>
        <w:rPr>
          <w:spacing w:val="-9"/>
        </w:rPr>
        <w:t> </w:t>
      </w:r>
      <w:r>
        <w:rPr/>
        <w:t>core</w:t>
      </w:r>
      <w:r>
        <w:rPr>
          <w:spacing w:val="-8"/>
        </w:rPr>
        <w:t> </w:t>
      </w:r>
      <w:r>
        <w:rPr/>
        <w:t>business,</w:t>
      </w:r>
      <w:r>
        <w:rPr>
          <w:spacing w:val="-3"/>
        </w:rPr>
        <w:t> </w:t>
      </w:r>
      <w:r>
        <w:rPr/>
        <w:t>the</w:t>
      </w:r>
      <w:r>
        <w:rPr>
          <w:spacing w:val="-9"/>
        </w:rPr>
        <w:t> </w:t>
      </w:r>
      <w:r>
        <w:rPr/>
        <w:t>CTB</w:t>
      </w:r>
      <w:r>
        <w:rPr>
          <w:spacing w:val="-8"/>
        </w:rPr>
        <w:t> </w:t>
      </w:r>
      <w:r>
        <w:rPr/>
        <w:t>lacks</w:t>
      </w:r>
      <w:r>
        <w:rPr>
          <w:spacing w:val="-9"/>
        </w:rPr>
        <w:t> </w:t>
      </w:r>
      <w:r>
        <w:rPr/>
        <w:t>the</w:t>
      </w:r>
      <w:r>
        <w:rPr>
          <w:spacing w:val="-9"/>
        </w:rPr>
        <w:t> </w:t>
      </w:r>
      <w:r>
        <w:rPr/>
        <w:t>direction,</w:t>
      </w:r>
      <w:r>
        <w:rPr>
          <w:spacing w:val="-7"/>
        </w:rPr>
        <w:t> </w:t>
      </w:r>
      <w:r>
        <w:rPr/>
        <w:t>focus,</w:t>
      </w:r>
      <w:r>
        <w:rPr>
          <w:spacing w:val="-7"/>
        </w:rPr>
        <w:t> </w:t>
      </w:r>
      <w:r>
        <w:rPr/>
        <w:t>and </w:t>
      </w:r>
      <w:r>
        <w:rPr/>
        <w:t>expertise to develop a marketing position that would create sufficient awareness and brand equity to move the destination forward. The CTB is at risk of generating a negative cycle where demand is deficient and the economic performance</w:t>
      </w:r>
      <w:r>
        <w:rPr>
          <w:spacing w:val="-8"/>
        </w:rPr>
        <w:t> </w:t>
      </w:r>
      <w:r>
        <w:rPr/>
        <w:t>of</w:t>
      </w:r>
      <w:r>
        <w:rPr>
          <w:spacing w:val="-8"/>
        </w:rPr>
        <w:t> </w:t>
      </w:r>
      <w:r>
        <w:rPr/>
        <w:t>tourism</w:t>
      </w:r>
      <w:r>
        <w:rPr>
          <w:spacing w:val="-8"/>
        </w:rPr>
        <w:t> </w:t>
      </w:r>
      <w:r>
        <w:rPr/>
        <w:t>businesses</w:t>
      </w:r>
      <w:r>
        <w:rPr>
          <w:spacing w:val="-8"/>
        </w:rPr>
        <w:t> </w:t>
      </w:r>
      <w:r>
        <w:rPr/>
        <w:t>(e.g.</w:t>
      </w:r>
      <w:r>
        <w:rPr>
          <w:spacing w:val="-6"/>
        </w:rPr>
        <w:t> </w:t>
      </w:r>
      <w:r>
        <w:rPr/>
        <w:t>hotels)</w:t>
      </w:r>
      <w:r>
        <w:rPr>
          <w:spacing w:val="-7"/>
        </w:rPr>
        <w:t> </w:t>
      </w:r>
      <w:r>
        <w:rPr/>
        <w:t>is</w:t>
      </w:r>
      <w:r>
        <w:rPr>
          <w:spacing w:val="-8"/>
        </w:rPr>
        <w:t> </w:t>
      </w:r>
      <w:r>
        <w:rPr/>
        <w:t>negatively</w:t>
      </w:r>
      <w:r>
        <w:rPr>
          <w:spacing w:val="-6"/>
        </w:rPr>
        <w:t> </w:t>
      </w:r>
      <w:r>
        <w:rPr/>
        <w:t>affected</w:t>
      </w:r>
      <w:r>
        <w:rPr>
          <w:spacing w:val="-6"/>
        </w:rPr>
        <w:t> </w:t>
      </w:r>
      <w:r>
        <w:rPr/>
        <w:t>because</w:t>
      </w:r>
      <w:r>
        <w:rPr>
          <w:spacing w:val="-8"/>
        </w:rPr>
        <w:t> </w:t>
      </w:r>
      <w:r>
        <w:rPr/>
        <w:t>of</w:t>
      </w:r>
      <w:r>
        <w:rPr>
          <w:spacing w:val="-3"/>
        </w:rPr>
        <w:t> </w:t>
      </w:r>
      <w:r>
        <w:rPr/>
        <w:t>lack</w:t>
      </w:r>
      <w:r>
        <w:rPr>
          <w:spacing w:val="-7"/>
        </w:rPr>
        <w:t> </w:t>
      </w:r>
      <w:r>
        <w:rPr/>
        <w:t>of</w:t>
      </w:r>
      <w:r>
        <w:rPr>
          <w:spacing w:val="-8"/>
        </w:rPr>
        <w:t> </w:t>
      </w:r>
      <w:r>
        <w:rPr/>
        <w:t>revenue.</w:t>
      </w:r>
      <w:r>
        <w:rPr>
          <w:spacing w:val="33"/>
        </w:rPr>
        <w:t> </w:t>
      </w:r>
      <w:r>
        <w:rPr/>
        <w:t>Without</w:t>
      </w:r>
      <w:r>
        <w:rPr>
          <w:spacing w:val="-6"/>
        </w:rPr>
        <w:t> </w:t>
      </w:r>
      <w:r>
        <w:rPr/>
        <w:t>revenue, </w:t>
      </w:r>
      <w:r>
        <w:rPr/>
        <w:t>maintenance becomes inadequate, continued investment is reduced, and the likelihood of acquiring the right type of customers who are willing to pay a profitable price diminishes</w:t>
      </w:r>
      <w:r>
        <w:rPr>
          <w:rFonts w:ascii="Calibri" w:hAnsi="Calibri" w:cs="Calibri" w:eastAsia="Calibri" w:hint="default"/>
        </w:rPr>
        <w:t>. This negative cycle will disable the destination’s </w:t>
      </w:r>
      <w:r>
        <w:rPr/>
        <w:t>efforts to increase its competitive position in the</w:t>
      </w:r>
      <w:r>
        <w:rPr>
          <w:spacing w:val="-21"/>
        </w:rPr>
        <w:t> </w:t>
      </w:r>
      <w:r>
        <w:rPr/>
        <w:t>region.</w:t>
      </w:r>
    </w:p>
    <w:p>
      <w:pPr>
        <w:spacing w:line="240" w:lineRule="auto" w:before="12"/>
        <w:ind w:right="0"/>
        <w:rPr>
          <w:rFonts w:ascii="Calibri" w:hAnsi="Calibri" w:cs="Calibri" w:eastAsia="Calibri" w:hint="default"/>
          <w:sz w:val="19"/>
          <w:szCs w:val="19"/>
        </w:rPr>
      </w:pPr>
    </w:p>
    <w:p>
      <w:pPr>
        <w:pStyle w:val="BodyText"/>
        <w:spacing w:line="240" w:lineRule="auto"/>
        <w:ind w:right="1437"/>
        <w:jc w:val="both"/>
      </w:pPr>
      <w:r>
        <w:rPr/>
        <w:t>The organizational culture of the CTB is enshrined in a government framework and mindset. This framework and </w:t>
      </w:r>
      <w:r>
        <w:rPr>
          <w:rFonts w:ascii="Calibri" w:hAnsi="Calibri" w:cs="Calibri" w:eastAsia="Calibri" w:hint="default"/>
        </w:rPr>
        <w:t>mindset</w:t>
      </w:r>
      <w:r>
        <w:rPr>
          <w:rFonts w:ascii="Calibri" w:hAnsi="Calibri" w:cs="Calibri" w:eastAsia="Calibri" w:hint="default"/>
          <w:spacing w:val="-5"/>
        </w:rPr>
        <w:t> </w:t>
      </w:r>
      <w:r>
        <w:rPr>
          <w:rFonts w:ascii="Calibri" w:hAnsi="Calibri" w:cs="Calibri" w:eastAsia="Calibri" w:hint="default"/>
        </w:rPr>
        <w:t>prevents</w:t>
      </w:r>
      <w:r>
        <w:rPr>
          <w:rFonts w:ascii="Calibri" w:hAnsi="Calibri" w:cs="Calibri" w:eastAsia="Calibri" w:hint="default"/>
          <w:spacing w:val="-6"/>
        </w:rPr>
        <w:t> </w:t>
      </w:r>
      <w:r>
        <w:rPr>
          <w:rFonts w:ascii="Calibri" w:hAnsi="Calibri" w:cs="Calibri" w:eastAsia="Calibri" w:hint="default"/>
        </w:rPr>
        <w:t>the</w:t>
      </w:r>
      <w:r>
        <w:rPr>
          <w:rFonts w:ascii="Calibri" w:hAnsi="Calibri" w:cs="Calibri" w:eastAsia="Calibri" w:hint="default"/>
          <w:spacing w:val="-6"/>
        </w:rPr>
        <w:t> </w:t>
      </w:r>
      <w:r>
        <w:rPr>
          <w:rFonts w:ascii="Calibri" w:hAnsi="Calibri" w:cs="Calibri" w:eastAsia="Calibri" w:hint="default"/>
        </w:rPr>
        <w:t>alignment</w:t>
      </w:r>
      <w:r>
        <w:rPr>
          <w:rFonts w:ascii="Calibri" w:hAnsi="Calibri" w:cs="Calibri" w:eastAsia="Calibri" w:hint="default"/>
          <w:spacing w:val="-5"/>
        </w:rPr>
        <w:t> </w:t>
      </w:r>
      <w:r>
        <w:rPr>
          <w:rFonts w:ascii="Calibri" w:hAnsi="Calibri" w:cs="Calibri" w:eastAsia="Calibri" w:hint="default"/>
        </w:rPr>
        <w:t>of</w:t>
      </w:r>
      <w:r>
        <w:rPr>
          <w:rFonts w:ascii="Calibri" w:hAnsi="Calibri" w:cs="Calibri" w:eastAsia="Calibri" w:hint="default"/>
          <w:spacing w:val="-6"/>
        </w:rPr>
        <w:t> </w:t>
      </w:r>
      <w:r>
        <w:rPr>
          <w:rFonts w:ascii="Calibri" w:hAnsi="Calibri" w:cs="Calibri" w:eastAsia="Calibri" w:hint="default"/>
        </w:rPr>
        <w:t>the</w:t>
      </w:r>
      <w:r>
        <w:rPr>
          <w:rFonts w:ascii="Calibri" w:hAnsi="Calibri" w:cs="Calibri" w:eastAsia="Calibri" w:hint="default"/>
          <w:spacing w:val="-6"/>
        </w:rPr>
        <w:t> </w:t>
      </w:r>
      <w:r>
        <w:rPr>
          <w:rFonts w:ascii="Calibri" w:hAnsi="Calibri" w:cs="Calibri" w:eastAsia="Calibri" w:hint="default"/>
        </w:rPr>
        <w:t>tourism</w:t>
      </w:r>
      <w:r>
        <w:rPr>
          <w:rFonts w:ascii="Calibri" w:hAnsi="Calibri" w:cs="Calibri" w:eastAsia="Calibri" w:hint="default"/>
          <w:spacing w:val="-6"/>
        </w:rPr>
        <w:t> </w:t>
      </w:r>
      <w:r>
        <w:rPr>
          <w:rFonts w:ascii="Calibri" w:hAnsi="Calibri" w:cs="Calibri" w:eastAsia="Calibri" w:hint="default"/>
        </w:rPr>
        <w:t>stakeholders’</w:t>
      </w:r>
      <w:r>
        <w:rPr>
          <w:rFonts w:ascii="Calibri" w:hAnsi="Calibri" w:cs="Calibri" w:eastAsia="Calibri" w:hint="default"/>
          <w:spacing w:val="-5"/>
        </w:rPr>
        <w:t> </w:t>
      </w:r>
      <w:r>
        <w:rPr>
          <w:rFonts w:ascii="Calibri" w:hAnsi="Calibri" w:cs="Calibri" w:eastAsia="Calibri" w:hint="default"/>
        </w:rPr>
        <w:t>needs</w:t>
      </w:r>
      <w:r>
        <w:rPr>
          <w:rFonts w:ascii="Calibri" w:hAnsi="Calibri" w:cs="Calibri" w:eastAsia="Calibri" w:hint="default"/>
          <w:spacing w:val="-6"/>
        </w:rPr>
        <w:t> </w:t>
      </w:r>
      <w:r>
        <w:rPr>
          <w:rFonts w:ascii="Calibri" w:hAnsi="Calibri" w:cs="Calibri" w:eastAsia="Calibri" w:hint="default"/>
        </w:rPr>
        <w:t>with</w:t>
      </w:r>
      <w:r>
        <w:rPr>
          <w:rFonts w:ascii="Calibri" w:hAnsi="Calibri" w:cs="Calibri" w:eastAsia="Calibri" w:hint="default"/>
          <w:spacing w:val="-4"/>
        </w:rPr>
        <w:t> </w:t>
      </w:r>
      <w:r>
        <w:rPr>
          <w:rFonts w:ascii="Calibri" w:hAnsi="Calibri" w:cs="Calibri" w:eastAsia="Calibri" w:hint="default"/>
        </w:rPr>
        <w:t>the</w:t>
      </w:r>
      <w:r>
        <w:rPr>
          <w:rFonts w:ascii="Calibri" w:hAnsi="Calibri" w:cs="Calibri" w:eastAsia="Calibri" w:hint="default"/>
          <w:spacing w:val="-6"/>
        </w:rPr>
        <w:t> </w:t>
      </w:r>
      <w:r>
        <w:rPr>
          <w:rFonts w:ascii="Calibri" w:hAnsi="Calibri" w:cs="Calibri" w:eastAsia="Calibri" w:hint="default"/>
        </w:rPr>
        <w:t>overall</w:t>
      </w:r>
      <w:r>
        <w:rPr>
          <w:rFonts w:ascii="Calibri" w:hAnsi="Calibri" w:cs="Calibri" w:eastAsia="Calibri" w:hint="default"/>
          <w:spacing w:val="-6"/>
        </w:rPr>
        <w:t> </w:t>
      </w:r>
      <w:r>
        <w:rPr>
          <w:rFonts w:ascii="Calibri" w:hAnsi="Calibri" w:cs="Calibri" w:eastAsia="Calibri" w:hint="default"/>
        </w:rPr>
        <w:t>objectives</w:t>
      </w:r>
      <w:r>
        <w:rPr>
          <w:rFonts w:ascii="Calibri" w:hAnsi="Calibri" w:cs="Calibri" w:eastAsia="Calibri" w:hint="default"/>
          <w:spacing w:val="-6"/>
        </w:rPr>
        <w:t> </w:t>
      </w:r>
      <w:r>
        <w:rPr>
          <w:rFonts w:ascii="Calibri" w:hAnsi="Calibri" w:cs="Calibri" w:eastAsia="Calibri" w:hint="default"/>
        </w:rPr>
        <w:t>of</w:t>
      </w:r>
      <w:r>
        <w:rPr>
          <w:rFonts w:ascii="Calibri" w:hAnsi="Calibri" w:cs="Calibri" w:eastAsia="Calibri" w:hint="default"/>
          <w:spacing w:val="-6"/>
        </w:rPr>
        <w:t> </w:t>
      </w:r>
      <w:r>
        <w:rPr>
          <w:rFonts w:ascii="Calibri" w:hAnsi="Calibri" w:cs="Calibri" w:eastAsia="Calibri" w:hint="default"/>
        </w:rPr>
        <w:t>the</w:t>
      </w:r>
      <w:r>
        <w:rPr>
          <w:rFonts w:ascii="Calibri" w:hAnsi="Calibri" w:cs="Calibri" w:eastAsia="Calibri" w:hint="default"/>
          <w:spacing w:val="-6"/>
        </w:rPr>
        <w:t> </w:t>
      </w:r>
      <w:r>
        <w:rPr>
          <w:rFonts w:ascii="Calibri" w:hAnsi="Calibri" w:cs="Calibri" w:eastAsia="Calibri" w:hint="default"/>
        </w:rPr>
        <w:t>destination.</w:t>
      </w:r>
      <w:r>
        <w:rPr>
          <w:rFonts w:ascii="Calibri" w:hAnsi="Calibri" w:cs="Calibri" w:eastAsia="Calibri" w:hint="default"/>
          <w:spacing w:val="-5"/>
        </w:rPr>
        <w:t> </w:t>
      </w:r>
      <w:r>
        <w:rPr>
          <w:rFonts w:ascii="Calibri" w:hAnsi="Calibri" w:cs="Calibri" w:eastAsia="Calibri" w:hint="default"/>
        </w:rPr>
        <w:t>In </w:t>
      </w:r>
      <w:r>
        <w:rPr>
          <w:rFonts w:ascii="Calibri" w:hAnsi="Calibri" w:cs="Calibri" w:eastAsia="Calibri" w:hint="default"/>
        </w:rPr>
      </w:r>
      <w:r>
        <w:rPr/>
        <w:t>order</w:t>
      </w:r>
      <w:r>
        <w:rPr>
          <w:spacing w:val="10"/>
        </w:rPr>
        <w:t> </w:t>
      </w:r>
      <w:r>
        <w:rPr/>
        <w:t>to</w:t>
      </w:r>
      <w:r>
        <w:rPr>
          <w:spacing w:val="10"/>
        </w:rPr>
        <w:t> </w:t>
      </w:r>
      <w:r>
        <w:rPr/>
        <w:t>circumvent</w:t>
      </w:r>
      <w:r>
        <w:rPr>
          <w:spacing w:val="10"/>
        </w:rPr>
        <w:t> </w:t>
      </w:r>
      <w:r>
        <w:rPr/>
        <w:t>this</w:t>
      </w:r>
      <w:r>
        <w:rPr>
          <w:spacing w:val="8"/>
        </w:rPr>
        <w:t> </w:t>
      </w:r>
      <w:r>
        <w:rPr/>
        <w:t>challenge,</w:t>
      </w:r>
      <w:r>
        <w:rPr>
          <w:spacing w:val="11"/>
        </w:rPr>
        <w:t> </w:t>
      </w:r>
      <w:r>
        <w:rPr/>
        <w:t>it</w:t>
      </w:r>
      <w:r>
        <w:rPr>
          <w:spacing w:val="10"/>
        </w:rPr>
        <w:t> </w:t>
      </w:r>
      <w:r>
        <w:rPr/>
        <w:t>is</w:t>
      </w:r>
      <w:r>
        <w:rPr>
          <w:spacing w:val="9"/>
        </w:rPr>
        <w:t> </w:t>
      </w:r>
      <w:r>
        <w:rPr/>
        <w:t>necessary</w:t>
      </w:r>
      <w:r>
        <w:rPr>
          <w:spacing w:val="11"/>
        </w:rPr>
        <w:t> </w:t>
      </w:r>
      <w:r>
        <w:rPr/>
        <w:t>for</w:t>
      </w:r>
      <w:r>
        <w:rPr>
          <w:spacing w:val="12"/>
        </w:rPr>
        <w:t> </w:t>
      </w:r>
      <w:r>
        <w:rPr/>
        <w:t>the</w:t>
      </w:r>
      <w:r>
        <w:rPr>
          <w:spacing w:val="9"/>
        </w:rPr>
        <w:t> </w:t>
      </w:r>
      <w:r>
        <w:rPr/>
        <w:t>CTB</w:t>
      </w:r>
      <w:r>
        <w:rPr>
          <w:spacing w:val="9"/>
        </w:rPr>
        <w:t> </w:t>
      </w:r>
      <w:r>
        <w:rPr/>
        <w:t>to</w:t>
      </w:r>
      <w:r>
        <w:rPr>
          <w:spacing w:val="10"/>
        </w:rPr>
        <w:t> </w:t>
      </w:r>
      <w:r>
        <w:rPr/>
        <w:t>develop</w:t>
      </w:r>
      <w:r>
        <w:rPr>
          <w:spacing w:val="11"/>
        </w:rPr>
        <w:t> </w:t>
      </w:r>
      <w:r>
        <w:rPr/>
        <w:t>and</w:t>
      </w:r>
      <w:r>
        <w:rPr>
          <w:spacing w:val="10"/>
        </w:rPr>
        <w:t> </w:t>
      </w:r>
      <w:r>
        <w:rPr/>
        <w:t>maintain</w:t>
      </w:r>
      <w:r>
        <w:rPr>
          <w:spacing w:val="10"/>
        </w:rPr>
        <w:t> </w:t>
      </w:r>
      <w:r>
        <w:rPr/>
        <w:t>a</w:t>
      </w:r>
      <w:r>
        <w:rPr>
          <w:spacing w:val="10"/>
        </w:rPr>
        <w:t> </w:t>
      </w:r>
      <w:r>
        <w:rPr/>
        <w:t>culture</w:t>
      </w:r>
      <w:r>
        <w:rPr>
          <w:spacing w:val="9"/>
        </w:rPr>
        <w:t> </w:t>
      </w:r>
      <w:r>
        <w:rPr/>
        <w:t>that</w:t>
      </w:r>
      <w:r>
        <w:rPr>
          <w:spacing w:val="10"/>
        </w:rPr>
        <w:t> </w:t>
      </w:r>
      <w:r>
        <w:rPr/>
        <w:t>embraces</w:t>
      </w:r>
      <w:r>
        <w:rPr>
          <w:spacing w:val="11"/>
        </w:rPr>
        <w:t> </w:t>
      </w:r>
      <w:r>
        <w:rPr/>
        <w:t>a</w:t>
      </w:r>
    </w:p>
    <w:p>
      <w:pPr>
        <w:spacing w:line="240" w:lineRule="auto" w:before="0"/>
        <w:ind w:right="0"/>
        <w:rPr>
          <w:rFonts w:ascii="Calibri" w:hAnsi="Calibri" w:cs="Calibri" w:eastAsia="Calibri" w:hint="default"/>
          <w:sz w:val="20"/>
          <w:szCs w:val="20"/>
        </w:rPr>
      </w:pPr>
    </w:p>
    <w:p>
      <w:pPr>
        <w:spacing w:line="240" w:lineRule="auto" w:before="9" w:after="0"/>
        <w:ind w:right="0"/>
        <w:rPr>
          <w:rFonts w:ascii="Calibri" w:hAnsi="Calibri" w:cs="Calibri" w:eastAsia="Calibri" w:hint="default"/>
          <w:sz w:val="15"/>
          <w:szCs w:val="15"/>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7" w:lineRule="auto" w:before="91"/>
        <w:ind w:left="1440" w:right="1735" w:firstLine="0"/>
        <w:jc w:val="left"/>
        <w:rPr>
          <w:rFonts w:ascii="Calibri" w:hAnsi="Calibri" w:cs="Calibri" w:eastAsia="Calibri" w:hint="default"/>
          <w:sz w:val="16"/>
          <w:szCs w:val="16"/>
        </w:rPr>
      </w:pPr>
      <w:r>
        <w:rPr>
          <w:rFonts w:ascii="Calibri"/>
          <w:position w:val="5"/>
          <w:sz w:val="12"/>
        </w:rPr>
        <w:t>45 </w:t>
      </w:r>
      <w:r>
        <w:rPr>
          <w:rFonts w:ascii="Calibri"/>
          <w:sz w:val="16"/>
        </w:rPr>
        <w:t>The result was derived from a two stage least squares using real tourism expenditures as the instrument variable. Estimations were done </w:t>
      </w:r>
      <w:r>
        <w:rPr>
          <w:rFonts w:ascii="Calibri"/>
          <w:sz w:val="16"/>
        </w:rPr>
        <w:t>both</w:t>
      </w:r>
      <w:r>
        <w:rPr>
          <w:rFonts w:ascii="Calibri"/>
          <w:spacing w:val="-2"/>
          <w:sz w:val="16"/>
        </w:rPr>
        <w:t> </w:t>
      </w:r>
      <w:r>
        <w:rPr>
          <w:rFonts w:ascii="Calibri"/>
          <w:sz w:val="16"/>
        </w:rPr>
        <w:t>as</w:t>
      </w:r>
      <w:r>
        <w:rPr>
          <w:rFonts w:ascii="Calibri"/>
          <w:spacing w:val="-2"/>
          <w:sz w:val="16"/>
        </w:rPr>
        <w:t> </w:t>
      </w:r>
      <w:r>
        <w:rPr>
          <w:rFonts w:ascii="Calibri"/>
          <w:sz w:val="16"/>
        </w:rPr>
        <w:t>I(0)</w:t>
      </w:r>
      <w:r>
        <w:rPr>
          <w:rFonts w:ascii="Calibri"/>
          <w:spacing w:val="-2"/>
          <w:sz w:val="16"/>
        </w:rPr>
        <w:t> </w:t>
      </w:r>
      <w:r>
        <w:rPr>
          <w:rFonts w:ascii="Calibri"/>
          <w:sz w:val="16"/>
        </w:rPr>
        <w:t>as</w:t>
      </w:r>
      <w:r>
        <w:rPr>
          <w:rFonts w:ascii="Calibri"/>
          <w:spacing w:val="-2"/>
          <w:sz w:val="16"/>
        </w:rPr>
        <w:t> </w:t>
      </w:r>
      <w:r>
        <w:rPr>
          <w:rFonts w:ascii="Calibri"/>
          <w:sz w:val="16"/>
        </w:rPr>
        <w:t>well</w:t>
      </w:r>
      <w:r>
        <w:rPr>
          <w:rFonts w:ascii="Calibri"/>
          <w:spacing w:val="-2"/>
          <w:sz w:val="16"/>
        </w:rPr>
        <w:t> </w:t>
      </w:r>
      <w:r>
        <w:rPr>
          <w:rFonts w:ascii="Calibri"/>
          <w:sz w:val="16"/>
        </w:rPr>
        <w:t>as</w:t>
      </w:r>
      <w:r>
        <w:rPr>
          <w:rFonts w:ascii="Calibri"/>
          <w:spacing w:val="-2"/>
          <w:sz w:val="16"/>
        </w:rPr>
        <w:t> </w:t>
      </w:r>
      <w:r>
        <w:rPr>
          <w:rFonts w:ascii="Calibri"/>
          <w:sz w:val="16"/>
        </w:rPr>
        <w:t>I(1)</w:t>
      </w:r>
      <w:r>
        <w:rPr>
          <w:rFonts w:ascii="Calibri"/>
          <w:spacing w:val="-2"/>
          <w:sz w:val="16"/>
        </w:rPr>
        <w:t> </w:t>
      </w:r>
      <w:r>
        <w:rPr>
          <w:rFonts w:ascii="Calibri"/>
          <w:sz w:val="16"/>
        </w:rPr>
        <w:t>but</w:t>
      </w:r>
      <w:r>
        <w:rPr>
          <w:rFonts w:ascii="Calibri"/>
          <w:spacing w:val="-3"/>
          <w:sz w:val="16"/>
        </w:rPr>
        <w:t> </w:t>
      </w:r>
      <w:r>
        <w:rPr>
          <w:rFonts w:ascii="Calibri"/>
          <w:sz w:val="16"/>
        </w:rPr>
        <w:t>the</w:t>
      </w:r>
      <w:r>
        <w:rPr>
          <w:rFonts w:ascii="Calibri"/>
          <w:spacing w:val="-2"/>
          <w:sz w:val="16"/>
        </w:rPr>
        <w:t> </w:t>
      </w:r>
      <w:r>
        <w:rPr>
          <w:rFonts w:ascii="Calibri"/>
          <w:sz w:val="16"/>
        </w:rPr>
        <w:t>results</w:t>
      </w:r>
      <w:r>
        <w:rPr>
          <w:rFonts w:ascii="Calibri"/>
          <w:spacing w:val="-2"/>
          <w:sz w:val="16"/>
        </w:rPr>
        <w:t> </w:t>
      </w:r>
      <w:r>
        <w:rPr>
          <w:rFonts w:ascii="Calibri"/>
          <w:sz w:val="16"/>
        </w:rPr>
        <w:t>were</w:t>
      </w:r>
      <w:r>
        <w:rPr>
          <w:rFonts w:ascii="Calibri"/>
          <w:spacing w:val="-2"/>
          <w:sz w:val="16"/>
        </w:rPr>
        <w:t> </w:t>
      </w:r>
      <w:r>
        <w:rPr>
          <w:rFonts w:ascii="Calibri"/>
          <w:sz w:val="16"/>
        </w:rPr>
        <w:t>not</w:t>
      </w:r>
      <w:r>
        <w:rPr>
          <w:rFonts w:ascii="Calibri"/>
          <w:spacing w:val="-2"/>
          <w:sz w:val="16"/>
        </w:rPr>
        <w:t> </w:t>
      </w:r>
      <w:r>
        <w:rPr>
          <w:rFonts w:ascii="Calibri"/>
          <w:sz w:val="16"/>
        </w:rPr>
        <w:t>significant.</w:t>
      </w:r>
      <w:r>
        <w:rPr>
          <w:rFonts w:ascii="Calibri"/>
          <w:spacing w:val="-1"/>
          <w:sz w:val="16"/>
        </w:rPr>
        <w:t> </w:t>
      </w:r>
      <w:r>
        <w:rPr>
          <w:rFonts w:ascii="Calibri"/>
          <w:sz w:val="16"/>
        </w:rPr>
        <w:t>A</w:t>
      </w:r>
      <w:r>
        <w:rPr>
          <w:rFonts w:ascii="Calibri"/>
          <w:spacing w:val="-1"/>
          <w:sz w:val="16"/>
        </w:rPr>
        <w:t> </w:t>
      </w:r>
      <w:r>
        <w:rPr>
          <w:rFonts w:ascii="Calibri"/>
          <w:sz w:val="16"/>
        </w:rPr>
        <w:t>cautionary</w:t>
      </w:r>
      <w:r>
        <w:rPr>
          <w:rFonts w:ascii="Calibri"/>
          <w:spacing w:val="-2"/>
          <w:sz w:val="16"/>
        </w:rPr>
        <w:t> </w:t>
      </w:r>
      <w:r>
        <w:rPr>
          <w:rFonts w:ascii="Calibri"/>
          <w:sz w:val="16"/>
        </w:rPr>
        <w:t>note</w:t>
      </w:r>
      <w:r>
        <w:rPr>
          <w:rFonts w:ascii="Calibri"/>
          <w:spacing w:val="-2"/>
          <w:sz w:val="16"/>
        </w:rPr>
        <w:t> </w:t>
      </w:r>
      <w:r>
        <w:rPr>
          <w:rFonts w:ascii="Calibri"/>
          <w:sz w:val="16"/>
        </w:rPr>
        <w:t>is</w:t>
      </w:r>
      <w:r>
        <w:rPr>
          <w:rFonts w:ascii="Calibri"/>
          <w:spacing w:val="-2"/>
          <w:sz w:val="16"/>
        </w:rPr>
        <w:t> </w:t>
      </w:r>
      <w:r>
        <w:rPr>
          <w:rFonts w:ascii="Calibri"/>
          <w:sz w:val="16"/>
        </w:rPr>
        <w:t>warranted</w:t>
      </w:r>
      <w:r>
        <w:rPr>
          <w:rFonts w:ascii="Calibri"/>
          <w:spacing w:val="-2"/>
          <w:sz w:val="16"/>
        </w:rPr>
        <w:t> </w:t>
      </w:r>
      <w:r>
        <w:rPr>
          <w:rFonts w:ascii="Calibri"/>
          <w:sz w:val="16"/>
        </w:rPr>
        <w:t>due to</w:t>
      </w:r>
      <w:r>
        <w:rPr>
          <w:rFonts w:ascii="Calibri"/>
          <w:spacing w:val="-2"/>
          <w:sz w:val="16"/>
        </w:rPr>
        <w:t> </w:t>
      </w:r>
      <w:r>
        <w:rPr>
          <w:rFonts w:ascii="Calibri"/>
          <w:sz w:val="16"/>
        </w:rPr>
        <w:t>the</w:t>
      </w:r>
      <w:r>
        <w:rPr>
          <w:rFonts w:ascii="Calibri"/>
          <w:spacing w:val="-2"/>
          <w:sz w:val="16"/>
        </w:rPr>
        <w:t> </w:t>
      </w:r>
      <w:r>
        <w:rPr>
          <w:rFonts w:ascii="Calibri"/>
          <w:sz w:val="16"/>
        </w:rPr>
        <w:t>limited</w:t>
      </w:r>
      <w:r>
        <w:rPr>
          <w:rFonts w:ascii="Calibri"/>
          <w:spacing w:val="-2"/>
          <w:sz w:val="16"/>
        </w:rPr>
        <w:t> </w:t>
      </w:r>
      <w:r>
        <w:rPr>
          <w:rFonts w:ascii="Calibri"/>
          <w:sz w:val="16"/>
        </w:rPr>
        <w:t>data</w:t>
      </w:r>
      <w:r>
        <w:rPr>
          <w:rFonts w:ascii="Calibri"/>
          <w:spacing w:val="-2"/>
          <w:sz w:val="16"/>
        </w:rPr>
        <w:t> </w:t>
      </w:r>
      <w:r>
        <w:rPr>
          <w:rFonts w:ascii="Calibri"/>
          <w:sz w:val="16"/>
        </w:rPr>
        <w:t>available.</w:t>
      </w:r>
    </w:p>
    <w:p>
      <w:pPr>
        <w:spacing w:line="247" w:lineRule="auto" w:before="0"/>
        <w:ind w:left="1440" w:right="1641" w:firstLine="0"/>
        <w:jc w:val="left"/>
        <w:rPr>
          <w:rFonts w:ascii="Calibri" w:hAnsi="Calibri" w:cs="Calibri" w:eastAsia="Calibri" w:hint="default"/>
          <w:sz w:val="16"/>
          <w:szCs w:val="16"/>
        </w:rPr>
      </w:pPr>
      <w:r>
        <w:rPr>
          <w:rFonts w:ascii="Calibri"/>
          <w:position w:val="5"/>
          <w:sz w:val="12"/>
        </w:rPr>
        <w:t>46 </w:t>
      </w:r>
      <w:r>
        <w:rPr>
          <w:rFonts w:ascii="Calibri"/>
          <w:sz w:val="16"/>
        </w:rPr>
        <w:t>For example, 60% of the Aruba Tourism Authority budget is allocated to marketing hard dollars. The acquisition cost per arrival is less than </w:t>
      </w:r>
      <w:r>
        <w:rPr>
          <w:rFonts w:ascii="Calibri"/>
          <w:sz w:val="16"/>
        </w:rPr>
        <w:t>US$30 and the ratio cost per spending is</w:t>
      </w:r>
      <w:r>
        <w:rPr>
          <w:rFonts w:ascii="Calibri"/>
          <w:spacing w:val="-12"/>
          <w:sz w:val="16"/>
        </w:rPr>
        <w:t> </w:t>
      </w:r>
      <w:r>
        <w:rPr>
          <w:rFonts w:ascii="Calibri"/>
          <w:sz w:val="16"/>
        </w:rPr>
        <w:t>1:51.</w:t>
      </w:r>
    </w:p>
    <w:p>
      <w:pPr>
        <w:spacing w:after="0" w:line="247"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9"/>
        <w:jc w:val="both"/>
      </w:pPr>
      <w:r>
        <w:rPr/>
        <w:t>marketing</w:t>
      </w:r>
      <w:r>
        <w:rPr>
          <w:spacing w:val="-6"/>
        </w:rPr>
        <w:t> </w:t>
      </w:r>
      <w:r>
        <w:rPr/>
        <w:t>mindset.</w:t>
      </w:r>
      <w:r>
        <w:rPr>
          <w:spacing w:val="-3"/>
        </w:rPr>
        <w:t> </w:t>
      </w:r>
      <w:r>
        <w:rPr/>
        <w:t>This</w:t>
      </w:r>
      <w:r>
        <w:rPr>
          <w:spacing w:val="-6"/>
        </w:rPr>
        <w:t> </w:t>
      </w:r>
      <w:r>
        <w:rPr/>
        <w:t>means</w:t>
      </w:r>
      <w:r>
        <w:rPr>
          <w:spacing w:val="-6"/>
        </w:rPr>
        <w:t> </w:t>
      </w:r>
      <w:r>
        <w:rPr/>
        <w:t>that</w:t>
      </w:r>
      <w:r>
        <w:rPr>
          <w:spacing w:val="-5"/>
        </w:rPr>
        <w:t> </w:t>
      </w:r>
      <w:r>
        <w:rPr/>
        <w:t>the</w:t>
      </w:r>
      <w:r>
        <w:rPr>
          <w:spacing w:val="-6"/>
        </w:rPr>
        <w:t> </w:t>
      </w:r>
      <w:r>
        <w:rPr/>
        <w:t>CTB</w:t>
      </w:r>
      <w:r>
        <w:rPr>
          <w:spacing w:val="-4"/>
        </w:rPr>
        <w:t> </w:t>
      </w:r>
      <w:r>
        <w:rPr/>
        <w:t>should</w:t>
      </w:r>
      <w:r>
        <w:rPr>
          <w:spacing w:val="-5"/>
        </w:rPr>
        <w:t> </w:t>
      </w:r>
      <w:r>
        <w:rPr/>
        <w:t>produce</w:t>
      </w:r>
      <w:r>
        <w:rPr>
          <w:spacing w:val="-3"/>
        </w:rPr>
        <w:t> </w:t>
      </w:r>
      <w:r>
        <w:rPr/>
        <w:t>business</w:t>
      </w:r>
      <w:r>
        <w:rPr>
          <w:spacing w:val="-6"/>
        </w:rPr>
        <w:t> </w:t>
      </w:r>
      <w:r>
        <w:rPr/>
        <w:t>intelligence</w:t>
      </w:r>
      <w:r>
        <w:rPr>
          <w:spacing w:val="-6"/>
        </w:rPr>
        <w:t> </w:t>
      </w:r>
      <w:r>
        <w:rPr/>
        <w:t>(in</w:t>
      </w:r>
      <w:r>
        <w:rPr>
          <w:spacing w:val="-5"/>
        </w:rPr>
        <w:t> </w:t>
      </w:r>
      <w:r>
        <w:rPr/>
        <w:t>a</w:t>
      </w:r>
      <w:r>
        <w:rPr>
          <w:spacing w:val="-5"/>
        </w:rPr>
        <w:t> </w:t>
      </w:r>
      <w:r>
        <w:rPr/>
        <w:t>timely</w:t>
      </w:r>
      <w:r>
        <w:rPr>
          <w:spacing w:val="-5"/>
        </w:rPr>
        <w:t> </w:t>
      </w:r>
      <w:r>
        <w:rPr/>
        <w:t>manner),</w:t>
      </w:r>
      <w:r>
        <w:rPr>
          <w:spacing w:val="-4"/>
        </w:rPr>
        <w:t> </w:t>
      </w:r>
      <w:r>
        <w:rPr/>
        <w:t>and</w:t>
      </w:r>
      <w:r>
        <w:rPr>
          <w:spacing w:val="-5"/>
        </w:rPr>
        <w:t> </w:t>
      </w:r>
      <w:r>
        <w:rPr/>
        <w:t>steer</w:t>
      </w:r>
      <w:r>
        <w:rPr>
          <w:spacing w:val="-5"/>
        </w:rPr>
        <w:t> </w:t>
      </w:r>
      <w:r>
        <w:rPr/>
        <w:t>or </w:t>
      </w:r>
      <w:r>
        <w:rPr/>
        <w:t>steward decisions based on data driven</w:t>
      </w:r>
      <w:r>
        <w:rPr>
          <w:spacing w:val="-22"/>
        </w:rPr>
        <w:t> </w:t>
      </w:r>
      <w:r>
        <w:rPr/>
        <w:t>considerations.</w:t>
      </w:r>
    </w:p>
    <w:p>
      <w:pPr>
        <w:spacing w:line="240" w:lineRule="auto" w:before="12" w:after="0"/>
        <w:ind w:right="0"/>
        <w:rPr>
          <w:rFonts w:ascii="Calibri" w:hAnsi="Calibri" w:cs="Calibri" w:eastAsia="Calibri" w:hint="default"/>
          <w:sz w:val="19"/>
          <w:szCs w:val="19"/>
        </w:rPr>
      </w:pPr>
    </w:p>
    <w:p>
      <w:pPr>
        <w:spacing w:line="240" w:lineRule="auto"/>
        <w:ind w:left="3405"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442725" cy="2299716"/>
            <wp:effectExtent l="0" t="0" r="0" b="0"/>
            <wp:docPr id="41" name="image24.png" descr=""/>
            <wp:cNvGraphicFramePr>
              <a:graphicFrameLocks noChangeAspect="1"/>
            </wp:cNvGraphicFramePr>
            <a:graphic>
              <a:graphicData uri="http://schemas.openxmlformats.org/drawingml/2006/picture">
                <pic:pic>
                  <pic:nvPicPr>
                    <pic:cNvPr id="42" name="image24.png"/>
                    <pic:cNvPicPr/>
                  </pic:nvPicPr>
                  <pic:blipFill>
                    <a:blip r:embed="rId45" cstate="print"/>
                    <a:stretch>
                      <a:fillRect/>
                    </a:stretch>
                  </pic:blipFill>
                  <pic:spPr>
                    <a:xfrm>
                      <a:off x="0" y="0"/>
                      <a:ext cx="3442725" cy="2299716"/>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9"/>
        <w:ind w:left="3415" w:right="0"/>
        <w:jc w:val="left"/>
        <w:rPr>
          <w:b w:val="0"/>
          <w:bCs w:val="0"/>
        </w:rPr>
      </w:pPr>
      <w:bookmarkStart w:name="_bookmark83" w:id="84"/>
      <w:bookmarkEnd w:id="84"/>
      <w:r>
        <w:rPr>
          <w:b w:val="0"/>
        </w:rPr>
      </w:r>
      <w:r>
        <w:rPr/>
        <w:t>Figure 19: Marketing mindset for a market oriented</w:t>
      </w:r>
      <w:r>
        <w:rPr>
          <w:spacing w:val="6"/>
        </w:rPr>
        <w:t> </w:t>
      </w:r>
      <w:r>
        <w:rPr/>
        <w:t>organization</w:t>
      </w:r>
      <w:r>
        <w:rPr>
          <w:b w:val="0"/>
        </w:rPr>
      </w:r>
    </w:p>
    <w:p>
      <w:pPr>
        <w:spacing w:line="240" w:lineRule="auto" w:before="11"/>
        <w:ind w:right="0"/>
        <w:rPr>
          <w:rFonts w:ascii="Calibri" w:hAnsi="Calibri" w:cs="Calibri" w:eastAsia="Calibri" w:hint="default"/>
          <w:b/>
          <w:bCs/>
          <w:sz w:val="19"/>
          <w:szCs w:val="19"/>
        </w:rPr>
      </w:pPr>
    </w:p>
    <w:p>
      <w:pPr>
        <w:pStyle w:val="BodyText"/>
        <w:spacing w:line="240" w:lineRule="auto"/>
        <w:ind w:right="1441"/>
        <w:jc w:val="both"/>
      </w:pPr>
      <w:r>
        <w:rPr/>
        <w:t>While the CTB is data rich, the CTB is information poor. This situation is the result of a very small research unit that while doing its utmost in providing data, does not have the necessary staff to comply thoroughly with its core assignment. Moreover, the research staff is required to undertake tasks beyond the scope of its core assignment. This</w:t>
      </w:r>
      <w:r>
        <w:rPr>
          <w:spacing w:val="-9"/>
        </w:rPr>
        <w:t> </w:t>
      </w:r>
      <w:r>
        <w:rPr/>
        <w:t>stunts</w:t>
      </w:r>
      <w:r>
        <w:rPr>
          <w:spacing w:val="-8"/>
        </w:rPr>
        <w:t> </w:t>
      </w:r>
      <w:r>
        <w:rPr/>
        <w:t>the</w:t>
      </w:r>
      <w:r>
        <w:rPr>
          <w:spacing w:val="-9"/>
        </w:rPr>
        <w:t> </w:t>
      </w:r>
      <w:r>
        <w:rPr/>
        <w:t>ability</w:t>
      </w:r>
      <w:r>
        <w:rPr>
          <w:spacing w:val="-7"/>
        </w:rPr>
        <w:t> </w:t>
      </w:r>
      <w:r>
        <w:rPr/>
        <w:t>of</w:t>
      </w:r>
      <w:r>
        <w:rPr>
          <w:spacing w:val="-9"/>
        </w:rPr>
        <w:t> </w:t>
      </w:r>
      <w:r>
        <w:rPr/>
        <w:t>the</w:t>
      </w:r>
      <w:r>
        <w:rPr>
          <w:spacing w:val="-9"/>
        </w:rPr>
        <w:t> </w:t>
      </w:r>
      <w:r>
        <w:rPr/>
        <w:t>research</w:t>
      </w:r>
      <w:r>
        <w:rPr>
          <w:spacing w:val="-7"/>
        </w:rPr>
        <w:t> </w:t>
      </w:r>
      <w:r>
        <w:rPr/>
        <w:t>unit</w:t>
      </w:r>
      <w:r>
        <w:rPr>
          <w:spacing w:val="-8"/>
        </w:rPr>
        <w:t> </w:t>
      </w:r>
      <w:r>
        <w:rPr/>
        <w:t>to</w:t>
      </w:r>
      <w:r>
        <w:rPr>
          <w:spacing w:val="-7"/>
        </w:rPr>
        <w:t> </w:t>
      </w:r>
      <w:r>
        <w:rPr/>
        <w:t>gather</w:t>
      </w:r>
      <w:r>
        <w:rPr>
          <w:spacing w:val="-8"/>
        </w:rPr>
        <w:t> </w:t>
      </w:r>
      <w:r>
        <w:rPr/>
        <w:t>and</w:t>
      </w:r>
      <w:r>
        <w:rPr>
          <w:spacing w:val="-7"/>
        </w:rPr>
        <w:t> </w:t>
      </w:r>
      <w:r>
        <w:rPr/>
        <w:t>assess</w:t>
      </w:r>
      <w:r>
        <w:rPr>
          <w:spacing w:val="-9"/>
        </w:rPr>
        <w:t> </w:t>
      </w:r>
      <w:r>
        <w:rPr/>
        <w:t>data</w:t>
      </w:r>
      <w:r>
        <w:rPr>
          <w:spacing w:val="-7"/>
        </w:rPr>
        <w:t> </w:t>
      </w:r>
      <w:r>
        <w:rPr/>
        <w:t>that</w:t>
      </w:r>
      <w:r>
        <w:rPr>
          <w:spacing w:val="-7"/>
        </w:rPr>
        <w:t> </w:t>
      </w:r>
      <w:r>
        <w:rPr/>
        <w:t>would</w:t>
      </w:r>
      <w:r>
        <w:rPr>
          <w:spacing w:val="-7"/>
        </w:rPr>
        <w:t> </w:t>
      </w:r>
      <w:r>
        <w:rPr/>
        <w:t>provide</w:t>
      </w:r>
      <w:r>
        <w:rPr>
          <w:spacing w:val="-9"/>
        </w:rPr>
        <w:t> </w:t>
      </w:r>
      <w:r>
        <w:rPr/>
        <w:t>information</w:t>
      </w:r>
      <w:r>
        <w:rPr>
          <w:spacing w:val="-7"/>
        </w:rPr>
        <w:t> </w:t>
      </w:r>
      <w:r>
        <w:rPr/>
        <w:t>regarding</w:t>
      </w:r>
      <w:r>
        <w:rPr>
          <w:spacing w:val="-8"/>
        </w:rPr>
        <w:t> </w:t>
      </w:r>
      <w:r>
        <w:rPr/>
        <w:t>status </w:t>
      </w:r>
      <w:r>
        <w:rPr/>
        <w:t>performance and emerging</w:t>
      </w:r>
      <w:r>
        <w:rPr>
          <w:spacing w:val="-11"/>
        </w:rPr>
        <w:t> </w:t>
      </w:r>
      <w:r>
        <w:rPr/>
        <w:t>trends.</w:t>
      </w:r>
    </w:p>
    <w:p>
      <w:pPr>
        <w:spacing w:line="240" w:lineRule="auto" w:before="11"/>
        <w:ind w:right="0"/>
        <w:rPr>
          <w:rFonts w:ascii="Calibri" w:hAnsi="Calibri" w:cs="Calibri" w:eastAsia="Calibri" w:hint="default"/>
          <w:sz w:val="19"/>
          <w:szCs w:val="19"/>
        </w:rPr>
      </w:pPr>
    </w:p>
    <w:p>
      <w:pPr>
        <w:pStyle w:val="BodyText"/>
        <w:spacing w:line="240" w:lineRule="auto"/>
        <w:ind w:right="1435"/>
        <w:jc w:val="both"/>
      </w:pPr>
      <w:r>
        <w:rPr>
          <w:rFonts w:ascii="Calibri" w:hAnsi="Calibri" w:cs="Calibri" w:eastAsia="Calibri" w:hint="default"/>
        </w:rPr>
        <w:t>In the DPITS’ </w:t>
      </w:r>
      <w:r>
        <w:rPr/>
        <w:t>view, the CTB core business is twofold: marketing of the destination, and optimizing coordination amongst stakeholders </w:t>
      </w:r>
      <w:r>
        <w:rPr>
          <w:rFonts w:ascii="Calibri" w:hAnsi="Calibri" w:cs="Calibri" w:eastAsia="Calibri" w:hint="default"/>
        </w:rPr>
        <w:t>– </w:t>
      </w:r>
      <w:r>
        <w:rPr/>
        <w:t>both of which would create memorable experiences for tourists. Figure 19 represents a mindset for a market orientated organization. In addition, the organization should build and nurture a business culture where the staff understands and shares the values of the organization. These values should be anchored in business driven parameters for choice making. These parameters should reveal clear business benchmarks in attracting</w:t>
      </w:r>
      <w:r>
        <w:rPr>
          <w:spacing w:val="-4"/>
        </w:rPr>
        <w:t> </w:t>
      </w:r>
      <w:r>
        <w:rPr/>
        <w:t>and</w:t>
      </w:r>
      <w:r>
        <w:rPr>
          <w:spacing w:val="-3"/>
        </w:rPr>
        <w:t> </w:t>
      </w:r>
      <w:r>
        <w:rPr/>
        <w:t>sustaining</w:t>
      </w:r>
      <w:r>
        <w:rPr>
          <w:spacing w:val="-4"/>
        </w:rPr>
        <w:t> </w:t>
      </w:r>
      <w:r>
        <w:rPr/>
        <w:t>market</w:t>
      </w:r>
      <w:r>
        <w:rPr>
          <w:spacing w:val="-3"/>
        </w:rPr>
        <w:t> </w:t>
      </w:r>
      <w:r>
        <w:rPr/>
        <w:t>segments</w:t>
      </w:r>
      <w:r>
        <w:rPr>
          <w:spacing w:val="-5"/>
        </w:rPr>
        <w:t> </w:t>
      </w:r>
      <w:r>
        <w:rPr/>
        <w:t>in</w:t>
      </w:r>
      <w:r>
        <w:rPr>
          <w:spacing w:val="-3"/>
        </w:rPr>
        <w:t> </w:t>
      </w:r>
      <w:r>
        <w:rPr/>
        <w:t>a</w:t>
      </w:r>
      <w:r>
        <w:rPr>
          <w:spacing w:val="-3"/>
        </w:rPr>
        <w:t> </w:t>
      </w:r>
      <w:r>
        <w:rPr/>
        <w:t>cost</w:t>
      </w:r>
      <w:r>
        <w:rPr>
          <w:spacing w:val="-3"/>
        </w:rPr>
        <w:t> </w:t>
      </w:r>
      <w:r>
        <w:rPr/>
        <w:t>effective</w:t>
      </w:r>
      <w:r>
        <w:rPr>
          <w:spacing w:val="-4"/>
        </w:rPr>
        <w:t> </w:t>
      </w:r>
      <w:r>
        <w:rPr/>
        <w:t>way</w:t>
      </w:r>
      <w:r>
        <w:rPr>
          <w:spacing w:val="-2"/>
        </w:rPr>
        <w:t> </w:t>
      </w:r>
      <w:r>
        <w:rPr/>
        <w:t>as</w:t>
      </w:r>
      <w:r>
        <w:rPr>
          <w:spacing w:val="-5"/>
        </w:rPr>
        <w:t> </w:t>
      </w:r>
      <w:r>
        <w:rPr/>
        <w:t>well</w:t>
      </w:r>
      <w:r>
        <w:rPr>
          <w:spacing w:val="-4"/>
        </w:rPr>
        <w:t> </w:t>
      </w:r>
      <w:r>
        <w:rPr/>
        <w:t>as</w:t>
      </w:r>
      <w:r>
        <w:rPr>
          <w:spacing w:val="-5"/>
        </w:rPr>
        <w:t> </w:t>
      </w:r>
      <w:r>
        <w:rPr/>
        <w:t>supporting</w:t>
      </w:r>
      <w:r>
        <w:rPr>
          <w:spacing w:val="-4"/>
        </w:rPr>
        <w:t> </w:t>
      </w:r>
      <w:r>
        <w:rPr/>
        <w:t>the</w:t>
      </w:r>
      <w:r>
        <w:rPr>
          <w:spacing w:val="-4"/>
        </w:rPr>
        <w:t> </w:t>
      </w:r>
      <w:r>
        <w:rPr/>
        <w:t>overall</w:t>
      </w:r>
      <w:r>
        <w:rPr>
          <w:spacing w:val="-4"/>
        </w:rPr>
        <w:t> </w:t>
      </w:r>
      <w:r>
        <w:rPr/>
        <w:t>objectives</w:t>
      </w:r>
      <w:r>
        <w:rPr>
          <w:spacing w:val="-5"/>
        </w:rPr>
        <w:t> </w:t>
      </w:r>
      <w:r>
        <w:rPr/>
        <w:t>of</w:t>
      </w:r>
      <w:r>
        <w:rPr>
          <w:spacing w:val="-5"/>
        </w:rPr>
        <w:t> </w:t>
      </w:r>
      <w:r>
        <w:rPr/>
        <w:t>the </w:t>
      </w:r>
      <w:r>
        <w:rPr/>
        <w:t>destination.</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3"/>
        <w:ind w:right="0"/>
        <w:rPr>
          <w:rFonts w:ascii="Calibri" w:hAnsi="Calibri" w:cs="Calibri" w:eastAsia="Calibri" w:hint="default"/>
          <w:sz w:val="26"/>
          <w:szCs w:val="26"/>
        </w:rPr>
      </w:pPr>
    </w:p>
    <w:p>
      <w:pPr>
        <w:pStyle w:val="Heading1"/>
        <w:spacing w:line="240" w:lineRule="auto"/>
        <w:ind w:right="26"/>
        <w:jc w:val="center"/>
        <w:rPr>
          <w:b w:val="0"/>
          <w:bCs w:val="0"/>
        </w:rPr>
      </w:pPr>
      <w:bookmarkStart w:name="_bookmark84" w:id="85"/>
      <w:bookmarkEnd w:id="85"/>
      <w:r>
        <w:rPr>
          <w:b w:val="0"/>
        </w:rPr>
      </w:r>
      <w:r>
        <w:rPr/>
        <w:t>Chapter 5: Challenges looming on the</w:t>
      </w:r>
      <w:r>
        <w:rPr>
          <w:spacing w:val="-10"/>
        </w:rPr>
        <w:t> </w:t>
      </w:r>
      <w:r>
        <w:rPr/>
        <w:t>horizon</w:t>
      </w:r>
      <w:r>
        <w:rPr>
          <w:b w:val="0"/>
        </w:rPr>
      </w:r>
    </w:p>
    <w:p>
      <w:pPr>
        <w:pStyle w:val="Heading2"/>
        <w:spacing w:line="240" w:lineRule="auto" w:before="281"/>
        <w:ind w:right="0"/>
        <w:jc w:val="both"/>
        <w:rPr>
          <w:b w:val="0"/>
          <w:bCs w:val="0"/>
        </w:rPr>
      </w:pPr>
      <w:bookmarkStart w:name="_bookmark85" w:id="86"/>
      <w:bookmarkEnd w:id="86"/>
      <w:r>
        <w:rPr>
          <w:b w:val="0"/>
        </w:rPr>
      </w:r>
      <w:r>
        <w:rPr/>
        <w:t>Tourism as best promise for the</w:t>
      </w:r>
      <w:r>
        <w:rPr>
          <w:spacing w:val="-21"/>
        </w:rPr>
        <w:t> </w:t>
      </w:r>
      <w:r>
        <w:rPr/>
        <w:t>future</w:t>
      </w:r>
      <w:r>
        <w:rPr>
          <w:b w:val="0"/>
        </w:rPr>
      </w:r>
    </w:p>
    <w:p>
      <w:pPr>
        <w:pStyle w:val="BodyText"/>
        <w:spacing w:line="259" w:lineRule="auto" w:before="191"/>
        <w:ind w:right="1437"/>
        <w:jc w:val="both"/>
        <w:rPr>
          <w:sz w:val="12"/>
          <w:szCs w:val="12"/>
        </w:rPr>
      </w:pPr>
      <w:r>
        <w:rPr/>
        <w:t>Curaçao faces enormous challenges. These challenges run the gamut of a weak economy (very low growth), debt repayment</w:t>
      </w:r>
      <w:r>
        <w:rPr>
          <w:spacing w:val="-6"/>
        </w:rPr>
        <w:t> </w:t>
      </w:r>
      <w:r>
        <w:rPr/>
        <w:t>in</w:t>
      </w:r>
      <w:r>
        <w:rPr>
          <w:spacing w:val="-6"/>
        </w:rPr>
        <w:t> </w:t>
      </w:r>
      <w:r>
        <w:rPr/>
        <w:t>2019,</w:t>
      </w:r>
      <w:r>
        <w:rPr>
          <w:spacing w:val="-6"/>
        </w:rPr>
        <w:t> </w:t>
      </w:r>
      <w:r>
        <w:rPr/>
        <w:t>the</w:t>
      </w:r>
      <w:r>
        <w:rPr>
          <w:spacing w:val="-8"/>
        </w:rPr>
        <w:t> </w:t>
      </w:r>
      <w:r>
        <w:rPr/>
        <w:t>continuation</w:t>
      </w:r>
      <w:r>
        <w:rPr>
          <w:spacing w:val="-6"/>
        </w:rPr>
        <w:t> </w:t>
      </w:r>
      <w:r>
        <w:rPr/>
        <w:t>of</w:t>
      </w:r>
      <w:r>
        <w:rPr>
          <w:spacing w:val="-8"/>
        </w:rPr>
        <w:t> </w:t>
      </w:r>
      <w:r>
        <w:rPr/>
        <w:t>the</w:t>
      </w:r>
      <w:r>
        <w:rPr>
          <w:spacing w:val="-8"/>
        </w:rPr>
        <w:t> </w:t>
      </w:r>
      <w:r>
        <w:rPr/>
        <w:t>oil</w:t>
      </w:r>
      <w:r>
        <w:rPr>
          <w:spacing w:val="-7"/>
        </w:rPr>
        <w:t> </w:t>
      </w:r>
      <w:r>
        <w:rPr/>
        <w:t>refinery</w:t>
      </w:r>
      <w:r>
        <w:rPr>
          <w:spacing w:val="-6"/>
        </w:rPr>
        <w:t> </w:t>
      </w:r>
      <w:r>
        <w:rPr/>
        <w:t>(2019),</w:t>
      </w:r>
      <w:r>
        <w:rPr>
          <w:spacing w:val="-7"/>
        </w:rPr>
        <w:t> </w:t>
      </w:r>
      <w:r>
        <w:rPr/>
        <w:t>the</w:t>
      </w:r>
      <w:r>
        <w:rPr>
          <w:spacing w:val="-8"/>
        </w:rPr>
        <w:t> </w:t>
      </w:r>
      <w:r>
        <w:rPr/>
        <w:t>uncertain</w:t>
      </w:r>
      <w:r>
        <w:rPr>
          <w:spacing w:val="-6"/>
        </w:rPr>
        <w:t> </w:t>
      </w:r>
      <w:r>
        <w:rPr/>
        <w:t>future</w:t>
      </w:r>
      <w:r>
        <w:rPr>
          <w:spacing w:val="-8"/>
        </w:rPr>
        <w:t> </w:t>
      </w:r>
      <w:r>
        <w:rPr/>
        <w:t>of</w:t>
      </w:r>
      <w:r>
        <w:rPr>
          <w:spacing w:val="-8"/>
        </w:rPr>
        <w:t> </w:t>
      </w:r>
      <w:r>
        <w:rPr/>
        <w:t>the</w:t>
      </w:r>
      <w:r>
        <w:rPr>
          <w:spacing w:val="-8"/>
        </w:rPr>
        <w:t> </w:t>
      </w:r>
      <w:r>
        <w:rPr/>
        <w:t>financial</w:t>
      </w:r>
      <w:r>
        <w:rPr>
          <w:spacing w:val="-7"/>
        </w:rPr>
        <w:t> </w:t>
      </w:r>
      <w:r>
        <w:rPr/>
        <w:t>sector</w:t>
      </w:r>
      <w:r>
        <w:rPr>
          <w:spacing w:val="-7"/>
        </w:rPr>
        <w:t> </w:t>
      </w:r>
      <w:r>
        <w:rPr/>
        <w:t>due</w:t>
      </w:r>
      <w:r>
        <w:rPr>
          <w:spacing w:val="-8"/>
        </w:rPr>
        <w:t> </w:t>
      </w:r>
      <w:r>
        <w:rPr/>
        <w:t>to</w:t>
      </w:r>
      <w:r>
        <w:rPr>
          <w:spacing w:val="-6"/>
        </w:rPr>
        <w:t> </w:t>
      </w:r>
      <w:r>
        <w:rPr/>
        <w:t>the </w:t>
      </w:r>
      <w:r>
        <w:rPr/>
        <w:t>end of grandfathering provisions of the offshore financing legislation (2019), high unemployment (15%), reported poverty incidence of above 15%, and an explosive youth unemployment in the range of</w:t>
      </w:r>
      <w:r>
        <w:rPr>
          <w:spacing w:val="-24"/>
        </w:rPr>
        <w:t> </w:t>
      </w:r>
      <w:r>
        <w:rPr/>
        <w:t>35%.</w:t>
      </w:r>
      <w:r>
        <w:rPr>
          <w:position w:val="5"/>
          <w:sz w:val="12"/>
        </w:rPr>
        <w:t>47</w:t>
      </w:r>
      <w:r>
        <w:rPr>
          <w:sz w:val="12"/>
        </w:rPr>
      </w:r>
    </w:p>
    <w:p>
      <w:pPr>
        <w:pStyle w:val="BodyText"/>
        <w:spacing w:line="259" w:lineRule="auto" w:before="161"/>
        <w:ind w:right="1436"/>
        <w:jc w:val="both"/>
      </w:pPr>
      <w:r>
        <w:rPr/>
        <w:t>Compounding</w:t>
      </w:r>
      <w:r>
        <w:rPr>
          <w:spacing w:val="-7"/>
        </w:rPr>
        <w:t> </w:t>
      </w:r>
      <w:r>
        <w:rPr/>
        <w:t>these</w:t>
      </w:r>
      <w:r>
        <w:rPr>
          <w:spacing w:val="-6"/>
        </w:rPr>
        <w:t> </w:t>
      </w:r>
      <w:r>
        <w:rPr/>
        <w:t>socioeconomic</w:t>
      </w:r>
      <w:r>
        <w:rPr>
          <w:spacing w:val="-7"/>
        </w:rPr>
        <w:t> </w:t>
      </w:r>
      <w:r>
        <w:rPr/>
        <w:t>problems</w:t>
      </w:r>
      <w:r>
        <w:rPr>
          <w:spacing w:val="-6"/>
        </w:rPr>
        <w:t> </w:t>
      </w:r>
      <w:r>
        <w:rPr/>
        <w:t>that</w:t>
      </w:r>
      <w:r>
        <w:rPr>
          <w:spacing w:val="-7"/>
        </w:rPr>
        <w:t> </w:t>
      </w:r>
      <w:r>
        <w:rPr/>
        <w:t>are</w:t>
      </w:r>
      <w:r>
        <w:rPr>
          <w:spacing w:val="-5"/>
        </w:rPr>
        <w:t> </w:t>
      </w:r>
      <w:r>
        <w:rPr/>
        <w:t>spawned</w:t>
      </w:r>
      <w:r>
        <w:rPr>
          <w:spacing w:val="-7"/>
        </w:rPr>
        <w:t> </w:t>
      </w:r>
      <w:r>
        <w:rPr/>
        <w:t>by</w:t>
      </w:r>
      <w:r>
        <w:rPr>
          <w:spacing w:val="-7"/>
        </w:rPr>
        <w:t> </w:t>
      </w:r>
      <w:r>
        <w:rPr/>
        <w:t>unemployment</w:t>
      </w:r>
      <w:r>
        <w:rPr>
          <w:spacing w:val="-7"/>
        </w:rPr>
        <w:t> </w:t>
      </w:r>
      <w:r>
        <w:rPr/>
        <w:t>and</w:t>
      </w:r>
      <w:r>
        <w:rPr>
          <w:spacing w:val="-5"/>
        </w:rPr>
        <w:t> </w:t>
      </w:r>
      <w:r>
        <w:rPr/>
        <w:t>poverty,</w:t>
      </w:r>
      <w:r>
        <w:rPr>
          <w:spacing w:val="-7"/>
        </w:rPr>
        <w:t> </w:t>
      </w:r>
      <w:r>
        <w:rPr/>
        <w:t>is</w:t>
      </w:r>
      <w:r>
        <w:rPr>
          <w:spacing w:val="-7"/>
        </w:rPr>
        <w:t> </w:t>
      </w:r>
      <w:r>
        <w:rPr/>
        <w:t>the</w:t>
      </w:r>
      <w:r>
        <w:rPr>
          <w:spacing w:val="-9"/>
        </w:rPr>
        <w:t> </w:t>
      </w:r>
      <w:r>
        <w:rPr/>
        <w:t>phenomenon </w:t>
      </w:r>
      <w:r>
        <w:rPr/>
        <w:t>of the brain drain (the loss of well-educated, human capital) resulting from the lack of job opportunities, as well as the growing level of uncertainty about the economic future of the island.</w:t>
      </w:r>
      <w:r>
        <w:rPr>
          <w:position w:val="7"/>
          <w:sz w:val="13"/>
        </w:rPr>
        <w:t>48 </w:t>
      </w:r>
      <w:r>
        <w:rPr/>
        <w:t>If these challenges are not faced </w:t>
      </w:r>
      <w:r>
        <w:rPr/>
        <w:t>aggressively, all the strides toward progress that the tourism sector has made in the last few years will be jeopardized.</w:t>
      </w:r>
    </w:p>
    <w:p>
      <w:pPr>
        <w:pStyle w:val="BodyText"/>
        <w:spacing w:line="259" w:lineRule="auto" w:before="158"/>
        <w:ind w:right="1437"/>
        <w:jc w:val="both"/>
      </w:pPr>
      <w:r>
        <w:rPr/>
        <w:t>Tourism</w:t>
      </w:r>
      <w:r>
        <w:rPr>
          <w:spacing w:val="-10"/>
        </w:rPr>
        <w:t> </w:t>
      </w:r>
      <w:r>
        <w:rPr/>
        <w:t>is</w:t>
      </w:r>
      <w:r>
        <w:rPr>
          <w:spacing w:val="-11"/>
        </w:rPr>
        <w:t> </w:t>
      </w:r>
      <w:r>
        <w:rPr/>
        <w:t>one</w:t>
      </w:r>
      <w:r>
        <w:rPr>
          <w:spacing w:val="-11"/>
        </w:rPr>
        <w:t> </w:t>
      </w:r>
      <w:r>
        <w:rPr/>
        <w:t>of</w:t>
      </w:r>
      <w:r>
        <w:rPr>
          <w:spacing w:val="-11"/>
        </w:rPr>
        <w:t> </w:t>
      </w:r>
      <w:r>
        <w:rPr/>
        <w:t>the</w:t>
      </w:r>
      <w:r>
        <w:rPr>
          <w:spacing w:val="-11"/>
        </w:rPr>
        <w:t> </w:t>
      </w:r>
      <w:r>
        <w:rPr/>
        <w:t>few</w:t>
      </w:r>
      <w:r>
        <w:rPr>
          <w:spacing w:val="-11"/>
        </w:rPr>
        <w:t> </w:t>
      </w:r>
      <w:r>
        <w:rPr/>
        <w:t>economic</w:t>
      </w:r>
      <w:r>
        <w:rPr>
          <w:spacing w:val="-11"/>
        </w:rPr>
        <w:t> </w:t>
      </w:r>
      <w:r>
        <w:rPr/>
        <w:t>sectors</w:t>
      </w:r>
      <w:r>
        <w:rPr>
          <w:spacing w:val="-9"/>
        </w:rPr>
        <w:t> </w:t>
      </w:r>
      <w:r>
        <w:rPr/>
        <w:t>that</w:t>
      </w:r>
      <w:r>
        <w:rPr>
          <w:spacing w:val="-9"/>
        </w:rPr>
        <w:t> </w:t>
      </w:r>
      <w:r>
        <w:rPr/>
        <w:t>has</w:t>
      </w:r>
      <w:r>
        <w:rPr>
          <w:spacing w:val="-10"/>
        </w:rPr>
        <w:t> </w:t>
      </w:r>
      <w:r>
        <w:rPr/>
        <w:t>revealed</w:t>
      </w:r>
      <w:r>
        <w:rPr>
          <w:spacing w:val="-7"/>
        </w:rPr>
        <w:t> </w:t>
      </w:r>
      <w:r>
        <w:rPr/>
        <w:t>steady</w:t>
      </w:r>
      <w:r>
        <w:rPr>
          <w:spacing w:val="-9"/>
        </w:rPr>
        <w:t> </w:t>
      </w:r>
      <w:r>
        <w:rPr/>
        <w:t>and</w:t>
      </w:r>
      <w:r>
        <w:rPr>
          <w:spacing w:val="-12"/>
        </w:rPr>
        <w:t> </w:t>
      </w:r>
      <w:r>
        <w:rPr/>
        <w:t>strong</w:t>
      </w:r>
      <w:r>
        <w:rPr>
          <w:spacing w:val="-10"/>
        </w:rPr>
        <w:t> </w:t>
      </w:r>
      <w:r>
        <w:rPr/>
        <w:t>growth</w:t>
      </w:r>
      <w:r>
        <w:rPr>
          <w:spacing w:val="-10"/>
        </w:rPr>
        <w:t> </w:t>
      </w:r>
      <w:r>
        <w:rPr/>
        <w:t>in</w:t>
      </w:r>
      <w:r>
        <w:rPr>
          <w:spacing w:val="-12"/>
        </w:rPr>
        <w:t> </w:t>
      </w:r>
      <w:r>
        <w:rPr/>
        <w:t>the</w:t>
      </w:r>
      <w:r>
        <w:rPr>
          <w:spacing w:val="-11"/>
        </w:rPr>
        <w:t> </w:t>
      </w:r>
      <w:r>
        <w:rPr/>
        <w:t>last</w:t>
      </w:r>
      <w:r>
        <w:rPr>
          <w:spacing w:val="-10"/>
        </w:rPr>
        <w:t> </w:t>
      </w:r>
      <w:r>
        <w:rPr/>
        <w:t>decade</w:t>
      </w:r>
      <w:r>
        <w:rPr>
          <w:spacing w:val="-8"/>
        </w:rPr>
        <w:t> </w:t>
      </w:r>
      <w:r>
        <w:rPr/>
        <w:t>(see</w:t>
      </w:r>
      <w:r>
        <w:rPr>
          <w:spacing w:val="-11"/>
        </w:rPr>
        <w:t> </w:t>
      </w:r>
      <w:r>
        <w:rPr/>
        <w:t>Figure </w:t>
      </w:r>
      <w:r>
        <w:rPr/>
        <w:t>20). The tourism industry has provided the island with thousands of jobs. Indeed, tourism generates 16,503 jobs and already represents 18% of the local economy. Clearly, tourism represents a unique opportunity for the island  to</w:t>
      </w:r>
      <w:r>
        <w:rPr>
          <w:spacing w:val="-12"/>
        </w:rPr>
        <w:t> </w:t>
      </w:r>
      <w:r>
        <w:rPr/>
        <w:t>confront</w:t>
      </w:r>
      <w:r>
        <w:rPr>
          <w:spacing w:val="-12"/>
        </w:rPr>
        <w:t> </w:t>
      </w:r>
      <w:r>
        <w:rPr/>
        <w:t>the</w:t>
      </w:r>
      <w:r>
        <w:rPr>
          <w:spacing w:val="-13"/>
        </w:rPr>
        <w:t> </w:t>
      </w:r>
      <w:r>
        <w:rPr/>
        <w:t>future</w:t>
      </w:r>
      <w:r>
        <w:rPr>
          <w:spacing w:val="-13"/>
        </w:rPr>
        <w:t> </w:t>
      </w:r>
      <w:r>
        <w:rPr/>
        <w:t>with</w:t>
      </w:r>
      <w:r>
        <w:rPr>
          <w:spacing w:val="-12"/>
        </w:rPr>
        <w:t> </w:t>
      </w:r>
      <w:r>
        <w:rPr/>
        <w:t>economic</w:t>
      </w:r>
      <w:r>
        <w:rPr>
          <w:spacing w:val="-13"/>
        </w:rPr>
        <w:t> </w:t>
      </w:r>
      <w:r>
        <w:rPr/>
        <w:t>and</w:t>
      </w:r>
      <w:r>
        <w:rPr>
          <w:spacing w:val="-12"/>
        </w:rPr>
        <w:t> </w:t>
      </w:r>
      <w:r>
        <w:rPr/>
        <w:t>social</w:t>
      </w:r>
      <w:r>
        <w:rPr>
          <w:spacing w:val="-13"/>
        </w:rPr>
        <w:t> </w:t>
      </w:r>
      <w:r>
        <w:rPr/>
        <w:t>opportunities.</w:t>
      </w:r>
      <w:r>
        <w:rPr>
          <w:spacing w:val="-13"/>
        </w:rPr>
        <w:t> </w:t>
      </w:r>
      <w:r>
        <w:rPr/>
        <w:t>Social</w:t>
      </w:r>
      <w:r>
        <w:rPr>
          <w:spacing w:val="-11"/>
        </w:rPr>
        <w:t> </w:t>
      </w:r>
      <w:r>
        <w:rPr/>
        <w:t>opportunities</w:t>
      </w:r>
      <w:r>
        <w:rPr>
          <w:spacing w:val="-14"/>
        </w:rPr>
        <w:t> </w:t>
      </w:r>
      <w:r>
        <w:rPr/>
        <w:t>pertain</w:t>
      </w:r>
      <w:r>
        <w:rPr>
          <w:spacing w:val="-12"/>
        </w:rPr>
        <w:t> </w:t>
      </w:r>
      <w:r>
        <w:rPr/>
        <w:t>to</w:t>
      </w:r>
      <w:r>
        <w:rPr>
          <w:spacing w:val="-12"/>
        </w:rPr>
        <w:t> </w:t>
      </w:r>
      <w:r>
        <w:rPr/>
        <w:t>the</w:t>
      </w:r>
      <w:r>
        <w:rPr>
          <w:spacing w:val="-13"/>
        </w:rPr>
        <w:t> </w:t>
      </w:r>
      <w:r>
        <w:rPr/>
        <w:t>resources</w:t>
      </w:r>
      <w:r>
        <w:rPr>
          <w:spacing w:val="-14"/>
        </w:rPr>
        <w:t> </w:t>
      </w:r>
      <w:r>
        <w:rPr/>
        <w:t>available </w:t>
      </w:r>
      <w:r>
        <w:rPr/>
        <w:t>to residents. These resources stem either from jobs or economic</w:t>
      </w:r>
      <w:r>
        <w:rPr>
          <w:spacing w:val="-27"/>
        </w:rPr>
        <w:t> </w:t>
      </w:r>
      <w:r>
        <w:rPr/>
        <w:t>growth.</w:t>
      </w:r>
    </w:p>
    <w:p>
      <w:pPr>
        <w:spacing w:line="240" w:lineRule="auto" w:before="2"/>
        <w:ind w:right="0"/>
        <w:rPr>
          <w:rFonts w:ascii="Calibri" w:hAnsi="Calibri" w:cs="Calibri" w:eastAsia="Calibri" w:hint="default"/>
          <w:sz w:val="13"/>
          <w:szCs w:val="13"/>
        </w:rPr>
      </w:pPr>
    </w:p>
    <w:p>
      <w:pPr>
        <w:spacing w:line="240" w:lineRule="auto"/>
        <w:ind w:left="1656"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5689122" cy="2676334"/>
            <wp:effectExtent l="0" t="0" r="0" b="0"/>
            <wp:docPr id="43" name="image8.png" descr=""/>
            <wp:cNvGraphicFramePr>
              <a:graphicFrameLocks noChangeAspect="1"/>
            </wp:cNvGraphicFramePr>
            <a:graphic>
              <a:graphicData uri="http://schemas.openxmlformats.org/drawingml/2006/picture">
                <pic:pic>
                  <pic:nvPicPr>
                    <pic:cNvPr id="44" name="image8.png"/>
                    <pic:cNvPicPr/>
                  </pic:nvPicPr>
                  <pic:blipFill>
                    <a:blip r:embed="rId17" cstate="print"/>
                    <a:stretch>
                      <a:fillRect/>
                    </a:stretch>
                  </pic:blipFill>
                  <pic:spPr>
                    <a:xfrm>
                      <a:off x="0" y="0"/>
                      <a:ext cx="5689122" cy="2676334"/>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163"/>
        <w:ind w:left="27" w:right="26"/>
        <w:jc w:val="center"/>
        <w:rPr>
          <w:b w:val="0"/>
          <w:bCs w:val="0"/>
        </w:rPr>
      </w:pPr>
      <w:bookmarkStart w:name="_bookmark86" w:id="87"/>
      <w:bookmarkEnd w:id="87"/>
      <w:r>
        <w:rPr>
          <w:b w:val="0"/>
          <w:bCs w:val="0"/>
        </w:rPr>
      </w:r>
      <w:r>
        <w:rPr/>
        <w:t>Figure 20:  </w:t>
      </w:r>
      <w:r>
        <w:rPr>
          <w:rFonts w:ascii="Calibri" w:hAnsi="Calibri" w:cs="Calibri" w:eastAsia="Calibri" w:hint="default"/>
        </w:rPr>
        <w:t>Growth of Curaçao’s economic sectors</w:t>
      </w:r>
      <w:r>
        <w:rPr>
          <w:rFonts w:ascii="Calibri" w:hAnsi="Calibri" w:cs="Calibri" w:eastAsia="Calibri" w:hint="default"/>
          <w:spacing w:val="-20"/>
        </w:rPr>
        <w:t> </w:t>
      </w:r>
      <w:r>
        <w:rPr>
          <w:rFonts w:ascii="Calibri" w:hAnsi="Calibri" w:cs="Calibri" w:eastAsia="Calibri" w:hint="default"/>
        </w:rPr>
        <w:t>2009</w:t>
      </w:r>
      <w:r>
        <w:rPr/>
        <w:t>-2013</w:t>
      </w:r>
      <w:r>
        <w:rPr>
          <w:b w:val="0"/>
          <w:bCs w:val="0"/>
        </w:rPr>
      </w:r>
    </w:p>
    <w:p>
      <w:pPr>
        <w:spacing w:line="240" w:lineRule="auto" w:before="2"/>
        <w:ind w:right="0"/>
        <w:rPr>
          <w:rFonts w:ascii="Calibri" w:hAnsi="Calibri" w:cs="Calibri" w:eastAsia="Calibri" w:hint="default"/>
          <w:b/>
          <w:bCs/>
          <w:sz w:val="20"/>
          <w:szCs w:val="20"/>
        </w:rPr>
      </w:pPr>
    </w:p>
    <w:p>
      <w:pPr>
        <w:pStyle w:val="BodyText"/>
        <w:spacing w:line="259" w:lineRule="auto"/>
        <w:ind w:right="1435"/>
        <w:jc w:val="both"/>
      </w:pPr>
      <w:r>
        <w:rPr/>
        <w:t>Currently,</w:t>
      </w:r>
      <w:r>
        <w:rPr>
          <w:spacing w:val="-5"/>
        </w:rPr>
        <w:t> </w:t>
      </w:r>
      <w:r>
        <w:rPr/>
        <w:t>tourism</w:t>
      </w:r>
      <w:r>
        <w:rPr>
          <w:spacing w:val="-6"/>
        </w:rPr>
        <w:t> </w:t>
      </w:r>
      <w:r>
        <w:rPr/>
        <w:t>serves</w:t>
      </w:r>
      <w:r>
        <w:rPr>
          <w:spacing w:val="-6"/>
        </w:rPr>
        <w:t> </w:t>
      </w:r>
      <w:r>
        <w:rPr/>
        <w:t>as</w:t>
      </w:r>
      <w:r>
        <w:rPr>
          <w:spacing w:val="-6"/>
        </w:rPr>
        <w:t> </w:t>
      </w:r>
      <w:r>
        <w:rPr/>
        <w:t>Cura</w:t>
      </w:r>
      <w:r>
        <w:rPr>
          <w:rFonts w:ascii="Calibri" w:hAnsi="Calibri" w:cs="Calibri" w:eastAsia="Calibri" w:hint="default"/>
        </w:rPr>
        <w:t>çao’s</w:t>
      </w:r>
      <w:r>
        <w:rPr>
          <w:rFonts w:ascii="Calibri" w:hAnsi="Calibri" w:cs="Calibri" w:eastAsia="Calibri" w:hint="default"/>
          <w:spacing w:val="-6"/>
        </w:rPr>
        <w:t> </w:t>
      </w:r>
      <w:r>
        <w:rPr>
          <w:rFonts w:ascii="Calibri" w:hAnsi="Calibri" w:cs="Calibri" w:eastAsia="Calibri" w:hint="default"/>
        </w:rPr>
        <w:t>largest</w:t>
      </w:r>
      <w:r>
        <w:rPr>
          <w:rFonts w:ascii="Calibri" w:hAnsi="Calibri" w:cs="Calibri" w:eastAsia="Calibri" w:hint="default"/>
          <w:spacing w:val="-5"/>
        </w:rPr>
        <w:t> </w:t>
      </w:r>
      <w:r>
        <w:rPr>
          <w:rFonts w:ascii="Calibri" w:hAnsi="Calibri" w:cs="Calibri" w:eastAsia="Calibri" w:hint="default"/>
        </w:rPr>
        <w:t>source</w:t>
      </w:r>
      <w:r>
        <w:rPr>
          <w:rFonts w:ascii="Calibri" w:hAnsi="Calibri" w:cs="Calibri" w:eastAsia="Calibri" w:hint="default"/>
          <w:spacing w:val="-6"/>
        </w:rPr>
        <w:t> </w:t>
      </w:r>
      <w:r>
        <w:rPr>
          <w:rFonts w:ascii="Calibri" w:hAnsi="Calibri" w:cs="Calibri" w:eastAsia="Calibri" w:hint="default"/>
        </w:rPr>
        <w:t>of</w:t>
      </w:r>
      <w:r>
        <w:rPr>
          <w:rFonts w:ascii="Calibri" w:hAnsi="Calibri" w:cs="Calibri" w:eastAsia="Calibri" w:hint="default"/>
          <w:spacing w:val="-6"/>
        </w:rPr>
        <w:t> </w:t>
      </w:r>
      <w:r>
        <w:rPr>
          <w:rFonts w:ascii="Calibri" w:hAnsi="Calibri" w:cs="Calibri" w:eastAsia="Calibri" w:hint="default"/>
        </w:rPr>
        <w:t>foreign</w:t>
      </w:r>
      <w:r>
        <w:rPr>
          <w:rFonts w:ascii="Calibri" w:hAnsi="Calibri" w:cs="Calibri" w:eastAsia="Calibri" w:hint="default"/>
          <w:spacing w:val="-5"/>
        </w:rPr>
        <w:t> </w:t>
      </w:r>
      <w:r>
        <w:rPr>
          <w:rFonts w:ascii="Calibri" w:hAnsi="Calibri" w:cs="Calibri" w:eastAsia="Calibri" w:hint="default"/>
        </w:rPr>
        <w:t>exchange</w:t>
      </w:r>
      <w:r>
        <w:rPr>
          <w:rFonts w:ascii="Calibri" w:hAnsi="Calibri" w:cs="Calibri" w:eastAsia="Calibri" w:hint="default"/>
          <w:spacing w:val="-6"/>
        </w:rPr>
        <w:t> </w:t>
      </w:r>
      <w:r>
        <w:rPr>
          <w:rFonts w:ascii="Calibri" w:hAnsi="Calibri" w:cs="Calibri" w:eastAsia="Calibri" w:hint="default"/>
        </w:rPr>
        <w:t>(26%)</w:t>
      </w:r>
      <w:r>
        <w:rPr/>
        <w:t>,</w:t>
      </w:r>
      <w:r>
        <w:rPr>
          <w:spacing w:val="-5"/>
        </w:rPr>
        <w:t> </w:t>
      </w:r>
      <w:r>
        <w:rPr/>
        <w:t>and</w:t>
      </w:r>
      <w:r>
        <w:rPr>
          <w:spacing w:val="-7"/>
        </w:rPr>
        <w:t> </w:t>
      </w:r>
      <w:r>
        <w:rPr/>
        <w:t>has</w:t>
      </w:r>
      <w:r>
        <w:rPr>
          <w:spacing w:val="-6"/>
        </w:rPr>
        <w:t> </w:t>
      </w:r>
      <w:r>
        <w:rPr/>
        <w:t>strong</w:t>
      </w:r>
      <w:r>
        <w:rPr>
          <w:spacing w:val="-6"/>
        </w:rPr>
        <w:t> </w:t>
      </w:r>
      <w:r>
        <w:rPr/>
        <w:t>backward</w:t>
      </w:r>
      <w:r>
        <w:rPr>
          <w:spacing w:val="-5"/>
        </w:rPr>
        <w:t> </w:t>
      </w:r>
      <w:r>
        <w:rPr/>
        <w:t>economic </w:t>
      </w:r>
      <w:r>
        <w:rPr/>
        <w:t>linkages to other sectors, thereby providing multiple business and job opportunities. Thus, the tourism sector and its informal components provide a vast number of jobs that range from upper level executive positions to positions that require little or no formal training. For example, there are a broad range of career opportunities in hotels and resorts,</w:t>
      </w:r>
      <w:r>
        <w:rPr>
          <w:spacing w:val="-10"/>
        </w:rPr>
        <w:t> </w:t>
      </w:r>
      <w:r>
        <w:rPr/>
        <w:t>restaurants</w:t>
      </w:r>
      <w:r>
        <w:rPr>
          <w:spacing w:val="-11"/>
        </w:rPr>
        <w:t> </w:t>
      </w:r>
      <w:r>
        <w:rPr/>
        <w:t>and</w:t>
      </w:r>
      <w:r>
        <w:rPr>
          <w:spacing w:val="-10"/>
        </w:rPr>
        <w:t> </w:t>
      </w:r>
      <w:r>
        <w:rPr/>
        <w:t>commercial</w:t>
      </w:r>
      <w:r>
        <w:rPr>
          <w:spacing w:val="-10"/>
        </w:rPr>
        <w:t> </w:t>
      </w:r>
      <w:r>
        <w:rPr/>
        <w:t>food</w:t>
      </w:r>
      <w:r>
        <w:rPr>
          <w:spacing w:val="-10"/>
        </w:rPr>
        <w:t> </w:t>
      </w:r>
      <w:r>
        <w:rPr/>
        <w:t>service,</w:t>
      </w:r>
      <w:r>
        <w:rPr>
          <w:spacing w:val="-7"/>
        </w:rPr>
        <w:t> </w:t>
      </w:r>
      <w:r>
        <w:rPr/>
        <w:t>meeting</w:t>
      </w:r>
      <w:r>
        <w:rPr>
          <w:spacing w:val="-8"/>
        </w:rPr>
        <w:t> </w:t>
      </w:r>
      <w:r>
        <w:rPr/>
        <w:t>and</w:t>
      </w:r>
      <w:r>
        <w:rPr>
          <w:spacing w:val="-10"/>
        </w:rPr>
        <w:t> </w:t>
      </w:r>
      <w:r>
        <w:rPr/>
        <w:t>event</w:t>
      </w:r>
      <w:r>
        <w:rPr>
          <w:spacing w:val="-10"/>
        </w:rPr>
        <w:t> </w:t>
      </w:r>
      <w:r>
        <w:rPr/>
        <w:t>planning,</w:t>
      </w:r>
      <w:r>
        <w:rPr>
          <w:spacing w:val="-10"/>
        </w:rPr>
        <w:t> </w:t>
      </w:r>
      <w:r>
        <w:rPr/>
        <w:t>tourism</w:t>
      </w:r>
      <w:r>
        <w:rPr>
          <w:spacing w:val="-9"/>
        </w:rPr>
        <w:t> </w:t>
      </w:r>
      <w:r>
        <w:rPr/>
        <w:t>destinations</w:t>
      </w:r>
      <w:r>
        <w:rPr>
          <w:spacing w:val="-11"/>
        </w:rPr>
        <w:t> </w:t>
      </w:r>
      <w:r>
        <w:rPr/>
        <w:t>and</w:t>
      </w:r>
      <w:r>
        <w:rPr>
          <w:spacing w:val="-10"/>
        </w:rPr>
        <w:t> </w:t>
      </w:r>
      <w:r>
        <w:rPr/>
        <w:t>attractions, </w:t>
      </w:r>
      <w:r>
        <w:rPr/>
        <w:t>leisure, recreation, sports management, airlines, cruises, and other transportation, cultural tourism development, spa and wellness management, and the entertainment industry. Further, for those individuals facing social and</w:t>
      </w:r>
      <w:r>
        <w:rPr>
          <w:spacing w:val="-22"/>
        </w:rPr>
        <w:t> </w:t>
      </w:r>
      <w:r>
        <w:rPr/>
        <w:t>skill</w:t>
      </w:r>
    </w:p>
    <w:p>
      <w:pPr>
        <w:spacing w:line="240" w:lineRule="auto" w:before="0" w:after="0"/>
        <w:ind w:right="0"/>
        <w:rPr>
          <w:rFonts w:ascii="Calibri" w:hAnsi="Calibri" w:cs="Calibri" w:eastAsia="Calibri" w:hint="default"/>
          <w:sz w:val="15"/>
          <w:szCs w:val="15"/>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before="91"/>
        <w:ind w:left="1440" w:right="0" w:firstLine="0"/>
        <w:jc w:val="left"/>
        <w:rPr>
          <w:rFonts w:ascii="Calibri" w:hAnsi="Calibri" w:cs="Calibri" w:eastAsia="Calibri" w:hint="default"/>
          <w:sz w:val="16"/>
          <w:szCs w:val="16"/>
        </w:rPr>
      </w:pPr>
      <w:r>
        <w:rPr>
          <w:rFonts w:ascii="Calibri"/>
          <w:position w:val="5"/>
          <w:sz w:val="12"/>
        </w:rPr>
        <w:t>47 </w:t>
      </w:r>
      <w:r>
        <w:rPr>
          <w:rFonts w:ascii="Calibri"/>
          <w:sz w:val="16"/>
        </w:rPr>
        <w:t>See TAC report.</w:t>
      </w:r>
    </w:p>
    <w:p>
      <w:pPr>
        <w:spacing w:before="11"/>
        <w:ind w:left="1440" w:right="0" w:firstLine="0"/>
        <w:jc w:val="left"/>
        <w:rPr>
          <w:rFonts w:ascii="Calibri" w:hAnsi="Calibri" w:cs="Calibri" w:eastAsia="Calibri" w:hint="default"/>
          <w:sz w:val="16"/>
          <w:szCs w:val="16"/>
        </w:rPr>
      </w:pPr>
      <w:r>
        <w:rPr>
          <w:rFonts w:ascii="Calibri"/>
          <w:position w:val="5"/>
          <w:sz w:val="12"/>
        </w:rPr>
        <w:t>48 </w:t>
      </w:r>
      <w:r>
        <w:rPr>
          <w:rFonts w:ascii="Calibri"/>
          <w:sz w:val="16"/>
        </w:rPr>
        <w:t>See TAC report.</w:t>
      </w:r>
    </w:p>
    <w:p>
      <w:pPr>
        <w:spacing w:after="0"/>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59" w:lineRule="auto" w:before="59"/>
        <w:ind w:right="1443"/>
        <w:jc w:val="both"/>
      </w:pPr>
      <w:r>
        <w:rPr/>
        <w:t>disadvantages,</w:t>
      </w:r>
      <w:r>
        <w:rPr>
          <w:spacing w:val="-10"/>
        </w:rPr>
        <w:t> </w:t>
      </w:r>
      <w:r>
        <w:rPr/>
        <w:t>the</w:t>
      </w:r>
      <w:r>
        <w:rPr>
          <w:spacing w:val="-11"/>
        </w:rPr>
        <w:t> </w:t>
      </w:r>
      <w:r>
        <w:rPr/>
        <w:t>tourism</w:t>
      </w:r>
      <w:r>
        <w:rPr>
          <w:spacing w:val="-11"/>
        </w:rPr>
        <w:t> </w:t>
      </w:r>
      <w:r>
        <w:rPr/>
        <w:t>industry</w:t>
      </w:r>
      <w:r>
        <w:rPr>
          <w:spacing w:val="-9"/>
        </w:rPr>
        <w:t> </w:t>
      </w:r>
      <w:r>
        <w:rPr/>
        <w:t>will</w:t>
      </w:r>
      <w:r>
        <w:rPr>
          <w:spacing w:val="-11"/>
        </w:rPr>
        <w:t> </w:t>
      </w:r>
      <w:r>
        <w:rPr/>
        <w:t>provide</w:t>
      </w:r>
      <w:r>
        <w:rPr>
          <w:spacing w:val="-11"/>
        </w:rPr>
        <w:t> </w:t>
      </w:r>
      <w:r>
        <w:rPr/>
        <w:t>a</w:t>
      </w:r>
      <w:r>
        <w:rPr>
          <w:spacing w:val="-10"/>
        </w:rPr>
        <w:t> </w:t>
      </w:r>
      <w:r>
        <w:rPr/>
        <w:t>range</w:t>
      </w:r>
      <w:r>
        <w:rPr>
          <w:spacing w:val="-11"/>
        </w:rPr>
        <w:t> </w:t>
      </w:r>
      <w:r>
        <w:rPr/>
        <w:t>of</w:t>
      </w:r>
      <w:r>
        <w:rPr>
          <w:spacing w:val="-9"/>
        </w:rPr>
        <w:t> </w:t>
      </w:r>
      <w:r>
        <w:rPr/>
        <w:t>employment</w:t>
      </w:r>
      <w:r>
        <w:rPr>
          <w:spacing w:val="-10"/>
        </w:rPr>
        <w:t> </w:t>
      </w:r>
      <w:r>
        <w:rPr/>
        <w:t>opportunities</w:t>
      </w:r>
      <w:r>
        <w:rPr>
          <w:spacing w:val="-11"/>
        </w:rPr>
        <w:t> </w:t>
      </w:r>
      <w:r>
        <w:rPr/>
        <w:t>in</w:t>
      </w:r>
      <w:r>
        <w:rPr>
          <w:spacing w:val="-10"/>
        </w:rPr>
        <w:t> </w:t>
      </w:r>
      <w:r>
        <w:rPr/>
        <w:t>a</w:t>
      </w:r>
      <w:r>
        <w:rPr>
          <w:spacing w:val="-10"/>
        </w:rPr>
        <w:t> </w:t>
      </w:r>
      <w:r>
        <w:rPr/>
        <w:t>manner</w:t>
      </w:r>
      <w:r>
        <w:rPr>
          <w:spacing w:val="-10"/>
        </w:rPr>
        <w:t> </w:t>
      </w:r>
      <w:r>
        <w:rPr/>
        <w:t>that</w:t>
      </w:r>
      <w:r>
        <w:rPr>
          <w:spacing w:val="-9"/>
        </w:rPr>
        <w:t> </w:t>
      </w:r>
      <w:r>
        <w:rPr/>
        <w:t>is</w:t>
      </w:r>
      <w:r>
        <w:rPr>
          <w:spacing w:val="-11"/>
        </w:rPr>
        <w:t> </w:t>
      </w:r>
      <w:r>
        <w:rPr/>
        <w:t>not</w:t>
      </w:r>
      <w:r>
        <w:rPr>
          <w:spacing w:val="-10"/>
        </w:rPr>
        <w:t> </w:t>
      </w:r>
      <w:r>
        <w:rPr/>
        <w:t>always </w:t>
      </w:r>
      <w:r>
        <w:rPr/>
        <w:t>offered by other</w:t>
      </w:r>
      <w:r>
        <w:rPr>
          <w:spacing w:val="-13"/>
        </w:rPr>
        <w:t> </w:t>
      </w:r>
      <w:r>
        <w:rPr/>
        <w:t>industries.</w:t>
      </w:r>
    </w:p>
    <w:p>
      <w:pPr>
        <w:pStyle w:val="BodyText"/>
        <w:spacing w:line="259" w:lineRule="auto" w:before="158"/>
        <w:ind w:right="1433"/>
        <w:jc w:val="both"/>
      </w:pPr>
      <w:r>
        <w:rPr/>
        <w:t>At this time, the tourism sector has emerged as the only sector that represents steady and sustained economic growth that could move Curaçao forward. Therefore, in order to optimize the output from the tourism industry, it  is critical to thoroughly assess the strength of the sector. In so doing, the DPITS has revealed through rigorous statistical assessment that </w:t>
      </w:r>
      <w:r>
        <w:rPr>
          <w:rFonts w:ascii="Calibri" w:hAnsi="Calibri" w:cs="Calibri" w:eastAsia="Calibri" w:hint="default"/>
        </w:rPr>
        <w:t>Curaçao’s </w:t>
      </w:r>
      <w:r>
        <w:rPr/>
        <w:t>tourism growth</w:t>
      </w:r>
      <w:r>
        <w:rPr>
          <w:spacing w:val="-14"/>
        </w:rPr>
        <w:t> </w:t>
      </w:r>
      <w:r>
        <w:rPr/>
        <w:t>is:</w:t>
      </w:r>
    </w:p>
    <w:p>
      <w:pPr>
        <w:pStyle w:val="ListParagraph"/>
        <w:numPr>
          <w:ilvl w:val="0"/>
          <w:numId w:val="5"/>
        </w:numPr>
        <w:tabs>
          <w:tab w:pos="2206" w:val="left" w:leader="none"/>
        </w:tabs>
        <w:spacing w:line="240" w:lineRule="auto" w:before="158" w:after="0"/>
        <w:ind w:left="2206" w:right="0" w:hanging="360"/>
        <w:jc w:val="left"/>
        <w:rPr>
          <w:rFonts w:ascii="Calibri" w:hAnsi="Calibri" w:cs="Calibri" w:eastAsia="Calibri" w:hint="default"/>
          <w:sz w:val="20"/>
          <w:szCs w:val="20"/>
        </w:rPr>
      </w:pPr>
      <w:r>
        <w:rPr>
          <w:rFonts w:ascii="Calibri"/>
          <w:sz w:val="20"/>
        </w:rPr>
        <w:t>Not well-aligned with the economy as a whole, thus revealing weak</w:t>
      </w:r>
      <w:r>
        <w:rPr>
          <w:rFonts w:ascii="Calibri"/>
          <w:spacing w:val="-23"/>
          <w:sz w:val="20"/>
        </w:rPr>
        <w:t> </w:t>
      </w:r>
      <w:r>
        <w:rPr>
          <w:rFonts w:ascii="Calibri"/>
          <w:sz w:val="20"/>
        </w:rPr>
        <w:t>relationships</w:t>
      </w:r>
    </w:p>
    <w:p>
      <w:pPr>
        <w:pStyle w:val="ListParagraph"/>
        <w:numPr>
          <w:ilvl w:val="0"/>
          <w:numId w:val="5"/>
        </w:numPr>
        <w:tabs>
          <w:tab w:pos="2206" w:val="left" w:leader="none"/>
        </w:tabs>
        <w:spacing w:line="240" w:lineRule="auto" w:before="20" w:after="0"/>
        <w:ind w:left="2206" w:right="0" w:hanging="360"/>
        <w:jc w:val="left"/>
        <w:rPr>
          <w:rFonts w:ascii="Calibri" w:hAnsi="Calibri" w:cs="Calibri" w:eastAsia="Calibri" w:hint="default"/>
          <w:sz w:val="20"/>
          <w:szCs w:val="20"/>
        </w:rPr>
      </w:pPr>
      <w:r>
        <w:rPr>
          <w:rFonts w:ascii="Calibri"/>
          <w:sz w:val="20"/>
        </w:rPr>
        <w:t>The soft component of tourism (e.g. service delivery component) is deficient</w:t>
      </w:r>
      <w:r>
        <w:rPr>
          <w:rFonts w:ascii="Calibri"/>
          <w:spacing w:val="-31"/>
          <w:sz w:val="20"/>
        </w:rPr>
        <w:t> </w:t>
      </w:r>
      <w:r>
        <w:rPr>
          <w:rFonts w:ascii="Calibri"/>
          <w:sz w:val="20"/>
        </w:rPr>
        <w:t>in several ways.</w:t>
      </w:r>
    </w:p>
    <w:p>
      <w:pPr>
        <w:pStyle w:val="ListParagraph"/>
        <w:numPr>
          <w:ilvl w:val="0"/>
          <w:numId w:val="5"/>
        </w:numPr>
        <w:tabs>
          <w:tab w:pos="2206" w:val="left" w:leader="none"/>
        </w:tabs>
        <w:spacing w:line="240" w:lineRule="auto" w:before="20" w:after="0"/>
        <w:ind w:left="2206" w:right="0" w:hanging="360"/>
        <w:jc w:val="left"/>
        <w:rPr>
          <w:rFonts w:ascii="Calibri" w:hAnsi="Calibri" w:cs="Calibri" w:eastAsia="Calibri" w:hint="default"/>
          <w:sz w:val="20"/>
          <w:szCs w:val="20"/>
        </w:rPr>
      </w:pPr>
      <w:r>
        <w:rPr>
          <w:rFonts w:ascii="Calibri"/>
          <w:sz w:val="20"/>
        </w:rPr>
        <w:t>The tourism industry reveals a lack of direction and</w:t>
      </w:r>
      <w:r>
        <w:rPr>
          <w:rFonts w:ascii="Calibri"/>
          <w:spacing w:val="-18"/>
          <w:sz w:val="20"/>
        </w:rPr>
        <w:t> </w:t>
      </w:r>
      <w:r>
        <w:rPr>
          <w:rFonts w:ascii="Calibri"/>
          <w:sz w:val="20"/>
        </w:rPr>
        <w:t>competitiveness.</w:t>
      </w:r>
    </w:p>
    <w:p>
      <w:pPr>
        <w:spacing w:line="240" w:lineRule="auto" w:before="0"/>
        <w:ind w:right="0"/>
        <w:rPr>
          <w:rFonts w:ascii="Calibri" w:hAnsi="Calibri" w:cs="Calibri" w:eastAsia="Calibri" w:hint="default"/>
          <w:sz w:val="20"/>
          <w:szCs w:val="20"/>
        </w:rPr>
      </w:pPr>
    </w:p>
    <w:p>
      <w:pPr>
        <w:spacing w:line="240" w:lineRule="auto" w:before="11"/>
        <w:ind w:right="0"/>
        <w:rPr>
          <w:rFonts w:ascii="Calibri" w:hAnsi="Calibri" w:cs="Calibri" w:eastAsia="Calibri" w:hint="default"/>
          <w:sz w:val="15"/>
          <w:szCs w:val="15"/>
        </w:rPr>
      </w:pPr>
    </w:p>
    <w:p>
      <w:pPr>
        <w:pStyle w:val="Heading2"/>
        <w:spacing w:line="240" w:lineRule="auto" w:before="0"/>
        <w:ind w:right="0"/>
        <w:jc w:val="both"/>
        <w:rPr>
          <w:b w:val="0"/>
          <w:bCs w:val="0"/>
        </w:rPr>
      </w:pPr>
      <w:bookmarkStart w:name="_bookmark87" w:id="88"/>
      <w:bookmarkEnd w:id="88"/>
      <w:r>
        <w:rPr>
          <w:b w:val="0"/>
        </w:rPr>
      </w:r>
      <w:r>
        <w:rPr/>
        <w:t>Tourism and the economic</w:t>
      </w:r>
      <w:r>
        <w:rPr>
          <w:spacing w:val="-17"/>
        </w:rPr>
        <w:t> </w:t>
      </w:r>
      <w:r>
        <w:rPr/>
        <w:t>link</w:t>
      </w:r>
      <w:r>
        <w:rPr>
          <w:b w:val="0"/>
        </w:rPr>
      </w:r>
    </w:p>
    <w:p>
      <w:pPr>
        <w:pStyle w:val="BodyText"/>
        <w:spacing w:line="259" w:lineRule="auto" w:before="192"/>
        <w:ind w:right="1438"/>
        <w:jc w:val="both"/>
      </w:pPr>
      <w:r>
        <w:rPr/>
        <w:t>According to the DPITS investigation, tourism development and economic growth is weakly related </w:t>
      </w:r>
      <w:r>
        <w:rPr>
          <w:rFonts w:ascii="Calibri" w:hAnsi="Calibri" w:cs="Calibri" w:eastAsia="Calibri" w:hint="default"/>
        </w:rPr>
        <w:t>to Curaçao’s </w:t>
      </w:r>
      <w:r>
        <w:rPr/>
        <w:t>greater</w:t>
      </w:r>
      <w:r>
        <w:rPr>
          <w:spacing w:val="-9"/>
        </w:rPr>
        <w:t> </w:t>
      </w:r>
      <w:r>
        <w:rPr/>
        <w:t>economy.</w:t>
      </w:r>
      <w:r>
        <w:rPr>
          <w:spacing w:val="-9"/>
        </w:rPr>
        <w:t> </w:t>
      </w:r>
      <w:r>
        <w:rPr/>
        <w:t>This</w:t>
      </w:r>
      <w:r>
        <w:rPr>
          <w:spacing w:val="-8"/>
        </w:rPr>
        <w:t> </w:t>
      </w:r>
      <w:r>
        <w:rPr/>
        <w:t>means</w:t>
      </w:r>
      <w:r>
        <w:rPr>
          <w:spacing w:val="-10"/>
        </w:rPr>
        <w:t> </w:t>
      </w:r>
      <w:r>
        <w:rPr/>
        <w:t>that</w:t>
      </w:r>
      <w:r>
        <w:rPr>
          <w:spacing w:val="-8"/>
        </w:rPr>
        <w:t> </w:t>
      </w:r>
      <w:r>
        <w:rPr/>
        <w:t>the</w:t>
      </w:r>
      <w:r>
        <w:rPr>
          <w:spacing w:val="-10"/>
        </w:rPr>
        <w:t> </w:t>
      </w:r>
      <w:r>
        <w:rPr/>
        <w:t>growth</w:t>
      </w:r>
      <w:r>
        <w:rPr>
          <w:spacing w:val="-9"/>
        </w:rPr>
        <w:t> </w:t>
      </w:r>
      <w:r>
        <w:rPr/>
        <w:t>of</w:t>
      </w:r>
      <w:r>
        <w:rPr>
          <w:spacing w:val="-10"/>
        </w:rPr>
        <w:t> </w:t>
      </w:r>
      <w:r>
        <w:rPr/>
        <w:t>tourism</w:t>
      </w:r>
      <w:r>
        <w:rPr>
          <w:spacing w:val="-10"/>
        </w:rPr>
        <w:t> </w:t>
      </w:r>
      <w:r>
        <w:rPr/>
        <w:t>weakly</w:t>
      </w:r>
      <w:r>
        <w:rPr>
          <w:spacing w:val="-9"/>
        </w:rPr>
        <w:t> </w:t>
      </w:r>
      <w:r>
        <w:rPr/>
        <w:t>corresponds</w:t>
      </w:r>
      <w:r>
        <w:rPr>
          <w:spacing w:val="-10"/>
        </w:rPr>
        <w:t> </w:t>
      </w:r>
      <w:r>
        <w:rPr/>
        <w:t>to</w:t>
      </w:r>
      <w:r>
        <w:rPr>
          <w:spacing w:val="-9"/>
        </w:rPr>
        <w:t> </w:t>
      </w:r>
      <w:r>
        <w:rPr/>
        <w:t>economic</w:t>
      </w:r>
      <w:r>
        <w:rPr>
          <w:spacing w:val="-8"/>
        </w:rPr>
        <w:t> </w:t>
      </w:r>
      <w:r>
        <w:rPr/>
        <w:t>growth</w:t>
      </w:r>
      <w:r>
        <w:rPr>
          <w:spacing w:val="-8"/>
        </w:rPr>
        <w:t> </w:t>
      </w:r>
      <w:r>
        <w:rPr/>
        <w:t>on</w:t>
      </w:r>
      <w:r>
        <w:rPr>
          <w:spacing w:val="-9"/>
        </w:rPr>
        <w:t> </w:t>
      </w:r>
      <w:r>
        <w:rPr/>
        <w:t>the</w:t>
      </w:r>
      <w:r>
        <w:rPr>
          <w:spacing w:val="-10"/>
        </w:rPr>
        <w:t> </w:t>
      </w:r>
      <w:r>
        <w:rPr/>
        <w:t>island.</w:t>
      </w:r>
      <w:r>
        <w:rPr>
          <w:spacing w:val="27"/>
        </w:rPr>
        <w:t> </w:t>
      </w:r>
      <w:r>
        <w:rPr/>
        <w:t>The </w:t>
      </w:r>
      <w:r>
        <w:rPr/>
        <w:t>weak</w:t>
      </w:r>
      <w:r>
        <w:rPr>
          <w:spacing w:val="-4"/>
        </w:rPr>
        <w:t> </w:t>
      </w:r>
      <w:r>
        <w:rPr/>
        <w:t>relationship</w:t>
      </w:r>
      <w:r>
        <w:rPr>
          <w:spacing w:val="-5"/>
        </w:rPr>
        <w:t> </w:t>
      </w:r>
      <w:r>
        <w:rPr/>
        <w:t>is</w:t>
      </w:r>
      <w:r>
        <w:rPr>
          <w:spacing w:val="-6"/>
        </w:rPr>
        <w:t> </w:t>
      </w:r>
      <w:r>
        <w:rPr/>
        <w:t>demonstrated</w:t>
      </w:r>
      <w:r>
        <w:rPr>
          <w:spacing w:val="-5"/>
        </w:rPr>
        <w:t> </w:t>
      </w:r>
      <w:r>
        <w:rPr/>
        <w:t>in</w:t>
      </w:r>
      <w:r>
        <w:rPr>
          <w:spacing w:val="-5"/>
        </w:rPr>
        <w:t> </w:t>
      </w:r>
      <w:r>
        <w:rPr/>
        <w:t>Figure</w:t>
      </w:r>
      <w:r>
        <w:rPr>
          <w:spacing w:val="-3"/>
        </w:rPr>
        <w:t> </w:t>
      </w:r>
      <w:r>
        <w:rPr/>
        <w:t>21</w:t>
      </w:r>
      <w:r>
        <w:rPr>
          <w:spacing w:val="-5"/>
        </w:rPr>
        <w:t> </w:t>
      </w:r>
      <w:r>
        <w:rPr/>
        <w:t>where</w:t>
      </w:r>
      <w:r>
        <w:rPr>
          <w:spacing w:val="-5"/>
        </w:rPr>
        <w:t> </w:t>
      </w:r>
      <w:r>
        <w:rPr/>
        <w:t>real</w:t>
      </w:r>
      <w:r>
        <w:rPr>
          <w:spacing w:val="-5"/>
        </w:rPr>
        <w:t> </w:t>
      </w:r>
      <w:r>
        <w:rPr/>
        <w:t>tourism</w:t>
      </w:r>
      <w:r>
        <w:rPr>
          <w:spacing w:val="-4"/>
        </w:rPr>
        <w:t> </w:t>
      </w:r>
      <w:r>
        <w:rPr/>
        <w:t>expenditures</w:t>
      </w:r>
      <w:r>
        <w:rPr>
          <w:spacing w:val="-5"/>
        </w:rPr>
        <w:t> </w:t>
      </w:r>
      <w:r>
        <w:rPr/>
        <w:t>and</w:t>
      </w:r>
      <w:r>
        <w:rPr>
          <w:spacing w:val="-5"/>
        </w:rPr>
        <w:t> </w:t>
      </w:r>
      <w:r>
        <w:rPr/>
        <w:t>real</w:t>
      </w:r>
      <w:r>
        <w:rPr>
          <w:spacing w:val="-3"/>
        </w:rPr>
        <w:t> </w:t>
      </w:r>
      <w:r>
        <w:rPr/>
        <w:t>economic</w:t>
      </w:r>
      <w:r>
        <w:rPr>
          <w:spacing w:val="-4"/>
        </w:rPr>
        <w:t> </w:t>
      </w:r>
      <w:r>
        <w:rPr/>
        <w:t>growth</w:t>
      </w:r>
      <w:r>
        <w:rPr>
          <w:spacing w:val="-3"/>
        </w:rPr>
        <w:t> </w:t>
      </w:r>
      <w:r>
        <w:rPr/>
        <w:t>seem</w:t>
      </w:r>
      <w:r>
        <w:rPr>
          <w:spacing w:val="-5"/>
        </w:rPr>
        <w:t> </w:t>
      </w:r>
      <w:r>
        <w:rPr/>
        <w:t>to </w:t>
      </w:r>
      <w:r>
        <w:rPr/>
        <w:t>be drifting apart (especially since 2006). The three year moving correlations between tourism expenditures and economic growth also show a decreasing trend over time as is revealed in Figure</w:t>
      </w:r>
      <w:r>
        <w:rPr>
          <w:spacing w:val="-31"/>
        </w:rPr>
        <w:t> </w:t>
      </w:r>
      <w:r>
        <w:rPr/>
        <w:t>22.</w:t>
      </w:r>
    </w:p>
    <w:p>
      <w:pPr>
        <w:spacing w:line="240" w:lineRule="auto" w:before="0"/>
        <w:ind w:right="0"/>
        <w:rPr>
          <w:rFonts w:ascii="Calibri" w:hAnsi="Calibri" w:cs="Calibri" w:eastAsia="Calibri" w:hint="default"/>
          <w:sz w:val="20"/>
          <w:szCs w:val="20"/>
        </w:rPr>
      </w:pPr>
    </w:p>
    <w:p>
      <w:pPr>
        <w:spacing w:line="240" w:lineRule="auto" w:before="10" w:after="0"/>
        <w:ind w:right="0"/>
        <w:rPr>
          <w:rFonts w:ascii="Calibri" w:hAnsi="Calibri" w:cs="Calibri" w:eastAsia="Calibri" w:hint="default"/>
          <w:sz w:val="27"/>
          <w:szCs w:val="27"/>
        </w:rPr>
      </w:pPr>
    </w:p>
    <w:p>
      <w:pPr>
        <w:spacing w:line="240" w:lineRule="auto"/>
        <w:ind w:left="1994"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5280884" cy="2577465"/>
            <wp:effectExtent l="0" t="0" r="0" b="0"/>
            <wp:docPr id="45" name="image25.png" descr=""/>
            <wp:cNvGraphicFramePr>
              <a:graphicFrameLocks noChangeAspect="1"/>
            </wp:cNvGraphicFramePr>
            <a:graphic>
              <a:graphicData uri="http://schemas.openxmlformats.org/drawingml/2006/picture">
                <pic:pic>
                  <pic:nvPicPr>
                    <pic:cNvPr id="46" name="image25.png"/>
                    <pic:cNvPicPr/>
                  </pic:nvPicPr>
                  <pic:blipFill>
                    <a:blip r:embed="rId46" cstate="print"/>
                    <a:stretch>
                      <a:fillRect/>
                    </a:stretch>
                  </pic:blipFill>
                  <pic:spPr>
                    <a:xfrm>
                      <a:off x="0" y="0"/>
                      <a:ext cx="5280884" cy="2577465"/>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146"/>
        <w:ind w:left="3682" w:right="0"/>
        <w:jc w:val="left"/>
        <w:rPr>
          <w:rFonts w:ascii="Calibri" w:hAnsi="Calibri" w:cs="Calibri" w:eastAsia="Calibri" w:hint="default"/>
          <w:b w:val="0"/>
          <w:bCs w:val="0"/>
        </w:rPr>
      </w:pPr>
      <w:bookmarkStart w:name="_bookmark88" w:id="89"/>
      <w:bookmarkEnd w:id="89"/>
      <w:r>
        <w:rPr>
          <w:b w:val="0"/>
          <w:bCs w:val="0"/>
        </w:rPr>
      </w:r>
      <w:r>
        <w:rPr/>
        <w:t>Figure 21:  </w:t>
      </w:r>
      <w:r>
        <w:rPr>
          <w:rFonts w:ascii="Calibri" w:hAnsi="Calibri" w:cs="Calibri" w:eastAsia="Calibri" w:hint="default"/>
        </w:rPr>
        <w:t>Curaçao’s tourism receipts vs. economic</w:t>
      </w:r>
      <w:r>
        <w:rPr>
          <w:rFonts w:ascii="Calibri" w:hAnsi="Calibri" w:cs="Calibri" w:eastAsia="Calibri" w:hint="default"/>
          <w:spacing w:val="-22"/>
        </w:rPr>
        <w:t> </w:t>
      </w:r>
      <w:r>
        <w:rPr>
          <w:rFonts w:ascii="Calibri" w:hAnsi="Calibri" w:cs="Calibri" w:eastAsia="Calibri" w:hint="default"/>
        </w:rPr>
        <w:t>growth</w:t>
      </w:r>
      <w:r>
        <w:rPr>
          <w:rFonts w:ascii="Calibri" w:hAnsi="Calibri" w:cs="Calibri" w:eastAsia="Calibri" w:hint="default"/>
          <w:b w:val="0"/>
          <w:bCs w:val="0"/>
        </w:rPr>
      </w:r>
    </w:p>
    <w:p>
      <w:pPr>
        <w:spacing w:after="0" w:line="240" w:lineRule="auto"/>
        <w:jc w:val="left"/>
        <w:rPr>
          <w:rFonts w:ascii="Calibri" w:hAnsi="Calibri" w:cs="Calibri" w:eastAsia="Calibri" w:hint="default"/>
        </w:rPr>
        <w:sectPr>
          <w:pgSz w:w="12240" w:h="15840"/>
          <w:pgMar w:header="0" w:footer="533" w:top="840" w:bottom="720" w:left="0" w:right="0"/>
        </w:sectPr>
      </w:pPr>
    </w:p>
    <w:p>
      <w:pPr>
        <w:spacing w:line="240" w:lineRule="auto" w:before="0"/>
        <w:ind w:right="0"/>
        <w:rPr>
          <w:rFonts w:ascii="Calibri" w:hAnsi="Calibri" w:cs="Calibri" w:eastAsia="Calibri" w:hint="default"/>
          <w:b/>
          <w:bCs/>
          <w:sz w:val="20"/>
          <w:szCs w:val="20"/>
        </w:rPr>
      </w:pPr>
    </w:p>
    <w:p>
      <w:pPr>
        <w:spacing w:line="240" w:lineRule="auto" w:before="12" w:after="0"/>
        <w:ind w:right="0"/>
        <w:rPr>
          <w:rFonts w:ascii="Calibri" w:hAnsi="Calibri" w:cs="Calibri" w:eastAsia="Calibri" w:hint="default"/>
          <w:b/>
          <w:bCs/>
          <w:sz w:val="27"/>
          <w:szCs w:val="27"/>
        </w:rPr>
      </w:pPr>
    </w:p>
    <w:p>
      <w:pPr>
        <w:spacing w:line="240" w:lineRule="auto"/>
        <w:ind w:left="2049"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5145276" cy="2193417"/>
            <wp:effectExtent l="0" t="0" r="0" b="0"/>
            <wp:docPr id="47" name="image26.png" descr=""/>
            <wp:cNvGraphicFramePr>
              <a:graphicFrameLocks noChangeAspect="1"/>
            </wp:cNvGraphicFramePr>
            <a:graphic>
              <a:graphicData uri="http://schemas.openxmlformats.org/drawingml/2006/picture">
                <pic:pic>
                  <pic:nvPicPr>
                    <pic:cNvPr id="48" name="image26.png"/>
                    <pic:cNvPicPr/>
                  </pic:nvPicPr>
                  <pic:blipFill>
                    <a:blip r:embed="rId48" cstate="print"/>
                    <a:stretch>
                      <a:fillRect/>
                    </a:stretch>
                  </pic:blipFill>
                  <pic:spPr>
                    <a:xfrm>
                      <a:off x="0" y="0"/>
                      <a:ext cx="5145276" cy="2193417"/>
                    </a:xfrm>
                    <a:prstGeom prst="rect">
                      <a:avLst/>
                    </a:prstGeom>
                  </pic:spPr>
                </pic:pic>
              </a:graphicData>
            </a:graphic>
          </wp:inline>
        </w:drawing>
      </w:r>
      <w:r>
        <w:rPr>
          <w:rFonts w:ascii="Calibri" w:hAnsi="Calibri" w:cs="Calibri" w:eastAsia="Calibri" w:hint="default"/>
          <w:sz w:val="20"/>
          <w:szCs w:val="20"/>
        </w:rPr>
      </w:r>
    </w:p>
    <w:p>
      <w:pPr>
        <w:spacing w:line="240" w:lineRule="auto" w:before="3"/>
        <w:ind w:right="0"/>
        <w:rPr>
          <w:rFonts w:ascii="Calibri" w:hAnsi="Calibri" w:cs="Calibri" w:eastAsia="Calibri" w:hint="default"/>
          <w:b/>
          <w:bCs/>
          <w:sz w:val="11"/>
          <w:szCs w:val="11"/>
        </w:rPr>
      </w:pPr>
    </w:p>
    <w:p>
      <w:pPr>
        <w:pStyle w:val="Heading9"/>
        <w:spacing w:line="240" w:lineRule="auto" w:before="59"/>
        <w:ind w:left="2234" w:right="0"/>
        <w:jc w:val="left"/>
        <w:rPr>
          <w:b w:val="0"/>
          <w:bCs w:val="0"/>
        </w:rPr>
      </w:pPr>
      <w:bookmarkStart w:name="_bookmark89" w:id="90"/>
      <w:bookmarkEnd w:id="90"/>
      <w:r>
        <w:rPr>
          <w:b w:val="0"/>
        </w:rPr>
      </w:r>
      <w:r>
        <w:rPr/>
        <w:t>Figure 22: Moving correlations between real tourism expenditures and real economic</w:t>
      </w:r>
      <w:r>
        <w:rPr>
          <w:spacing w:val="4"/>
        </w:rPr>
        <w:t> </w:t>
      </w:r>
      <w:r>
        <w:rPr/>
        <w:t>growth</w:t>
      </w:r>
      <w:r>
        <w:rPr>
          <w:b w:val="0"/>
        </w:rPr>
      </w:r>
    </w:p>
    <w:p>
      <w:pPr>
        <w:spacing w:line="240" w:lineRule="auto" w:before="11"/>
        <w:ind w:right="0"/>
        <w:rPr>
          <w:rFonts w:ascii="Calibri" w:hAnsi="Calibri" w:cs="Calibri" w:eastAsia="Calibri" w:hint="default"/>
          <w:b/>
          <w:bCs/>
          <w:sz w:val="19"/>
          <w:szCs w:val="19"/>
        </w:rPr>
      </w:pPr>
    </w:p>
    <w:p>
      <w:pPr>
        <w:pStyle w:val="BodyText"/>
        <w:spacing w:line="259" w:lineRule="auto"/>
        <w:ind w:right="1436"/>
        <w:jc w:val="both"/>
      </w:pPr>
      <w:r>
        <w:rPr/>
        <w:t>A</w:t>
      </w:r>
      <w:r>
        <w:rPr>
          <w:spacing w:val="-13"/>
        </w:rPr>
        <w:t> </w:t>
      </w:r>
      <w:r>
        <w:rPr/>
        <w:t>more</w:t>
      </w:r>
      <w:r>
        <w:rPr>
          <w:spacing w:val="-13"/>
        </w:rPr>
        <w:t> </w:t>
      </w:r>
      <w:r>
        <w:rPr/>
        <w:t>rigorous</w:t>
      </w:r>
      <w:r>
        <w:rPr>
          <w:spacing w:val="-13"/>
        </w:rPr>
        <w:t> </w:t>
      </w:r>
      <w:r>
        <w:rPr/>
        <w:t>investigation</w:t>
      </w:r>
      <w:r>
        <w:rPr>
          <w:spacing w:val="-10"/>
        </w:rPr>
        <w:t> </w:t>
      </w:r>
      <w:r>
        <w:rPr/>
        <w:t>of</w:t>
      </w:r>
      <w:r>
        <w:rPr>
          <w:spacing w:val="-13"/>
        </w:rPr>
        <w:t> </w:t>
      </w:r>
      <w:r>
        <w:rPr/>
        <w:t>the</w:t>
      </w:r>
      <w:r>
        <w:rPr>
          <w:spacing w:val="-13"/>
        </w:rPr>
        <w:t> </w:t>
      </w:r>
      <w:r>
        <w:rPr/>
        <w:t>relationship</w:t>
      </w:r>
      <w:r>
        <w:rPr>
          <w:spacing w:val="-9"/>
        </w:rPr>
        <w:t> </w:t>
      </w:r>
      <w:r>
        <w:rPr/>
        <w:t>between</w:t>
      </w:r>
      <w:r>
        <w:rPr>
          <w:spacing w:val="-9"/>
        </w:rPr>
        <w:t> </w:t>
      </w:r>
      <w:r>
        <w:rPr/>
        <w:t>GDP</w:t>
      </w:r>
      <w:r>
        <w:rPr>
          <w:spacing w:val="-13"/>
        </w:rPr>
        <w:t> </w:t>
      </w:r>
      <w:r>
        <w:rPr/>
        <w:t>and</w:t>
      </w:r>
      <w:r>
        <w:rPr>
          <w:spacing w:val="-12"/>
        </w:rPr>
        <w:t> </w:t>
      </w:r>
      <w:r>
        <w:rPr/>
        <w:t>tourism</w:t>
      </w:r>
      <w:r>
        <w:rPr>
          <w:spacing w:val="-13"/>
        </w:rPr>
        <w:t> </w:t>
      </w:r>
      <w:r>
        <w:rPr/>
        <w:t>expenditures</w:t>
      </w:r>
      <w:r>
        <w:rPr>
          <w:spacing w:val="-11"/>
        </w:rPr>
        <w:t> </w:t>
      </w:r>
      <w:r>
        <w:rPr/>
        <w:t>reveals</w:t>
      </w:r>
      <w:r>
        <w:rPr>
          <w:spacing w:val="-13"/>
        </w:rPr>
        <w:t> </w:t>
      </w:r>
      <w:r>
        <w:rPr/>
        <w:t>that</w:t>
      </w:r>
      <w:r>
        <w:rPr>
          <w:spacing w:val="-12"/>
        </w:rPr>
        <w:t> </w:t>
      </w:r>
      <w:r>
        <w:rPr/>
        <w:t>there</w:t>
      </w:r>
      <w:r>
        <w:rPr>
          <w:spacing w:val="-13"/>
        </w:rPr>
        <w:t> </w:t>
      </w:r>
      <w:r>
        <w:rPr/>
        <w:t>is</w:t>
      </w:r>
      <w:r>
        <w:rPr>
          <w:spacing w:val="-13"/>
        </w:rPr>
        <w:t> </w:t>
      </w:r>
      <w:r>
        <w:rPr/>
        <w:t>a</w:t>
      </w:r>
      <w:r>
        <w:rPr>
          <w:spacing w:val="-12"/>
        </w:rPr>
        <w:t> </w:t>
      </w:r>
      <w:r>
        <w:rPr/>
        <w:t>weak </w:t>
      </w:r>
      <w:r>
        <w:rPr/>
        <w:t>cointegration</w:t>
      </w:r>
      <w:r>
        <w:rPr>
          <w:spacing w:val="-4"/>
        </w:rPr>
        <w:t> </w:t>
      </w:r>
      <w:r>
        <w:rPr/>
        <w:t>relationship</w:t>
      </w:r>
      <w:r>
        <w:rPr>
          <w:spacing w:val="-4"/>
        </w:rPr>
        <w:t> </w:t>
      </w:r>
      <w:r>
        <w:rPr/>
        <w:t>at</w:t>
      </w:r>
      <w:r>
        <w:rPr>
          <w:spacing w:val="-4"/>
        </w:rPr>
        <w:t> </w:t>
      </w:r>
      <w:r>
        <w:rPr/>
        <w:t>the</w:t>
      </w:r>
      <w:r>
        <w:rPr>
          <w:spacing w:val="-5"/>
        </w:rPr>
        <w:t> </w:t>
      </w:r>
      <w:r>
        <w:rPr/>
        <w:t>10%</w:t>
      </w:r>
      <w:r>
        <w:rPr>
          <w:spacing w:val="-5"/>
        </w:rPr>
        <w:t> </w:t>
      </w:r>
      <w:r>
        <w:rPr/>
        <w:t>significance</w:t>
      </w:r>
      <w:r>
        <w:rPr>
          <w:spacing w:val="-5"/>
        </w:rPr>
        <w:t> </w:t>
      </w:r>
      <w:r>
        <w:rPr/>
        <w:t>level</w:t>
      </w:r>
      <w:r>
        <w:rPr>
          <w:spacing w:val="-5"/>
        </w:rPr>
        <w:t> </w:t>
      </w:r>
      <w:r>
        <w:rPr/>
        <w:t>running</w:t>
      </w:r>
      <w:r>
        <w:rPr>
          <w:spacing w:val="-5"/>
        </w:rPr>
        <w:t> </w:t>
      </w:r>
      <w:r>
        <w:rPr/>
        <w:t>from</w:t>
      </w:r>
      <w:r>
        <w:rPr>
          <w:spacing w:val="-3"/>
        </w:rPr>
        <w:t> </w:t>
      </w:r>
      <w:r>
        <w:rPr/>
        <w:t>real</w:t>
      </w:r>
      <w:r>
        <w:rPr>
          <w:spacing w:val="-2"/>
        </w:rPr>
        <w:t> </w:t>
      </w:r>
      <w:r>
        <w:rPr/>
        <w:t>GDP</w:t>
      </w:r>
      <w:r>
        <w:rPr>
          <w:spacing w:val="-2"/>
        </w:rPr>
        <w:t> </w:t>
      </w:r>
      <w:r>
        <w:rPr/>
        <w:t>and</w:t>
      </w:r>
      <w:r>
        <w:rPr>
          <w:spacing w:val="-4"/>
        </w:rPr>
        <w:t> </w:t>
      </w:r>
      <w:r>
        <w:rPr/>
        <w:t>expenditures</w:t>
      </w:r>
      <w:r>
        <w:rPr>
          <w:spacing w:val="-5"/>
        </w:rPr>
        <w:t> </w:t>
      </w:r>
      <w:r>
        <w:rPr/>
        <w:t>to</w:t>
      </w:r>
      <w:r>
        <w:rPr>
          <w:spacing w:val="-4"/>
        </w:rPr>
        <w:t> </w:t>
      </w:r>
      <w:r>
        <w:rPr/>
        <w:t>arrivals.</w:t>
      </w:r>
      <w:r>
        <w:rPr>
          <w:spacing w:val="1"/>
        </w:rPr>
        <w:t> </w:t>
      </w:r>
      <w:r>
        <w:rPr/>
        <w:t>Granger </w:t>
      </w:r>
      <w:r>
        <w:rPr/>
        <w:t>causality tests reveal no short-term causality, while the long-term causality is strong and indicates a bi-directional relationship</w:t>
      </w:r>
      <w:r>
        <w:rPr>
          <w:spacing w:val="-12"/>
        </w:rPr>
        <w:t> </w:t>
      </w:r>
      <w:r>
        <w:rPr/>
        <w:t>between</w:t>
      </w:r>
      <w:r>
        <w:rPr>
          <w:spacing w:val="-12"/>
        </w:rPr>
        <w:t> </w:t>
      </w:r>
      <w:r>
        <w:rPr/>
        <w:t>the</w:t>
      </w:r>
      <w:r>
        <w:rPr>
          <w:spacing w:val="-13"/>
        </w:rPr>
        <w:t> </w:t>
      </w:r>
      <w:r>
        <w:rPr/>
        <w:t>economy</w:t>
      </w:r>
      <w:r>
        <w:rPr>
          <w:spacing w:val="-12"/>
        </w:rPr>
        <w:t> </w:t>
      </w:r>
      <w:r>
        <w:rPr/>
        <w:t>and</w:t>
      </w:r>
      <w:r>
        <w:rPr>
          <w:spacing w:val="-12"/>
        </w:rPr>
        <w:t> </w:t>
      </w:r>
      <w:r>
        <w:rPr/>
        <w:t>tourism</w:t>
      </w:r>
      <w:r>
        <w:rPr>
          <w:spacing w:val="-13"/>
        </w:rPr>
        <w:t> </w:t>
      </w:r>
      <w:r>
        <w:rPr/>
        <w:t>expenditures.</w:t>
      </w:r>
      <w:r>
        <w:rPr>
          <w:position w:val="5"/>
          <w:sz w:val="12"/>
          <w:szCs w:val="12"/>
        </w:rPr>
        <w:t>49</w:t>
      </w:r>
      <w:r>
        <w:rPr>
          <w:spacing w:val="5"/>
          <w:position w:val="5"/>
          <w:sz w:val="12"/>
          <w:szCs w:val="12"/>
        </w:rPr>
        <w:t> </w:t>
      </w:r>
      <w:r>
        <w:rPr>
          <w:position w:val="5"/>
          <w:sz w:val="12"/>
          <w:szCs w:val="12"/>
        </w:rPr>
        <w:t>50</w:t>
      </w:r>
      <w:r>
        <w:rPr>
          <w:spacing w:val="5"/>
          <w:position w:val="5"/>
          <w:sz w:val="12"/>
          <w:szCs w:val="12"/>
        </w:rPr>
        <w:t> </w:t>
      </w:r>
      <w:r>
        <w:rPr/>
        <w:t>This</w:t>
      </w:r>
      <w:r>
        <w:rPr>
          <w:spacing w:val="-14"/>
        </w:rPr>
        <w:t> </w:t>
      </w:r>
      <w:r>
        <w:rPr/>
        <w:t>means</w:t>
      </w:r>
      <w:r>
        <w:rPr>
          <w:spacing w:val="-14"/>
        </w:rPr>
        <w:t> </w:t>
      </w:r>
      <w:r>
        <w:rPr/>
        <w:t>that</w:t>
      </w:r>
      <w:r>
        <w:rPr>
          <w:spacing w:val="-12"/>
        </w:rPr>
        <w:t> </w:t>
      </w:r>
      <w:r>
        <w:rPr/>
        <w:t>tourism</w:t>
      </w:r>
      <w:r>
        <w:rPr>
          <w:spacing w:val="-13"/>
        </w:rPr>
        <w:t> </w:t>
      </w:r>
      <w:r>
        <w:rPr/>
        <w:t>seems</w:t>
      </w:r>
      <w:r>
        <w:rPr>
          <w:spacing w:val="-14"/>
        </w:rPr>
        <w:t> </w:t>
      </w:r>
      <w:r>
        <w:rPr/>
        <w:t>to</w:t>
      </w:r>
      <w:r>
        <w:rPr>
          <w:spacing w:val="-12"/>
        </w:rPr>
        <w:t> </w:t>
      </w:r>
      <w:r>
        <w:rPr/>
        <w:t>lack</w:t>
      </w:r>
      <w:r>
        <w:rPr>
          <w:spacing w:val="-12"/>
        </w:rPr>
        <w:t> </w:t>
      </w:r>
      <w:r>
        <w:rPr/>
        <w:t>the</w:t>
      </w:r>
      <w:r>
        <w:rPr>
          <w:spacing w:val="-13"/>
        </w:rPr>
        <w:t> </w:t>
      </w:r>
      <w:r>
        <w:rPr/>
        <w:t>strength </w:t>
      </w:r>
      <w:r>
        <w:rPr/>
        <w:t>to affect the isla</w:t>
      </w:r>
      <w:r>
        <w:rPr>
          <w:rFonts w:ascii="Calibri" w:hAnsi="Calibri" w:cs="Calibri" w:eastAsia="Calibri" w:hint="default"/>
        </w:rPr>
        <w:t>nd’s overall </w:t>
      </w:r>
      <w:r>
        <w:rPr/>
        <w:t>economy in the short-term. However, it is clear that tourism has the potential for sustained economic growth in the future. In addition, the bi-directional relationship between tourism development and economic growth implies that tourism development and economic growth entertain a virtuous relationship. In other</w:t>
      </w:r>
      <w:r>
        <w:rPr>
          <w:spacing w:val="-4"/>
        </w:rPr>
        <w:t> </w:t>
      </w:r>
      <w:r>
        <w:rPr/>
        <w:t>words,</w:t>
      </w:r>
      <w:r>
        <w:rPr>
          <w:spacing w:val="-3"/>
        </w:rPr>
        <w:t> </w:t>
      </w:r>
      <w:r>
        <w:rPr/>
        <w:t>the</w:t>
      </w:r>
      <w:r>
        <w:rPr>
          <w:spacing w:val="-5"/>
        </w:rPr>
        <w:t> </w:t>
      </w:r>
      <w:r>
        <w:rPr/>
        <w:t>one</w:t>
      </w:r>
      <w:r>
        <w:rPr>
          <w:spacing w:val="-3"/>
        </w:rPr>
        <w:t> </w:t>
      </w:r>
      <w:r>
        <w:rPr/>
        <w:t>leads</w:t>
      </w:r>
      <w:r>
        <w:rPr>
          <w:spacing w:val="-3"/>
        </w:rPr>
        <w:t> </w:t>
      </w:r>
      <w:r>
        <w:rPr/>
        <w:t>into</w:t>
      </w:r>
      <w:r>
        <w:rPr>
          <w:spacing w:val="-4"/>
        </w:rPr>
        <w:t> </w:t>
      </w:r>
      <w:r>
        <w:rPr/>
        <w:t>the</w:t>
      </w:r>
      <w:r>
        <w:rPr>
          <w:spacing w:val="-5"/>
        </w:rPr>
        <w:t> </w:t>
      </w:r>
      <w:r>
        <w:rPr/>
        <w:t>other.</w:t>
      </w:r>
      <w:r>
        <w:rPr>
          <w:spacing w:val="-4"/>
        </w:rPr>
        <w:t> </w:t>
      </w:r>
      <w:r>
        <w:rPr/>
        <w:t>More</w:t>
      </w:r>
      <w:r>
        <w:rPr>
          <w:spacing w:val="-5"/>
        </w:rPr>
        <w:t> </w:t>
      </w:r>
      <w:r>
        <w:rPr/>
        <w:t>tourism</w:t>
      </w:r>
      <w:r>
        <w:rPr>
          <w:spacing w:val="-5"/>
        </w:rPr>
        <w:t> </w:t>
      </w:r>
      <w:r>
        <w:rPr/>
        <w:t>receipts</w:t>
      </w:r>
      <w:r>
        <w:rPr>
          <w:spacing w:val="-3"/>
        </w:rPr>
        <w:t> </w:t>
      </w:r>
      <w:r>
        <w:rPr/>
        <w:t>mean</w:t>
      </w:r>
      <w:r>
        <w:rPr>
          <w:spacing w:val="-3"/>
        </w:rPr>
        <w:t> </w:t>
      </w:r>
      <w:r>
        <w:rPr/>
        <w:t>more</w:t>
      </w:r>
      <w:r>
        <w:rPr>
          <w:spacing w:val="-5"/>
        </w:rPr>
        <w:t> </w:t>
      </w:r>
      <w:r>
        <w:rPr/>
        <w:t>economic</w:t>
      </w:r>
      <w:r>
        <w:rPr>
          <w:spacing w:val="-5"/>
        </w:rPr>
        <w:t> </w:t>
      </w:r>
      <w:r>
        <w:rPr/>
        <w:t>growth</w:t>
      </w:r>
      <w:r>
        <w:rPr>
          <w:spacing w:val="-3"/>
        </w:rPr>
        <w:t> </w:t>
      </w:r>
      <w:r>
        <w:rPr/>
        <w:t>and</w:t>
      </w:r>
      <w:r>
        <w:rPr>
          <w:spacing w:val="-4"/>
        </w:rPr>
        <w:t> </w:t>
      </w:r>
      <w:r>
        <w:rPr/>
        <w:t>more</w:t>
      </w:r>
      <w:r>
        <w:rPr>
          <w:spacing w:val="-5"/>
        </w:rPr>
        <w:t> </w:t>
      </w:r>
      <w:r>
        <w:rPr/>
        <w:t>economic </w:t>
      </w:r>
      <w:r>
        <w:rPr/>
        <w:t>growth means more resources available to support tourism</w:t>
      </w:r>
      <w:r>
        <w:rPr>
          <w:spacing w:val="-28"/>
        </w:rPr>
        <w:t> </w:t>
      </w:r>
      <w:r>
        <w:rPr/>
        <w:t>development.</w:t>
      </w:r>
    </w:p>
    <w:p>
      <w:pPr>
        <w:pStyle w:val="BodyText"/>
        <w:spacing w:line="259" w:lineRule="auto" w:before="158"/>
        <w:ind w:right="1437"/>
        <w:jc w:val="both"/>
      </w:pPr>
      <w:r>
        <w:rPr/>
        <w:t>The spending per day per person equals US$96 (based on the average length of stay of 9.65 days) in </w:t>
      </w:r>
      <w:r>
        <w:rPr>
          <w:spacing w:val="2"/>
        </w:rPr>
        <w:t>2014, </w:t>
      </w:r>
      <w:r>
        <w:rPr/>
        <w:t>which is </w:t>
      </w:r>
      <w:r>
        <w:rPr/>
        <w:t>substantially</w:t>
      </w:r>
      <w:r>
        <w:rPr>
          <w:spacing w:val="-7"/>
        </w:rPr>
        <w:t> </w:t>
      </w:r>
      <w:r>
        <w:rPr/>
        <w:t>lower</w:t>
      </w:r>
      <w:r>
        <w:rPr>
          <w:spacing w:val="-6"/>
        </w:rPr>
        <w:t> </w:t>
      </w:r>
      <w:r>
        <w:rPr/>
        <w:t>than</w:t>
      </w:r>
      <w:r>
        <w:rPr>
          <w:spacing w:val="-5"/>
        </w:rPr>
        <w:t> </w:t>
      </w:r>
      <w:r>
        <w:rPr/>
        <w:t>what</w:t>
      </w:r>
      <w:r>
        <w:rPr>
          <w:spacing w:val="-6"/>
        </w:rPr>
        <w:t> </w:t>
      </w:r>
      <w:r>
        <w:rPr/>
        <w:t>the</w:t>
      </w:r>
      <w:r>
        <w:rPr>
          <w:spacing w:val="-8"/>
        </w:rPr>
        <w:t> </w:t>
      </w:r>
      <w:r>
        <w:rPr/>
        <w:t>destination</w:t>
      </w:r>
      <w:r>
        <w:rPr>
          <w:spacing w:val="-6"/>
        </w:rPr>
        <w:t> </w:t>
      </w:r>
      <w:r>
        <w:rPr/>
        <w:t>could</w:t>
      </w:r>
      <w:r>
        <w:rPr>
          <w:spacing w:val="-6"/>
        </w:rPr>
        <w:t> </w:t>
      </w:r>
      <w:r>
        <w:rPr/>
        <w:t>acquire</w:t>
      </w:r>
      <w:r>
        <w:rPr>
          <w:spacing w:val="-8"/>
        </w:rPr>
        <w:t> </w:t>
      </w:r>
      <w:r>
        <w:rPr/>
        <w:t>if</w:t>
      </w:r>
      <w:r>
        <w:rPr>
          <w:spacing w:val="-8"/>
        </w:rPr>
        <w:t> </w:t>
      </w:r>
      <w:r>
        <w:rPr/>
        <w:t>compared</w:t>
      </w:r>
      <w:r>
        <w:rPr>
          <w:spacing w:val="-6"/>
        </w:rPr>
        <w:t> </w:t>
      </w:r>
      <w:r>
        <w:rPr/>
        <w:t>to</w:t>
      </w:r>
      <w:r>
        <w:rPr>
          <w:spacing w:val="-6"/>
        </w:rPr>
        <w:t> </w:t>
      </w:r>
      <w:r>
        <w:rPr/>
        <w:t>the</w:t>
      </w:r>
      <w:r>
        <w:rPr>
          <w:spacing w:val="-8"/>
        </w:rPr>
        <w:t> </w:t>
      </w:r>
      <w:r>
        <w:rPr/>
        <w:t>spending</w:t>
      </w:r>
      <w:r>
        <w:rPr>
          <w:spacing w:val="-7"/>
        </w:rPr>
        <w:t> </w:t>
      </w:r>
      <w:r>
        <w:rPr/>
        <w:t>per</w:t>
      </w:r>
      <w:r>
        <w:rPr>
          <w:spacing w:val="-7"/>
        </w:rPr>
        <w:t> </w:t>
      </w:r>
      <w:r>
        <w:rPr/>
        <w:t>day</w:t>
      </w:r>
      <w:r>
        <w:rPr>
          <w:spacing w:val="-5"/>
        </w:rPr>
        <w:t> </w:t>
      </w:r>
      <w:r>
        <w:rPr/>
        <w:t>of</w:t>
      </w:r>
      <w:r>
        <w:rPr>
          <w:spacing w:val="-8"/>
        </w:rPr>
        <w:t> </w:t>
      </w:r>
      <w:r>
        <w:rPr/>
        <w:t>CNSJF</w:t>
      </w:r>
      <w:r>
        <w:rPr>
          <w:spacing w:val="-7"/>
        </w:rPr>
        <w:t> </w:t>
      </w:r>
      <w:r>
        <w:rPr/>
        <w:t>attendees </w:t>
      </w:r>
      <w:r>
        <w:rPr/>
        <w:t>at US$255. In addition, an analysis of the evolution of tourism receipts reveal clear presence of high persistence of shocks.</w:t>
      </w:r>
      <w:r>
        <w:rPr>
          <w:position w:val="5"/>
          <w:sz w:val="12"/>
          <w:szCs w:val="12"/>
        </w:rPr>
        <w:t>51 </w:t>
      </w:r>
      <w:r>
        <w:rPr/>
        <w:t>In other words, if positive shock accumulates, it can result in a high level of tourist activity, while the </w:t>
      </w:r>
      <w:r>
        <w:rPr/>
        <w:t>accumulation of negative shocks could give rise to prolonged decadence of the destination. This situation predicts </w:t>
      </w:r>
      <w:r>
        <w:rPr>
          <w:rFonts w:ascii="Calibri" w:hAnsi="Calibri" w:cs="Calibri" w:eastAsia="Calibri" w:hint="default"/>
        </w:rPr>
        <w:t>high</w:t>
      </w:r>
      <w:r>
        <w:rPr>
          <w:rFonts w:ascii="Calibri" w:hAnsi="Calibri" w:cs="Calibri" w:eastAsia="Calibri" w:hint="default"/>
          <w:spacing w:val="-3"/>
        </w:rPr>
        <w:t> </w:t>
      </w:r>
      <w:r>
        <w:rPr>
          <w:rFonts w:ascii="Calibri" w:hAnsi="Calibri" w:cs="Calibri" w:eastAsia="Calibri" w:hint="default"/>
        </w:rPr>
        <w:t>volatility</w:t>
      </w:r>
      <w:r>
        <w:rPr>
          <w:rFonts w:ascii="Calibri" w:hAnsi="Calibri" w:cs="Calibri" w:eastAsia="Calibri" w:hint="default"/>
          <w:spacing w:val="-2"/>
        </w:rPr>
        <w:t> </w:t>
      </w:r>
      <w:r>
        <w:rPr>
          <w:rFonts w:ascii="Calibri" w:hAnsi="Calibri" w:cs="Calibri" w:eastAsia="Calibri" w:hint="default"/>
        </w:rPr>
        <w:t>in</w:t>
      </w:r>
      <w:r>
        <w:rPr>
          <w:rFonts w:ascii="Calibri" w:hAnsi="Calibri" w:cs="Calibri" w:eastAsia="Calibri" w:hint="default"/>
          <w:spacing w:val="-2"/>
        </w:rPr>
        <w:t> </w:t>
      </w:r>
      <w:r>
        <w:rPr>
          <w:rFonts w:ascii="Calibri" w:hAnsi="Calibri" w:cs="Calibri" w:eastAsia="Calibri" w:hint="default"/>
        </w:rPr>
        <w:t>the</w:t>
      </w:r>
      <w:r>
        <w:rPr>
          <w:rFonts w:ascii="Calibri" w:hAnsi="Calibri" w:cs="Calibri" w:eastAsia="Calibri" w:hint="default"/>
          <w:spacing w:val="-4"/>
        </w:rPr>
        <w:t> </w:t>
      </w:r>
      <w:r>
        <w:rPr>
          <w:rFonts w:ascii="Calibri" w:hAnsi="Calibri" w:cs="Calibri" w:eastAsia="Calibri" w:hint="default"/>
        </w:rPr>
        <w:t>industry’s</w:t>
      </w:r>
      <w:r>
        <w:rPr>
          <w:rFonts w:ascii="Calibri" w:hAnsi="Calibri" w:cs="Calibri" w:eastAsia="Calibri" w:hint="default"/>
          <w:spacing w:val="-7"/>
        </w:rPr>
        <w:t> </w:t>
      </w:r>
      <w:r>
        <w:rPr>
          <w:rFonts w:ascii="Calibri" w:hAnsi="Calibri" w:cs="Calibri" w:eastAsia="Calibri" w:hint="default"/>
        </w:rPr>
        <w:t>performance</w:t>
      </w:r>
      <w:r>
        <w:rPr>
          <w:rFonts w:ascii="Calibri" w:hAnsi="Calibri" w:cs="Calibri" w:eastAsia="Calibri" w:hint="default"/>
          <w:spacing w:val="-5"/>
        </w:rPr>
        <w:t> </w:t>
      </w:r>
      <w:r>
        <w:rPr>
          <w:rFonts w:ascii="Calibri" w:hAnsi="Calibri" w:cs="Calibri" w:eastAsia="Calibri" w:hint="default"/>
        </w:rPr>
        <w:t>as</w:t>
      </w:r>
      <w:r>
        <w:rPr>
          <w:rFonts w:ascii="Calibri" w:hAnsi="Calibri" w:cs="Calibri" w:eastAsia="Calibri" w:hint="default"/>
          <w:spacing w:val="-5"/>
        </w:rPr>
        <w:t> </w:t>
      </w:r>
      <w:r>
        <w:rPr>
          <w:rFonts w:ascii="Calibri" w:hAnsi="Calibri" w:cs="Calibri" w:eastAsia="Calibri" w:hint="default"/>
        </w:rPr>
        <w:t>attested</w:t>
      </w:r>
      <w:r>
        <w:rPr>
          <w:rFonts w:ascii="Calibri" w:hAnsi="Calibri" w:cs="Calibri" w:eastAsia="Calibri" w:hint="default"/>
          <w:spacing w:val="-3"/>
        </w:rPr>
        <w:t> </w:t>
      </w:r>
      <w:r>
        <w:rPr>
          <w:rFonts w:ascii="Calibri" w:hAnsi="Calibri" w:cs="Calibri" w:eastAsia="Calibri" w:hint="default"/>
        </w:rPr>
        <w:t>by</w:t>
      </w:r>
      <w:r>
        <w:rPr>
          <w:rFonts w:ascii="Calibri" w:hAnsi="Calibri" w:cs="Calibri" w:eastAsia="Calibri" w:hint="default"/>
          <w:spacing w:val="-5"/>
        </w:rPr>
        <w:t> </w:t>
      </w:r>
      <w:r>
        <w:rPr>
          <w:rFonts w:ascii="Calibri" w:hAnsi="Calibri" w:cs="Calibri" w:eastAsia="Calibri" w:hint="default"/>
        </w:rPr>
        <w:t>high</w:t>
      </w:r>
      <w:r>
        <w:rPr>
          <w:rFonts w:ascii="Calibri" w:hAnsi="Calibri" w:cs="Calibri" w:eastAsia="Calibri" w:hint="default"/>
          <w:spacing w:val="-3"/>
        </w:rPr>
        <w:t> </w:t>
      </w:r>
      <w:r>
        <w:rPr>
          <w:rFonts w:ascii="Calibri" w:hAnsi="Calibri" w:cs="Calibri" w:eastAsia="Calibri" w:hint="default"/>
        </w:rPr>
        <w:t>coefficients</w:t>
      </w:r>
      <w:r>
        <w:rPr>
          <w:rFonts w:ascii="Calibri" w:hAnsi="Calibri" w:cs="Calibri" w:eastAsia="Calibri" w:hint="default"/>
          <w:spacing w:val="-4"/>
        </w:rPr>
        <w:t> </w:t>
      </w:r>
      <w:r>
        <w:rPr>
          <w:rFonts w:ascii="Calibri" w:hAnsi="Calibri" w:cs="Calibri" w:eastAsia="Calibri" w:hint="default"/>
        </w:rPr>
        <w:t>of</w:t>
      </w:r>
      <w:r>
        <w:rPr>
          <w:rFonts w:ascii="Calibri" w:hAnsi="Calibri" w:cs="Calibri" w:eastAsia="Calibri" w:hint="default"/>
          <w:spacing w:val="-4"/>
        </w:rPr>
        <w:t> </w:t>
      </w:r>
      <w:r>
        <w:rPr>
          <w:rFonts w:ascii="Calibri" w:hAnsi="Calibri" w:cs="Calibri" w:eastAsia="Calibri" w:hint="default"/>
        </w:rPr>
        <w:t>variation</w:t>
      </w:r>
      <w:r>
        <w:rPr>
          <w:rFonts w:ascii="Calibri" w:hAnsi="Calibri" w:cs="Calibri" w:eastAsia="Calibri" w:hint="default"/>
          <w:spacing w:val="-2"/>
        </w:rPr>
        <w:t> </w:t>
      </w:r>
      <w:r>
        <w:rPr>
          <w:rFonts w:ascii="Calibri" w:hAnsi="Calibri" w:cs="Calibri" w:eastAsia="Calibri" w:hint="default"/>
        </w:rPr>
        <w:t>in</w:t>
      </w:r>
      <w:r>
        <w:rPr>
          <w:rFonts w:ascii="Calibri" w:hAnsi="Calibri" w:cs="Calibri" w:eastAsia="Calibri" w:hint="default"/>
          <w:spacing w:val="-2"/>
        </w:rPr>
        <w:t> </w:t>
      </w:r>
      <w:r>
        <w:rPr>
          <w:rFonts w:ascii="Calibri" w:hAnsi="Calibri" w:cs="Calibri" w:eastAsia="Calibri" w:hint="default"/>
        </w:rPr>
        <w:t>arrivals</w:t>
      </w:r>
      <w:r>
        <w:rPr>
          <w:rFonts w:ascii="Calibri" w:hAnsi="Calibri" w:cs="Calibri" w:eastAsia="Calibri" w:hint="default"/>
          <w:spacing w:val="-4"/>
        </w:rPr>
        <w:t> </w:t>
      </w:r>
      <w:r>
        <w:rPr>
          <w:rFonts w:ascii="Calibri" w:hAnsi="Calibri" w:cs="Calibri" w:eastAsia="Calibri" w:hint="default"/>
        </w:rPr>
        <w:t>and</w:t>
      </w:r>
      <w:r>
        <w:rPr>
          <w:rFonts w:ascii="Calibri" w:hAnsi="Calibri" w:cs="Calibri" w:eastAsia="Calibri" w:hint="default"/>
          <w:spacing w:val="-3"/>
        </w:rPr>
        <w:t> </w:t>
      </w:r>
      <w:r>
        <w:rPr>
          <w:rFonts w:ascii="Calibri" w:hAnsi="Calibri" w:cs="Calibri" w:eastAsia="Calibri" w:hint="default"/>
        </w:rPr>
        <w:t>receipts</w:t>
      </w:r>
      <w:r>
        <w:rPr>
          <w:rFonts w:ascii="Calibri" w:hAnsi="Calibri" w:cs="Calibri" w:eastAsia="Calibri" w:hint="default"/>
          <w:spacing w:val="-4"/>
        </w:rPr>
        <w:t> </w:t>
      </w:r>
      <w:r>
        <w:rPr>
          <w:rFonts w:ascii="Calibri" w:hAnsi="Calibri" w:cs="Calibri" w:eastAsia="Calibri" w:hint="default"/>
        </w:rPr>
        <w:t>over </w:t>
      </w:r>
      <w:r>
        <w:rPr>
          <w:rFonts w:ascii="Calibri" w:hAnsi="Calibri" w:cs="Calibri" w:eastAsia="Calibri" w:hint="default"/>
        </w:rPr>
      </w:r>
      <w:r>
        <w:rPr/>
        <w:t>time.</w:t>
      </w:r>
    </w:p>
    <w:p>
      <w:pPr>
        <w:pStyle w:val="BodyText"/>
        <w:spacing w:line="259" w:lineRule="auto" w:before="158"/>
        <w:ind w:right="1435"/>
        <w:jc w:val="both"/>
      </w:pPr>
      <w:r>
        <w:rPr/>
        <w:t>This volatile circumstance requires an active destination management intervention in order to confront negative cycles and seize opportunities during positive cycles. All the shocks that affect this tourist area will have both temporary and permanent effects. These shocks include policy measures adopted by policy makers (public investments in tourist infrastructure, subsidies to develop new tourist products, etc.). Consequently, if the destination</w:t>
      </w:r>
      <w:r>
        <w:rPr>
          <w:spacing w:val="-9"/>
        </w:rPr>
        <w:t> </w:t>
      </w:r>
      <w:r>
        <w:rPr/>
        <w:t>begins</w:t>
      </w:r>
      <w:r>
        <w:rPr>
          <w:spacing w:val="-11"/>
        </w:rPr>
        <w:t> </w:t>
      </w:r>
      <w:r>
        <w:rPr/>
        <w:t>showing</w:t>
      </w:r>
      <w:r>
        <w:rPr>
          <w:spacing w:val="-10"/>
        </w:rPr>
        <w:t> </w:t>
      </w:r>
      <w:r>
        <w:rPr/>
        <w:t>signs</w:t>
      </w:r>
      <w:r>
        <w:rPr>
          <w:spacing w:val="-11"/>
        </w:rPr>
        <w:t> </w:t>
      </w:r>
      <w:r>
        <w:rPr/>
        <w:t>of</w:t>
      </w:r>
      <w:r>
        <w:rPr>
          <w:spacing w:val="-11"/>
        </w:rPr>
        <w:t> </w:t>
      </w:r>
      <w:r>
        <w:rPr/>
        <w:t>stagnation,</w:t>
      </w:r>
      <w:r>
        <w:rPr>
          <w:spacing w:val="-10"/>
        </w:rPr>
        <w:t> </w:t>
      </w:r>
      <w:r>
        <w:rPr/>
        <w:t>local</w:t>
      </w:r>
      <w:r>
        <w:rPr>
          <w:spacing w:val="-10"/>
        </w:rPr>
        <w:t> </w:t>
      </w:r>
      <w:r>
        <w:rPr/>
        <w:t>destination</w:t>
      </w:r>
      <w:r>
        <w:rPr>
          <w:spacing w:val="-9"/>
        </w:rPr>
        <w:t> </w:t>
      </w:r>
      <w:r>
        <w:rPr/>
        <w:t>managers</w:t>
      </w:r>
      <w:r>
        <w:rPr>
          <w:spacing w:val="-11"/>
        </w:rPr>
        <w:t> </w:t>
      </w:r>
      <w:r>
        <w:rPr/>
        <w:t>must</w:t>
      </w:r>
      <w:r>
        <w:rPr>
          <w:spacing w:val="-10"/>
        </w:rPr>
        <w:t> </w:t>
      </w:r>
      <w:r>
        <w:rPr/>
        <w:t>act</w:t>
      </w:r>
      <w:r>
        <w:rPr>
          <w:spacing w:val="-4"/>
        </w:rPr>
        <w:t> </w:t>
      </w:r>
      <w:r>
        <w:rPr/>
        <w:t>quickly</w:t>
      </w:r>
      <w:r>
        <w:rPr>
          <w:spacing w:val="-9"/>
        </w:rPr>
        <w:t> </w:t>
      </w:r>
      <w:r>
        <w:rPr/>
        <w:t>and</w:t>
      </w:r>
      <w:r>
        <w:rPr>
          <w:spacing w:val="-12"/>
        </w:rPr>
        <w:t> </w:t>
      </w:r>
      <w:r>
        <w:rPr/>
        <w:t>strongly</w:t>
      </w:r>
      <w:r>
        <w:rPr>
          <w:spacing w:val="-10"/>
        </w:rPr>
        <w:t> </w:t>
      </w:r>
      <w:r>
        <w:rPr/>
        <w:t>if</w:t>
      </w:r>
      <w:r>
        <w:rPr>
          <w:spacing w:val="-11"/>
        </w:rPr>
        <w:t> </w:t>
      </w:r>
      <w:r>
        <w:rPr/>
        <w:t>they</w:t>
      </w:r>
      <w:r>
        <w:rPr>
          <w:spacing w:val="-9"/>
        </w:rPr>
        <w:t> </w:t>
      </w:r>
      <w:r>
        <w:rPr/>
        <w:t>want </w:t>
      </w:r>
      <w:r>
        <w:rPr/>
        <w:t>to</w:t>
      </w:r>
      <w:r>
        <w:rPr>
          <w:spacing w:val="-4"/>
        </w:rPr>
        <w:t> </w:t>
      </w:r>
      <w:r>
        <w:rPr/>
        <w:t>maintain</w:t>
      </w:r>
      <w:r>
        <w:rPr>
          <w:spacing w:val="-4"/>
        </w:rPr>
        <w:t> </w:t>
      </w:r>
      <w:r>
        <w:rPr/>
        <w:t>the</w:t>
      </w:r>
      <w:r>
        <w:rPr>
          <w:spacing w:val="-5"/>
        </w:rPr>
        <w:t> </w:t>
      </w:r>
      <w:r>
        <w:rPr/>
        <w:t>growth</w:t>
      </w:r>
      <w:r>
        <w:rPr>
          <w:spacing w:val="-4"/>
        </w:rPr>
        <w:t> </w:t>
      </w:r>
      <w:r>
        <w:rPr/>
        <w:t>of</w:t>
      </w:r>
      <w:r>
        <w:rPr>
          <w:spacing w:val="-5"/>
        </w:rPr>
        <w:t> </w:t>
      </w:r>
      <w:r>
        <w:rPr/>
        <w:t>the</w:t>
      </w:r>
      <w:r>
        <w:rPr>
          <w:spacing w:val="-5"/>
        </w:rPr>
        <w:t> </w:t>
      </w:r>
      <w:r>
        <w:rPr/>
        <w:t>tourism</w:t>
      </w:r>
      <w:r>
        <w:rPr>
          <w:spacing w:val="-4"/>
        </w:rPr>
        <w:t> </w:t>
      </w:r>
      <w:r>
        <w:rPr/>
        <w:t>industry.</w:t>
      </w:r>
      <w:r>
        <w:rPr>
          <w:spacing w:val="-4"/>
        </w:rPr>
        <w:t> </w:t>
      </w:r>
      <w:r>
        <w:rPr>
          <w:rFonts w:ascii="Calibri" w:hAnsi="Calibri" w:cs="Calibri" w:eastAsia="Calibri" w:hint="default"/>
        </w:rPr>
        <w:t>“</w:t>
      </w:r>
      <w:r>
        <w:rPr/>
        <w:t>Wait</w:t>
      </w:r>
      <w:r>
        <w:rPr>
          <w:spacing w:val="-4"/>
        </w:rPr>
        <w:t> </w:t>
      </w:r>
      <w:r>
        <w:rPr/>
        <w:t>and</w:t>
      </w:r>
      <w:r>
        <w:rPr>
          <w:spacing w:val="-4"/>
        </w:rPr>
        <w:t> </w:t>
      </w:r>
      <w:r>
        <w:rPr/>
        <w:t>see</w:t>
      </w:r>
      <w:r>
        <w:rPr>
          <w:rFonts w:ascii="Calibri" w:hAnsi="Calibri" w:cs="Calibri" w:eastAsia="Calibri" w:hint="default"/>
        </w:rPr>
        <w:t>”</w:t>
      </w:r>
      <w:r>
        <w:rPr>
          <w:rFonts w:ascii="Calibri" w:hAnsi="Calibri" w:cs="Calibri" w:eastAsia="Calibri" w:hint="default"/>
          <w:spacing w:val="-3"/>
        </w:rPr>
        <w:t> </w:t>
      </w:r>
      <w:r>
        <w:rPr/>
        <w:t>policies</w:t>
      </w:r>
      <w:r>
        <w:rPr>
          <w:spacing w:val="-5"/>
        </w:rPr>
        <w:t> </w:t>
      </w:r>
      <w:r>
        <w:rPr/>
        <w:t>could</w:t>
      </w:r>
      <w:r>
        <w:rPr>
          <w:spacing w:val="-4"/>
        </w:rPr>
        <w:t> </w:t>
      </w:r>
      <w:r>
        <w:rPr/>
        <w:t>be</w:t>
      </w:r>
      <w:r>
        <w:rPr>
          <w:spacing w:val="-5"/>
        </w:rPr>
        <w:t> </w:t>
      </w:r>
      <w:r>
        <w:rPr/>
        <w:t>costly</w:t>
      </w:r>
      <w:r>
        <w:rPr>
          <w:spacing w:val="-3"/>
        </w:rPr>
        <w:t> </w:t>
      </w:r>
      <w:r>
        <w:rPr/>
        <w:t>to</w:t>
      </w:r>
      <w:r>
        <w:rPr>
          <w:spacing w:val="-4"/>
        </w:rPr>
        <w:t> </w:t>
      </w:r>
      <w:r>
        <w:rPr/>
        <w:t>the</w:t>
      </w:r>
      <w:r>
        <w:rPr>
          <w:spacing w:val="-5"/>
        </w:rPr>
        <w:t> </w:t>
      </w:r>
      <w:r>
        <w:rPr/>
        <w:t>industry.</w:t>
      </w:r>
      <w:r>
        <w:rPr>
          <w:spacing w:val="39"/>
        </w:rPr>
        <w:t> </w:t>
      </w:r>
      <w:r>
        <w:rPr/>
        <w:t>A</w:t>
      </w:r>
      <w:r>
        <w:rPr>
          <w:spacing w:val="-5"/>
        </w:rPr>
        <w:t> </w:t>
      </w:r>
      <w:r>
        <w:rPr/>
        <w:t>pro-active </w:t>
      </w:r>
      <w:r>
        <w:rPr/>
        <w:t>CTB is required to have sufficient knowledge that would allow its staff to dedicate attention to address cyclical movements in source countries. This pro-active behavior should be anchored in timely business intelligence to support decisions and</w:t>
      </w:r>
      <w:r>
        <w:rPr>
          <w:spacing w:val="-12"/>
        </w:rPr>
        <w:t> </w:t>
      </w:r>
      <w:r>
        <w:rPr/>
        <w:t>choices.</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4" w:after="0"/>
        <w:ind w:right="0"/>
        <w:rPr>
          <w:rFonts w:ascii="Calibri" w:hAnsi="Calibri" w:cs="Calibri" w:eastAsia="Calibri" w:hint="default"/>
          <w:sz w:val="18"/>
          <w:szCs w:val="18"/>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before="91"/>
        <w:ind w:left="1440" w:right="0" w:firstLine="0"/>
        <w:jc w:val="left"/>
        <w:rPr>
          <w:rFonts w:ascii="Calibri" w:hAnsi="Calibri" w:cs="Calibri" w:eastAsia="Calibri" w:hint="default"/>
          <w:sz w:val="16"/>
          <w:szCs w:val="16"/>
        </w:rPr>
      </w:pPr>
      <w:r>
        <w:rPr>
          <w:rFonts w:ascii="Calibri"/>
          <w:position w:val="5"/>
          <w:sz w:val="12"/>
        </w:rPr>
        <w:t>49</w:t>
      </w:r>
      <w:r>
        <w:rPr>
          <w:rFonts w:ascii="Calibri"/>
          <w:spacing w:val="5"/>
          <w:position w:val="5"/>
          <w:sz w:val="12"/>
        </w:rPr>
        <w:t> </w:t>
      </w:r>
      <w:r>
        <w:rPr>
          <w:rFonts w:ascii="Calibri"/>
          <w:sz w:val="16"/>
        </w:rPr>
        <w:t>Long</w:t>
      </w:r>
      <w:r>
        <w:rPr>
          <w:rFonts w:ascii="Calibri"/>
          <w:spacing w:val="-3"/>
          <w:sz w:val="16"/>
        </w:rPr>
        <w:t> </w:t>
      </w:r>
      <w:r>
        <w:rPr>
          <w:rFonts w:ascii="Calibri"/>
          <w:sz w:val="16"/>
        </w:rPr>
        <w:t>run</w:t>
      </w:r>
      <w:r>
        <w:rPr>
          <w:rFonts w:ascii="Calibri"/>
          <w:spacing w:val="-4"/>
          <w:sz w:val="16"/>
        </w:rPr>
        <w:t> </w:t>
      </w:r>
      <w:r>
        <w:rPr>
          <w:rFonts w:ascii="Calibri"/>
          <w:sz w:val="16"/>
        </w:rPr>
        <w:t>causality</w:t>
      </w:r>
      <w:r>
        <w:rPr>
          <w:rFonts w:ascii="Calibri"/>
          <w:spacing w:val="-2"/>
          <w:sz w:val="16"/>
        </w:rPr>
        <w:t> </w:t>
      </w:r>
      <w:r>
        <w:rPr>
          <w:rFonts w:ascii="Calibri"/>
          <w:sz w:val="16"/>
        </w:rPr>
        <w:t>error</w:t>
      </w:r>
      <w:r>
        <w:rPr>
          <w:rFonts w:ascii="Calibri"/>
          <w:spacing w:val="-4"/>
          <w:sz w:val="16"/>
        </w:rPr>
        <w:t> </w:t>
      </w:r>
      <w:r>
        <w:rPr>
          <w:rFonts w:ascii="Calibri"/>
          <w:sz w:val="16"/>
        </w:rPr>
        <w:t>correction</w:t>
      </w:r>
      <w:r>
        <w:rPr>
          <w:rFonts w:ascii="Calibri"/>
          <w:spacing w:val="-4"/>
          <w:sz w:val="16"/>
        </w:rPr>
        <w:t> </w:t>
      </w:r>
      <w:r>
        <w:rPr>
          <w:rFonts w:ascii="Calibri"/>
          <w:sz w:val="16"/>
        </w:rPr>
        <w:t>term</w:t>
      </w:r>
      <w:r>
        <w:rPr>
          <w:rFonts w:ascii="Calibri"/>
          <w:spacing w:val="-2"/>
          <w:sz w:val="16"/>
        </w:rPr>
        <w:t> </w:t>
      </w:r>
      <w:r>
        <w:rPr>
          <w:rFonts w:ascii="Calibri"/>
          <w:sz w:val="16"/>
        </w:rPr>
        <w:t>for</w:t>
      </w:r>
      <w:r>
        <w:rPr>
          <w:rFonts w:ascii="Calibri"/>
          <w:spacing w:val="-4"/>
          <w:sz w:val="16"/>
        </w:rPr>
        <w:t> </w:t>
      </w:r>
      <w:r>
        <w:rPr>
          <w:rFonts w:ascii="Calibri"/>
          <w:sz w:val="16"/>
        </w:rPr>
        <w:t>LRGDP=</w:t>
      </w:r>
      <w:r>
        <w:rPr>
          <w:rFonts w:ascii="Calibri"/>
          <w:spacing w:val="-4"/>
          <w:sz w:val="16"/>
        </w:rPr>
        <w:t> </w:t>
      </w:r>
      <w:r>
        <w:rPr>
          <w:rFonts w:ascii="Calibri"/>
          <w:sz w:val="16"/>
        </w:rPr>
        <w:t>3.23</w:t>
      </w:r>
      <w:r>
        <w:rPr>
          <w:rFonts w:ascii="Calibri"/>
          <w:spacing w:val="-3"/>
          <w:sz w:val="16"/>
        </w:rPr>
        <w:t> </w:t>
      </w:r>
      <w:r>
        <w:rPr>
          <w:rFonts w:ascii="Calibri"/>
          <w:sz w:val="16"/>
        </w:rPr>
        <w:t>(p&lt;.0001);</w:t>
      </w:r>
      <w:r>
        <w:rPr>
          <w:rFonts w:ascii="Calibri"/>
          <w:spacing w:val="-3"/>
          <w:sz w:val="16"/>
        </w:rPr>
        <w:t> </w:t>
      </w:r>
      <w:r>
        <w:rPr>
          <w:rFonts w:ascii="Calibri"/>
          <w:sz w:val="16"/>
        </w:rPr>
        <w:t>Long</w:t>
      </w:r>
      <w:r>
        <w:rPr>
          <w:rFonts w:ascii="Calibri"/>
          <w:spacing w:val="-3"/>
          <w:sz w:val="16"/>
        </w:rPr>
        <w:t> </w:t>
      </w:r>
      <w:r>
        <w:rPr>
          <w:rFonts w:ascii="Calibri"/>
          <w:sz w:val="16"/>
        </w:rPr>
        <w:t>run</w:t>
      </w:r>
      <w:r>
        <w:rPr>
          <w:rFonts w:ascii="Calibri"/>
          <w:spacing w:val="-4"/>
          <w:sz w:val="16"/>
        </w:rPr>
        <w:t> </w:t>
      </w:r>
      <w:r>
        <w:rPr>
          <w:rFonts w:ascii="Calibri"/>
          <w:sz w:val="16"/>
        </w:rPr>
        <w:t>causality</w:t>
      </w:r>
      <w:r>
        <w:rPr>
          <w:rFonts w:ascii="Calibri"/>
          <w:spacing w:val="-2"/>
          <w:sz w:val="16"/>
        </w:rPr>
        <w:t> </w:t>
      </w:r>
      <w:r>
        <w:rPr>
          <w:rFonts w:ascii="Calibri"/>
          <w:sz w:val="16"/>
        </w:rPr>
        <w:t>error</w:t>
      </w:r>
      <w:r>
        <w:rPr>
          <w:rFonts w:ascii="Calibri"/>
          <w:spacing w:val="-4"/>
          <w:sz w:val="16"/>
        </w:rPr>
        <w:t> </w:t>
      </w:r>
      <w:r>
        <w:rPr>
          <w:rFonts w:ascii="Calibri"/>
          <w:sz w:val="16"/>
        </w:rPr>
        <w:t>correction</w:t>
      </w:r>
      <w:r>
        <w:rPr>
          <w:rFonts w:ascii="Calibri"/>
          <w:spacing w:val="-4"/>
          <w:sz w:val="16"/>
        </w:rPr>
        <w:t> </w:t>
      </w:r>
      <w:r>
        <w:rPr>
          <w:rFonts w:ascii="Calibri"/>
          <w:sz w:val="16"/>
        </w:rPr>
        <w:t>term</w:t>
      </w:r>
      <w:r>
        <w:rPr>
          <w:rFonts w:ascii="Calibri"/>
          <w:spacing w:val="-2"/>
          <w:sz w:val="16"/>
        </w:rPr>
        <w:t> </w:t>
      </w:r>
      <w:r>
        <w:rPr>
          <w:rFonts w:ascii="Calibri"/>
          <w:sz w:val="16"/>
        </w:rPr>
        <w:t>for</w:t>
      </w:r>
      <w:r>
        <w:rPr>
          <w:rFonts w:ascii="Calibri"/>
          <w:spacing w:val="-2"/>
          <w:sz w:val="16"/>
        </w:rPr>
        <w:t> </w:t>
      </w:r>
      <w:r>
        <w:rPr>
          <w:rFonts w:ascii="Calibri"/>
          <w:sz w:val="16"/>
        </w:rPr>
        <w:t>LRTOUREXP=3.81(p&lt;.0001)</w:t>
      </w:r>
    </w:p>
    <w:p>
      <w:pPr>
        <w:spacing w:before="13"/>
        <w:ind w:left="1440" w:right="0" w:firstLine="0"/>
        <w:jc w:val="left"/>
        <w:rPr>
          <w:rFonts w:ascii="Calibri" w:hAnsi="Calibri" w:cs="Calibri" w:eastAsia="Calibri" w:hint="default"/>
          <w:sz w:val="16"/>
          <w:szCs w:val="16"/>
        </w:rPr>
      </w:pPr>
      <w:r>
        <w:rPr>
          <w:rFonts w:ascii="Calibri"/>
          <w:position w:val="5"/>
          <w:sz w:val="12"/>
        </w:rPr>
        <w:t>50 </w:t>
      </w:r>
      <w:r>
        <w:rPr>
          <w:rFonts w:ascii="Calibri"/>
          <w:sz w:val="16"/>
        </w:rPr>
        <w:t>Granger results for LRGDP=5.95(p&lt;.0001); Granger results for</w:t>
      </w:r>
      <w:r>
        <w:rPr>
          <w:rFonts w:ascii="Calibri"/>
          <w:spacing w:val="-17"/>
          <w:sz w:val="16"/>
        </w:rPr>
        <w:t> </w:t>
      </w:r>
      <w:r>
        <w:rPr>
          <w:rFonts w:ascii="Calibri"/>
          <w:sz w:val="16"/>
        </w:rPr>
        <w:t>LRTOUREXP=7.44(p&lt;.0001)</w:t>
      </w:r>
    </w:p>
    <w:p>
      <w:pPr>
        <w:spacing w:line="247" w:lineRule="auto" w:before="11"/>
        <w:ind w:left="1440" w:right="1435" w:firstLine="0"/>
        <w:jc w:val="left"/>
        <w:rPr>
          <w:rFonts w:ascii="Calibri" w:hAnsi="Calibri" w:cs="Calibri" w:eastAsia="Calibri" w:hint="default"/>
          <w:sz w:val="16"/>
          <w:szCs w:val="16"/>
        </w:rPr>
      </w:pPr>
      <w:r>
        <w:rPr>
          <w:rFonts w:ascii="Calibri"/>
          <w:position w:val="5"/>
          <w:sz w:val="12"/>
        </w:rPr>
        <w:t>51 </w:t>
      </w:r>
      <w:r>
        <w:rPr>
          <w:rFonts w:ascii="Calibri"/>
          <w:sz w:val="16"/>
        </w:rPr>
        <w:t>The study conducted a number of unit root tests to determine whether shocks are transitory or persist over time. The results of these tests </w:t>
      </w:r>
      <w:r>
        <w:rPr>
          <w:rFonts w:ascii="Calibri"/>
          <w:sz w:val="16"/>
        </w:rPr>
        <w:t>indicate high persistence of</w:t>
      </w:r>
      <w:r>
        <w:rPr>
          <w:rFonts w:ascii="Calibri"/>
          <w:spacing w:val="-18"/>
          <w:sz w:val="16"/>
        </w:rPr>
        <w:t> </w:t>
      </w:r>
      <w:r>
        <w:rPr>
          <w:rFonts w:ascii="Calibri"/>
          <w:sz w:val="16"/>
        </w:rPr>
        <w:t>shocks.</w:t>
      </w:r>
    </w:p>
    <w:p>
      <w:pPr>
        <w:spacing w:after="0" w:line="247" w:lineRule="auto"/>
        <w:jc w:val="left"/>
        <w:rPr>
          <w:rFonts w:ascii="Calibri" w:hAnsi="Calibri" w:cs="Calibri" w:eastAsia="Calibri" w:hint="default"/>
          <w:sz w:val="16"/>
          <w:szCs w:val="16"/>
        </w:rPr>
        <w:sectPr>
          <w:headerReference w:type="default" r:id="rId47"/>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24"/>
          <w:szCs w:val="24"/>
        </w:rPr>
      </w:pPr>
    </w:p>
    <w:p>
      <w:pPr>
        <w:pStyle w:val="Heading2"/>
        <w:spacing w:line="240" w:lineRule="auto"/>
        <w:ind w:right="0"/>
        <w:jc w:val="both"/>
        <w:rPr>
          <w:b w:val="0"/>
          <w:bCs w:val="0"/>
        </w:rPr>
      </w:pPr>
      <w:bookmarkStart w:name="_bookmark90" w:id="91"/>
      <w:bookmarkEnd w:id="91"/>
      <w:r>
        <w:rPr>
          <w:b w:val="0"/>
        </w:rPr>
      </w:r>
      <w:r>
        <w:rPr/>
        <w:t>The soft component of tourism is under</w:t>
      </w:r>
      <w:r>
        <w:rPr>
          <w:spacing w:val="-24"/>
        </w:rPr>
        <w:t> </w:t>
      </w:r>
      <w:r>
        <w:rPr/>
        <w:t>pressure</w:t>
      </w:r>
      <w:r>
        <w:rPr>
          <w:b w:val="0"/>
        </w:rPr>
      </w:r>
    </w:p>
    <w:p>
      <w:pPr>
        <w:pStyle w:val="BodyText"/>
        <w:spacing w:line="259" w:lineRule="auto" w:before="191"/>
        <w:ind w:right="1435"/>
        <w:jc w:val="both"/>
      </w:pPr>
      <w:r>
        <w:rPr>
          <w:rFonts w:ascii="Calibri" w:hAnsi="Calibri" w:cs="Calibri" w:eastAsia="Calibri" w:hint="default"/>
        </w:rPr>
        <w:t>There</w:t>
      </w:r>
      <w:r>
        <w:rPr>
          <w:rFonts w:ascii="Calibri" w:hAnsi="Calibri" w:cs="Calibri" w:eastAsia="Calibri" w:hint="default"/>
          <w:spacing w:val="-5"/>
        </w:rPr>
        <w:t> </w:t>
      </w:r>
      <w:r>
        <w:rPr>
          <w:rFonts w:ascii="Calibri" w:hAnsi="Calibri" w:cs="Calibri" w:eastAsia="Calibri" w:hint="default"/>
        </w:rPr>
        <w:t>is</w:t>
      </w:r>
      <w:r>
        <w:rPr>
          <w:rFonts w:ascii="Calibri" w:hAnsi="Calibri" w:cs="Calibri" w:eastAsia="Calibri" w:hint="default"/>
          <w:spacing w:val="-6"/>
        </w:rPr>
        <w:t> </w:t>
      </w:r>
      <w:r>
        <w:rPr>
          <w:rFonts w:ascii="Calibri" w:hAnsi="Calibri" w:cs="Calibri" w:eastAsia="Calibri" w:hint="default"/>
        </w:rPr>
        <w:t>clear</w:t>
      </w:r>
      <w:r>
        <w:rPr>
          <w:rFonts w:ascii="Calibri" w:hAnsi="Calibri" w:cs="Calibri" w:eastAsia="Calibri" w:hint="default"/>
          <w:spacing w:val="-6"/>
        </w:rPr>
        <w:t> </w:t>
      </w:r>
      <w:r>
        <w:rPr>
          <w:rFonts w:ascii="Calibri" w:hAnsi="Calibri" w:cs="Calibri" w:eastAsia="Calibri" w:hint="default"/>
        </w:rPr>
        <w:t>indication</w:t>
      </w:r>
      <w:r>
        <w:rPr>
          <w:rFonts w:ascii="Calibri" w:hAnsi="Calibri" w:cs="Calibri" w:eastAsia="Calibri" w:hint="default"/>
          <w:spacing w:val="-6"/>
        </w:rPr>
        <w:t> </w:t>
      </w:r>
      <w:r>
        <w:rPr>
          <w:rFonts w:ascii="Calibri" w:hAnsi="Calibri" w:cs="Calibri" w:eastAsia="Calibri" w:hint="default"/>
        </w:rPr>
        <w:t>that</w:t>
      </w:r>
      <w:r>
        <w:rPr>
          <w:rFonts w:ascii="Calibri" w:hAnsi="Calibri" w:cs="Calibri" w:eastAsia="Calibri" w:hint="default"/>
          <w:spacing w:val="-6"/>
        </w:rPr>
        <w:t> </w:t>
      </w:r>
      <w:r>
        <w:rPr>
          <w:rFonts w:ascii="Calibri" w:hAnsi="Calibri" w:cs="Calibri" w:eastAsia="Calibri" w:hint="default"/>
        </w:rPr>
        <w:t>Curaçao’s</w:t>
      </w:r>
      <w:r>
        <w:rPr>
          <w:rFonts w:ascii="Calibri" w:hAnsi="Calibri" w:cs="Calibri" w:eastAsia="Calibri" w:hint="default"/>
          <w:spacing w:val="-8"/>
        </w:rPr>
        <w:t> </w:t>
      </w:r>
      <w:r>
        <w:rPr>
          <w:rFonts w:ascii="Calibri" w:hAnsi="Calibri" w:cs="Calibri" w:eastAsia="Calibri" w:hint="default"/>
        </w:rPr>
        <w:t>soft</w:t>
      </w:r>
      <w:r>
        <w:rPr>
          <w:rFonts w:ascii="Calibri" w:hAnsi="Calibri" w:cs="Calibri" w:eastAsia="Calibri" w:hint="default"/>
          <w:spacing w:val="-6"/>
        </w:rPr>
        <w:t> </w:t>
      </w:r>
      <w:r>
        <w:rPr>
          <w:rFonts w:ascii="Calibri" w:hAnsi="Calibri" w:cs="Calibri" w:eastAsia="Calibri" w:hint="default"/>
        </w:rPr>
        <w:t>components</w:t>
      </w:r>
      <w:r>
        <w:rPr>
          <w:rFonts w:ascii="Calibri" w:hAnsi="Calibri" w:cs="Calibri" w:eastAsia="Calibri" w:hint="default"/>
          <w:spacing w:val="-7"/>
        </w:rPr>
        <w:t> </w:t>
      </w:r>
      <w:r>
        <w:rPr>
          <w:rFonts w:ascii="Calibri" w:hAnsi="Calibri" w:cs="Calibri" w:eastAsia="Calibri" w:hint="default"/>
        </w:rPr>
        <w:t>in</w:t>
      </w:r>
      <w:r>
        <w:rPr>
          <w:rFonts w:ascii="Calibri" w:hAnsi="Calibri" w:cs="Calibri" w:eastAsia="Calibri" w:hint="default"/>
          <w:spacing w:val="-6"/>
        </w:rPr>
        <w:t> </w:t>
      </w:r>
      <w:r>
        <w:rPr>
          <w:rFonts w:ascii="Calibri" w:hAnsi="Calibri" w:cs="Calibri" w:eastAsia="Calibri" w:hint="default"/>
        </w:rPr>
        <w:t>the</w:t>
      </w:r>
      <w:r>
        <w:rPr>
          <w:rFonts w:ascii="Calibri" w:hAnsi="Calibri" w:cs="Calibri" w:eastAsia="Calibri" w:hint="default"/>
          <w:spacing w:val="-8"/>
        </w:rPr>
        <w:t> </w:t>
      </w:r>
      <w:r>
        <w:rPr>
          <w:rFonts w:ascii="Calibri" w:hAnsi="Calibri" w:cs="Calibri" w:eastAsia="Calibri" w:hint="default"/>
        </w:rPr>
        <w:t>tourism</w:t>
      </w:r>
      <w:r>
        <w:rPr>
          <w:rFonts w:ascii="Calibri" w:hAnsi="Calibri" w:cs="Calibri" w:eastAsia="Calibri" w:hint="default"/>
          <w:spacing w:val="-8"/>
        </w:rPr>
        <w:t> </w:t>
      </w:r>
      <w:r>
        <w:rPr>
          <w:rFonts w:ascii="Calibri" w:hAnsi="Calibri" w:cs="Calibri" w:eastAsia="Calibri" w:hint="default"/>
        </w:rPr>
        <w:t>sector</w:t>
      </w:r>
      <w:r>
        <w:rPr>
          <w:rFonts w:ascii="Calibri" w:hAnsi="Calibri" w:cs="Calibri" w:eastAsia="Calibri" w:hint="default"/>
          <w:spacing w:val="-7"/>
        </w:rPr>
        <w:t> </w:t>
      </w:r>
      <w:r>
        <w:rPr>
          <w:rFonts w:ascii="Calibri" w:hAnsi="Calibri" w:cs="Calibri" w:eastAsia="Calibri" w:hint="default"/>
        </w:rPr>
        <w:t>are</w:t>
      </w:r>
      <w:r>
        <w:rPr>
          <w:rFonts w:ascii="Calibri" w:hAnsi="Calibri" w:cs="Calibri" w:eastAsia="Calibri" w:hint="default"/>
          <w:spacing w:val="-8"/>
        </w:rPr>
        <w:t> </w:t>
      </w:r>
      <w:r>
        <w:rPr>
          <w:rFonts w:ascii="Calibri" w:hAnsi="Calibri" w:cs="Calibri" w:eastAsia="Calibri" w:hint="default"/>
        </w:rPr>
        <w:t>under</w:t>
      </w:r>
      <w:r>
        <w:rPr>
          <w:rFonts w:ascii="Calibri" w:hAnsi="Calibri" w:cs="Calibri" w:eastAsia="Calibri" w:hint="default"/>
          <w:spacing w:val="-7"/>
        </w:rPr>
        <w:t> </w:t>
      </w:r>
      <w:r>
        <w:rPr>
          <w:rFonts w:ascii="Calibri" w:hAnsi="Calibri" w:cs="Calibri" w:eastAsia="Calibri" w:hint="default"/>
        </w:rPr>
        <w:t>pressure.</w:t>
      </w:r>
      <w:r>
        <w:rPr>
          <w:rFonts w:ascii="Calibri" w:hAnsi="Calibri" w:cs="Calibri" w:eastAsia="Calibri" w:hint="default"/>
          <w:spacing w:val="43"/>
        </w:rPr>
        <w:t> </w:t>
      </w:r>
      <w:r>
        <w:rPr/>
        <w:t>Soft</w:t>
      </w:r>
      <w:r>
        <w:rPr>
          <w:spacing w:val="-4"/>
        </w:rPr>
        <w:t> </w:t>
      </w:r>
      <w:r>
        <w:rPr/>
        <w:t>components </w:t>
      </w:r>
      <w:r>
        <w:rPr/>
        <w:t>of a tourism product are defined as the intangible aspects of a tourism delivery process (the non-tactile aspects of the</w:t>
      </w:r>
      <w:r>
        <w:rPr>
          <w:spacing w:val="-7"/>
        </w:rPr>
        <w:t> </w:t>
      </w:r>
      <w:r>
        <w:rPr/>
        <w:t>product).</w:t>
      </w:r>
      <w:r>
        <w:rPr>
          <w:spacing w:val="-7"/>
        </w:rPr>
        <w:t> </w:t>
      </w:r>
      <w:r>
        <w:rPr/>
        <w:t>For</w:t>
      </w:r>
      <w:r>
        <w:rPr>
          <w:spacing w:val="-6"/>
        </w:rPr>
        <w:t> </w:t>
      </w:r>
      <w:r>
        <w:rPr/>
        <w:t>example,</w:t>
      </w:r>
      <w:r>
        <w:rPr>
          <w:spacing w:val="-6"/>
        </w:rPr>
        <w:t> </w:t>
      </w:r>
      <w:r>
        <w:rPr/>
        <w:t>the</w:t>
      </w:r>
      <w:r>
        <w:rPr>
          <w:spacing w:val="-7"/>
        </w:rPr>
        <w:t> </w:t>
      </w:r>
      <w:r>
        <w:rPr/>
        <w:t>service</w:t>
      </w:r>
      <w:r>
        <w:rPr>
          <w:spacing w:val="-7"/>
        </w:rPr>
        <w:t> </w:t>
      </w:r>
      <w:r>
        <w:rPr/>
        <w:t>levels,</w:t>
      </w:r>
      <w:r>
        <w:rPr>
          <w:spacing w:val="-6"/>
        </w:rPr>
        <w:t> </w:t>
      </w:r>
      <w:r>
        <w:rPr/>
        <w:t>product</w:t>
      </w:r>
      <w:r>
        <w:rPr>
          <w:spacing w:val="-6"/>
        </w:rPr>
        <w:t> </w:t>
      </w:r>
      <w:r>
        <w:rPr/>
        <w:t>identity,</w:t>
      </w:r>
      <w:r>
        <w:rPr>
          <w:spacing w:val="-6"/>
        </w:rPr>
        <w:t> </w:t>
      </w:r>
      <w:r>
        <w:rPr/>
        <w:t>institutional</w:t>
      </w:r>
      <w:r>
        <w:rPr>
          <w:spacing w:val="-6"/>
        </w:rPr>
        <w:t> </w:t>
      </w:r>
      <w:r>
        <w:rPr/>
        <w:t>support,</w:t>
      </w:r>
      <w:r>
        <w:rPr>
          <w:spacing w:val="-8"/>
        </w:rPr>
        <w:t> </w:t>
      </w:r>
      <w:r>
        <w:rPr/>
        <w:t>public/private</w:t>
      </w:r>
      <w:r>
        <w:rPr>
          <w:spacing w:val="-7"/>
        </w:rPr>
        <w:t> </w:t>
      </w:r>
      <w:r>
        <w:rPr/>
        <w:t>partnership,</w:t>
      </w:r>
      <w:r>
        <w:rPr>
          <w:spacing w:val="-6"/>
        </w:rPr>
        <w:t> </w:t>
      </w:r>
      <w:r>
        <w:rPr/>
        <w:t>etc. </w:t>
      </w:r>
      <w:r>
        <w:rPr/>
      </w:r>
      <w:r>
        <w:rPr>
          <w:rFonts w:ascii="Calibri" w:hAnsi="Calibri" w:cs="Calibri" w:eastAsia="Calibri" w:hint="default"/>
        </w:rPr>
        <w:t>The DPITS’ </w:t>
      </w:r>
      <w:r>
        <w:rPr/>
        <w:t>field work has revealed that t</w:t>
      </w:r>
      <w:r>
        <w:rPr>
          <w:rFonts w:ascii="Calibri" w:hAnsi="Calibri" w:cs="Calibri" w:eastAsia="Calibri" w:hint="default"/>
        </w:rPr>
        <w:t>here is confusion regarding Curaçao’s pro</w:t>
      </w:r>
      <w:r>
        <w:rPr/>
        <w:t>duct identity. Heritage, colonial past, slavery, diversity, sun, sand, and sea are all touched upon as components of the overall product identity; yet, there is no firm identity or positi</w:t>
      </w:r>
      <w:r>
        <w:rPr>
          <w:rFonts w:ascii="Calibri" w:hAnsi="Calibri" w:cs="Calibri" w:eastAsia="Calibri" w:hint="default"/>
        </w:rPr>
        <w:t>on established for the destination. Thus, Curaçao’s ability to establish a firm brand </w:t>
      </w:r>
      <w:r>
        <w:rPr/>
        <w:t>has</w:t>
      </w:r>
      <w:r>
        <w:rPr>
          <w:spacing w:val="-7"/>
        </w:rPr>
        <w:t> </w:t>
      </w:r>
      <w:r>
        <w:rPr/>
        <w:t>been</w:t>
      </w:r>
      <w:r>
        <w:rPr>
          <w:spacing w:val="-6"/>
        </w:rPr>
        <w:t> </w:t>
      </w:r>
      <w:r>
        <w:rPr/>
        <w:t>compromised.</w:t>
      </w:r>
      <w:r>
        <w:rPr>
          <w:spacing w:val="33"/>
        </w:rPr>
        <w:t> </w:t>
      </w:r>
      <w:r>
        <w:rPr/>
        <w:t>It</w:t>
      </w:r>
      <w:r>
        <w:rPr>
          <w:spacing w:val="-6"/>
        </w:rPr>
        <w:t> </w:t>
      </w:r>
      <w:r>
        <w:rPr/>
        <w:t>is</w:t>
      </w:r>
      <w:r>
        <w:rPr>
          <w:spacing w:val="-8"/>
        </w:rPr>
        <w:t> </w:t>
      </w:r>
      <w:r>
        <w:rPr/>
        <w:t>the</w:t>
      </w:r>
      <w:r>
        <w:rPr>
          <w:spacing w:val="-6"/>
        </w:rPr>
        <w:t> </w:t>
      </w:r>
      <w:r>
        <w:rPr/>
        <w:t>strong</w:t>
      </w:r>
      <w:r>
        <w:rPr>
          <w:spacing w:val="-7"/>
        </w:rPr>
        <w:t> </w:t>
      </w:r>
      <w:r>
        <w:rPr/>
        <w:t>brand</w:t>
      </w:r>
      <w:r>
        <w:rPr>
          <w:spacing w:val="-6"/>
        </w:rPr>
        <w:t> </w:t>
      </w:r>
      <w:r>
        <w:rPr/>
        <w:t>recognition</w:t>
      </w:r>
      <w:r>
        <w:rPr>
          <w:spacing w:val="-6"/>
        </w:rPr>
        <w:t> </w:t>
      </w:r>
      <w:r>
        <w:rPr/>
        <w:t>for</w:t>
      </w:r>
      <w:r>
        <w:rPr>
          <w:spacing w:val="-7"/>
        </w:rPr>
        <w:t> </w:t>
      </w:r>
      <w:r>
        <w:rPr/>
        <w:t>the</w:t>
      </w:r>
      <w:r>
        <w:rPr>
          <w:spacing w:val="-8"/>
        </w:rPr>
        <w:t> </w:t>
      </w:r>
      <w:r>
        <w:rPr/>
        <w:t>Caribbean</w:t>
      </w:r>
      <w:r>
        <w:rPr>
          <w:spacing w:val="-6"/>
        </w:rPr>
        <w:t> </w:t>
      </w:r>
      <w:r>
        <w:rPr/>
        <w:t>region</w:t>
      </w:r>
      <w:r>
        <w:rPr>
          <w:spacing w:val="-3"/>
        </w:rPr>
        <w:t> </w:t>
      </w:r>
      <w:r>
        <w:rPr/>
        <w:t>that</w:t>
      </w:r>
      <w:r>
        <w:rPr>
          <w:spacing w:val="-6"/>
        </w:rPr>
        <w:t> </w:t>
      </w:r>
      <w:r>
        <w:rPr/>
        <w:t>has</w:t>
      </w:r>
      <w:r>
        <w:rPr>
          <w:spacing w:val="-7"/>
        </w:rPr>
        <w:t> </w:t>
      </w:r>
      <w:r>
        <w:rPr/>
        <w:t>carried</w:t>
      </w:r>
      <w:r>
        <w:rPr>
          <w:spacing w:val="-4"/>
        </w:rPr>
        <w:t> </w:t>
      </w:r>
      <w:r>
        <w:rPr/>
        <w:t>Curaçao</w:t>
      </w:r>
      <w:r>
        <w:rPr>
          <w:spacing w:val="-6"/>
        </w:rPr>
        <w:t> </w:t>
      </w:r>
      <w:r>
        <w:rPr/>
        <w:t>thus</w:t>
      </w:r>
      <w:r>
        <w:rPr>
          <w:spacing w:val="-8"/>
        </w:rPr>
        <w:t> </w:t>
      </w:r>
      <w:r>
        <w:rPr/>
        <w:t>far </w:t>
      </w:r>
      <w:r>
        <w:rPr/>
        <w:t>in its positioning</w:t>
      </w:r>
      <w:r>
        <w:rPr>
          <w:spacing w:val="-11"/>
        </w:rPr>
        <w:t> </w:t>
      </w:r>
      <w:r>
        <w:rPr/>
        <w:t>strategies.</w:t>
      </w:r>
    </w:p>
    <w:p>
      <w:pPr>
        <w:pStyle w:val="BodyText"/>
        <w:spacing w:line="259" w:lineRule="auto" w:before="161"/>
        <w:ind w:right="1440"/>
        <w:jc w:val="both"/>
      </w:pPr>
      <w:r>
        <w:rPr/>
        <w:t>A central question li</w:t>
      </w:r>
      <w:r>
        <w:rPr>
          <w:rFonts w:ascii="Calibri" w:hAnsi="Calibri" w:cs="Calibri" w:eastAsia="Calibri" w:hint="default"/>
        </w:rPr>
        <w:t>ngers amongst stakeholders as to, “What is Curaçao</w:t>
      </w:r>
      <w:r>
        <w:rPr/>
        <w:t>, </w:t>
      </w:r>
      <w:r>
        <w:rPr>
          <w:rFonts w:ascii="Calibri" w:hAnsi="Calibri" w:cs="Calibri" w:eastAsia="Calibri" w:hint="default"/>
        </w:rPr>
        <w:t>and why should a tourist visit Curaçao?” </w:t>
      </w:r>
      <w:r>
        <w:rPr/>
        <w:t>This question is commonly expressed by stakeholders and resonates an overall sentiment that the island has a lack of</w:t>
      </w:r>
      <w:r>
        <w:rPr>
          <w:spacing w:val="-8"/>
        </w:rPr>
        <w:t> </w:t>
      </w:r>
      <w:r>
        <w:rPr/>
        <w:t>a</w:t>
      </w:r>
      <w:r>
        <w:rPr>
          <w:spacing w:val="-6"/>
        </w:rPr>
        <w:t> </w:t>
      </w:r>
      <w:r>
        <w:rPr/>
        <w:t>clear</w:t>
      </w:r>
      <w:r>
        <w:rPr>
          <w:spacing w:val="-6"/>
        </w:rPr>
        <w:t> </w:t>
      </w:r>
      <w:r>
        <w:rPr/>
        <w:t>product</w:t>
      </w:r>
      <w:r>
        <w:rPr>
          <w:spacing w:val="-7"/>
        </w:rPr>
        <w:t> </w:t>
      </w:r>
      <w:r>
        <w:rPr/>
        <w:t>identity.</w:t>
      </w:r>
      <w:r>
        <w:rPr>
          <w:spacing w:val="29"/>
        </w:rPr>
        <w:t> </w:t>
      </w:r>
      <w:r>
        <w:rPr/>
        <w:t>In</w:t>
      </w:r>
      <w:r>
        <w:rPr>
          <w:spacing w:val="-4"/>
        </w:rPr>
        <w:t> </w:t>
      </w:r>
      <w:r>
        <w:rPr/>
        <w:t>numerous</w:t>
      </w:r>
      <w:r>
        <w:rPr>
          <w:spacing w:val="-6"/>
        </w:rPr>
        <w:t> </w:t>
      </w:r>
      <w:r>
        <w:rPr/>
        <w:t>discussions</w:t>
      </w:r>
      <w:r>
        <w:rPr>
          <w:spacing w:val="-5"/>
        </w:rPr>
        <w:t> </w:t>
      </w:r>
      <w:r>
        <w:rPr/>
        <w:t>with</w:t>
      </w:r>
      <w:r>
        <w:rPr>
          <w:spacing w:val="-6"/>
        </w:rPr>
        <w:t> </w:t>
      </w:r>
      <w:r>
        <w:rPr/>
        <w:t>tourism</w:t>
      </w:r>
      <w:r>
        <w:rPr>
          <w:spacing w:val="-5"/>
        </w:rPr>
        <w:t> </w:t>
      </w:r>
      <w:r>
        <w:rPr/>
        <w:t>stakeholders,</w:t>
      </w:r>
      <w:r>
        <w:rPr>
          <w:spacing w:val="-6"/>
        </w:rPr>
        <w:t> </w:t>
      </w:r>
      <w:r>
        <w:rPr/>
        <w:t>there</w:t>
      </w:r>
      <w:r>
        <w:rPr>
          <w:spacing w:val="-8"/>
        </w:rPr>
        <w:t> </w:t>
      </w:r>
      <w:r>
        <w:rPr/>
        <w:t>has</w:t>
      </w:r>
      <w:r>
        <w:rPr>
          <w:spacing w:val="-3"/>
        </w:rPr>
        <w:t> </w:t>
      </w:r>
      <w:r>
        <w:rPr/>
        <w:t>been</w:t>
      </w:r>
      <w:r>
        <w:rPr>
          <w:spacing w:val="-6"/>
        </w:rPr>
        <w:t> </w:t>
      </w:r>
      <w:r>
        <w:rPr/>
        <w:t>reference</w:t>
      </w:r>
      <w:r>
        <w:rPr>
          <w:spacing w:val="-6"/>
        </w:rPr>
        <w:t> </w:t>
      </w:r>
      <w:r>
        <w:rPr/>
        <w:t>to</w:t>
      </w:r>
      <w:r>
        <w:rPr>
          <w:spacing w:val="-6"/>
        </w:rPr>
        <w:t> </w:t>
      </w:r>
      <w:r>
        <w:rPr/>
        <w:t>the</w:t>
      </w:r>
      <w:r>
        <w:rPr>
          <w:spacing w:val="-8"/>
        </w:rPr>
        <w:t> </w:t>
      </w:r>
      <w:r>
        <w:rPr/>
        <w:t>old </w:t>
      </w:r>
      <w:r>
        <w:rPr/>
        <w:t>glory of the downtown area as a UNESCO heritage site. These discussions have been a prominent source of contention amongst stakeholders regarding how to revive the area. Some stakeholders expressed an interest in positioning Curaçao as a heritage destination, while others have identified weather as being the most important characteristic of all Caribbean destinations. Stakeholders were not able to provide clear answers regarding how to c</w:t>
      </w:r>
      <w:r>
        <w:rPr>
          <w:rFonts w:ascii="Calibri" w:hAnsi="Calibri" w:cs="Calibri" w:eastAsia="Calibri" w:hint="default"/>
        </w:rPr>
        <w:t>ombine the heritage components of Curaçao’s past, its geographical positioning as part of the Caribbean, and </w:t>
      </w:r>
      <w:r>
        <w:rPr/>
        <w:t>reference</w:t>
      </w:r>
      <w:r>
        <w:rPr>
          <w:spacing w:val="-5"/>
        </w:rPr>
        <w:t> </w:t>
      </w:r>
      <w:r>
        <w:rPr/>
        <w:t>to</w:t>
      </w:r>
      <w:r>
        <w:rPr>
          <w:spacing w:val="-3"/>
        </w:rPr>
        <w:t> </w:t>
      </w:r>
      <w:r>
        <w:rPr/>
        <w:t>a</w:t>
      </w:r>
      <w:r>
        <w:rPr>
          <w:spacing w:val="-3"/>
        </w:rPr>
        <w:t> </w:t>
      </w:r>
      <w:r>
        <w:rPr/>
        <w:t>SSS</w:t>
      </w:r>
      <w:r>
        <w:rPr>
          <w:spacing w:val="-4"/>
        </w:rPr>
        <w:t> </w:t>
      </w:r>
      <w:r>
        <w:rPr/>
        <w:t>(i.e., sun,</w:t>
      </w:r>
      <w:r>
        <w:rPr>
          <w:spacing w:val="-3"/>
        </w:rPr>
        <w:t> </w:t>
      </w:r>
      <w:r>
        <w:rPr/>
        <w:t>sand,</w:t>
      </w:r>
      <w:r>
        <w:rPr>
          <w:spacing w:val="-3"/>
        </w:rPr>
        <w:t> </w:t>
      </w:r>
      <w:r>
        <w:rPr/>
        <w:t>and</w:t>
      </w:r>
      <w:r>
        <w:rPr>
          <w:spacing w:val="-5"/>
        </w:rPr>
        <w:t> </w:t>
      </w:r>
      <w:r>
        <w:rPr/>
        <w:t>sea)</w:t>
      </w:r>
      <w:r>
        <w:rPr>
          <w:spacing w:val="-3"/>
        </w:rPr>
        <w:t> </w:t>
      </w:r>
      <w:r>
        <w:rPr/>
        <w:t>destination</w:t>
      </w:r>
      <w:r>
        <w:rPr>
          <w:spacing w:val="-3"/>
        </w:rPr>
        <w:t> </w:t>
      </w:r>
      <w:r>
        <w:rPr/>
        <w:t>into a</w:t>
      </w:r>
      <w:r>
        <w:rPr>
          <w:spacing w:val="-3"/>
        </w:rPr>
        <w:t> </w:t>
      </w:r>
      <w:r>
        <w:rPr/>
        <w:t>clear</w:t>
      </w:r>
      <w:r>
        <w:rPr>
          <w:spacing w:val="-3"/>
        </w:rPr>
        <w:t> </w:t>
      </w:r>
      <w:r>
        <w:rPr/>
        <w:t>product</w:t>
      </w:r>
      <w:r>
        <w:rPr>
          <w:spacing w:val="-3"/>
        </w:rPr>
        <w:t> </w:t>
      </w:r>
      <w:r>
        <w:rPr/>
        <w:t>identity/position.</w:t>
      </w:r>
    </w:p>
    <w:p>
      <w:pPr>
        <w:pStyle w:val="BodyText"/>
        <w:spacing w:line="259" w:lineRule="auto" w:before="161"/>
        <w:ind w:right="1440"/>
        <w:jc w:val="both"/>
        <w:rPr>
          <w:rFonts w:ascii="Calibri" w:hAnsi="Calibri" w:cs="Calibri" w:eastAsia="Calibri" w:hint="default"/>
        </w:rPr>
      </w:pPr>
      <w:r>
        <w:rPr/>
        <w:t>Unfortunately, when probed for further information regarding the challenges/issues that confronted Curacao with regard</w:t>
      </w:r>
      <w:r>
        <w:rPr>
          <w:spacing w:val="-2"/>
        </w:rPr>
        <w:t> </w:t>
      </w:r>
      <w:r>
        <w:rPr/>
        <w:t>to</w:t>
      </w:r>
      <w:r>
        <w:rPr>
          <w:spacing w:val="-2"/>
        </w:rPr>
        <w:t> </w:t>
      </w:r>
      <w:r>
        <w:rPr/>
        <w:t>advancing</w:t>
      </w:r>
      <w:r>
        <w:rPr>
          <w:spacing w:val="-2"/>
        </w:rPr>
        <w:t> </w:t>
      </w:r>
      <w:r>
        <w:rPr/>
        <w:t>the</w:t>
      </w:r>
      <w:r>
        <w:rPr>
          <w:spacing w:val="-1"/>
        </w:rPr>
        <w:t> </w:t>
      </w:r>
      <w:r>
        <w:rPr/>
        <w:t>soft</w:t>
      </w:r>
      <w:r>
        <w:rPr>
          <w:spacing w:val="-2"/>
        </w:rPr>
        <w:t> </w:t>
      </w:r>
      <w:r>
        <w:rPr/>
        <w:t>components</w:t>
      </w:r>
      <w:r>
        <w:rPr>
          <w:spacing w:val="-3"/>
        </w:rPr>
        <w:t> </w:t>
      </w:r>
      <w:r>
        <w:rPr/>
        <w:t>of</w:t>
      </w:r>
      <w:r>
        <w:rPr>
          <w:spacing w:val="-4"/>
        </w:rPr>
        <w:t> </w:t>
      </w:r>
      <w:r>
        <w:rPr/>
        <w:t>the</w:t>
      </w:r>
      <w:r>
        <w:rPr>
          <w:spacing w:val="-3"/>
        </w:rPr>
        <w:t> </w:t>
      </w:r>
      <w:r>
        <w:rPr/>
        <w:t>tourism</w:t>
      </w:r>
      <w:r>
        <w:rPr>
          <w:spacing w:val="-3"/>
        </w:rPr>
        <w:t> </w:t>
      </w:r>
      <w:r>
        <w:rPr/>
        <w:t>product,</w:t>
      </w:r>
      <w:r>
        <w:rPr>
          <w:spacing w:val="-2"/>
        </w:rPr>
        <w:t> </w:t>
      </w:r>
      <w:r>
        <w:rPr/>
        <w:t>most</w:t>
      </w:r>
      <w:r>
        <w:rPr>
          <w:spacing w:val="-2"/>
        </w:rPr>
        <w:t> </w:t>
      </w:r>
      <w:r>
        <w:rPr/>
        <w:t>interviewees</w:t>
      </w:r>
      <w:r>
        <w:rPr>
          <w:spacing w:val="-3"/>
        </w:rPr>
        <w:t> </w:t>
      </w:r>
      <w:r>
        <w:rPr/>
        <w:t>shared</w:t>
      </w:r>
      <w:r>
        <w:rPr>
          <w:spacing w:val="-2"/>
        </w:rPr>
        <w:t> </w:t>
      </w:r>
      <w:r>
        <w:rPr/>
        <w:t>a</w:t>
      </w:r>
      <w:r>
        <w:rPr>
          <w:spacing w:val="-2"/>
        </w:rPr>
        <w:t> </w:t>
      </w:r>
      <w:r>
        <w:rPr/>
        <w:t>negative</w:t>
      </w:r>
      <w:r>
        <w:rPr>
          <w:spacing w:val="-3"/>
        </w:rPr>
        <w:t> </w:t>
      </w:r>
      <w:r>
        <w:rPr/>
        <w:t>perspective. </w:t>
      </w:r>
      <w:r>
        <w:rPr/>
        <w:t>They indicated that the major problem for Curacao lies in deficient expertise </w:t>
      </w:r>
      <w:r>
        <w:rPr>
          <w:spacing w:val="3"/>
        </w:rPr>
        <w:t>to </w:t>
      </w:r>
      <w:r>
        <w:rPr/>
        <w:t>move the industry forward. Hence, </w:t>
      </w:r>
      <w:r>
        <w:rPr/>
        <w:t>this</w:t>
      </w:r>
      <w:r>
        <w:rPr>
          <w:spacing w:val="-8"/>
        </w:rPr>
        <w:t> </w:t>
      </w:r>
      <w:r>
        <w:rPr/>
        <w:t>lack</w:t>
      </w:r>
      <w:r>
        <w:rPr>
          <w:spacing w:val="-7"/>
        </w:rPr>
        <w:t> </w:t>
      </w:r>
      <w:r>
        <w:rPr/>
        <w:t>seems</w:t>
      </w:r>
      <w:r>
        <w:rPr>
          <w:spacing w:val="-8"/>
        </w:rPr>
        <w:t> </w:t>
      </w:r>
      <w:r>
        <w:rPr/>
        <w:t>to</w:t>
      </w:r>
      <w:r>
        <w:rPr>
          <w:spacing w:val="-6"/>
        </w:rPr>
        <w:t> </w:t>
      </w:r>
      <w:r>
        <w:rPr/>
        <w:t>support</w:t>
      </w:r>
      <w:r>
        <w:rPr>
          <w:spacing w:val="-6"/>
        </w:rPr>
        <w:t> </w:t>
      </w:r>
      <w:r>
        <w:rPr/>
        <w:t>the</w:t>
      </w:r>
      <w:r>
        <w:rPr>
          <w:spacing w:val="-5"/>
        </w:rPr>
        <w:t> </w:t>
      </w:r>
      <w:r>
        <w:rPr/>
        <w:t>need</w:t>
      </w:r>
      <w:r>
        <w:rPr>
          <w:spacing w:val="-6"/>
        </w:rPr>
        <w:t> </w:t>
      </w:r>
      <w:r>
        <w:rPr/>
        <w:t>to</w:t>
      </w:r>
      <w:r>
        <w:rPr>
          <w:spacing w:val="-6"/>
        </w:rPr>
        <w:t> </w:t>
      </w:r>
      <w:r>
        <w:rPr/>
        <w:t>employ</w:t>
      </w:r>
      <w:r>
        <w:rPr>
          <w:spacing w:val="-6"/>
        </w:rPr>
        <w:t> </w:t>
      </w:r>
      <w:r>
        <w:rPr/>
        <w:t>skillful</w:t>
      </w:r>
      <w:r>
        <w:rPr>
          <w:spacing w:val="-7"/>
        </w:rPr>
        <w:t> </w:t>
      </w:r>
      <w:r>
        <w:rPr/>
        <w:t>expatriates</w:t>
      </w:r>
      <w:r>
        <w:rPr>
          <w:spacing w:val="-8"/>
        </w:rPr>
        <w:t> </w:t>
      </w:r>
      <w:r>
        <w:rPr/>
        <w:t>that</w:t>
      </w:r>
      <w:r>
        <w:rPr>
          <w:spacing w:val="-6"/>
        </w:rPr>
        <w:t> </w:t>
      </w:r>
      <w:r>
        <w:rPr/>
        <w:t>might</w:t>
      </w:r>
      <w:r>
        <w:rPr>
          <w:spacing w:val="-6"/>
        </w:rPr>
        <w:t> </w:t>
      </w:r>
      <w:r>
        <w:rPr/>
        <w:t>facilitate</w:t>
      </w:r>
      <w:r>
        <w:rPr>
          <w:spacing w:val="-8"/>
        </w:rPr>
        <w:t> </w:t>
      </w:r>
      <w:r>
        <w:rPr/>
        <w:t>the</w:t>
      </w:r>
      <w:r>
        <w:rPr>
          <w:spacing w:val="-8"/>
        </w:rPr>
        <w:t> </w:t>
      </w:r>
      <w:r>
        <w:rPr/>
        <w:t>necessary</w:t>
      </w:r>
      <w:r>
        <w:rPr>
          <w:spacing w:val="-4"/>
        </w:rPr>
        <w:t> </w:t>
      </w:r>
      <w:r>
        <w:rPr/>
        <w:t>soft</w:t>
      </w:r>
      <w:r>
        <w:rPr>
          <w:spacing w:val="-6"/>
        </w:rPr>
        <w:t> </w:t>
      </w:r>
      <w:r>
        <w:rPr/>
        <w:t>component </w:t>
      </w:r>
      <w:r>
        <w:rPr/>
        <w:t>skills in locals in order </w:t>
      </w:r>
      <w:r>
        <w:rPr>
          <w:rFonts w:ascii="Calibri" w:hAnsi="Calibri" w:cs="Calibri" w:eastAsia="Calibri" w:hint="default"/>
        </w:rPr>
        <w:t>to launch Curacao’s tourism</w:t>
      </w:r>
      <w:r>
        <w:rPr>
          <w:rFonts w:ascii="Calibri" w:hAnsi="Calibri" w:cs="Calibri" w:eastAsia="Calibri" w:hint="default"/>
          <w:spacing w:val="-22"/>
        </w:rPr>
        <w:t> </w:t>
      </w:r>
      <w:r>
        <w:rPr>
          <w:rFonts w:ascii="Calibri" w:hAnsi="Calibri" w:cs="Calibri" w:eastAsia="Calibri" w:hint="default"/>
        </w:rPr>
        <w:t>industry.</w:t>
      </w:r>
    </w:p>
    <w:p>
      <w:pPr>
        <w:pStyle w:val="BodyText"/>
        <w:spacing w:line="259" w:lineRule="auto" w:before="158"/>
        <w:ind w:right="1435"/>
        <w:jc w:val="both"/>
      </w:pPr>
      <w:r>
        <w:rPr/>
        <w:t>The DPITS research also revealed that </w:t>
      </w:r>
      <w:r>
        <w:rPr>
          <w:rFonts w:ascii="Calibri" w:hAnsi="Calibri" w:cs="Calibri" w:eastAsia="Calibri" w:hint="default"/>
        </w:rPr>
        <w:t>within this lack of “know</w:t>
      </w:r>
      <w:r>
        <w:rPr/>
        <w:t>-how</w:t>
      </w:r>
      <w:r>
        <w:rPr>
          <w:rFonts w:ascii="Calibri" w:hAnsi="Calibri" w:cs="Calibri" w:eastAsia="Calibri" w:hint="default"/>
        </w:rPr>
        <w:t>,” education, language</w:t>
      </w:r>
      <w:r>
        <w:rPr/>
        <w:t>, and attitude may be major</w:t>
      </w:r>
      <w:r>
        <w:rPr>
          <w:spacing w:val="-9"/>
        </w:rPr>
        <w:t> </w:t>
      </w:r>
      <w:r>
        <w:rPr/>
        <w:t>barriers</w:t>
      </w:r>
      <w:r>
        <w:rPr>
          <w:spacing w:val="-10"/>
        </w:rPr>
        <w:t> </w:t>
      </w:r>
      <w:r>
        <w:rPr/>
        <w:t>in</w:t>
      </w:r>
      <w:r>
        <w:rPr>
          <w:spacing w:val="-9"/>
        </w:rPr>
        <w:t> </w:t>
      </w:r>
      <w:r>
        <w:rPr/>
        <w:t>terms</w:t>
      </w:r>
      <w:r>
        <w:rPr>
          <w:spacing w:val="-10"/>
        </w:rPr>
        <w:t> </w:t>
      </w:r>
      <w:r>
        <w:rPr/>
        <w:t>of</w:t>
      </w:r>
      <w:r>
        <w:rPr>
          <w:spacing w:val="-10"/>
        </w:rPr>
        <w:t> </w:t>
      </w:r>
      <w:r>
        <w:rPr/>
        <w:t>improving</w:t>
      </w:r>
      <w:r>
        <w:rPr>
          <w:spacing w:val="-9"/>
        </w:rPr>
        <w:t> </w:t>
      </w:r>
      <w:r>
        <w:rPr/>
        <w:t>the</w:t>
      </w:r>
      <w:r>
        <w:rPr>
          <w:spacing w:val="-10"/>
        </w:rPr>
        <w:t> </w:t>
      </w:r>
      <w:r>
        <w:rPr/>
        <w:t>soft</w:t>
      </w:r>
      <w:r>
        <w:rPr>
          <w:spacing w:val="-9"/>
        </w:rPr>
        <w:t> </w:t>
      </w:r>
      <w:r>
        <w:rPr/>
        <w:t>components</w:t>
      </w:r>
      <w:r>
        <w:rPr>
          <w:spacing w:val="-10"/>
        </w:rPr>
        <w:t> </w:t>
      </w:r>
      <w:r>
        <w:rPr/>
        <w:t>of</w:t>
      </w:r>
      <w:r>
        <w:rPr>
          <w:spacing w:val="-8"/>
        </w:rPr>
        <w:t> </w:t>
      </w:r>
      <w:r>
        <w:rPr/>
        <w:t>the</w:t>
      </w:r>
      <w:r>
        <w:rPr>
          <w:spacing w:val="-10"/>
        </w:rPr>
        <w:t> </w:t>
      </w:r>
      <w:r>
        <w:rPr/>
        <w:t>tourism</w:t>
      </w:r>
      <w:r>
        <w:rPr>
          <w:spacing w:val="-10"/>
        </w:rPr>
        <w:t> </w:t>
      </w:r>
      <w:r>
        <w:rPr/>
        <w:t>product.</w:t>
      </w:r>
      <w:r>
        <w:rPr>
          <w:spacing w:val="-9"/>
        </w:rPr>
        <w:t> </w:t>
      </w:r>
      <w:r>
        <w:rPr/>
        <w:t>The</w:t>
      </w:r>
      <w:r>
        <w:rPr>
          <w:spacing w:val="-10"/>
        </w:rPr>
        <w:t> </w:t>
      </w:r>
      <w:r>
        <w:rPr/>
        <w:t>main</w:t>
      </w:r>
      <w:r>
        <w:rPr>
          <w:spacing w:val="-9"/>
        </w:rPr>
        <w:t> </w:t>
      </w:r>
      <w:r>
        <w:rPr/>
        <w:t>thrust</w:t>
      </w:r>
      <w:r>
        <w:rPr>
          <w:spacing w:val="-9"/>
        </w:rPr>
        <w:t> </w:t>
      </w:r>
      <w:r>
        <w:rPr/>
        <w:t>of</w:t>
      </w:r>
      <w:r>
        <w:rPr>
          <w:spacing w:val="-10"/>
        </w:rPr>
        <w:t> </w:t>
      </w:r>
      <w:r>
        <w:rPr/>
        <w:t>the</w:t>
      </w:r>
      <w:r>
        <w:rPr>
          <w:spacing w:val="-10"/>
        </w:rPr>
        <w:t> </w:t>
      </w:r>
      <w:r>
        <w:rPr/>
        <w:t>educational </w:t>
      </w:r>
      <w:r>
        <w:rPr/>
        <w:t>concern is that the system is failing at producing high-quality level employee applicants. Compounded with educational challenges is the aforementioned </w:t>
      </w:r>
      <w:r>
        <w:rPr>
          <w:rFonts w:ascii="Calibri" w:hAnsi="Calibri" w:cs="Calibri" w:eastAsia="Calibri" w:hint="default"/>
        </w:rPr>
        <w:t>“brain drain” problem. The brain drain was referenced by many </w:t>
      </w:r>
      <w:r>
        <w:rPr/>
        <w:t>stakeholders, and was explained as the exportation of talent where the most educated and skilled applicants are educated abroad and do not return to work in</w:t>
      </w:r>
      <w:r>
        <w:rPr>
          <w:spacing w:val="-16"/>
        </w:rPr>
        <w:t> </w:t>
      </w:r>
      <w:r>
        <w:rPr/>
        <w:t>Curaçao.</w:t>
      </w:r>
    </w:p>
    <w:p>
      <w:pPr>
        <w:pStyle w:val="BodyText"/>
        <w:spacing w:line="259" w:lineRule="auto" w:before="158"/>
        <w:ind w:right="1437"/>
        <w:jc w:val="both"/>
      </w:pPr>
      <w:r>
        <w:rPr/>
        <w:t>The</w:t>
      </w:r>
      <w:r>
        <w:rPr>
          <w:spacing w:val="-8"/>
        </w:rPr>
        <w:t> </w:t>
      </w:r>
      <w:r>
        <w:rPr/>
        <w:t>qualitative</w:t>
      </w:r>
      <w:r>
        <w:rPr>
          <w:spacing w:val="-8"/>
        </w:rPr>
        <w:t> </w:t>
      </w:r>
      <w:r>
        <w:rPr/>
        <w:t>interviews</w:t>
      </w:r>
      <w:r>
        <w:rPr>
          <w:spacing w:val="-7"/>
        </w:rPr>
        <w:t> </w:t>
      </w:r>
      <w:r>
        <w:rPr/>
        <w:t>also</w:t>
      </w:r>
      <w:r>
        <w:rPr>
          <w:spacing w:val="-6"/>
        </w:rPr>
        <w:t> </w:t>
      </w:r>
      <w:r>
        <w:rPr/>
        <w:t>revealed</w:t>
      </w:r>
      <w:r>
        <w:rPr>
          <w:spacing w:val="-7"/>
        </w:rPr>
        <w:t> </w:t>
      </w:r>
      <w:r>
        <w:rPr/>
        <w:t>that</w:t>
      </w:r>
      <w:r>
        <w:rPr>
          <w:spacing w:val="-7"/>
        </w:rPr>
        <w:t> </w:t>
      </w:r>
      <w:r>
        <w:rPr/>
        <w:t>the</w:t>
      </w:r>
      <w:r>
        <w:rPr>
          <w:spacing w:val="-8"/>
        </w:rPr>
        <w:t> </w:t>
      </w:r>
      <w:r>
        <w:rPr/>
        <w:t>language</w:t>
      </w:r>
      <w:r>
        <w:rPr>
          <w:spacing w:val="-6"/>
        </w:rPr>
        <w:t> </w:t>
      </w:r>
      <w:r>
        <w:rPr/>
        <w:t>proficiency</w:t>
      </w:r>
      <w:r>
        <w:rPr>
          <w:spacing w:val="-7"/>
        </w:rPr>
        <w:t> </w:t>
      </w:r>
      <w:r>
        <w:rPr/>
        <w:t>that</w:t>
      </w:r>
      <w:r>
        <w:rPr>
          <w:spacing w:val="-4"/>
        </w:rPr>
        <w:t> </w:t>
      </w:r>
      <w:r>
        <w:rPr/>
        <w:t>Curaçao</w:t>
      </w:r>
      <w:r>
        <w:rPr>
          <w:spacing w:val="-7"/>
        </w:rPr>
        <w:t> </w:t>
      </w:r>
      <w:r>
        <w:rPr/>
        <w:t>people</w:t>
      </w:r>
      <w:r>
        <w:rPr>
          <w:spacing w:val="-7"/>
        </w:rPr>
        <w:t> </w:t>
      </w:r>
      <w:r>
        <w:rPr/>
        <w:t>once</w:t>
      </w:r>
      <w:r>
        <w:rPr>
          <w:spacing w:val="-8"/>
        </w:rPr>
        <w:t> </w:t>
      </w:r>
      <w:r>
        <w:rPr/>
        <w:t>possessed</w:t>
      </w:r>
      <w:r>
        <w:rPr>
          <w:spacing w:val="-5"/>
        </w:rPr>
        <w:t> </w:t>
      </w:r>
      <w:r>
        <w:rPr/>
        <w:t>seems</w:t>
      </w:r>
      <w:r>
        <w:rPr>
          <w:spacing w:val="-8"/>
        </w:rPr>
        <w:t> </w:t>
      </w:r>
      <w:r>
        <w:rPr/>
        <w:t>to </w:t>
      </w:r>
      <w:r>
        <w:rPr/>
        <w:t>be deteriorating. In the past, the local population was mostly fluent in speaking Dutch, Spanish, Papiamento, and English. However, this skill set is not as well-developed as it was in the past. Consequently, according to the qualitative interviews, the service delivery process in the tourism industry is compromised due to language barriers between the locals/employees and</w:t>
      </w:r>
      <w:r>
        <w:rPr>
          <w:spacing w:val="-18"/>
        </w:rPr>
        <w:t> </w:t>
      </w:r>
      <w:r>
        <w:rPr/>
        <w:t>tourists.</w:t>
      </w:r>
    </w:p>
    <w:p>
      <w:pPr>
        <w:pStyle w:val="BodyText"/>
        <w:spacing w:line="259" w:lineRule="auto" w:before="158"/>
        <w:ind w:right="1436"/>
        <w:jc w:val="both"/>
      </w:pPr>
      <w:r>
        <w:rPr/>
        <w:t>Finally,</w:t>
      </w:r>
      <w:r>
        <w:rPr>
          <w:spacing w:val="-12"/>
        </w:rPr>
        <w:t> </w:t>
      </w:r>
      <w:r>
        <w:rPr/>
        <w:t>most</w:t>
      </w:r>
      <w:r>
        <w:rPr>
          <w:spacing w:val="-12"/>
        </w:rPr>
        <w:t> </w:t>
      </w:r>
      <w:r>
        <w:rPr/>
        <w:t>of</w:t>
      </w:r>
      <w:r>
        <w:rPr>
          <w:spacing w:val="-13"/>
        </w:rPr>
        <w:t> </w:t>
      </w:r>
      <w:r>
        <w:rPr/>
        <w:t>the</w:t>
      </w:r>
      <w:r>
        <w:rPr>
          <w:spacing w:val="-13"/>
        </w:rPr>
        <w:t> </w:t>
      </w:r>
      <w:r>
        <w:rPr/>
        <w:t>interviewed</w:t>
      </w:r>
      <w:r>
        <w:rPr>
          <w:spacing w:val="-12"/>
        </w:rPr>
        <w:t> </w:t>
      </w:r>
      <w:r>
        <w:rPr/>
        <w:t>participants</w:t>
      </w:r>
      <w:r>
        <w:rPr>
          <w:spacing w:val="-13"/>
        </w:rPr>
        <w:t> </w:t>
      </w:r>
      <w:r>
        <w:rPr/>
        <w:t>made</w:t>
      </w:r>
      <w:r>
        <w:rPr>
          <w:spacing w:val="-13"/>
        </w:rPr>
        <w:t> </w:t>
      </w:r>
      <w:r>
        <w:rPr/>
        <w:t>reference</w:t>
      </w:r>
      <w:r>
        <w:rPr>
          <w:spacing w:val="-11"/>
        </w:rPr>
        <w:t> </w:t>
      </w:r>
      <w:r>
        <w:rPr/>
        <w:t>to</w:t>
      </w:r>
      <w:r>
        <w:rPr>
          <w:spacing w:val="-12"/>
        </w:rPr>
        <w:t> </w:t>
      </w:r>
      <w:r>
        <w:rPr/>
        <w:t>a</w:t>
      </w:r>
      <w:r>
        <w:rPr>
          <w:spacing w:val="-12"/>
        </w:rPr>
        <w:t> </w:t>
      </w:r>
      <w:r>
        <w:rPr/>
        <w:t>common</w:t>
      </w:r>
      <w:r>
        <w:rPr>
          <w:spacing w:val="-12"/>
        </w:rPr>
        <w:t> </w:t>
      </w:r>
      <w:r>
        <w:rPr/>
        <w:t>cultural</w:t>
      </w:r>
      <w:r>
        <w:rPr>
          <w:spacing w:val="-13"/>
        </w:rPr>
        <w:t> </w:t>
      </w:r>
      <w:r>
        <w:rPr/>
        <w:t>thread</w:t>
      </w:r>
      <w:r>
        <w:rPr>
          <w:spacing w:val="-11"/>
        </w:rPr>
        <w:t> </w:t>
      </w:r>
      <w:r>
        <w:rPr/>
        <w:t>that</w:t>
      </w:r>
      <w:r>
        <w:rPr>
          <w:spacing w:val="-12"/>
        </w:rPr>
        <w:t> </w:t>
      </w:r>
      <w:r>
        <w:rPr/>
        <w:t>pertains</w:t>
      </w:r>
      <w:r>
        <w:rPr>
          <w:spacing w:val="-14"/>
        </w:rPr>
        <w:t> </w:t>
      </w:r>
      <w:r>
        <w:rPr/>
        <w:t>to</w:t>
      </w:r>
      <w:r>
        <w:rPr>
          <w:spacing w:val="-12"/>
        </w:rPr>
        <w:t> </w:t>
      </w:r>
      <w:r>
        <w:rPr/>
        <w:t>the</w:t>
      </w:r>
      <w:r>
        <w:rPr>
          <w:spacing w:val="-13"/>
        </w:rPr>
        <w:t> </w:t>
      </w:r>
      <w:r>
        <w:rPr/>
        <w:t>overall </w:t>
      </w:r>
      <w:r>
        <w:rPr/>
        <w:t>attitude to become engaged within the tourism industry. There was an inherent undertone in the qualitative data that reflected a lack of interest in contributing to the current tourism industry because the jobs and the benefits affiliated with working in the industry are low and lack social</w:t>
      </w:r>
      <w:r>
        <w:rPr>
          <w:spacing w:val="-26"/>
        </w:rPr>
        <w:t> </w:t>
      </w:r>
      <w:r>
        <w:rPr/>
        <w:t>status.</w:t>
      </w:r>
    </w:p>
    <w:p>
      <w:pPr>
        <w:pStyle w:val="BodyText"/>
        <w:spacing w:line="259" w:lineRule="auto" w:before="161"/>
        <w:ind w:right="1438"/>
        <w:jc w:val="both"/>
      </w:pPr>
      <w:r>
        <w:rPr/>
        <w:t>However,</w:t>
      </w:r>
      <w:r>
        <w:rPr>
          <w:spacing w:val="-5"/>
        </w:rPr>
        <w:t> </w:t>
      </w:r>
      <w:r>
        <w:rPr/>
        <w:t>the</w:t>
      </w:r>
      <w:r>
        <w:rPr>
          <w:spacing w:val="-6"/>
        </w:rPr>
        <w:t> </w:t>
      </w:r>
      <w:r>
        <w:rPr/>
        <w:t>quality</w:t>
      </w:r>
      <w:r>
        <w:rPr>
          <w:spacing w:val="-5"/>
        </w:rPr>
        <w:t> </w:t>
      </w:r>
      <w:r>
        <w:rPr/>
        <w:t>of</w:t>
      </w:r>
      <w:r>
        <w:rPr>
          <w:spacing w:val="-6"/>
        </w:rPr>
        <w:t> </w:t>
      </w:r>
      <w:r>
        <w:rPr/>
        <w:t>life</w:t>
      </w:r>
      <w:r>
        <w:rPr>
          <w:spacing w:val="-6"/>
        </w:rPr>
        <w:t> </w:t>
      </w:r>
      <w:r>
        <w:rPr/>
        <w:t>survey</w:t>
      </w:r>
      <w:r>
        <w:rPr>
          <w:spacing w:val="-5"/>
        </w:rPr>
        <w:t> </w:t>
      </w:r>
      <w:r>
        <w:rPr/>
        <w:t>that</w:t>
      </w:r>
      <w:r>
        <w:rPr>
          <w:spacing w:val="-5"/>
        </w:rPr>
        <w:t> </w:t>
      </w:r>
      <w:r>
        <w:rPr/>
        <w:t>was</w:t>
      </w:r>
      <w:r>
        <w:rPr>
          <w:spacing w:val="-3"/>
        </w:rPr>
        <w:t> </w:t>
      </w:r>
      <w:r>
        <w:rPr>
          <w:rFonts w:ascii="Calibri" w:hAnsi="Calibri" w:cs="Calibri" w:eastAsia="Calibri" w:hint="default"/>
        </w:rPr>
        <w:t>previously</w:t>
      </w:r>
      <w:r>
        <w:rPr>
          <w:rFonts w:ascii="Calibri" w:hAnsi="Calibri" w:cs="Calibri" w:eastAsia="Calibri" w:hint="default"/>
          <w:spacing w:val="-5"/>
        </w:rPr>
        <w:t> </w:t>
      </w:r>
      <w:r>
        <w:rPr>
          <w:rFonts w:ascii="Calibri" w:hAnsi="Calibri" w:cs="Calibri" w:eastAsia="Calibri" w:hint="default"/>
        </w:rPr>
        <w:t>mentioned</w:t>
      </w:r>
      <w:r>
        <w:rPr>
          <w:rFonts w:ascii="Calibri" w:hAnsi="Calibri" w:cs="Calibri" w:eastAsia="Calibri" w:hint="default"/>
          <w:spacing w:val="-5"/>
        </w:rPr>
        <w:t> </w:t>
      </w:r>
      <w:r>
        <w:rPr>
          <w:rFonts w:ascii="Calibri" w:hAnsi="Calibri" w:cs="Calibri" w:eastAsia="Calibri" w:hint="default"/>
        </w:rPr>
        <w:t>provides</w:t>
      </w:r>
      <w:r>
        <w:rPr>
          <w:rFonts w:ascii="Calibri" w:hAnsi="Calibri" w:cs="Calibri" w:eastAsia="Calibri" w:hint="default"/>
          <w:spacing w:val="-6"/>
        </w:rPr>
        <w:t> </w:t>
      </w:r>
      <w:r>
        <w:rPr>
          <w:rFonts w:ascii="Calibri" w:hAnsi="Calibri" w:cs="Calibri" w:eastAsia="Calibri" w:hint="default"/>
        </w:rPr>
        <w:t>quantitative</w:t>
      </w:r>
      <w:r>
        <w:rPr>
          <w:rFonts w:ascii="Calibri" w:hAnsi="Calibri" w:cs="Calibri" w:eastAsia="Calibri" w:hint="default"/>
          <w:spacing w:val="-6"/>
        </w:rPr>
        <w:t> </w:t>
      </w:r>
      <w:r>
        <w:rPr>
          <w:rFonts w:ascii="Calibri" w:hAnsi="Calibri" w:cs="Calibri" w:eastAsia="Calibri" w:hint="default"/>
        </w:rPr>
        <w:t>data</w:t>
      </w:r>
      <w:r>
        <w:rPr>
          <w:rFonts w:ascii="Calibri" w:hAnsi="Calibri" w:cs="Calibri" w:eastAsia="Calibri" w:hint="default"/>
          <w:spacing w:val="-5"/>
        </w:rPr>
        <w:t> </w:t>
      </w:r>
      <w:r>
        <w:rPr>
          <w:rFonts w:ascii="Calibri" w:hAnsi="Calibri" w:cs="Calibri" w:eastAsia="Calibri" w:hint="default"/>
        </w:rPr>
        <w:t>that</w:t>
      </w:r>
      <w:r>
        <w:rPr>
          <w:rFonts w:ascii="Calibri" w:hAnsi="Calibri" w:cs="Calibri" w:eastAsia="Calibri" w:hint="default"/>
          <w:spacing w:val="-7"/>
        </w:rPr>
        <w:t> </w:t>
      </w:r>
      <w:r>
        <w:rPr>
          <w:rFonts w:ascii="Calibri" w:hAnsi="Calibri" w:cs="Calibri" w:eastAsia="Calibri" w:hint="default"/>
        </w:rPr>
        <w:t>explains</w:t>
      </w:r>
      <w:r>
        <w:rPr>
          <w:rFonts w:ascii="Calibri" w:hAnsi="Calibri" w:cs="Calibri" w:eastAsia="Calibri" w:hint="default"/>
          <w:spacing w:val="-6"/>
        </w:rPr>
        <w:t> </w:t>
      </w:r>
      <w:r>
        <w:rPr>
          <w:rFonts w:ascii="Calibri" w:hAnsi="Calibri" w:cs="Calibri" w:eastAsia="Calibri" w:hint="default"/>
        </w:rPr>
        <w:t>this</w:t>
      </w:r>
      <w:r>
        <w:rPr>
          <w:rFonts w:ascii="Calibri" w:hAnsi="Calibri" w:cs="Calibri" w:eastAsia="Calibri" w:hint="default"/>
          <w:spacing w:val="-7"/>
        </w:rPr>
        <w:t> </w:t>
      </w:r>
      <w:r>
        <w:rPr>
          <w:rFonts w:ascii="Calibri" w:hAnsi="Calibri" w:cs="Calibri" w:eastAsia="Calibri" w:hint="default"/>
        </w:rPr>
        <w:t>“lack </w:t>
      </w:r>
      <w:r>
        <w:rPr>
          <w:rFonts w:ascii="Calibri" w:hAnsi="Calibri" w:cs="Calibri" w:eastAsia="Calibri" w:hint="default"/>
        </w:rPr>
        <w:t>of interest.” As previously discussed, approximately 1/3 of the population is unaware of the potential jobs that the </w:t>
      </w:r>
      <w:r>
        <w:rPr/>
        <w:t>tourism industry could offer, </w:t>
      </w:r>
      <w:r>
        <w:rPr>
          <w:rFonts w:ascii="Calibri" w:hAnsi="Calibri" w:cs="Calibri" w:eastAsia="Calibri" w:hint="default"/>
        </w:rPr>
        <w:t>and of tourism’s ability to increase the standard of living for Curaçao’s residents. </w:t>
      </w:r>
      <w:r>
        <w:rPr/>
        <w:t>Therefore,</w:t>
      </w:r>
      <w:r>
        <w:rPr>
          <w:spacing w:val="-9"/>
        </w:rPr>
        <w:t> </w:t>
      </w:r>
      <w:r>
        <w:rPr/>
        <w:t>it</w:t>
      </w:r>
      <w:r>
        <w:rPr>
          <w:spacing w:val="-9"/>
        </w:rPr>
        <w:t> </w:t>
      </w:r>
      <w:r>
        <w:rPr/>
        <w:t>is</w:t>
      </w:r>
      <w:r>
        <w:rPr>
          <w:spacing w:val="-11"/>
        </w:rPr>
        <w:t> </w:t>
      </w:r>
      <w:r>
        <w:rPr/>
        <w:t>necessary</w:t>
      </w:r>
      <w:r>
        <w:rPr>
          <w:spacing w:val="-8"/>
        </w:rPr>
        <w:t> </w:t>
      </w:r>
      <w:r>
        <w:rPr/>
        <w:t>for</w:t>
      </w:r>
      <w:r>
        <w:rPr>
          <w:spacing w:val="-7"/>
        </w:rPr>
        <w:t> </w:t>
      </w:r>
      <w:r>
        <w:rPr/>
        <w:t>Curaçao</w:t>
      </w:r>
      <w:r>
        <w:rPr>
          <w:spacing w:val="-9"/>
        </w:rPr>
        <w:t> </w:t>
      </w:r>
      <w:r>
        <w:rPr/>
        <w:t>to</w:t>
      </w:r>
      <w:r>
        <w:rPr>
          <w:spacing w:val="-9"/>
        </w:rPr>
        <w:t> </w:t>
      </w:r>
      <w:r>
        <w:rPr/>
        <w:t>educate</w:t>
      </w:r>
      <w:r>
        <w:rPr>
          <w:spacing w:val="-10"/>
        </w:rPr>
        <w:t> </w:t>
      </w:r>
      <w:r>
        <w:rPr/>
        <w:t>the</w:t>
      </w:r>
      <w:r>
        <w:rPr>
          <w:spacing w:val="-10"/>
        </w:rPr>
        <w:t> </w:t>
      </w:r>
      <w:r>
        <w:rPr/>
        <w:t>public</w:t>
      </w:r>
      <w:r>
        <w:rPr>
          <w:spacing w:val="-10"/>
        </w:rPr>
        <w:t> </w:t>
      </w:r>
      <w:r>
        <w:rPr/>
        <w:t>on</w:t>
      </w:r>
      <w:r>
        <w:rPr>
          <w:spacing w:val="-9"/>
        </w:rPr>
        <w:t> </w:t>
      </w:r>
      <w:r>
        <w:rPr/>
        <w:t>the</w:t>
      </w:r>
      <w:r>
        <w:rPr>
          <w:spacing w:val="-10"/>
        </w:rPr>
        <w:t> </w:t>
      </w:r>
      <w:r>
        <w:rPr/>
        <w:t>potential</w:t>
      </w:r>
      <w:r>
        <w:rPr>
          <w:spacing w:val="-9"/>
        </w:rPr>
        <w:t> </w:t>
      </w:r>
      <w:r>
        <w:rPr/>
        <w:t>socioeconomic</w:t>
      </w:r>
      <w:r>
        <w:rPr>
          <w:spacing w:val="-7"/>
        </w:rPr>
        <w:t> </w:t>
      </w:r>
      <w:r>
        <w:rPr/>
        <w:t>benefits</w:t>
      </w:r>
      <w:r>
        <w:rPr>
          <w:spacing w:val="-10"/>
        </w:rPr>
        <w:t> </w:t>
      </w:r>
      <w:r>
        <w:rPr/>
        <w:t>that</w:t>
      </w:r>
      <w:r>
        <w:rPr>
          <w:spacing w:val="-8"/>
        </w:rPr>
        <w:t> </w:t>
      </w:r>
      <w:r>
        <w:rPr/>
        <w:t>the</w:t>
      </w:r>
      <w:r>
        <w:rPr>
          <w:spacing w:val="-10"/>
        </w:rPr>
        <w:t> </w:t>
      </w:r>
      <w:r>
        <w:rPr/>
        <w:t>tourism </w:t>
      </w:r>
      <w:r>
        <w:rPr/>
        <w:t>industry could contribute to the</w:t>
      </w:r>
      <w:r>
        <w:rPr>
          <w:spacing w:val="-11"/>
        </w:rPr>
        <w:t> </w:t>
      </w:r>
      <w:r>
        <w:rPr/>
        <w:t>island.</w:t>
      </w:r>
    </w:p>
    <w:p>
      <w:pPr>
        <w:spacing w:after="0" w:line="259"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59" w:lineRule="auto" w:before="59"/>
        <w:ind w:right="1437"/>
        <w:jc w:val="both"/>
      </w:pPr>
      <w:r>
        <w:rPr/>
        <w:t>The quantitative analysis conducted among hospitality employees reveals average supervisory direction to employees, as indicated in Table 25. The average supervision may negatively affect job satisfaction, thereby potentially affecting service delivery and customer satisfaction. Supervision is a strong driver of job satisfaction (R- square = .485, F = 79.31, P-Value =</w:t>
      </w:r>
      <w:r>
        <w:rPr>
          <w:spacing w:val="-21"/>
        </w:rPr>
        <w:t> </w:t>
      </w:r>
      <w:r>
        <w:rPr/>
        <w:t>.00).</w:t>
      </w:r>
    </w:p>
    <w:p>
      <w:pPr>
        <w:pStyle w:val="Heading9"/>
        <w:tabs>
          <w:tab w:pos="4121" w:val="left" w:leader="none"/>
          <w:tab w:pos="10801" w:val="left" w:leader="none"/>
        </w:tabs>
        <w:spacing w:line="240" w:lineRule="auto" w:before="161" w:after="51"/>
        <w:ind w:left="1440" w:right="0"/>
        <w:jc w:val="both"/>
        <w:rPr>
          <w:b w:val="0"/>
          <w:bCs w:val="0"/>
        </w:rPr>
      </w:pPr>
      <w:bookmarkStart w:name="_bookmark91" w:id="92"/>
      <w:bookmarkEnd w:id="92"/>
      <w:r>
        <w:rPr>
          <w:b w:val="0"/>
        </w:rPr>
      </w:r>
      <w:r>
        <w:rPr>
          <w:w w:val="99"/>
        </w:rPr>
      </w:r>
      <w:r>
        <w:rPr>
          <w:w w:val="99"/>
          <w:u w:val="single" w:color="000000"/>
        </w:rPr>
        <w:t> </w:t>
      </w:r>
      <w:r>
        <w:rPr>
          <w:u w:val="single" w:color="000000"/>
        </w:rPr>
        <w:tab/>
        <w:t>Table 25:  Supervision in hospitality and</w:t>
      </w:r>
      <w:r>
        <w:rPr>
          <w:spacing w:val="-17"/>
          <w:u w:val="single" w:color="000000"/>
        </w:rPr>
        <w:t> </w:t>
      </w:r>
      <w:r>
        <w:rPr>
          <w:u w:val="single" w:color="000000"/>
        </w:rPr>
        <w:t>tourism</w:t>
        <w:tab/>
      </w:r>
      <w:r>
        <w:rPr/>
      </w:r>
      <w:r>
        <w:rPr>
          <w:b w:val="0"/>
        </w:rPr>
      </w:r>
    </w:p>
    <w:tbl>
      <w:tblPr>
        <w:tblW w:w="0" w:type="auto"/>
        <w:jc w:val="left"/>
        <w:tblInd w:w="1440" w:type="dxa"/>
        <w:tblLayout w:type="fixed"/>
        <w:tblCellMar>
          <w:top w:w="0" w:type="dxa"/>
          <w:left w:w="0" w:type="dxa"/>
          <w:bottom w:w="0" w:type="dxa"/>
          <w:right w:w="0" w:type="dxa"/>
        </w:tblCellMar>
        <w:tblLook w:val="01E0"/>
      </w:tblPr>
      <w:tblGrid>
        <w:gridCol w:w="7388"/>
        <w:gridCol w:w="1973"/>
      </w:tblGrid>
      <w:tr>
        <w:trPr>
          <w:trHeight w:val="207" w:hRule="exact"/>
        </w:trPr>
        <w:tc>
          <w:tcPr>
            <w:tcW w:w="7388" w:type="dxa"/>
            <w:tcBorders>
              <w:top w:val="nil" w:sz="6" w:space="0" w:color="auto"/>
              <w:left w:val="nil" w:sz="6" w:space="0" w:color="auto"/>
              <w:bottom w:val="single" w:sz="4" w:space="0" w:color="000000"/>
              <w:right w:val="nil" w:sz="6" w:space="0" w:color="auto"/>
            </w:tcBorders>
          </w:tcPr>
          <w:p>
            <w:pPr>
              <w:pStyle w:val="TableParagraph"/>
              <w:spacing w:line="203" w:lineRule="exact"/>
              <w:ind w:left="108" w:right="0"/>
              <w:jc w:val="left"/>
              <w:rPr>
                <w:rFonts w:ascii="Calibri" w:hAnsi="Calibri" w:cs="Calibri" w:eastAsia="Calibri" w:hint="default"/>
                <w:sz w:val="20"/>
                <w:szCs w:val="20"/>
              </w:rPr>
            </w:pPr>
            <w:r>
              <w:rPr>
                <w:rFonts w:ascii="Calibri"/>
                <w:b/>
                <w:sz w:val="20"/>
              </w:rPr>
              <w:t>Statement</w:t>
            </w:r>
            <w:r>
              <w:rPr>
                <w:rFonts w:ascii="Calibri"/>
                <w:sz w:val="20"/>
              </w:rPr>
            </w:r>
          </w:p>
        </w:tc>
        <w:tc>
          <w:tcPr>
            <w:tcW w:w="1973" w:type="dxa"/>
            <w:tcBorders>
              <w:top w:val="nil" w:sz="6" w:space="0" w:color="auto"/>
              <w:left w:val="nil" w:sz="6" w:space="0" w:color="auto"/>
              <w:bottom w:val="single" w:sz="4" w:space="0" w:color="000000"/>
              <w:right w:val="nil" w:sz="6" w:space="0" w:color="auto"/>
            </w:tcBorders>
          </w:tcPr>
          <w:p>
            <w:pPr>
              <w:pStyle w:val="TableParagraph"/>
              <w:spacing w:line="203" w:lineRule="exact"/>
              <w:ind w:left="11" w:right="0"/>
              <w:jc w:val="center"/>
              <w:rPr>
                <w:rFonts w:ascii="Calibri" w:hAnsi="Calibri" w:cs="Calibri" w:eastAsia="Calibri" w:hint="default"/>
                <w:sz w:val="20"/>
                <w:szCs w:val="20"/>
              </w:rPr>
            </w:pPr>
            <w:r>
              <w:rPr>
                <w:rFonts w:ascii="Calibri"/>
                <w:b/>
                <w:sz w:val="20"/>
              </w:rPr>
              <w:t>Mean</w:t>
            </w:r>
            <w:r>
              <w:rPr>
                <w:rFonts w:ascii="Calibri"/>
                <w:sz w:val="20"/>
              </w:rPr>
            </w:r>
          </w:p>
        </w:tc>
      </w:tr>
      <w:tr>
        <w:trPr>
          <w:trHeight w:val="254" w:hRule="exact"/>
        </w:trPr>
        <w:tc>
          <w:tcPr>
            <w:tcW w:w="7388" w:type="dxa"/>
            <w:tcBorders>
              <w:top w:val="single" w:sz="4" w:space="0" w:color="000000"/>
              <w:left w:val="nil" w:sz="6" w:space="0" w:color="auto"/>
              <w:bottom w:val="single" w:sz="4" w:space="0" w:color="000000"/>
              <w:right w:val="nil" w:sz="6" w:space="0" w:color="auto"/>
            </w:tcBorders>
          </w:tcPr>
          <w:p>
            <w:pPr>
              <w:pStyle w:val="TableParagraph"/>
              <w:spacing w:line="240" w:lineRule="auto" w:before="1"/>
              <w:ind w:left="108" w:right="0"/>
              <w:jc w:val="left"/>
              <w:rPr>
                <w:rFonts w:ascii="Calibri" w:hAnsi="Calibri" w:cs="Calibri" w:eastAsia="Calibri" w:hint="default"/>
                <w:sz w:val="20"/>
                <w:szCs w:val="20"/>
              </w:rPr>
            </w:pPr>
            <w:r>
              <w:rPr>
                <w:rFonts w:ascii="Calibri"/>
                <w:sz w:val="20"/>
              </w:rPr>
              <w:t>Supervisors provide employees with assistance to solve job</w:t>
            </w:r>
            <w:r>
              <w:rPr>
                <w:rFonts w:ascii="Calibri"/>
                <w:spacing w:val="-28"/>
                <w:sz w:val="20"/>
              </w:rPr>
              <w:t> </w:t>
            </w:r>
            <w:r>
              <w:rPr>
                <w:rFonts w:ascii="Calibri"/>
                <w:sz w:val="20"/>
              </w:rPr>
              <w:t>problems</w:t>
            </w:r>
          </w:p>
        </w:tc>
        <w:tc>
          <w:tcPr>
            <w:tcW w:w="1973" w:type="dxa"/>
            <w:tcBorders>
              <w:top w:val="single" w:sz="4" w:space="0" w:color="000000"/>
              <w:left w:val="nil" w:sz="6" w:space="0" w:color="auto"/>
              <w:bottom w:val="single" w:sz="4" w:space="0" w:color="000000"/>
              <w:right w:val="nil" w:sz="6" w:space="0" w:color="auto"/>
            </w:tcBorders>
          </w:tcPr>
          <w:p>
            <w:pPr>
              <w:pStyle w:val="TableParagraph"/>
              <w:spacing w:line="240" w:lineRule="auto" w:before="1"/>
              <w:ind w:left="8" w:right="0"/>
              <w:jc w:val="center"/>
              <w:rPr>
                <w:rFonts w:ascii="Calibri" w:hAnsi="Calibri" w:cs="Calibri" w:eastAsia="Calibri" w:hint="default"/>
                <w:sz w:val="20"/>
                <w:szCs w:val="20"/>
              </w:rPr>
            </w:pPr>
            <w:r>
              <w:rPr>
                <w:rFonts w:ascii="Calibri"/>
                <w:sz w:val="20"/>
              </w:rPr>
              <w:t>3.41</w:t>
            </w:r>
          </w:p>
        </w:tc>
      </w:tr>
      <w:tr>
        <w:trPr>
          <w:trHeight w:val="267" w:hRule="exact"/>
        </w:trPr>
        <w:tc>
          <w:tcPr>
            <w:tcW w:w="7388" w:type="dxa"/>
            <w:tcBorders>
              <w:top w:val="single" w:sz="4" w:space="0" w:color="000000"/>
              <w:left w:val="nil" w:sz="6" w:space="0" w:color="auto"/>
              <w:bottom w:val="nil" w:sz="6" w:space="0" w:color="auto"/>
              <w:right w:val="nil" w:sz="6" w:space="0" w:color="auto"/>
            </w:tcBorders>
          </w:tcPr>
          <w:p>
            <w:pPr>
              <w:pStyle w:val="TableParagraph"/>
              <w:spacing w:line="243" w:lineRule="exact"/>
              <w:ind w:left="108" w:right="0"/>
              <w:jc w:val="left"/>
              <w:rPr>
                <w:rFonts w:ascii="Calibri" w:hAnsi="Calibri" w:cs="Calibri" w:eastAsia="Calibri" w:hint="default"/>
                <w:sz w:val="20"/>
                <w:szCs w:val="20"/>
              </w:rPr>
            </w:pPr>
            <w:r>
              <w:rPr>
                <w:rFonts w:ascii="Calibri"/>
                <w:sz w:val="20"/>
              </w:rPr>
              <w:t>Supervisors provide employees instruction on how to improve their</w:t>
            </w:r>
            <w:r>
              <w:rPr>
                <w:rFonts w:ascii="Calibri"/>
                <w:spacing w:val="-30"/>
                <w:sz w:val="20"/>
              </w:rPr>
              <w:t> </w:t>
            </w:r>
            <w:r>
              <w:rPr>
                <w:rFonts w:ascii="Calibri"/>
                <w:sz w:val="20"/>
              </w:rPr>
              <w:t>job</w:t>
            </w:r>
          </w:p>
        </w:tc>
        <w:tc>
          <w:tcPr>
            <w:tcW w:w="1973" w:type="dxa"/>
            <w:tcBorders>
              <w:top w:val="single" w:sz="4" w:space="0" w:color="000000"/>
              <w:left w:val="nil" w:sz="6" w:space="0" w:color="auto"/>
              <w:bottom w:val="nil" w:sz="6" w:space="0" w:color="auto"/>
              <w:right w:val="nil" w:sz="6" w:space="0" w:color="auto"/>
            </w:tcBorders>
          </w:tcPr>
          <w:p>
            <w:pPr>
              <w:pStyle w:val="TableParagraph"/>
              <w:spacing w:line="243" w:lineRule="exact"/>
              <w:ind w:left="8" w:right="0"/>
              <w:jc w:val="center"/>
              <w:rPr>
                <w:rFonts w:ascii="Calibri" w:hAnsi="Calibri" w:cs="Calibri" w:eastAsia="Calibri" w:hint="default"/>
                <w:sz w:val="20"/>
                <w:szCs w:val="20"/>
              </w:rPr>
            </w:pPr>
            <w:r>
              <w:rPr>
                <w:rFonts w:ascii="Calibri"/>
                <w:sz w:val="20"/>
              </w:rPr>
              <w:t>3.39</w:t>
            </w:r>
          </w:p>
        </w:tc>
      </w:tr>
      <w:tr>
        <w:trPr>
          <w:trHeight w:val="245" w:hRule="exact"/>
        </w:trPr>
        <w:tc>
          <w:tcPr>
            <w:tcW w:w="7388"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Supervisors acknowledge employees if they perform their job</w:t>
            </w:r>
            <w:r>
              <w:rPr>
                <w:rFonts w:ascii="Calibri"/>
                <w:spacing w:val="-29"/>
                <w:sz w:val="20"/>
              </w:rPr>
              <w:t> </w:t>
            </w:r>
            <w:r>
              <w:rPr>
                <w:rFonts w:ascii="Calibri"/>
                <w:sz w:val="20"/>
              </w:rPr>
              <w:t>well</w:t>
            </w:r>
          </w:p>
        </w:tc>
        <w:tc>
          <w:tcPr>
            <w:tcW w:w="1973" w:type="dxa"/>
            <w:tcBorders>
              <w:top w:val="nil" w:sz="6" w:space="0" w:color="auto"/>
              <w:left w:val="nil" w:sz="6" w:space="0" w:color="auto"/>
              <w:bottom w:val="nil" w:sz="6" w:space="0" w:color="auto"/>
              <w:right w:val="nil" w:sz="6" w:space="0" w:color="auto"/>
            </w:tcBorders>
          </w:tcPr>
          <w:p>
            <w:pPr>
              <w:pStyle w:val="TableParagraph"/>
              <w:spacing w:line="226" w:lineRule="exact"/>
              <w:ind w:left="8" w:right="0"/>
              <w:jc w:val="center"/>
              <w:rPr>
                <w:rFonts w:ascii="Calibri" w:hAnsi="Calibri" w:cs="Calibri" w:eastAsia="Calibri" w:hint="default"/>
                <w:sz w:val="20"/>
                <w:szCs w:val="20"/>
              </w:rPr>
            </w:pPr>
            <w:r>
              <w:rPr>
                <w:rFonts w:ascii="Calibri"/>
                <w:sz w:val="20"/>
              </w:rPr>
              <w:t>3.37</w:t>
            </w:r>
          </w:p>
        </w:tc>
      </w:tr>
      <w:tr>
        <w:trPr>
          <w:trHeight w:val="245" w:hRule="exact"/>
        </w:trPr>
        <w:tc>
          <w:tcPr>
            <w:tcW w:w="7388"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hAnsi="Calibri" w:cs="Calibri" w:eastAsia="Calibri" w:hint="default"/>
                <w:sz w:val="20"/>
                <w:szCs w:val="20"/>
              </w:rPr>
              <w:t>Supervisors recognize challenges that might affect employee</w:t>
            </w:r>
            <w:r>
              <w:rPr>
                <w:rFonts w:ascii="Calibri" w:hAnsi="Calibri" w:cs="Calibri" w:eastAsia="Calibri" w:hint="default"/>
                <w:sz w:val="20"/>
                <w:szCs w:val="20"/>
              </w:rPr>
              <w:t>s’ </w:t>
            </w:r>
            <w:r>
              <w:rPr>
                <w:rFonts w:ascii="Calibri" w:hAnsi="Calibri" w:cs="Calibri" w:eastAsia="Calibri" w:hint="default"/>
                <w:sz w:val="20"/>
                <w:szCs w:val="20"/>
              </w:rPr>
              <w:t>ability to</w:t>
            </w:r>
            <w:r>
              <w:rPr>
                <w:rFonts w:ascii="Calibri" w:hAnsi="Calibri" w:cs="Calibri" w:eastAsia="Calibri" w:hint="default"/>
                <w:spacing w:val="-27"/>
                <w:sz w:val="20"/>
                <w:szCs w:val="20"/>
              </w:rPr>
              <w:t> </w:t>
            </w:r>
            <w:r>
              <w:rPr>
                <w:rFonts w:ascii="Calibri" w:hAnsi="Calibri" w:cs="Calibri" w:eastAsia="Calibri" w:hint="default"/>
                <w:sz w:val="20"/>
                <w:szCs w:val="20"/>
              </w:rPr>
              <w:t>perform</w:t>
            </w:r>
          </w:p>
        </w:tc>
        <w:tc>
          <w:tcPr>
            <w:tcW w:w="1973" w:type="dxa"/>
            <w:tcBorders>
              <w:top w:val="nil" w:sz="6" w:space="0" w:color="auto"/>
              <w:left w:val="nil" w:sz="6" w:space="0" w:color="auto"/>
              <w:bottom w:val="nil" w:sz="6" w:space="0" w:color="auto"/>
              <w:right w:val="nil" w:sz="6" w:space="0" w:color="auto"/>
            </w:tcBorders>
          </w:tcPr>
          <w:p>
            <w:pPr>
              <w:pStyle w:val="TableParagraph"/>
              <w:spacing w:line="226" w:lineRule="exact"/>
              <w:ind w:left="8" w:right="0"/>
              <w:jc w:val="center"/>
              <w:rPr>
                <w:rFonts w:ascii="Calibri" w:hAnsi="Calibri" w:cs="Calibri" w:eastAsia="Calibri" w:hint="default"/>
                <w:sz w:val="20"/>
                <w:szCs w:val="20"/>
              </w:rPr>
            </w:pPr>
            <w:r>
              <w:rPr>
                <w:rFonts w:ascii="Calibri"/>
                <w:sz w:val="20"/>
              </w:rPr>
              <w:t>3.31</w:t>
            </w:r>
          </w:p>
        </w:tc>
      </w:tr>
      <w:tr>
        <w:trPr>
          <w:trHeight w:val="232" w:hRule="exact"/>
        </w:trPr>
        <w:tc>
          <w:tcPr>
            <w:tcW w:w="7388" w:type="dxa"/>
            <w:tcBorders>
              <w:top w:val="nil" w:sz="6" w:space="0" w:color="auto"/>
              <w:left w:val="nil" w:sz="6" w:space="0" w:color="auto"/>
              <w:bottom w:val="single" w:sz="4" w:space="0" w:color="000000"/>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In the tourism industry, it is difficult to meet managers' level of</w:t>
            </w:r>
            <w:r>
              <w:rPr>
                <w:rFonts w:ascii="Calibri"/>
                <w:spacing w:val="-29"/>
                <w:sz w:val="20"/>
              </w:rPr>
              <w:t> </w:t>
            </w:r>
            <w:r>
              <w:rPr>
                <w:rFonts w:ascii="Calibri"/>
                <w:sz w:val="20"/>
              </w:rPr>
              <w:t>expectations</w:t>
            </w:r>
          </w:p>
        </w:tc>
        <w:tc>
          <w:tcPr>
            <w:tcW w:w="1973" w:type="dxa"/>
            <w:tcBorders>
              <w:top w:val="nil" w:sz="6" w:space="0" w:color="auto"/>
              <w:left w:val="nil" w:sz="6" w:space="0" w:color="auto"/>
              <w:bottom w:val="single" w:sz="4" w:space="0" w:color="000000"/>
              <w:right w:val="nil" w:sz="6" w:space="0" w:color="auto"/>
            </w:tcBorders>
          </w:tcPr>
          <w:p>
            <w:pPr>
              <w:pStyle w:val="TableParagraph"/>
              <w:spacing w:line="226" w:lineRule="exact"/>
              <w:ind w:left="8" w:right="0"/>
              <w:jc w:val="center"/>
              <w:rPr>
                <w:rFonts w:ascii="Calibri" w:hAnsi="Calibri" w:cs="Calibri" w:eastAsia="Calibri" w:hint="default"/>
                <w:sz w:val="20"/>
                <w:szCs w:val="20"/>
              </w:rPr>
            </w:pPr>
            <w:r>
              <w:rPr>
                <w:rFonts w:ascii="Calibri"/>
                <w:sz w:val="20"/>
              </w:rPr>
              <w:t>3.06</w:t>
            </w:r>
          </w:p>
        </w:tc>
      </w:tr>
    </w:tbl>
    <w:p>
      <w:pPr>
        <w:spacing w:line="240" w:lineRule="auto" w:before="0"/>
        <w:ind w:right="0"/>
        <w:rPr>
          <w:rFonts w:ascii="Calibri" w:hAnsi="Calibri" w:cs="Calibri" w:eastAsia="Calibri" w:hint="default"/>
          <w:b/>
          <w:bCs/>
          <w:sz w:val="20"/>
          <w:szCs w:val="20"/>
        </w:rPr>
      </w:pPr>
    </w:p>
    <w:p>
      <w:pPr>
        <w:pStyle w:val="Heading2"/>
        <w:spacing w:line="240" w:lineRule="auto" w:before="174"/>
        <w:ind w:right="0"/>
        <w:jc w:val="both"/>
        <w:rPr>
          <w:b w:val="0"/>
          <w:bCs w:val="0"/>
        </w:rPr>
      </w:pPr>
      <w:bookmarkStart w:name="_bookmark92" w:id="93"/>
      <w:bookmarkEnd w:id="93"/>
      <w:r>
        <w:rPr>
          <w:b w:val="0"/>
        </w:rPr>
      </w:r>
      <w:r>
        <w:rPr/>
        <w:t>Direction</w:t>
      </w:r>
      <w:r>
        <w:rPr>
          <w:spacing w:val="-10"/>
        </w:rPr>
        <w:t> </w:t>
      </w:r>
      <w:r>
        <w:rPr/>
        <w:t>needed</w:t>
      </w:r>
      <w:r>
        <w:rPr>
          <w:b w:val="0"/>
        </w:rPr>
      </w:r>
    </w:p>
    <w:p>
      <w:pPr>
        <w:pStyle w:val="BodyText"/>
        <w:spacing w:line="259" w:lineRule="auto" w:before="191"/>
        <w:ind w:right="1435"/>
        <w:jc w:val="both"/>
      </w:pPr>
      <w:r>
        <w:rPr/>
        <w:t>Interview respondents emphasized a frustration regarding Curaçao</w:t>
      </w:r>
      <w:r>
        <w:rPr>
          <w:rFonts w:ascii="Calibri" w:hAnsi="Calibri" w:cs="Calibri" w:eastAsia="Calibri" w:hint="default"/>
        </w:rPr>
        <w:t>’s historical efforts to change the </w:t>
      </w:r>
      <w:r>
        <w:rPr/>
        <w:t>focus of the tourism</w:t>
      </w:r>
      <w:r>
        <w:rPr>
          <w:spacing w:val="-11"/>
        </w:rPr>
        <w:t> </w:t>
      </w:r>
      <w:r>
        <w:rPr/>
        <w:t>industry.</w:t>
      </w:r>
      <w:r>
        <w:rPr>
          <w:spacing w:val="26"/>
        </w:rPr>
        <w:t> </w:t>
      </w:r>
      <w:r>
        <w:rPr/>
        <w:t>Many</w:t>
      </w:r>
      <w:r>
        <w:rPr>
          <w:spacing w:val="-12"/>
        </w:rPr>
        <w:t> </w:t>
      </w:r>
      <w:r>
        <w:rPr/>
        <w:t>of</w:t>
      </w:r>
      <w:r>
        <w:rPr>
          <w:spacing w:val="-11"/>
        </w:rPr>
        <w:t> </w:t>
      </w:r>
      <w:r>
        <w:rPr/>
        <w:t>the</w:t>
      </w:r>
      <w:r>
        <w:rPr>
          <w:spacing w:val="-13"/>
        </w:rPr>
        <w:t> </w:t>
      </w:r>
      <w:r>
        <w:rPr/>
        <w:t>participants</w:t>
      </w:r>
      <w:r>
        <w:rPr>
          <w:spacing w:val="-11"/>
        </w:rPr>
        <w:t> </w:t>
      </w:r>
      <w:r>
        <w:rPr/>
        <w:t>voiced</w:t>
      </w:r>
      <w:r>
        <w:rPr>
          <w:spacing w:val="-10"/>
        </w:rPr>
        <w:t> </w:t>
      </w:r>
      <w:r>
        <w:rPr/>
        <w:t>a</w:t>
      </w:r>
      <w:r>
        <w:rPr>
          <w:spacing w:val="-7"/>
        </w:rPr>
        <w:t> </w:t>
      </w:r>
      <w:r>
        <w:rPr/>
        <w:t>nonchalant</w:t>
      </w:r>
      <w:r>
        <w:rPr>
          <w:spacing w:val="-8"/>
        </w:rPr>
        <w:t> </w:t>
      </w:r>
      <w:r>
        <w:rPr/>
        <w:t>view</w:t>
      </w:r>
      <w:r>
        <w:rPr>
          <w:spacing w:val="-11"/>
        </w:rPr>
        <w:t> </w:t>
      </w:r>
      <w:r>
        <w:rPr/>
        <w:t>regarding</w:t>
      </w:r>
      <w:r>
        <w:rPr>
          <w:spacing w:val="-10"/>
        </w:rPr>
        <w:t> </w:t>
      </w:r>
      <w:r>
        <w:rPr/>
        <w:t>new</w:t>
      </w:r>
      <w:r>
        <w:rPr>
          <w:spacing w:val="-11"/>
        </w:rPr>
        <w:t> </w:t>
      </w:r>
      <w:r>
        <w:rPr/>
        <w:t>opportunities</w:t>
      </w:r>
      <w:r>
        <w:rPr>
          <w:spacing w:val="-11"/>
        </w:rPr>
        <w:t> </w:t>
      </w:r>
      <w:r>
        <w:rPr/>
        <w:t>that</w:t>
      </w:r>
      <w:r>
        <w:rPr>
          <w:spacing w:val="-9"/>
        </w:rPr>
        <w:t> </w:t>
      </w:r>
      <w:r>
        <w:rPr/>
        <w:t>could</w:t>
      </w:r>
      <w:r>
        <w:rPr>
          <w:spacing w:val="-12"/>
        </w:rPr>
        <w:t> </w:t>
      </w:r>
      <w:r>
        <w:rPr/>
        <w:t>emerge </w:t>
      </w:r>
      <w:r>
        <w:rPr/>
        <w:t>through the tourism industry. This apathetic view has been due to continued broken promises that were made in the past. </w:t>
      </w:r>
      <w:r>
        <w:rPr>
          <w:rFonts w:ascii="Calibri" w:hAnsi="Calibri" w:cs="Calibri" w:eastAsia="Calibri" w:hint="default"/>
        </w:rPr>
        <w:t>A consensus opinion was expressed that “someone” needs to lead the process of change in the t</w:t>
      </w:r>
      <w:r>
        <w:rPr/>
        <w:t>ourism industry.</w:t>
      </w:r>
    </w:p>
    <w:p>
      <w:pPr>
        <w:pStyle w:val="BodyText"/>
        <w:spacing w:line="259" w:lineRule="auto" w:before="158"/>
        <w:ind w:right="1433"/>
        <w:jc w:val="both"/>
      </w:pPr>
      <w:r>
        <w:rPr/>
        <w:t>The majority of people expressed that, at this time, they do not know who that leader should be (e.g., public vs. private). The majority also expressed that they do not care who that leader is affiliated with - as long as the leader represents the voice of the majority, and does not harbor self-interests or a personal agenda for themselves or specific shareholders in the industry. It is clear from the qualitative data collection phase that, without the identification</w:t>
      </w:r>
      <w:r>
        <w:rPr>
          <w:spacing w:val="-5"/>
        </w:rPr>
        <w:t> </w:t>
      </w:r>
      <w:r>
        <w:rPr/>
        <w:t>of</w:t>
      </w:r>
      <w:r>
        <w:rPr>
          <w:spacing w:val="-6"/>
        </w:rPr>
        <w:t> </w:t>
      </w:r>
      <w:r>
        <w:rPr/>
        <w:t>a</w:t>
      </w:r>
      <w:r>
        <w:rPr>
          <w:spacing w:val="-5"/>
        </w:rPr>
        <w:t> </w:t>
      </w:r>
      <w:r>
        <w:rPr/>
        <w:t>leader</w:t>
      </w:r>
      <w:r>
        <w:rPr>
          <w:spacing w:val="-5"/>
        </w:rPr>
        <w:t> </w:t>
      </w:r>
      <w:r>
        <w:rPr/>
        <w:t>or</w:t>
      </w:r>
      <w:r>
        <w:rPr>
          <w:spacing w:val="-5"/>
        </w:rPr>
        <w:t> </w:t>
      </w:r>
      <w:r>
        <w:rPr/>
        <w:t>a</w:t>
      </w:r>
      <w:r>
        <w:rPr>
          <w:spacing w:val="-7"/>
        </w:rPr>
        <w:t> </w:t>
      </w:r>
      <w:r>
        <w:rPr/>
        <w:t>leadership</w:t>
      </w:r>
      <w:r>
        <w:rPr>
          <w:spacing w:val="-5"/>
        </w:rPr>
        <w:t> </w:t>
      </w:r>
      <w:r>
        <w:rPr/>
        <w:t>group</w:t>
      </w:r>
      <w:r>
        <w:rPr>
          <w:spacing w:val="-5"/>
        </w:rPr>
        <w:t> </w:t>
      </w:r>
      <w:r>
        <w:rPr/>
        <w:t>that</w:t>
      </w:r>
      <w:r>
        <w:rPr>
          <w:spacing w:val="-5"/>
        </w:rPr>
        <w:t> </w:t>
      </w:r>
      <w:r>
        <w:rPr/>
        <w:t>can</w:t>
      </w:r>
      <w:r>
        <w:rPr>
          <w:spacing w:val="-7"/>
        </w:rPr>
        <w:t> </w:t>
      </w:r>
      <w:r>
        <w:rPr/>
        <w:t>facilitate</w:t>
      </w:r>
      <w:r>
        <w:rPr>
          <w:spacing w:val="-6"/>
        </w:rPr>
        <w:t> </w:t>
      </w:r>
      <w:r>
        <w:rPr/>
        <w:t>trust</w:t>
      </w:r>
      <w:r>
        <w:rPr>
          <w:spacing w:val="-5"/>
        </w:rPr>
        <w:t> </w:t>
      </w:r>
      <w:r>
        <w:rPr/>
        <w:t>and</w:t>
      </w:r>
      <w:r>
        <w:rPr>
          <w:spacing w:val="-7"/>
        </w:rPr>
        <w:t> </w:t>
      </w:r>
      <w:r>
        <w:rPr/>
        <w:t>guarantee</w:t>
      </w:r>
      <w:r>
        <w:rPr>
          <w:spacing w:val="-6"/>
        </w:rPr>
        <w:t> </w:t>
      </w:r>
      <w:r>
        <w:rPr/>
        <w:t>change</w:t>
      </w:r>
      <w:r>
        <w:rPr>
          <w:spacing w:val="-6"/>
        </w:rPr>
        <w:t> </w:t>
      </w:r>
      <w:r>
        <w:rPr/>
        <w:t>amongst</w:t>
      </w:r>
      <w:r>
        <w:rPr>
          <w:spacing w:val="-5"/>
        </w:rPr>
        <w:t> </w:t>
      </w:r>
      <w:r>
        <w:rPr/>
        <w:t>stakeholders, </w:t>
      </w:r>
      <w:r>
        <w:rPr/>
        <w:t>the industry and all its players will remain fragmented and stagnant in their efforts to stimulate and increase economic</w:t>
      </w:r>
      <w:r>
        <w:rPr>
          <w:spacing w:val="-6"/>
        </w:rPr>
        <w:t> </w:t>
      </w:r>
      <w:r>
        <w:rPr/>
        <w:t>growth.</w:t>
      </w:r>
    </w:p>
    <w:p>
      <w:pPr>
        <w:pStyle w:val="Heading2"/>
        <w:spacing w:line="240" w:lineRule="auto" w:before="157"/>
        <w:ind w:right="0"/>
        <w:jc w:val="both"/>
        <w:rPr>
          <w:rFonts w:ascii="Calibri" w:hAnsi="Calibri" w:cs="Calibri" w:eastAsia="Calibri" w:hint="default"/>
          <w:b w:val="0"/>
          <w:bCs w:val="0"/>
        </w:rPr>
      </w:pPr>
      <w:bookmarkStart w:name="_bookmark93" w:id="94"/>
      <w:bookmarkEnd w:id="94"/>
      <w:r>
        <w:rPr>
          <w:b w:val="0"/>
          <w:bCs w:val="0"/>
        </w:rPr>
      </w:r>
      <w:r>
        <w:rPr>
          <w:rFonts w:ascii="Calibri" w:hAnsi="Calibri" w:cs="Calibri" w:eastAsia="Calibri" w:hint="default"/>
        </w:rPr>
        <w:t>Curaçao’s competitive</w:t>
      </w:r>
      <w:r>
        <w:rPr>
          <w:rFonts w:ascii="Calibri" w:hAnsi="Calibri" w:cs="Calibri" w:eastAsia="Calibri" w:hint="default"/>
          <w:spacing w:val="-10"/>
        </w:rPr>
        <w:t> </w:t>
      </w:r>
      <w:r>
        <w:rPr>
          <w:rFonts w:ascii="Calibri" w:hAnsi="Calibri" w:cs="Calibri" w:eastAsia="Calibri" w:hint="default"/>
        </w:rPr>
        <w:t>position</w:t>
      </w:r>
      <w:r>
        <w:rPr>
          <w:rFonts w:ascii="Calibri" w:hAnsi="Calibri" w:cs="Calibri" w:eastAsia="Calibri" w:hint="default"/>
          <w:b w:val="0"/>
          <w:bCs w:val="0"/>
        </w:rPr>
      </w:r>
    </w:p>
    <w:p>
      <w:pPr>
        <w:pStyle w:val="BodyText"/>
        <w:spacing w:line="259" w:lineRule="auto" w:before="191"/>
        <w:ind w:right="1436"/>
        <w:jc w:val="both"/>
      </w:pPr>
      <w:r>
        <w:rPr/>
        <w:t>In order to assess/benchmark Curaçao</w:t>
      </w:r>
      <w:r>
        <w:rPr>
          <w:rFonts w:ascii="Calibri" w:hAnsi="Calibri" w:cs="Calibri" w:eastAsia="Calibri" w:hint="default"/>
        </w:rPr>
        <w:t>’s tourism potential within the Caribbean competitive set</w:t>
      </w:r>
      <w:r>
        <w:rPr/>
        <w:t>, a tourism competitive</w:t>
      </w:r>
      <w:r>
        <w:rPr>
          <w:spacing w:val="-11"/>
        </w:rPr>
        <w:t> </w:t>
      </w:r>
      <w:r>
        <w:rPr/>
        <w:t>index</w:t>
      </w:r>
      <w:r>
        <w:rPr>
          <w:spacing w:val="-8"/>
        </w:rPr>
        <w:t> </w:t>
      </w:r>
      <w:r>
        <w:rPr/>
        <w:t>for</w:t>
      </w:r>
      <w:r>
        <w:rPr>
          <w:spacing w:val="-10"/>
        </w:rPr>
        <w:t> </w:t>
      </w:r>
      <w:r>
        <w:rPr/>
        <w:t>small</w:t>
      </w:r>
      <w:r>
        <w:rPr>
          <w:spacing w:val="-10"/>
        </w:rPr>
        <w:t> </w:t>
      </w:r>
      <w:r>
        <w:rPr/>
        <w:t>island</w:t>
      </w:r>
      <w:r>
        <w:rPr>
          <w:spacing w:val="-10"/>
        </w:rPr>
        <w:t> </w:t>
      </w:r>
      <w:r>
        <w:rPr/>
        <w:t>destinations</w:t>
      </w:r>
      <w:r>
        <w:rPr>
          <w:spacing w:val="-11"/>
        </w:rPr>
        <w:t> </w:t>
      </w:r>
      <w:r>
        <w:rPr/>
        <w:t>(Croes,</w:t>
      </w:r>
      <w:r>
        <w:rPr>
          <w:spacing w:val="-10"/>
        </w:rPr>
        <w:t> </w:t>
      </w:r>
      <w:r>
        <w:rPr/>
        <w:t>2011)</w:t>
      </w:r>
      <w:r>
        <w:rPr>
          <w:spacing w:val="-9"/>
        </w:rPr>
        <w:t> </w:t>
      </w:r>
      <w:r>
        <w:rPr/>
        <w:t>was</w:t>
      </w:r>
      <w:r>
        <w:rPr>
          <w:spacing w:val="-11"/>
        </w:rPr>
        <w:t> </w:t>
      </w:r>
      <w:r>
        <w:rPr/>
        <w:t>used</w:t>
      </w:r>
      <w:r>
        <w:rPr>
          <w:spacing w:val="-10"/>
        </w:rPr>
        <w:t> </w:t>
      </w:r>
      <w:r>
        <w:rPr/>
        <w:t>to</w:t>
      </w:r>
      <w:r>
        <w:rPr>
          <w:spacing w:val="-10"/>
        </w:rPr>
        <w:t> </w:t>
      </w:r>
      <w:r>
        <w:rPr/>
        <w:t>assess</w:t>
      </w:r>
      <w:r>
        <w:rPr>
          <w:spacing w:val="-11"/>
        </w:rPr>
        <w:t> </w:t>
      </w:r>
      <w:r>
        <w:rPr/>
        <w:t>the</w:t>
      </w:r>
      <w:r>
        <w:rPr>
          <w:spacing w:val="-11"/>
        </w:rPr>
        <w:t> </w:t>
      </w:r>
      <w:r>
        <w:rPr/>
        <w:t>competitive</w:t>
      </w:r>
      <w:r>
        <w:rPr>
          <w:spacing w:val="-11"/>
        </w:rPr>
        <w:t> </w:t>
      </w:r>
      <w:r>
        <w:rPr/>
        <w:t>position</w:t>
      </w:r>
      <w:r>
        <w:rPr>
          <w:spacing w:val="-10"/>
        </w:rPr>
        <w:t> </w:t>
      </w:r>
      <w:r>
        <w:rPr/>
        <w:t>of</w:t>
      </w:r>
      <w:r>
        <w:rPr>
          <w:spacing w:val="-3"/>
        </w:rPr>
        <w:t> </w:t>
      </w:r>
      <w:r>
        <w:rPr/>
        <w:t>Curaçao. </w:t>
      </w:r>
      <w:r>
        <w:rPr/>
        <w:t>The</w:t>
      </w:r>
      <w:r>
        <w:rPr>
          <w:spacing w:val="-5"/>
        </w:rPr>
        <w:t> </w:t>
      </w:r>
      <w:r>
        <w:rPr/>
        <w:t>tourism</w:t>
      </w:r>
      <w:r>
        <w:rPr>
          <w:spacing w:val="-5"/>
        </w:rPr>
        <w:t> </w:t>
      </w:r>
      <w:r>
        <w:rPr/>
        <w:t>competitive</w:t>
      </w:r>
      <w:r>
        <w:rPr>
          <w:spacing w:val="-4"/>
        </w:rPr>
        <w:t> </w:t>
      </w:r>
      <w:r>
        <w:rPr/>
        <w:t>index</w:t>
      </w:r>
      <w:r>
        <w:rPr>
          <w:spacing w:val="-4"/>
        </w:rPr>
        <w:t> </w:t>
      </w:r>
      <w:r>
        <w:rPr/>
        <w:t>consists</w:t>
      </w:r>
      <w:r>
        <w:rPr>
          <w:spacing w:val="-5"/>
        </w:rPr>
        <w:t> </w:t>
      </w:r>
      <w:r>
        <w:rPr/>
        <w:t>of</w:t>
      </w:r>
      <w:r>
        <w:rPr>
          <w:spacing w:val="-5"/>
        </w:rPr>
        <w:t> </w:t>
      </w:r>
      <w:r>
        <w:rPr/>
        <w:t>three</w:t>
      </w:r>
      <w:r>
        <w:rPr>
          <w:spacing w:val="-3"/>
        </w:rPr>
        <w:t> </w:t>
      </w:r>
      <w:r>
        <w:rPr/>
        <w:t>factors:</w:t>
      </w:r>
      <w:r>
        <w:rPr>
          <w:spacing w:val="-3"/>
        </w:rPr>
        <w:t> </w:t>
      </w:r>
      <w:r>
        <w:rPr/>
        <w:t>1)</w:t>
      </w:r>
      <w:r>
        <w:rPr>
          <w:spacing w:val="-5"/>
        </w:rPr>
        <w:t> </w:t>
      </w:r>
      <w:r>
        <w:rPr/>
        <w:t>the</w:t>
      </w:r>
      <w:r>
        <w:rPr>
          <w:spacing w:val="-5"/>
        </w:rPr>
        <w:t> </w:t>
      </w:r>
      <w:r>
        <w:rPr/>
        <w:t>size</w:t>
      </w:r>
      <w:r>
        <w:rPr>
          <w:spacing w:val="-5"/>
        </w:rPr>
        <w:t> </w:t>
      </w:r>
      <w:r>
        <w:rPr/>
        <w:t>of</w:t>
      </w:r>
      <w:r>
        <w:rPr>
          <w:spacing w:val="-5"/>
        </w:rPr>
        <w:t> </w:t>
      </w:r>
      <w:r>
        <w:rPr/>
        <w:t>the</w:t>
      </w:r>
      <w:r>
        <w:rPr>
          <w:spacing w:val="-5"/>
        </w:rPr>
        <w:t> </w:t>
      </w:r>
      <w:r>
        <w:rPr/>
        <w:t>industrial</w:t>
      </w:r>
      <w:r>
        <w:rPr>
          <w:spacing w:val="-4"/>
        </w:rPr>
        <w:t> </w:t>
      </w:r>
      <w:r>
        <w:rPr/>
        <w:t>base,</w:t>
      </w:r>
      <w:r>
        <w:rPr>
          <w:spacing w:val="-1"/>
        </w:rPr>
        <w:t> </w:t>
      </w:r>
      <w:r>
        <w:rPr/>
        <w:t>2)</w:t>
      </w:r>
      <w:r>
        <w:rPr>
          <w:spacing w:val="-5"/>
        </w:rPr>
        <w:t> </w:t>
      </w:r>
      <w:r>
        <w:rPr/>
        <w:t>performance</w:t>
      </w:r>
      <w:r>
        <w:rPr>
          <w:spacing w:val="-5"/>
        </w:rPr>
        <w:t> </w:t>
      </w:r>
      <w:r>
        <w:rPr/>
        <w:t>over</w:t>
      </w:r>
      <w:r>
        <w:rPr>
          <w:spacing w:val="-4"/>
        </w:rPr>
        <w:t> </w:t>
      </w:r>
      <w:r>
        <w:rPr/>
        <w:t>time, </w:t>
      </w:r>
      <w:r>
        <w:rPr/>
        <w:t>and 3) productivity growth. The first factor (size of industrial base) is measured by the proportion of real tourism receipts to the total population. The second factor (performance over time) is measured by real tourism receipts over time. The third factor (productivity growth) is measured by the value added of tourism receipts over time (tourism value added ratio of</w:t>
      </w:r>
      <w:r>
        <w:rPr>
          <w:spacing w:val="-20"/>
        </w:rPr>
        <w:t> </w:t>
      </w:r>
      <w:r>
        <w:rPr/>
        <w:t>GDP).</w:t>
      </w:r>
    </w:p>
    <w:p>
      <w:pPr>
        <w:pStyle w:val="BodyText"/>
        <w:spacing w:line="259" w:lineRule="auto" w:before="161"/>
        <w:ind w:right="1437"/>
        <w:jc w:val="both"/>
        <w:rPr>
          <w:sz w:val="12"/>
          <w:szCs w:val="12"/>
        </w:rPr>
      </w:pPr>
      <w:r>
        <w:rPr/>
        <w:t>Taking these three factors into consideration, Curaçao ranks second to last (number 16 out of 17) of island destinations in the Caribbean. On all three measures, Curaçao has poor performance, but performs the worst in </w:t>
      </w:r>
      <w:r>
        <w:rPr>
          <w:rFonts w:ascii="Calibri" w:hAnsi="Calibri" w:cs="Calibri" w:eastAsia="Calibri" w:hint="default"/>
        </w:rPr>
        <w:t>value</w:t>
      </w:r>
      <w:r>
        <w:rPr>
          <w:rFonts w:ascii="Calibri" w:hAnsi="Calibri" w:cs="Calibri" w:eastAsia="Calibri" w:hint="default"/>
          <w:spacing w:val="-10"/>
        </w:rPr>
        <w:t> </w:t>
      </w:r>
      <w:r>
        <w:rPr>
          <w:rFonts w:ascii="Calibri" w:hAnsi="Calibri" w:cs="Calibri" w:eastAsia="Calibri" w:hint="default"/>
        </w:rPr>
        <w:t>added.</w:t>
      </w:r>
      <w:r>
        <w:rPr>
          <w:rFonts w:ascii="Calibri" w:hAnsi="Calibri" w:cs="Calibri" w:eastAsia="Calibri" w:hint="default"/>
          <w:spacing w:val="-7"/>
        </w:rPr>
        <w:t> </w:t>
      </w:r>
      <w:r>
        <w:rPr>
          <w:rFonts w:ascii="Calibri" w:hAnsi="Calibri" w:cs="Calibri" w:eastAsia="Calibri" w:hint="default"/>
        </w:rPr>
        <w:t>This</w:t>
      </w:r>
      <w:r>
        <w:rPr>
          <w:rFonts w:ascii="Calibri" w:hAnsi="Calibri" w:cs="Calibri" w:eastAsia="Calibri" w:hint="default"/>
          <w:spacing w:val="-8"/>
        </w:rPr>
        <w:t> </w:t>
      </w:r>
      <w:r>
        <w:rPr>
          <w:rFonts w:ascii="Calibri" w:hAnsi="Calibri" w:cs="Calibri" w:eastAsia="Calibri" w:hint="default"/>
        </w:rPr>
        <w:t>means</w:t>
      </w:r>
      <w:r>
        <w:rPr>
          <w:rFonts w:ascii="Calibri" w:hAnsi="Calibri" w:cs="Calibri" w:eastAsia="Calibri" w:hint="default"/>
          <w:spacing w:val="-10"/>
        </w:rPr>
        <w:t> </w:t>
      </w:r>
      <w:r>
        <w:rPr>
          <w:rFonts w:ascii="Calibri" w:hAnsi="Calibri" w:cs="Calibri" w:eastAsia="Calibri" w:hint="default"/>
        </w:rPr>
        <w:t>that</w:t>
      </w:r>
      <w:r>
        <w:rPr>
          <w:rFonts w:ascii="Calibri" w:hAnsi="Calibri" w:cs="Calibri" w:eastAsia="Calibri" w:hint="default"/>
          <w:spacing w:val="-6"/>
        </w:rPr>
        <w:t> </w:t>
      </w:r>
      <w:r>
        <w:rPr>
          <w:rFonts w:ascii="Calibri" w:hAnsi="Calibri" w:cs="Calibri" w:eastAsia="Calibri" w:hint="default"/>
        </w:rPr>
        <w:t>the</w:t>
      </w:r>
      <w:r>
        <w:rPr>
          <w:rFonts w:ascii="Calibri" w:hAnsi="Calibri" w:cs="Calibri" w:eastAsia="Calibri" w:hint="default"/>
          <w:spacing w:val="-10"/>
        </w:rPr>
        <w:t> </w:t>
      </w:r>
      <w:r>
        <w:rPr>
          <w:rFonts w:ascii="Calibri" w:hAnsi="Calibri" w:cs="Calibri" w:eastAsia="Calibri" w:hint="default"/>
        </w:rPr>
        <w:t>tourism</w:t>
      </w:r>
      <w:r>
        <w:rPr>
          <w:rFonts w:ascii="Calibri" w:hAnsi="Calibri" w:cs="Calibri" w:eastAsia="Calibri" w:hint="default"/>
          <w:spacing w:val="-8"/>
        </w:rPr>
        <w:t> </w:t>
      </w:r>
      <w:r>
        <w:rPr>
          <w:rFonts w:ascii="Calibri" w:hAnsi="Calibri" w:cs="Calibri" w:eastAsia="Calibri" w:hint="default"/>
        </w:rPr>
        <w:t>industry’s</w:t>
      </w:r>
      <w:r>
        <w:rPr>
          <w:rFonts w:ascii="Calibri" w:hAnsi="Calibri" w:cs="Calibri" w:eastAsia="Calibri" w:hint="default"/>
          <w:spacing w:val="-10"/>
        </w:rPr>
        <w:t> </w:t>
      </w:r>
      <w:r>
        <w:rPr>
          <w:rFonts w:ascii="Calibri" w:hAnsi="Calibri" w:cs="Calibri" w:eastAsia="Calibri" w:hint="default"/>
        </w:rPr>
        <w:t>contribution</w:t>
      </w:r>
      <w:r>
        <w:rPr>
          <w:rFonts w:ascii="Calibri" w:hAnsi="Calibri" w:cs="Calibri" w:eastAsia="Calibri" w:hint="default"/>
          <w:spacing w:val="-8"/>
        </w:rPr>
        <w:t> </w:t>
      </w:r>
      <w:r>
        <w:rPr>
          <w:rFonts w:ascii="Calibri" w:hAnsi="Calibri" w:cs="Calibri" w:eastAsia="Calibri" w:hint="default"/>
        </w:rPr>
        <w:t>to</w:t>
      </w:r>
      <w:r>
        <w:rPr>
          <w:rFonts w:ascii="Calibri" w:hAnsi="Calibri" w:cs="Calibri" w:eastAsia="Calibri" w:hint="default"/>
          <w:spacing w:val="-8"/>
        </w:rPr>
        <w:t> </w:t>
      </w:r>
      <w:r>
        <w:rPr>
          <w:rFonts w:ascii="Calibri" w:hAnsi="Calibri" w:cs="Calibri" w:eastAsia="Calibri" w:hint="default"/>
        </w:rPr>
        <w:t>the</w:t>
      </w:r>
      <w:r>
        <w:rPr>
          <w:rFonts w:ascii="Calibri" w:hAnsi="Calibri" w:cs="Calibri" w:eastAsia="Calibri" w:hint="default"/>
          <w:spacing w:val="-10"/>
        </w:rPr>
        <w:t> </w:t>
      </w:r>
      <w:r>
        <w:rPr>
          <w:rFonts w:ascii="Calibri" w:hAnsi="Calibri" w:cs="Calibri" w:eastAsia="Calibri" w:hint="default"/>
        </w:rPr>
        <w:t>island’s</w:t>
      </w:r>
      <w:r>
        <w:rPr>
          <w:rFonts w:ascii="Calibri" w:hAnsi="Calibri" w:cs="Calibri" w:eastAsia="Calibri" w:hint="default"/>
          <w:spacing w:val="-8"/>
        </w:rPr>
        <w:t> </w:t>
      </w:r>
      <w:r>
        <w:rPr>
          <w:rFonts w:ascii="Calibri" w:hAnsi="Calibri" w:cs="Calibri" w:eastAsia="Calibri" w:hint="default"/>
        </w:rPr>
        <w:t>economy</w:t>
      </w:r>
      <w:r>
        <w:rPr>
          <w:rFonts w:ascii="Calibri" w:hAnsi="Calibri" w:cs="Calibri" w:eastAsia="Calibri" w:hint="default"/>
          <w:spacing w:val="-6"/>
        </w:rPr>
        <w:t> </w:t>
      </w:r>
      <w:r>
        <w:rPr>
          <w:rFonts w:ascii="Calibri" w:hAnsi="Calibri" w:cs="Calibri" w:eastAsia="Calibri" w:hint="default"/>
        </w:rPr>
        <w:t>is</w:t>
      </w:r>
      <w:r>
        <w:rPr>
          <w:rFonts w:ascii="Calibri" w:hAnsi="Calibri" w:cs="Calibri" w:eastAsia="Calibri" w:hint="default"/>
          <w:spacing w:val="-8"/>
        </w:rPr>
        <w:t> </w:t>
      </w:r>
      <w:r>
        <w:rPr>
          <w:rFonts w:ascii="Calibri" w:hAnsi="Calibri" w:cs="Calibri" w:eastAsia="Calibri" w:hint="default"/>
        </w:rPr>
        <w:t>minimal</w:t>
      </w:r>
      <w:r>
        <w:rPr>
          <w:rFonts w:ascii="Calibri" w:hAnsi="Calibri" w:cs="Calibri" w:eastAsia="Calibri" w:hint="default"/>
          <w:spacing w:val="-7"/>
        </w:rPr>
        <w:t> </w:t>
      </w:r>
      <w:r>
        <w:rPr>
          <w:rFonts w:ascii="Calibri" w:hAnsi="Calibri" w:cs="Calibri" w:eastAsia="Calibri" w:hint="default"/>
          <w:spacing w:val="3"/>
        </w:rPr>
        <w:t>an</w:t>
      </w:r>
      <w:r>
        <w:rPr>
          <w:spacing w:val="3"/>
        </w:rPr>
        <w:t>d</w:t>
      </w:r>
      <w:r>
        <w:rPr>
          <w:spacing w:val="-9"/>
        </w:rPr>
        <w:t> </w:t>
      </w:r>
      <w:r>
        <w:rPr/>
        <w:t>quite</w:t>
      </w:r>
      <w:r>
        <w:rPr>
          <w:spacing w:val="-10"/>
        </w:rPr>
        <w:t> </w:t>
      </w:r>
      <w:r>
        <w:rPr/>
        <w:t>weak. </w:t>
      </w:r>
      <w:r>
        <w:rPr/>
        <w:t>See Figure 23 for reference to this competitive</w:t>
      </w:r>
      <w:r>
        <w:rPr>
          <w:spacing w:val="-20"/>
        </w:rPr>
        <w:t> </w:t>
      </w:r>
      <w:r>
        <w:rPr/>
        <w:t>index.</w:t>
      </w:r>
      <w:r>
        <w:rPr>
          <w:position w:val="5"/>
          <w:sz w:val="12"/>
          <w:szCs w:val="12"/>
        </w:rPr>
        <w:t>52</w:t>
      </w:r>
      <w:r>
        <w:rPr>
          <w:sz w:val="12"/>
          <w:szCs w:val="12"/>
        </w:rPr>
      </w:r>
    </w:p>
    <w:p>
      <w:pPr>
        <w:pStyle w:val="BodyText"/>
        <w:spacing w:line="259" w:lineRule="auto" w:before="158"/>
        <w:ind w:right="1437"/>
        <w:jc w:val="both"/>
      </w:pPr>
      <w:r>
        <w:rPr/>
        <w:t>This</w:t>
      </w:r>
      <w:r>
        <w:rPr>
          <w:spacing w:val="-13"/>
        </w:rPr>
        <w:t> </w:t>
      </w:r>
      <w:r>
        <w:rPr/>
        <w:t>information</w:t>
      </w:r>
      <w:r>
        <w:rPr>
          <w:spacing w:val="-11"/>
        </w:rPr>
        <w:t> </w:t>
      </w:r>
      <w:r>
        <w:rPr/>
        <w:t>is</w:t>
      </w:r>
      <w:r>
        <w:rPr>
          <w:spacing w:val="-13"/>
        </w:rPr>
        <w:t> </w:t>
      </w:r>
      <w:r>
        <w:rPr/>
        <w:t>confirmed</w:t>
      </w:r>
      <w:r>
        <w:rPr>
          <w:spacing w:val="-11"/>
        </w:rPr>
        <w:t> </w:t>
      </w:r>
      <w:r>
        <w:rPr/>
        <w:t>when</w:t>
      </w:r>
      <w:r>
        <w:rPr>
          <w:spacing w:val="-11"/>
        </w:rPr>
        <w:t> </w:t>
      </w:r>
      <w:r>
        <w:rPr/>
        <w:t>looking</w:t>
      </w:r>
      <w:r>
        <w:rPr>
          <w:spacing w:val="-12"/>
        </w:rPr>
        <w:t> </w:t>
      </w:r>
      <w:r>
        <w:rPr/>
        <w:t>at</w:t>
      </w:r>
      <w:r>
        <w:rPr>
          <w:spacing w:val="-11"/>
        </w:rPr>
        <w:t> </w:t>
      </w:r>
      <w:r>
        <w:rPr/>
        <w:t>common</w:t>
      </w:r>
      <w:r>
        <w:rPr>
          <w:spacing w:val="-11"/>
        </w:rPr>
        <w:t> </w:t>
      </w:r>
      <w:r>
        <w:rPr/>
        <w:t>industry</w:t>
      </w:r>
      <w:r>
        <w:rPr>
          <w:spacing w:val="-10"/>
        </w:rPr>
        <w:t> </w:t>
      </w:r>
      <w:r>
        <w:rPr/>
        <w:t>performance</w:t>
      </w:r>
      <w:r>
        <w:rPr>
          <w:spacing w:val="-13"/>
        </w:rPr>
        <w:t> </w:t>
      </w:r>
      <w:r>
        <w:rPr/>
        <w:t>benchmark</w:t>
      </w:r>
      <w:r>
        <w:rPr>
          <w:spacing w:val="-11"/>
        </w:rPr>
        <w:t> </w:t>
      </w:r>
      <w:r>
        <w:rPr/>
        <w:t>indicators</w:t>
      </w:r>
      <w:r>
        <w:rPr>
          <w:spacing w:val="-13"/>
        </w:rPr>
        <w:t> </w:t>
      </w:r>
      <w:r>
        <w:rPr/>
        <w:t>(e.g.,</w:t>
      </w:r>
      <w:r>
        <w:rPr>
          <w:spacing w:val="-11"/>
        </w:rPr>
        <w:t> </w:t>
      </w:r>
      <w:r>
        <w:rPr/>
        <w:t>occupancy </w:t>
      </w:r>
      <w:r>
        <w:rPr/>
        <w:t>rates,</w:t>
      </w:r>
      <w:r>
        <w:rPr>
          <w:spacing w:val="-7"/>
        </w:rPr>
        <w:t> </w:t>
      </w:r>
      <w:r>
        <w:rPr/>
        <w:t>RevPAR,</w:t>
      </w:r>
      <w:r>
        <w:rPr>
          <w:spacing w:val="-8"/>
        </w:rPr>
        <w:t> </w:t>
      </w:r>
      <w:r>
        <w:rPr/>
        <w:t>and</w:t>
      </w:r>
      <w:r>
        <w:rPr>
          <w:spacing w:val="-7"/>
        </w:rPr>
        <w:t> </w:t>
      </w:r>
      <w:r>
        <w:rPr/>
        <w:t>ADR).</w:t>
      </w:r>
      <w:r>
        <w:rPr>
          <w:spacing w:val="-8"/>
        </w:rPr>
        <w:t> </w:t>
      </w:r>
      <w:r>
        <w:rPr/>
        <w:t>A</w:t>
      </w:r>
      <w:r>
        <w:rPr>
          <w:spacing w:val="-8"/>
        </w:rPr>
        <w:t> </w:t>
      </w:r>
      <w:r>
        <w:rPr/>
        <w:t>recent</w:t>
      </w:r>
      <w:r>
        <w:rPr>
          <w:spacing w:val="-7"/>
        </w:rPr>
        <w:t> </w:t>
      </w:r>
      <w:r>
        <w:rPr/>
        <w:t>report</w:t>
      </w:r>
      <w:r>
        <w:rPr>
          <w:spacing w:val="-7"/>
        </w:rPr>
        <w:t> </w:t>
      </w:r>
      <w:r>
        <w:rPr/>
        <w:t>from</w:t>
      </w:r>
      <w:r>
        <w:rPr>
          <w:spacing w:val="-9"/>
        </w:rPr>
        <w:t> </w:t>
      </w:r>
      <w:r>
        <w:rPr/>
        <w:t>Smith</w:t>
      </w:r>
      <w:r>
        <w:rPr>
          <w:spacing w:val="-7"/>
        </w:rPr>
        <w:t> </w:t>
      </w:r>
      <w:r>
        <w:rPr/>
        <w:t>Travel</w:t>
      </w:r>
      <w:r>
        <w:rPr>
          <w:spacing w:val="-6"/>
        </w:rPr>
        <w:t> </w:t>
      </w:r>
      <w:r>
        <w:rPr/>
        <w:t>Research</w:t>
      </w:r>
      <w:r>
        <w:rPr>
          <w:spacing w:val="-7"/>
        </w:rPr>
        <w:t> </w:t>
      </w:r>
      <w:r>
        <w:rPr/>
        <w:t>(STR)</w:t>
      </w:r>
      <w:r>
        <w:rPr>
          <w:spacing w:val="-5"/>
        </w:rPr>
        <w:t> </w:t>
      </w:r>
      <w:r>
        <w:rPr/>
        <w:t>indicates</w:t>
      </w:r>
      <w:r>
        <w:rPr>
          <w:spacing w:val="-9"/>
        </w:rPr>
        <w:t> </w:t>
      </w:r>
      <w:r>
        <w:rPr/>
        <w:t>that</w:t>
      </w:r>
      <w:r>
        <w:rPr>
          <w:spacing w:val="-7"/>
        </w:rPr>
        <w:t> </w:t>
      </w:r>
      <w:r>
        <w:rPr/>
        <w:t>the</w:t>
      </w:r>
      <w:r>
        <w:rPr>
          <w:spacing w:val="-9"/>
        </w:rPr>
        <w:t> </w:t>
      </w:r>
      <w:r>
        <w:rPr/>
        <w:t>Caribbean</w:t>
      </w:r>
      <w:r>
        <w:rPr>
          <w:spacing w:val="-7"/>
        </w:rPr>
        <w:t> </w:t>
      </w:r>
      <w:r>
        <w:rPr/>
        <w:t>competitive </w:t>
      </w:r>
      <w:r>
        <w:rPr/>
        <w:t>set is performing at the following</w:t>
      </w:r>
      <w:r>
        <w:rPr>
          <w:spacing w:val="-18"/>
        </w:rPr>
        <w:t> </w:t>
      </w:r>
      <w:r>
        <w:rPr/>
        <w:t>levels:</w:t>
      </w:r>
    </w:p>
    <w:p>
      <w:pPr>
        <w:spacing w:line="240" w:lineRule="auto" w:before="0"/>
        <w:ind w:right="0"/>
        <w:rPr>
          <w:rFonts w:ascii="Calibri" w:hAnsi="Calibri" w:cs="Calibri" w:eastAsia="Calibri" w:hint="default"/>
          <w:sz w:val="20"/>
          <w:szCs w:val="20"/>
        </w:rPr>
      </w:pPr>
    </w:p>
    <w:p>
      <w:pPr>
        <w:spacing w:line="240" w:lineRule="auto" w:before="4"/>
        <w:ind w:right="0"/>
        <w:rPr>
          <w:rFonts w:ascii="Calibri" w:hAnsi="Calibri" w:cs="Calibri" w:eastAsia="Calibri" w:hint="default"/>
          <w:sz w:val="13"/>
          <w:szCs w:val="13"/>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7" w:lineRule="auto" w:before="91"/>
        <w:ind w:left="1440" w:right="1995" w:firstLine="0"/>
        <w:jc w:val="left"/>
        <w:rPr>
          <w:rFonts w:ascii="Calibri" w:hAnsi="Calibri" w:cs="Calibri" w:eastAsia="Calibri" w:hint="default"/>
          <w:sz w:val="16"/>
          <w:szCs w:val="16"/>
        </w:rPr>
      </w:pPr>
      <w:r>
        <w:rPr>
          <w:rFonts w:ascii="Calibri"/>
          <w:position w:val="5"/>
          <w:sz w:val="12"/>
        </w:rPr>
        <w:t>52 </w:t>
      </w:r>
      <w:r>
        <w:rPr>
          <w:rFonts w:ascii="Calibri"/>
          <w:sz w:val="16"/>
        </w:rPr>
        <w:t>The index is drawn from Croes, R. (2011). The Small Island Paradox. Tourism Specialization as a Potential Solution, Lambert Academic </w:t>
      </w:r>
      <w:r>
        <w:rPr>
          <w:rFonts w:ascii="Calibri"/>
          <w:sz w:val="16"/>
        </w:rPr>
        <w:t>Publishing: Saarbrucken,</w:t>
      </w:r>
      <w:r>
        <w:rPr>
          <w:rFonts w:ascii="Calibri"/>
          <w:spacing w:val="-14"/>
          <w:sz w:val="16"/>
        </w:rPr>
        <w:t> </w:t>
      </w:r>
      <w:r>
        <w:rPr>
          <w:rFonts w:ascii="Calibri"/>
          <w:sz w:val="16"/>
        </w:rPr>
        <w:t>Germany.</w:t>
      </w:r>
    </w:p>
    <w:p>
      <w:pPr>
        <w:spacing w:after="0" w:line="247"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1"/>
        <w:ind w:right="0"/>
        <w:rPr>
          <w:rFonts w:ascii="Calibri" w:hAnsi="Calibri" w:cs="Calibri" w:eastAsia="Calibri" w:hint="default"/>
          <w:sz w:val="22"/>
          <w:szCs w:val="22"/>
        </w:rPr>
      </w:pPr>
    </w:p>
    <w:p>
      <w:pPr>
        <w:pStyle w:val="ListParagraph"/>
        <w:numPr>
          <w:ilvl w:val="0"/>
          <w:numId w:val="6"/>
        </w:numPr>
        <w:tabs>
          <w:tab w:pos="2161" w:val="left" w:leader="none"/>
        </w:tabs>
        <w:spacing w:line="256" w:lineRule="auto" w:before="62" w:after="0"/>
        <w:ind w:left="2160" w:right="1440" w:hanging="360"/>
        <w:jc w:val="left"/>
        <w:rPr>
          <w:rFonts w:ascii="Calibri" w:hAnsi="Calibri" w:cs="Calibri" w:eastAsia="Calibri" w:hint="default"/>
          <w:sz w:val="20"/>
          <w:szCs w:val="20"/>
        </w:rPr>
      </w:pPr>
      <w:r>
        <w:rPr>
          <w:rFonts w:ascii="Calibri"/>
          <w:sz w:val="20"/>
        </w:rPr>
        <w:t>ADR for the region is up 7.9% through September 2014 and RevPAR is in the midst of a fifth consecutive year of growth (3.1% in 2010, 10.5% in 2011, 8.1% in 2012, 3.5% in 2013, and 9.6% YTD</w:t>
      </w:r>
      <w:r>
        <w:rPr>
          <w:rFonts w:ascii="Calibri"/>
          <w:spacing w:val="-26"/>
          <w:sz w:val="20"/>
        </w:rPr>
        <w:t> </w:t>
      </w:r>
      <w:r>
        <w:rPr>
          <w:rFonts w:ascii="Calibri"/>
          <w:sz w:val="20"/>
        </w:rPr>
        <w:t>2014)</w:t>
      </w:r>
    </w:p>
    <w:p>
      <w:pPr>
        <w:pStyle w:val="ListParagraph"/>
        <w:numPr>
          <w:ilvl w:val="0"/>
          <w:numId w:val="6"/>
        </w:numPr>
        <w:tabs>
          <w:tab w:pos="2161" w:val="left" w:leader="none"/>
        </w:tabs>
        <w:spacing w:line="240" w:lineRule="auto" w:before="4" w:after="0"/>
        <w:ind w:left="2160" w:right="0" w:hanging="360"/>
        <w:jc w:val="left"/>
        <w:rPr>
          <w:rFonts w:ascii="Calibri" w:hAnsi="Calibri" w:cs="Calibri" w:eastAsia="Calibri" w:hint="default"/>
          <w:sz w:val="20"/>
          <w:szCs w:val="20"/>
        </w:rPr>
      </w:pPr>
      <w:r>
        <w:rPr>
          <w:rFonts w:ascii="Calibri"/>
          <w:sz w:val="20"/>
        </w:rPr>
        <w:t>The growth in RevPAR has been driven by ADR, rather than</w:t>
      </w:r>
      <w:r>
        <w:rPr>
          <w:rFonts w:ascii="Calibri"/>
          <w:spacing w:val="-18"/>
          <w:sz w:val="20"/>
        </w:rPr>
        <w:t> </w:t>
      </w:r>
      <w:r>
        <w:rPr>
          <w:rFonts w:ascii="Calibri"/>
          <w:sz w:val="20"/>
        </w:rPr>
        <w:t>ancillaries</w:t>
      </w:r>
    </w:p>
    <w:p>
      <w:pPr>
        <w:pStyle w:val="ListParagraph"/>
        <w:numPr>
          <w:ilvl w:val="0"/>
          <w:numId w:val="6"/>
        </w:numPr>
        <w:tabs>
          <w:tab w:pos="2161" w:val="left" w:leader="none"/>
        </w:tabs>
        <w:spacing w:line="240" w:lineRule="auto" w:before="19" w:after="0"/>
        <w:ind w:left="2160" w:right="0" w:hanging="360"/>
        <w:jc w:val="left"/>
        <w:rPr>
          <w:rFonts w:ascii="Calibri" w:hAnsi="Calibri" w:cs="Calibri" w:eastAsia="Calibri" w:hint="default"/>
          <w:sz w:val="20"/>
          <w:szCs w:val="20"/>
        </w:rPr>
      </w:pPr>
      <w:r>
        <w:rPr>
          <w:rFonts w:ascii="Calibri"/>
          <w:sz w:val="20"/>
        </w:rPr>
        <w:t>Key markets showing impressive RevPAR growth in 2014</w:t>
      </w:r>
      <w:r>
        <w:rPr>
          <w:rFonts w:ascii="Calibri"/>
          <w:spacing w:val="-25"/>
          <w:sz w:val="20"/>
        </w:rPr>
        <w:t> </w:t>
      </w:r>
      <w:r>
        <w:rPr>
          <w:rFonts w:ascii="Calibri"/>
          <w:sz w:val="20"/>
        </w:rPr>
        <w:t>include:</w:t>
      </w:r>
    </w:p>
    <w:p>
      <w:pPr>
        <w:spacing w:line="240" w:lineRule="auto" w:before="1"/>
        <w:ind w:right="0"/>
        <w:rPr>
          <w:rFonts w:ascii="Calibri" w:hAnsi="Calibri" w:cs="Calibri" w:eastAsia="Calibri" w:hint="default"/>
          <w:sz w:val="23"/>
          <w:szCs w:val="23"/>
        </w:rPr>
      </w:pPr>
    </w:p>
    <w:p>
      <w:pPr>
        <w:pStyle w:val="ListParagraph"/>
        <w:numPr>
          <w:ilvl w:val="1"/>
          <w:numId w:val="6"/>
        </w:numPr>
        <w:tabs>
          <w:tab w:pos="2881" w:val="left" w:leader="none"/>
        </w:tabs>
        <w:spacing w:line="240" w:lineRule="auto" w:before="0" w:after="0"/>
        <w:ind w:left="2880" w:right="0" w:hanging="360"/>
        <w:jc w:val="left"/>
        <w:rPr>
          <w:rFonts w:ascii="Calibri" w:hAnsi="Calibri" w:cs="Calibri" w:eastAsia="Calibri" w:hint="default"/>
          <w:sz w:val="20"/>
          <w:szCs w:val="20"/>
        </w:rPr>
      </w:pPr>
      <w:r>
        <w:rPr>
          <w:rFonts w:ascii="Calibri"/>
          <w:sz w:val="20"/>
        </w:rPr>
        <w:t>Jamaica +24.5% to</w:t>
      </w:r>
      <w:r>
        <w:rPr>
          <w:rFonts w:ascii="Calibri"/>
          <w:spacing w:val="-8"/>
          <w:sz w:val="20"/>
        </w:rPr>
        <w:t> </w:t>
      </w:r>
      <w:r>
        <w:rPr>
          <w:rFonts w:ascii="Calibri"/>
          <w:sz w:val="20"/>
        </w:rPr>
        <w:t>$156</w:t>
      </w:r>
    </w:p>
    <w:p>
      <w:pPr>
        <w:pStyle w:val="BodyText"/>
        <w:tabs>
          <w:tab w:pos="2880" w:val="left" w:leader="none"/>
        </w:tabs>
        <w:spacing w:line="240" w:lineRule="auto" w:before="13"/>
        <w:ind w:left="2520" w:right="0"/>
        <w:jc w:val="left"/>
      </w:pPr>
      <w:r>
        <w:rPr>
          <w:rFonts w:ascii="Courier New"/>
          <w:w w:val="95"/>
        </w:rPr>
        <w:t>o</w:t>
        <w:tab/>
      </w:r>
      <w:r>
        <w:rPr/>
        <w:t>Aruba +14.7% to</w:t>
      </w:r>
      <w:r>
        <w:rPr>
          <w:spacing w:val="-8"/>
        </w:rPr>
        <w:t> </w:t>
      </w:r>
      <w:r>
        <w:rPr/>
        <w:t>$181</w:t>
      </w:r>
    </w:p>
    <w:p>
      <w:pPr>
        <w:pStyle w:val="ListParagraph"/>
        <w:numPr>
          <w:ilvl w:val="1"/>
          <w:numId w:val="6"/>
        </w:numPr>
        <w:tabs>
          <w:tab w:pos="2881" w:val="left" w:leader="none"/>
        </w:tabs>
        <w:spacing w:line="240" w:lineRule="auto" w:before="13" w:after="0"/>
        <w:ind w:left="2880" w:right="0" w:hanging="360"/>
        <w:jc w:val="left"/>
        <w:rPr>
          <w:rFonts w:ascii="Calibri" w:hAnsi="Calibri" w:cs="Calibri" w:eastAsia="Calibri" w:hint="default"/>
          <w:sz w:val="20"/>
          <w:szCs w:val="20"/>
        </w:rPr>
      </w:pPr>
      <w:r>
        <w:rPr>
          <w:rFonts w:ascii="Calibri"/>
          <w:sz w:val="20"/>
        </w:rPr>
        <w:t>Dominican Republic +12.7% to</w:t>
      </w:r>
      <w:r>
        <w:rPr>
          <w:rFonts w:ascii="Calibri"/>
          <w:spacing w:val="-14"/>
          <w:sz w:val="20"/>
        </w:rPr>
        <w:t> </w:t>
      </w:r>
      <w:r>
        <w:rPr>
          <w:rFonts w:ascii="Calibri"/>
          <w:sz w:val="20"/>
        </w:rPr>
        <w:t>$92</w:t>
      </w:r>
    </w:p>
    <w:p>
      <w:pPr>
        <w:pStyle w:val="ListParagraph"/>
        <w:numPr>
          <w:ilvl w:val="1"/>
          <w:numId w:val="6"/>
        </w:numPr>
        <w:tabs>
          <w:tab w:pos="2881" w:val="left" w:leader="none"/>
        </w:tabs>
        <w:spacing w:line="240" w:lineRule="auto" w:before="13" w:after="0"/>
        <w:ind w:left="2880" w:right="0" w:hanging="360"/>
        <w:jc w:val="left"/>
        <w:rPr>
          <w:rFonts w:ascii="Calibri" w:hAnsi="Calibri" w:cs="Calibri" w:eastAsia="Calibri" w:hint="default"/>
          <w:sz w:val="20"/>
          <w:szCs w:val="20"/>
        </w:rPr>
      </w:pPr>
      <w:r>
        <w:rPr>
          <w:rFonts w:ascii="Calibri"/>
          <w:sz w:val="20"/>
        </w:rPr>
        <w:t>Bahamas +11.6% o</w:t>
      </w:r>
      <w:r>
        <w:rPr>
          <w:rFonts w:ascii="Calibri"/>
          <w:spacing w:val="-7"/>
          <w:sz w:val="20"/>
        </w:rPr>
        <w:t> </w:t>
      </w:r>
      <w:r>
        <w:rPr>
          <w:rFonts w:ascii="Calibri"/>
          <w:sz w:val="20"/>
        </w:rPr>
        <w:t>$181</w:t>
      </w:r>
    </w:p>
    <w:p>
      <w:pPr>
        <w:pStyle w:val="ListParagraph"/>
        <w:numPr>
          <w:ilvl w:val="1"/>
          <w:numId w:val="6"/>
        </w:numPr>
        <w:tabs>
          <w:tab w:pos="2881" w:val="left" w:leader="none"/>
        </w:tabs>
        <w:spacing w:line="240" w:lineRule="auto" w:before="11" w:after="0"/>
        <w:ind w:left="2880" w:right="0" w:hanging="360"/>
        <w:jc w:val="left"/>
        <w:rPr>
          <w:rFonts w:ascii="Calibri" w:hAnsi="Calibri" w:cs="Calibri" w:eastAsia="Calibri" w:hint="default"/>
          <w:sz w:val="20"/>
          <w:szCs w:val="20"/>
        </w:rPr>
      </w:pPr>
      <w:r>
        <w:rPr>
          <w:rFonts w:ascii="Calibri"/>
          <w:sz w:val="20"/>
        </w:rPr>
        <w:t>Puerto Rico +5.7% to</w:t>
      </w:r>
      <w:r>
        <w:rPr>
          <w:rFonts w:ascii="Calibri"/>
          <w:spacing w:val="-8"/>
          <w:sz w:val="20"/>
        </w:rPr>
        <w:t> </w:t>
      </w:r>
      <w:r>
        <w:rPr>
          <w:rFonts w:ascii="Calibri"/>
          <w:sz w:val="20"/>
        </w:rPr>
        <w:t>$150</w:t>
      </w:r>
    </w:p>
    <w:p>
      <w:pPr>
        <w:pStyle w:val="ListParagraph"/>
        <w:numPr>
          <w:ilvl w:val="1"/>
          <w:numId w:val="6"/>
        </w:numPr>
        <w:tabs>
          <w:tab w:pos="2881" w:val="left" w:leader="none"/>
        </w:tabs>
        <w:spacing w:line="240" w:lineRule="auto" w:before="13" w:after="0"/>
        <w:ind w:left="2880" w:right="0" w:hanging="360"/>
        <w:jc w:val="left"/>
        <w:rPr>
          <w:rFonts w:ascii="Calibri" w:hAnsi="Calibri" w:cs="Calibri" w:eastAsia="Calibri" w:hint="default"/>
          <w:sz w:val="20"/>
          <w:szCs w:val="20"/>
        </w:rPr>
      </w:pPr>
      <w:r>
        <w:rPr>
          <w:rFonts w:ascii="Calibri"/>
          <w:sz w:val="20"/>
        </w:rPr>
        <w:t>Cayman Islands +4.4% to</w:t>
      </w:r>
      <w:r>
        <w:rPr>
          <w:rFonts w:ascii="Calibri"/>
          <w:spacing w:val="-10"/>
          <w:sz w:val="20"/>
        </w:rPr>
        <w:t> </w:t>
      </w:r>
      <w:r>
        <w:rPr>
          <w:rFonts w:ascii="Calibri"/>
          <w:sz w:val="20"/>
        </w:rPr>
        <w:t>$250</w:t>
      </w: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15"/>
          <w:szCs w:val="15"/>
        </w:rPr>
      </w:pPr>
    </w:p>
    <w:p>
      <w:pPr>
        <w:pStyle w:val="BodyText"/>
        <w:spacing w:line="259" w:lineRule="auto"/>
        <w:ind w:right="1435"/>
        <w:jc w:val="both"/>
      </w:pPr>
      <w:r>
        <w:rPr/>
        <w:t>Curaçao is nearly 35% below the average RevPAR for the Caribbean region</w:t>
      </w:r>
      <w:r>
        <w:rPr>
          <w:rFonts w:ascii="Calibri" w:hAnsi="Calibri" w:cs="Calibri" w:eastAsia="Calibri" w:hint="default"/>
        </w:rPr>
        <w:t>. This indicates the island’s relatively low </w:t>
      </w:r>
      <w:r>
        <w:rPr/>
        <w:t>competitive position in the Caribbean competitive set. When compared to Curaçao</w:t>
      </w:r>
      <w:r>
        <w:rPr>
          <w:rFonts w:ascii="Calibri" w:hAnsi="Calibri" w:cs="Calibri" w:eastAsia="Calibri" w:hint="default"/>
        </w:rPr>
        <w:t>’s rel</w:t>
      </w:r>
      <w:r>
        <w:rPr/>
        <w:t>ative performance, it is evident that the competitive position of Curaçao is simply not competitive. The Caribbean competitive set demonstrates a constant increase in ADR for the region, yet Curaçao demonstrates characteristics of lost market share.</w:t>
      </w:r>
      <w:r>
        <w:rPr>
          <w:spacing w:val="-3"/>
        </w:rPr>
        <w:t> </w:t>
      </w:r>
      <w:r>
        <w:rPr/>
        <w:t>When</w:t>
      </w:r>
      <w:r>
        <w:rPr>
          <w:spacing w:val="-3"/>
        </w:rPr>
        <w:t> </w:t>
      </w:r>
      <w:r>
        <w:rPr/>
        <w:t>analyzing</w:t>
      </w:r>
      <w:r>
        <w:rPr>
          <w:spacing w:val="-4"/>
        </w:rPr>
        <w:t> </w:t>
      </w:r>
      <w:r>
        <w:rPr/>
        <w:t>the</w:t>
      </w:r>
      <w:r>
        <w:rPr>
          <w:spacing w:val="-7"/>
        </w:rPr>
        <w:t> </w:t>
      </w:r>
      <w:r>
        <w:rPr/>
        <w:t>data,</w:t>
      </w:r>
      <w:r>
        <w:rPr>
          <w:spacing w:val="-3"/>
        </w:rPr>
        <w:t> </w:t>
      </w:r>
      <w:r>
        <w:rPr/>
        <w:t>it</w:t>
      </w:r>
      <w:r>
        <w:rPr>
          <w:spacing w:val="-5"/>
        </w:rPr>
        <w:t> </w:t>
      </w:r>
      <w:r>
        <w:rPr/>
        <w:t>appears</w:t>
      </w:r>
      <w:r>
        <w:rPr>
          <w:spacing w:val="-5"/>
        </w:rPr>
        <w:t> </w:t>
      </w:r>
      <w:r>
        <w:rPr/>
        <w:t>that</w:t>
      </w:r>
      <w:r>
        <w:rPr>
          <w:spacing w:val="-1"/>
        </w:rPr>
        <w:t> </w:t>
      </w:r>
      <w:r>
        <w:rPr/>
        <w:t>Curaçao</w:t>
      </w:r>
      <w:r>
        <w:rPr>
          <w:spacing w:val="-2"/>
        </w:rPr>
        <w:t> </w:t>
      </w:r>
      <w:r>
        <w:rPr/>
        <w:t>competes</w:t>
      </w:r>
      <w:r>
        <w:rPr>
          <w:spacing w:val="-5"/>
        </w:rPr>
        <w:t> </w:t>
      </w:r>
      <w:r>
        <w:rPr/>
        <w:t>with</w:t>
      </w:r>
      <w:r>
        <w:rPr>
          <w:spacing w:val="-3"/>
        </w:rPr>
        <w:t> </w:t>
      </w:r>
      <w:r>
        <w:rPr/>
        <w:t>the</w:t>
      </w:r>
      <w:r>
        <w:rPr>
          <w:spacing w:val="-4"/>
        </w:rPr>
        <w:t> </w:t>
      </w:r>
      <w:r>
        <w:rPr/>
        <w:t>Dominican</w:t>
      </w:r>
      <w:r>
        <w:rPr>
          <w:spacing w:val="-3"/>
        </w:rPr>
        <w:t> </w:t>
      </w:r>
      <w:r>
        <w:rPr/>
        <w:t>Republic</w:t>
      </w:r>
      <w:r>
        <w:rPr>
          <w:spacing w:val="-4"/>
        </w:rPr>
        <w:t> </w:t>
      </w:r>
      <w:r>
        <w:rPr/>
        <w:t>in</w:t>
      </w:r>
      <w:r>
        <w:rPr>
          <w:spacing w:val="-3"/>
        </w:rPr>
        <w:t> </w:t>
      </w:r>
      <w:r>
        <w:rPr/>
        <w:t>terms</w:t>
      </w:r>
      <w:r>
        <w:rPr>
          <w:spacing w:val="-5"/>
        </w:rPr>
        <w:t> </w:t>
      </w:r>
      <w:r>
        <w:rPr/>
        <w:t>of</w:t>
      </w:r>
      <w:r>
        <w:rPr>
          <w:spacing w:val="-5"/>
        </w:rPr>
        <w:t> </w:t>
      </w:r>
      <w:r>
        <w:rPr/>
        <w:t>RevPAR </w:t>
      </w:r>
      <w:r>
        <w:rPr/>
        <w:t>values. However, the Dominican Republic competes on sheer volume numbers in room supply. At the current time, it is not possible for Curaçao (as a small island) to compete on room</w:t>
      </w:r>
      <w:r>
        <w:rPr>
          <w:spacing w:val="-27"/>
        </w:rPr>
        <w:t> </w:t>
      </w:r>
      <w:r>
        <w:rPr/>
        <w:t>supply.</w:t>
      </w:r>
    </w:p>
    <w:p>
      <w:pPr>
        <w:spacing w:line="240" w:lineRule="auto" w:before="12"/>
        <w:ind w:right="0"/>
        <w:rPr>
          <w:rFonts w:ascii="Calibri" w:hAnsi="Calibri" w:cs="Calibri" w:eastAsia="Calibri" w:hint="default"/>
          <w:sz w:val="12"/>
          <w:szCs w:val="12"/>
        </w:rPr>
      </w:pPr>
    </w:p>
    <w:p>
      <w:pPr>
        <w:spacing w:line="240" w:lineRule="auto"/>
        <w:ind w:left="2865"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4114386" cy="3340893"/>
            <wp:effectExtent l="0" t="0" r="0" b="0"/>
            <wp:docPr id="49" name="image27.jpeg" descr=""/>
            <wp:cNvGraphicFramePr>
              <a:graphicFrameLocks noChangeAspect="1"/>
            </wp:cNvGraphicFramePr>
            <a:graphic>
              <a:graphicData uri="http://schemas.openxmlformats.org/drawingml/2006/picture">
                <pic:pic>
                  <pic:nvPicPr>
                    <pic:cNvPr id="50" name="image27.jpeg"/>
                    <pic:cNvPicPr/>
                  </pic:nvPicPr>
                  <pic:blipFill>
                    <a:blip r:embed="rId50" cstate="print"/>
                    <a:stretch>
                      <a:fillRect/>
                    </a:stretch>
                  </pic:blipFill>
                  <pic:spPr>
                    <a:xfrm>
                      <a:off x="0" y="0"/>
                      <a:ext cx="4114386" cy="3340893"/>
                    </a:xfrm>
                    <a:prstGeom prst="rect">
                      <a:avLst/>
                    </a:prstGeom>
                  </pic:spPr>
                </pic:pic>
              </a:graphicData>
            </a:graphic>
          </wp:inline>
        </w:drawing>
      </w:r>
      <w:r>
        <w:rPr>
          <w:rFonts w:ascii="Calibri" w:hAnsi="Calibri" w:cs="Calibri" w:eastAsia="Calibri" w:hint="default"/>
          <w:sz w:val="20"/>
          <w:szCs w:val="20"/>
        </w:rPr>
      </w:r>
    </w:p>
    <w:p>
      <w:pPr>
        <w:spacing w:line="240" w:lineRule="auto" w:before="5"/>
        <w:ind w:right="0"/>
        <w:rPr>
          <w:rFonts w:ascii="Calibri" w:hAnsi="Calibri" w:cs="Calibri" w:eastAsia="Calibri" w:hint="default"/>
          <w:sz w:val="16"/>
          <w:szCs w:val="16"/>
        </w:rPr>
      </w:pPr>
    </w:p>
    <w:p>
      <w:pPr>
        <w:pStyle w:val="Heading9"/>
        <w:spacing w:line="240" w:lineRule="auto"/>
        <w:ind w:left="24" w:right="26"/>
        <w:jc w:val="center"/>
        <w:rPr>
          <w:rFonts w:ascii="Calibri" w:hAnsi="Calibri" w:cs="Calibri" w:eastAsia="Calibri" w:hint="default"/>
          <w:b w:val="0"/>
          <w:bCs w:val="0"/>
        </w:rPr>
      </w:pPr>
      <w:bookmarkStart w:name="_bookmark94" w:id="95"/>
      <w:bookmarkEnd w:id="95"/>
      <w:r>
        <w:rPr>
          <w:b w:val="0"/>
          <w:bCs w:val="0"/>
        </w:rPr>
      </w:r>
      <w:r>
        <w:rPr/>
        <w:t>Figure 23:  </w:t>
      </w:r>
      <w:r>
        <w:rPr>
          <w:rFonts w:ascii="Calibri" w:hAnsi="Calibri" w:cs="Calibri" w:eastAsia="Calibri" w:hint="default"/>
        </w:rPr>
        <w:t>Curaçao’s competitive</w:t>
      </w:r>
      <w:r>
        <w:rPr>
          <w:rFonts w:ascii="Calibri" w:hAnsi="Calibri" w:cs="Calibri" w:eastAsia="Calibri" w:hint="default"/>
          <w:spacing w:val="-18"/>
        </w:rPr>
        <w:t> </w:t>
      </w:r>
      <w:r>
        <w:rPr>
          <w:rFonts w:ascii="Calibri" w:hAnsi="Calibri" w:cs="Calibri" w:eastAsia="Calibri" w:hint="default"/>
        </w:rPr>
        <w:t>position</w:t>
      </w:r>
      <w:r>
        <w:rPr>
          <w:rFonts w:ascii="Calibri" w:hAnsi="Calibri" w:cs="Calibri" w:eastAsia="Calibri" w:hint="default"/>
          <w:b w:val="0"/>
          <w:bCs w:val="0"/>
        </w:rPr>
      </w:r>
    </w:p>
    <w:p>
      <w:pPr>
        <w:spacing w:line="240" w:lineRule="auto" w:before="0"/>
        <w:ind w:right="0"/>
        <w:rPr>
          <w:rFonts w:ascii="Calibri" w:hAnsi="Calibri" w:cs="Calibri" w:eastAsia="Calibri" w:hint="default"/>
          <w:b/>
          <w:bCs/>
          <w:sz w:val="20"/>
          <w:szCs w:val="20"/>
        </w:rPr>
      </w:pPr>
    </w:p>
    <w:p>
      <w:pPr>
        <w:pStyle w:val="BodyText"/>
        <w:spacing w:line="259" w:lineRule="auto" w:before="179"/>
        <w:ind w:right="1434"/>
        <w:jc w:val="both"/>
      </w:pPr>
      <w:r>
        <w:rPr/>
        <w:t>Therefore,</w:t>
      </w:r>
      <w:r>
        <w:rPr>
          <w:spacing w:val="-12"/>
        </w:rPr>
        <w:t> </w:t>
      </w:r>
      <w:r>
        <w:rPr/>
        <w:t>it</w:t>
      </w:r>
      <w:r>
        <w:rPr>
          <w:spacing w:val="-13"/>
        </w:rPr>
        <w:t> </w:t>
      </w:r>
      <w:r>
        <w:rPr/>
        <w:t>is</w:t>
      </w:r>
      <w:r>
        <w:rPr>
          <w:spacing w:val="-14"/>
        </w:rPr>
        <w:t> </w:t>
      </w:r>
      <w:r>
        <w:rPr/>
        <w:t>clear</w:t>
      </w:r>
      <w:r>
        <w:rPr>
          <w:spacing w:val="-12"/>
        </w:rPr>
        <w:t> </w:t>
      </w:r>
      <w:r>
        <w:rPr/>
        <w:t>that</w:t>
      </w:r>
      <w:r>
        <w:rPr>
          <w:spacing w:val="-12"/>
        </w:rPr>
        <w:t> </w:t>
      </w:r>
      <w:r>
        <w:rPr/>
        <w:t>the</w:t>
      </w:r>
      <w:r>
        <w:rPr>
          <w:spacing w:val="-16"/>
        </w:rPr>
        <w:t> </w:t>
      </w:r>
      <w:r>
        <w:rPr/>
        <w:t>most</w:t>
      </w:r>
      <w:r>
        <w:rPr>
          <w:spacing w:val="-12"/>
        </w:rPr>
        <w:t> </w:t>
      </w:r>
      <w:r>
        <w:rPr/>
        <w:t>viable</w:t>
      </w:r>
      <w:r>
        <w:rPr>
          <w:spacing w:val="-13"/>
        </w:rPr>
        <w:t> </w:t>
      </w:r>
      <w:r>
        <w:rPr/>
        <w:t>means</w:t>
      </w:r>
      <w:r>
        <w:rPr>
          <w:spacing w:val="-14"/>
        </w:rPr>
        <w:t> </w:t>
      </w:r>
      <w:r>
        <w:rPr/>
        <w:t>of</w:t>
      </w:r>
      <w:r>
        <w:rPr>
          <w:spacing w:val="-13"/>
        </w:rPr>
        <w:t> </w:t>
      </w:r>
      <w:r>
        <w:rPr/>
        <w:t>competing</w:t>
      </w:r>
      <w:r>
        <w:rPr>
          <w:spacing w:val="-13"/>
        </w:rPr>
        <w:t> </w:t>
      </w:r>
      <w:r>
        <w:rPr/>
        <w:t>in</w:t>
      </w:r>
      <w:r>
        <w:rPr>
          <w:spacing w:val="-12"/>
        </w:rPr>
        <w:t> </w:t>
      </w:r>
      <w:r>
        <w:rPr/>
        <w:t>the</w:t>
      </w:r>
      <w:r>
        <w:rPr>
          <w:spacing w:val="-16"/>
        </w:rPr>
        <w:t> </w:t>
      </w:r>
      <w:r>
        <w:rPr/>
        <w:t>Caribbean</w:t>
      </w:r>
      <w:r>
        <w:rPr>
          <w:spacing w:val="-11"/>
        </w:rPr>
        <w:t> </w:t>
      </w:r>
      <w:r>
        <w:rPr/>
        <w:t>competitive</w:t>
      </w:r>
      <w:r>
        <w:rPr>
          <w:spacing w:val="-13"/>
        </w:rPr>
        <w:t> </w:t>
      </w:r>
      <w:r>
        <w:rPr/>
        <w:t>set</w:t>
      </w:r>
      <w:r>
        <w:rPr>
          <w:spacing w:val="-12"/>
        </w:rPr>
        <w:t> </w:t>
      </w:r>
      <w:r>
        <w:rPr/>
        <w:t>for</w:t>
      </w:r>
      <w:r>
        <w:rPr>
          <w:spacing w:val="-6"/>
        </w:rPr>
        <w:t> </w:t>
      </w:r>
      <w:r>
        <w:rPr/>
        <w:t>Curaçao</w:t>
      </w:r>
      <w:r>
        <w:rPr>
          <w:spacing w:val="-12"/>
        </w:rPr>
        <w:t> </w:t>
      </w:r>
      <w:r>
        <w:rPr/>
        <w:t>is</w:t>
      </w:r>
      <w:r>
        <w:rPr>
          <w:spacing w:val="-14"/>
        </w:rPr>
        <w:t> </w:t>
      </w:r>
      <w:r>
        <w:rPr/>
        <w:t>through </w:t>
      </w:r>
      <w:r>
        <w:rPr/>
        <w:t>aligning the current supply with a </w:t>
      </w:r>
      <w:r>
        <w:rPr>
          <w:rFonts w:ascii="Calibri" w:hAnsi="Calibri" w:cs="Calibri" w:eastAsia="Calibri" w:hint="default"/>
        </w:rPr>
        <w:t>demand structure that optimizes tourists’ receipts and increases the industry’s </w:t>
      </w:r>
      <w:r>
        <w:rPr/>
        <w:t>economic multiplier. In order to optimize demand, it is necessary for Curaçao to restructure the current markets and improve the soft components of the core tourism product that increase</w:t>
      </w:r>
      <w:r>
        <w:rPr>
          <w:spacing w:val="-23"/>
        </w:rPr>
        <w:t> </w:t>
      </w:r>
      <w:r>
        <w:rPr/>
        <w:t>spending.</w:t>
      </w:r>
    </w:p>
    <w:p>
      <w:pPr>
        <w:spacing w:after="0" w:line="259" w:lineRule="auto"/>
        <w:jc w:val="both"/>
        <w:sectPr>
          <w:footerReference w:type="default" r:id="rId49"/>
          <w:pgSz w:w="12240" w:h="15840"/>
          <w:pgMar w:footer="533" w:header="0"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59" w:lineRule="auto" w:before="59"/>
        <w:ind w:right="1434"/>
        <w:jc w:val="both"/>
      </w:pPr>
      <w:r>
        <w:rPr/>
        <w:t>This is the major message of the 2015-2020 Strategic Tourism Master Plan. Conceptually speaking, the DPITS research team has identified three key areas that seem to provide the parameters of a demand orientated framework that will en</w:t>
      </w:r>
      <w:r>
        <w:rPr>
          <w:rFonts w:ascii="Calibri" w:hAnsi="Calibri" w:cs="Calibri" w:eastAsia="Calibri" w:hint="default"/>
        </w:rPr>
        <w:t>hance Curaçao’s </w:t>
      </w:r>
      <w:r>
        <w:rPr/>
        <w:t>position. The parameters are defined in Figure 24 and will be discussed in detail in the next</w:t>
      </w:r>
      <w:r>
        <w:rPr>
          <w:spacing w:val="-12"/>
        </w:rPr>
        <w:t> </w:t>
      </w:r>
      <w:r>
        <w:rPr/>
        <w:t>chapters.</w:t>
      </w:r>
    </w:p>
    <w:p>
      <w:pPr>
        <w:spacing w:line="240" w:lineRule="auto" w:before="0"/>
        <w:ind w:right="0"/>
        <w:rPr>
          <w:rFonts w:ascii="Calibri" w:hAnsi="Calibri" w:cs="Calibri" w:eastAsia="Calibri" w:hint="default"/>
          <w:sz w:val="20"/>
          <w:szCs w:val="20"/>
        </w:rPr>
      </w:pPr>
    </w:p>
    <w:p>
      <w:pPr>
        <w:spacing w:line="240" w:lineRule="auto" w:before="10" w:after="0"/>
        <w:ind w:right="0"/>
        <w:rPr>
          <w:rFonts w:ascii="Calibri" w:hAnsi="Calibri" w:cs="Calibri" w:eastAsia="Calibri" w:hint="default"/>
          <w:sz w:val="27"/>
          <w:szCs w:val="27"/>
        </w:rPr>
      </w:pPr>
    </w:p>
    <w:p>
      <w:pPr>
        <w:spacing w:line="240" w:lineRule="auto"/>
        <w:ind w:left="144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6042394" cy="2459736"/>
            <wp:effectExtent l="0" t="0" r="0" b="0"/>
            <wp:docPr id="51" name="image28.png" descr=""/>
            <wp:cNvGraphicFramePr>
              <a:graphicFrameLocks noChangeAspect="1"/>
            </wp:cNvGraphicFramePr>
            <a:graphic>
              <a:graphicData uri="http://schemas.openxmlformats.org/drawingml/2006/picture">
                <pic:pic>
                  <pic:nvPicPr>
                    <pic:cNvPr id="52" name="image28.png"/>
                    <pic:cNvPicPr/>
                  </pic:nvPicPr>
                  <pic:blipFill>
                    <a:blip r:embed="rId52" cstate="print"/>
                    <a:stretch>
                      <a:fillRect/>
                    </a:stretch>
                  </pic:blipFill>
                  <pic:spPr>
                    <a:xfrm>
                      <a:off x="0" y="0"/>
                      <a:ext cx="6042394" cy="2459736"/>
                    </a:xfrm>
                    <a:prstGeom prst="rect">
                      <a:avLst/>
                    </a:prstGeom>
                  </pic:spPr>
                </pic:pic>
              </a:graphicData>
            </a:graphic>
          </wp:inline>
        </w:drawing>
      </w:r>
      <w:r>
        <w:rPr>
          <w:rFonts w:ascii="Calibri" w:hAnsi="Calibri" w:cs="Calibri" w:eastAsia="Calibri" w:hint="default"/>
          <w:sz w:val="20"/>
          <w:szCs w:val="20"/>
        </w:rPr>
      </w:r>
    </w:p>
    <w:p>
      <w:pPr>
        <w:spacing w:line="240" w:lineRule="auto" w:before="7"/>
        <w:ind w:right="0"/>
        <w:rPr>
          <w:rFonts w:ascii="Calibri" w:hAnsi="Calibri" w:cs="Calibri" w:eastAsia="Calibri" w:hint="default"/>
          <w:sz w:val="9"/>
          <w:szCs w:val="9"/>
        </w:rPr>
      </w:pPr>
    </w:p>
    <w:p>
      <w:pPr>
        <w:spacing w:after="0" w:line="240" w:lineRule="auto"/>
        <w:rPr>
          <w:rFonts w:ascii="Calibri" w:hAnsi="Calibri" w:cs="Calibri" w:eastAsia="Calibri" w:hint="default"/>
          <w:sz w:val="9"/>
          <w:szCs w:val="9"/>
        </w:rPr>
        <w:sectPr>
          <w:footerReference w:type="default" r:id="rId51"/>
          <w:pgSz w:w="12240" w:h="15840"/>
          <w:pgMar w:footer="533" w:header="0" w:top="840" w:bottom="720" w:left="0" w:right="0"/>
          <w:pgNumType w:start="51"/>
        </w:sectPr>
      </w:pPr>
    </w:p>
    <w:p>
      <w:pPr>
        <w:spacing w:line="240" w:lineRule="auto" w:before="11"/>
        <w:ind w:right="0"/>
        <w:rPr>
          <w:rFonts w:ascii="Calibri" w:hAnsi="Calibri" w:cs="Calibri" w:eastAsia="Calibri" w:hint="default"/>
          <w:sz w:val="27"/>
          <w:szCs w:val="27"/>
        </w:rPr>
      </w:pPr>
    </w:p>
    <w:p>
      <w:pPr>
        <w:pStyle w:val="Heading2"/>
        <w:spacing w:line="240" w:lineRule="auto" w:before="0"/>
        <w:ind w:right="-12"/>
        <w:jc w:val="left"/>
        <w:rPr>
          <w:b w:val="0"/>
          <w:bCs w:val="0"/>
        </w:rPr>
      </w:pPr>
      <w:bookmarkStart w:name="_bookmark95" w:id="96"/>
      <w:bookmarkEnd w:id="96"/>
      <w:r>
        <w:rPr>
          <w:b w:val="0"/>
        </w:rPr>
      </w:r>
      <w:bookmarkStart w:name="_bookmark96" w:id="97"/>
      <w:bookmarkEnd w:id="97"/>
      <w:r>
        <w:rPr>
          <w:b w:val="0"/>
        </w:rPr>
      </w:r>
      <w:r>
        <w:rPr/>
        <w:t>A need for</w:t>
      </w:r>
      <w:r>
        <w:rPr>
          <w:spacing w:val="-10"/>
        </w:rPr>
        <w:t> </w:t>
      </w:r>
      <w:r>
        <w:rPr/>
        <w:t>change</w:t>
      </w:r>
      <w:r>
        <w:rPr>
          <w:b w:val="0"/>
        </w:rPr>
      </w:r>
    </w:p>
    <w:p>
      <w:pPr>
        <w:pStyle w:val="Heading9"/>
        <w:spacing w:line="240" w:lineRule="auto" w:before="59"/>
        <w:ind w:left="366" w:right="0"/>
        <w:jc w:val="left"/>
        <w:rPr>
          <w:rFonts w:ascii="Calibri" w:hAnsi="Calibri" w:cs="Calibri" w:eastAsia="Calibri" w:hint="default"/>
          <w:b w:val="0"/>
          <w:bCs w:val="0"/>
        </w:rPr>
      </w:pPr>
      <w:r>
        <w:rPr>
          <w:b w:val="0"/>
          <w:bCs w:val="0"/>
        </w:rPr>
        <w:br w:type="column"/>
      </w:r>
      <w:r>
        <w:rPr/>
        <w:t>Figure 24:  </w:t>
      </w:r>
      <w:r>
        <w:rPr>
          <w:rFonts w:ascii="Calibri" w:hAnsi="Calibri" w:cs="Calibri" w:eastAsia="Calibri" w:hint="default"/>
        </w:rPr>
        <w:t>Parameters for Curaçao’s</w:t>
      </w:r>
      <w:r>
        <w:rPr>
          <w:rFonts w:ascii="Calibri" w:hAnsi="Calibri" w:cs="Calibri" w:eastAsia="Calibri" w:hint="default"/>
          <w:spacing w:val="-17"/>
        </w:rPr>
        <w:t> </w:t>
      </w:r>
      <w:r>
        <w:rPr>
          <w:rFonts w:ascii="Calibri" w:hAnsi="Calibri" w:cs="Calibri" w:eastAsia="Calibri" w:hint="default"/>
        </w:rPr>
        <w:t>position</w:t>
      </w:r>
      <w:r>
        <w:rPr>
          <w:rFonts w:ascii="Calibri" w:hAnsi="Calibri" w:cs="Calibri" w:eastAsia="Calibri" w:hint="default"/>
          <w:b w:val="0"/>
          <w:bCs w:val="0"/>
        </w:rPr>
      </w:r>
    </w:p>
    <w:p>
      <w:pPr>
        <w:spacing w:after="0" w:line="240" w:lineRule="auto"/>
        <w:jc w:val="left"/>
        <w:rPr>
          <w:rFonts w:ascii="Calibri" w:hAnsi="Calibri" w:cs="Calibri" w:eastAsia="Calibri" w:hint="default"/>
        </w:rPr>
        <w:sectPr>
          <w:type w:val="continuous"/>
          <w:pgSz w:w="12240" w:h="15840"/>
          <w:pgMar w:top="1500" w:bottom="280" w:left="0" w:right="0"/>
          <w:cols w:num="2" w:equalWidth="0">
            <w:col w:w="3850" w:space="40"/>
            <w:col w:w="8350"/>
          </w:cols>
        </w:sectPr>
      </w:pPr>
    </w:p>
    <w:p>
      <w:pPr>
        <w:spacing w:line="240" w:lineRule="auto" w:before="11"/>
        <w:ind w:right="0"/>
        <w:rPr>
          <w:rFonts w:ascii="Calibri" w:hAnsi="Calibri" w:cs="Calibri" w:eastAsia="Calibri" w:hint="default"/>
          <w:b/>
          <w:bCs/>
          <w:sz w:val="10"/>
          <w:szCs w:val="10"/>
        </w:rPr>
      </w:pPr>
    </w:p>
    <w:p>
      <w:pPr>
        <w:pStyle w:val="BodyText"/>
        <w:spacing w:line="259" w:lineRule="auto" w:before="59"/>
        <w:ind w:right="1436"/>
        <w:jc w:val="both"/>
      </w:pPr>
      <w:r>
        <w:rPr/>
        <w:t>A consensus opinion was reached in all interviews and focus groups where participants expressed that there is an absolute</w:t>
      </w:r>
      <w:r>
        <w:rPr>
          <w:spacing w:val="-10"/>
        </w:rPr>
        <w:t> </w:t>
      </w:r>
      <w:r>
        <w:rPr/>
        <w:t>need</w:t>
      </w:r>
      <w:r>
        <w:rPr>
          <w:spacing w:val="-9"/>
        </w:rPr>
        <w:t> </w:t>
      </w:r>
      <w:r>
        <w:rPr/>
        <w:t>for</w:t>
      </w:r>
      <w:r>
        <w:rPr>
          <w:spacing w:val="-7"/>
        </w:rPr>
        <w:t> </w:t>
      </w:r>
      <w:r>
        <w:rPr/>
        <w:t>change</w:t>
      </w:r>
      <w:r>
        <w:rPr>
          <w:spacing w:val="-9"/>
        </w:rPr>
        <w:t> </w:t>
      </w:r>
      <w:r>
        <w:rPr/>
        <w:t>in</w:t>
      </w:r>
      <w:r>
        <w:rPr>
          <w:spacing w:val="-9"/>
        </w:rPr>
        <w:t> </w:t>
      </w:r>
      <w:r>
        <w:rPr/>
        <w:t>order</w:t>
      </w:r>
      <w:r>
        <w:rPr>
          <w:spacing w:val="-9"/>
        </w:rPr>
        <w:t> </w:t>
      </w:r>
      <w:r>
        <w:rPr/>
        <w:t>for</w:t>
      </w:r>
      <w:r>
        <w:rPr>
          <w:spacing w:val="-9"/>
        </w:rPr>
        <w:t> </w:t>
      </w:r>
      <w:r>
        <w:rPr/>
        <w:t>the</w:t>
      </w:r>
      <w:r>
        <w:rPr>
          <w:spacing w:val="-10"/>
        </w:rPr>
        <w:t> </w:t>
      </w:r>
      <w:r>
        <w:rPr/>
        <w:t>tourism</w:t>
      </w:r>
      <w:r>
        <w:rPr>
          <w:spacing w:val="-10"/>
        </w:rPr>
        <w:t> </w:t>
      </w:r>
      <w:r>
        <w:rPr/>
        <w:t>industry</w:t>
      </w:r>
      <w:r>
        <w:rPr>
          <w:spacing w:val="-8"/>
        </w:rPr>
        <w:t> </w:t>
      </w:r>
      <w:r>
        <w:rPr/>
        <w:t>to</w:t>
      </w:r>
      <w:r>
        <w:rPr>
          <w:spacing w:val="-9"/>
        </w:rPr>
        <w:t> </w:t>
      </w:r>
      <w:r>
        <w:rPr/>
        <w:t>continue</w:t>
      </w:r>
      <w:r>
        <w:rPr>
          <w:spacing w:val="-10"/>
        </w:rPr>
        <w:t> </w:t>
      </w:r>
      <w:r>
        <w:rPr/>
        <w:t>to</w:t>
      </w:r>
      <w:r>
        <w:rPr>
          <w:spacing w:val="-9"/>
        </w:rPr>
        <w:t> </w:t>
      </w:r>
      <w:r>
        <w:rPr/>
        <w:t>grow.</w:t>
      </w:r>
      <w:r>
        <w:rPr>
          <w:spacing w:val="27"/>
        </w:rPr>
        <w:t> </w:t>
      </w:r>
      <w:r>
        <w:rPr/>
        <w:t>The</w:t>
      </w:r>
      <w:r>
        <w:rPr>
          <w:spacing w:val="-5"/>
        </w:rPr>
        <w:t> </w:t>
      </w:r>
      <w:r>
        <w:rPr/>
        <w:t>need</w:t>
      </w:r>
      <w:r>
        <w:rPr>
          <w:spacing w:val="-9"/>
        </w:rPr>
        <w:t> </w:t>
      </w:r>
      <w:r>
        <w:rPr/>
        <w:t>for</w:t>
      </w:r>
      <w:r>
        <w:rPr>
          <w:spacing w:val="-9"/>
        </w:rPr>
        <w:t> </w:t>
      </w:r>
      <w:r>
        <w:rPr/>
        <w:t>change</w:t>
      </w:r>
      <w:r>
        <w:rPr>
          <w:spacing w:val="-10"/>
        </w:rPr>
        <w:t> </w:t>
      </w:r>
      <w:r>
        <w:rPr/>
        <w:t>was</w:t>
      </w:r>
      <w:r>
        <w:rPr>
          <w:spacing w:val="-7"/>
        </w:rPr>
        <w:t> </w:t>
      </w:r>
      <w:r>
        <w:rPr/>
        <w:t>specifically </w:t>
      </w:r>
      <w:r>
        <w:rPr/>
        <w:t>expressed as required improvements to education, service culture, collaboration, and coordination amongst all stakeholders. There is observable tension between various stakeholder groups that requires modifications that would facilitate stakeholder cooperation. For example, there is tension between the hotel groups and rental properties,</w:t>
      </w:r>
      <w:r>
        <w:rPr>
          <w:spacing w:val="-6"/>
        </w:rPr>
        <w:t> </w:t>
      </w:r>
      <w:r>
        <w:rPr/>
        <w:t>tension</w:t>
      </w:r>
      <w:r>
        <w:rPr>
          <w:spacing w:val="-6"/>
        </w:rPr>
        <w:t> </w:t>
      </w:r>
      <w:r>
        <w:rPr/>
        <w:t>between</w:t>
      </w:r>
      <w:r>
        <w:rPr>
          <w:spacing w:val="-4"/>
        </w:rPr>
        <w:t> </w:t>
      </w:r>
      <w:r>
        <w:rPr/>
        <w:t>Dutch</w:t>
      </w:r>
      <w:r>
        <w:rPr>
          <w:spacing w:val="-6"/>
        </w:rPr>
        <w:t> </w:t>
      </w:r>
      <w:r>
        <w:rPr/>
        <w:t>owned</w:t>
      </w:r>
      <w:r>
        <w:rPr>
          <w:spacing w:val="-6"/>
        </w:rPr>
        <w:t> </w:t>
      </w:r>
      <w:r>
        <w:rPr/>
        <w:t>hotel</w:t>
      </w:r>
      <w:r>
        <w:rPr>
          <w:spacing w:val="-7"/>
        </w:rPr>
        <w:t> </w:t>
      </w:r>
      <w:r>
        <w:rPr/>
        <w:t>properties</w:t>
      </w:r>
      <w:r>
        <w:rPr>
          <w:spacing w:val="-8"/>
        </w:rPr>
        <w:t> </w:t>
      </w:r>
      <w:r>
        <w:rPr/>
        <w:t>and</w:t>
      </w:r>
      <w:r>
        <w:rPr>
          <w:spacing w:val="-4"/>
        </w:rPr>
        <w:t> </w:t>
      </w:r>
      <w:r>
        <w:rPr/>
        <w:t>American</w:t>
      </w:r>
      <w:r>
        <w:rPr>
          <w:spacing w:val="-6"/>
        </w:rPr>
        <w:t> </w:t>
      </w:r>
      <w:r>
        <w:rPr/>
        <w:t>owned</w:t>
      </w:r>
      <w:r>
        <w:rPr>
          <w:spacing w:val="-6"/>
        </w:rPr>
        <w:t> </w:t>
      </w:r>
      <w:r>
        <w:rPr/>
        <w:t>hotel</w:t>
      </w:r>
      <w:r>
        <w:rPr>
          <w:spacing w:val="-7"/>
        </w:rPr>
        <w:t> </w:t>
      </w:r>
      <w:r>
        <w:rPr/>
        <w:t>properties,</w:t>
      </w:r>
      <w:r>
        <w:rPr>
          <w:spacing w:val="-4"/>
        </w:rPr>
        <w:t> </w:t>
      </w:r>
      <w:r>
        <w:rPr/>
        <w:t>tension</w:t>
      </w:r>
      <w:r>
        <w:rPr>
          <w:spacing w:val="-6"/>
        </w:rPr>
        <w:t> </w:t>
      </w:r>
      <w:r>
        <w:rPr/>
        <w:t>between </w:t>
      </w:r>
      <w:r>
        <w:rPr/>
        <w:t>locally owned tourism businesses and foreign owned businesses,</w:t>
      </w:r>
      <w:r>
        <w:rPr>
          <w:spacing w:val="-30"/>
        </w:rPr>
        <w:t> </w:t>
      </w:r>
      <w:r>
        <w:rPr/>
        <w:t>etc.</w:t>
      </w:r>
    </w:p>
    <w:p>
      <w:pPr>
        <w:pStyle w:val="BodyText"/>
        <w:spacing w:line="259" w:lineRule="auto" w:before="161"/>
        <w:ind w:right="1436"/>
        <w:jc w:val="both"/>
      </w:pPr>
      <w:r>
        <w:rPr/>
        <w:t>Additionally, there is exclusion from the decision-making process of planning and policy development for several important industry sectors (e.g. transportation services unrelated to airlift and cruise). There is also a growing rift </w:t>
      </w:r>
      <w:r>
        <w:rPr>
          <w:rFonts w:ascii="Calibri" w:hAnsi="Calibri" w:cs="Calibri" w:eastAsia="Calibri" w:hint="default"/>
        </w:rPr>
        <w:t>amongst</w:t>
      </w:r>
      <w:r>
        <w:rPr>
          <w:rFonts w:ascii="Calibri" w:hAnsi="Calibri" w:cs="Calibri" w:eastAsia="Calibri" w:hint="default"/>
          <w:spacing w:val="-4"/>
        </w:rPr>
        <w:t> </w:t>
      </w:r>
      <w:r>
        <w:rPr>
          <w:rFonts w:ascii="Calibri" w:hAnsi="Calibri" w:cs="Calibri" w:eastAsia="Calibri" w:hint="default"/>
        </w:rPr>
        <w:t>social</w:t>
      </w:r>
      <w:r>
        <w:rPr>
          <w:rFonts w:ascii="Calibri" w:hAnsi="Calibri" w:cs="Calibri" w:eastAsia="Calibri" w:hint="default"/>
          <w:spacing w:val="-5"/>
        </w:rPr>
        <w:t> </w:t>
      </w:r>
      <w:r>
        <w:rPr>
          <w:rFonts w:ascii="Calibri" w:hAnsi="Calibri" w:cs="Calibri" w:eastAsia="Calibri" w:hint="default"/>
        </w:rPr>
        <w:t>groups</w:t>
      </w:r>
      <w:r>
        <w:rPr>
          <w:rFonts w:ascii="Calibri" w:hAnsi="Calibri" w:cs="Calibri" w:eastAsia="Calibri" w:hint="default"/>
          <w:spacing w:val="-5"/>
        </w:rPr>
        <w:t> </w:t>
      </w:r>
      <w:r>
        <w:rPr>
          <w:rFonts w:ascii="Calibri" w:hAnsi="Calibri" w:cs="Calibri" w:eastAsia="Calibri" w:hint="default"/>
        </w:rPr>
        <w:t>that</w:t>
      </w:r>
      <w:r>
        <w:rPr>
          <w:rFonts w:ascii="Calibri" w:hAnsi="Calibri" w:cs="Calibri" w:eastAsia="Calibri" w:hint="default"/>
          <w:spacing w:val="-4"/>
        </w:rPr>
        <w:t> </w:t>
      </w:r>
      <w:r>
        <w:rPr>
          <w:rFonts w:ascii="Calibri" w:hAnsi="Calibri" w:cs="Calibri" w:eastAsia="Calibri" w:hint="default"/>
        </w:rPr>
        <w:t>heavily</w:t>
      </w:r>
      <w:r>
        <w:rPr>
          <w:rFonts w:ascii="Calibri" w:hAnsi="Calibri" w:cs="Calibri" w:eastAsia="Calibri" w:hint="default"/>
          <w:spacing w:val="-4"/>
        </w:rPr>
        <w:t> </w:t>
      </w:r>
      <w:r>
        <w:rPr>
          <w:rFonts w:ascii="Calibri" w:hAnsi="Calibri" w:cs="Calibri" w:eastAsia="Calibri" w:hint="default"/>
        </w:rPr>
        <w:t>criticize</w:t>
      </w:r>
      <w:r>
        <w:rPr>
          <w:rFonts w:ascii="Calibri" w:hAnsi="Calibri" w:cs="Calibri" w:eastAsia="Calibri" w:hint="default"/>
          <w:spacing w:val="-5"/>
        </w:rPr>
        <w:t> </w:t>
      </w:r>
      <w:r>
        <w:rPr>
          <w:rFonts w:ascii="Calibri" w:hAnsi="Calibri" w:cs="Calibri" w:eastAsia="Calibri" w:hint="default"/>
        </w:rPr>
        <w:t>themselves</w:t>
      </w:r>
      <w:r>
        <w:rPr>
          <w:rFonts w:ascii="Calibri" w:hAnsi="Calibri" w:cs="Calibri" w:eastAsia="Calibri" w:hint="default"/>
          <w:spacing w:val="-5"/>
        </w:rPr>
        <w:t> </w:t>
      </w:r>
      <w:r>
        <w:rPr>
          <w:rFonts w:ascii="Calibri" w:hAnsi="Calibri" w:cs="Calibri" w:eastAsia="Calibri" w:hint="default"/>
        </w:rPr>
        <w:t>regarding</w:t>
      </w:r>
      <w:r>
        <w:rPr>
          <w:rFonts w:ascii="Calibri" w:hAnsi="Calibri" w:cs="Calibri" w:eastAsia="Calibri" w:hint="default"/>
          <w:spacing w:val="-5"/>
        </w:rPr>
        <w:t> </w:t>
      </w:r>
      <w:r>
        <w:rPr>
          <w:rFonts w:ascii="Calibri" w:hAnsi="Calibri" w:cs="Calibri" w:eastAsia="Calibri" w:hint="default"/>
        </w:rPr>
        <w:t>the</w:t>
      </w:r>
      <w:r>
        <w:rPr>
          <w:rFonts w:ascii="Calibri" w:hAnsi="Calibri" w:cs="Calibri" w:eastAsia="Calibri" w:hint="default"/>
          <w:spacing w:val="-5"/>
        </w:rPr>
        <w:t> </w:t>
      </w:r>
      <w:r>
        <w:rPr>
          <w:rFonts w:ascii="Calibri" w:hAnsi="Calibri" w:cs="Calibri" w:eastAsia="Calibri" w:hint="default"/>
        </w:rPr>
        <w:t>need</w:t>
      </w:r>
      <w:r>
        <w:rPr>
          <w:rFonts w:ascii="Calibri" w:hAnsi="Calibri" w:cs="Calibri" w:eastAsia="Calibri" w:hint="default"/>
          <w:spacing w:val="-4"/>
        </w:rPr>
        <w:t> </w:t>
      </w:r>
      <w:r>
        <w:rPr>
          <w:rFonts w:ascii="Calibri" w:hAnsi="Calibri" w:cs="Calibri" w:eastAsia="Calibri" w:hint="default"/>
        </w:rPr>
        <w:t>for</w:t>
      </w:r>
      <w:r>
        <w:rPr>
          <w:rFonts w:ascii="Calibri" w:hAnsi="Calibri" w:cs="Calibri" w:eastAsia="Calibri" w:hint="default"/>
          <w:spacing w:val="-4"/>
        </w:rPr>
        <w:t> </w:t>
      </w:r>
      <w:r>
        <w:rPr>
          <w:rFonts w:ascii="Calibri" w:hAnsi="Calibri" w:cs="Calibri" w:eastAsia="Calibri" w:hint="default"/>
        </w:rPr>
        <w:t>a</w:t>
      </w:r>
      <w:r>
        <w:rPr>
          <w:rFonts w:ascii="Calibri" w:hAnsi="Calibri" w:cs="Calibri" w:eastAsia="Calibri" w:hint="default"/>
          <w:spacing w:val="-4"/>
        </w:rPr>
        <w:t> </w:t>
      </w:r>
      <w:r>
        <w:rPr>
          <w:rFonts w:ascii="Calibri" w:hAnsi="Calibri" w:cs="Calibri" w:eastAsia="Calibri" w:hint="default"/>
        </w:rPr>
        <w:t>“mental</w:t>
      </w:r>
      <w:r>
        <w:rPr>
          <w:rFonts w:ascii="Calibri" w:hAnsi="Calibri" w:cs="Calibri" w:eastAsia="Calibri" w:hint="default"/>
          <w:spacing w:val="-5"/>
        </w:rPr>
        <w:t> </w:t>
      </w:r>
      <w:r>
        <w:rPr>
          <w:rFonts w:ascii="Calibri" w:hAnsi="Calibri" w:cs="Calibri" w:eastAsia="Calibri" w:hint="default"/>
        </w:rPr>
        <w:t>paradigm</w:t>
      </w:r>
      <w:r>
        <w:rPr>
          <w:rFonts w:ascii="Calibri" w:hAnsi="Calibri" w:cs="Calibri" w:eastAsia="Calibri" w:hint="default"/>
          <w:spacing w:val="1"/>
        </w:rPr>
        <w:t> </w:t>
      </w:r>
      <w:r>
        <w:rPr>
          <w:rFonts w:ascii="Calibri" w:hAnsi="Calibri" w:cs="Calibri" w:eastAsia="Calibri" w:hint="default"/>
        </w:rPr>
        <w:t>shift”</w:t>
      </w:r>
      <w:r>
        <w:rPr>
          <w:rFonts w:ascii="Calibri" w:hAnsi="Calibri" w:cs="Calibri" w:eastAsia="Calibri" w:hint="default"/>
          <w:spacing w:val="-3"/>
        </w:rPr>
        <w:t> </w:t>
      </w:r>
      <w:r>
        <w:rPr>
          <w:rFonts w:ascii="Calibri" w:hAnsi="Calibri" w:cs="Calibri" w:eastAsia="Calibri" w:hint="default"/>
        </w:rPr>
        <w:t>that</w:t>
      </w:r>
      <w:r>
        <w:rPr>
          <w:rFonts w:ascii="Calibri" w:hAnsi="Calibri" w:cs="Calibri" w:eastAsia="Calibri" w:hint="default"/>
          <w:spacing w:val="-4"/>
        </w:rPr>
        <w:t> </w:t>
      </w:r>
      <w:r>
        <w:rPr>
          <w:rFonts w:ascii="Calibri" w:hAnsi="Calibri" w:cs="Calibri" w:eastAsia="Calibri" w:hint="default"/>
        </w:rPr>
        <w:t>would </w:t>
      </w:r>
      <w:r>
        <w:rPr>
          <w:rFonts w:ascii="Calibri" w:hAnsi="Calibri" w:cs="Calibri" w:eastAsia="Calibri" w:hint="default"/>
        </w:rPr>
      </w:r>
      <w:r>
        <w:rPr/>
        <w:t>increase trust and self-confidence. While the tourism product requires healthy internal competition to elevate the standard and quality of various tourism-related product offerings, it also requires trust and collaboration among stakeholders in order for the macro destination to be</w:t>
      </w:r>
      <w:r>
        <w:rPr>
          <w:spacing w:val="-23"/>
        </w:rPr>
        <w:t> </w:t>
      </w:r>
      <w:r>
        <w:rPr/>
        <w:t>sustainable.</w:t>
      </w:r>
    </w:p>
    <w:p>
      <w:pPr>
        <w:pStyle w:val="BodyText"/>
        <w:spacing w:line="259" w:lineRule="auto" w:before="158"/>
        <w:ind w:right="1436"/>
        <w:jc w:val="both"/>
      </w:pPr>
      <w:r>
        <w:rPr/>
        <w:t>A major strength of the 2015-2020 Strategic Tourism Master Plan is that all stakeholders agree that there is a need for</w:t>
      </w:r>
      <w:r>
        <w:rPr>
          <w:spacing w:val="-7"/>
        </w:rPr>
        <w:t> </w:t>
      </w:r>
      <w:r>
        <w:rPr/>
        <w:t>change,</w:t>
      </w:r>
      <w:r>
        <w:rPr>
          <w:spacing w:val="-6"/>
        </w:rPr>
        <w:t> </w:t>
      </w:r>
      <w:r>
        <w:rPr/>
        <w:t>and</w:t>
      </w:r>
      <w:r>
        <w:rPr>
          <w:spacing w:val="-6"/>
        </w:rPr>
        <w:t> </w:t>
      </w:r>
      <w:r>
        <w:rPr/>
        <w:t>they</w:t>
      </w:r>
      <w:r>
        <w:rPr>
          <w:spacing w:val="-6"/>
        </w:rPr>
        <w:t> </w:t>
      </w:r>
      <w:r>
        <w:rPr/>
        <w:t>are</w:t>
      </w:r>
      <w:r>
        <w:rPr>
          <w:spacing w:val="-8"/>
        </w:rPr>
        <w:t> </w:t>
      </w:r>
      <w:r>
        <w:rPr/>
        <w:t>all</w:t>
      </w:r>
      <w:r>
        <w:rPr>
          <w:spacing w:val="-6"/>
        </w:rPr>
        <w:t> </w:t>
      </w:r>
      <w:r>
        <w:rPr/>
        <w:t>willing</w:t>
      </w:r>
      <w:r>
        <w:rPr>
          <w:spacing w:val="-7"/>
        </w:rPr>
        <w:t> </w:t>
      </w:r>
      <w:r>
        <w:rPr/>
        <w:t>to</w:t>
      </w:r>
      <w:r>
        <w:rPr>
          <w:spacing w:val="-6"/>
        </w:rPr>
        <w:t> </w:t>
      </w:r>
      <w:r>
        <w:rPr/>
        <w:t>work</w:t>
      </w:r>
      <w:r>
        <w:rPr>
          <w:spacing w:val="-6"/>
        </w:rPr>
        <w:t> </w:t>
      </w:r>
      <w:r>
        <w:rPr/>
        <w:t>for</w:t>
      </w:r>
      <w:r>
        <w:rPr>
          <w:spacing w:val="-7"/>
        </w:rPr>
        <w:t> </w:t>
      </w:r>
      <w:r>
        <w:rPr/>
        <w:t>that</w:t>
      </w:r>
      <w:r>
        <w:rPr>
          <w:spacing w:val="-8"/>
        </w:rPr>
        <w:t> </w:t>
      </w:r>
      <w:r>
        <w:rPr/>
        <w:t>change.</w:t>
      </w:r>
      <w:r>
        <w:rPr>
          <w:spacing w:val="29"/>
        </w:rPr>
        <w:t> </w:t>
      </w:r>
      <w:r>
        <w:rPr/>
        <w:t>Thus,</w:t>
      </w:r>
      <w:r>
        <w:rPr>
          <w:spacing w:val="-6"/>
        </w:rPr>
        <w:t> </w:t>
      </w:r>
      <w:r>
        <w:rPr/>
        <w:t>firm</w:t>
      </w:r>
      <w:r>
        <w:rPr>
          <w:spacing w:val="-8"/>
        </w:rPr>
        <w:t> </w:t>
      </w:r>
      <w:r>
        <w:rPr/>
        <w:t>guidance</w:t>
      </w:r>
      <w:r>
        <w:rPr>
          <w:spacing w:val="-8"/>
        </w:rPr>
        <w:t> </w:t>
      </w:r>
      <w:r>
        <w:rPr/>
        <w:t>and</w:t>
      </w:r>
      <w:r>
        <w:rPr>
          <w:spacing w:val="-6"/>
        </w:rPr>
        <w:t> </w:t>
      </w:r>
      <w:r>
        <w:rPr/>
        <w:t>steps</w:t>
      </w:r>
      <w:r>
        <w:rPr>
          <w:spacing w:val="-5"/>
        </w:rPr>
        <w:t> </w:t>
      </w:r>
      <w:r>
        <w:rPr/>
        <w:t>must</w:t>
      </w:r>
      <w:r>
        <w:rPr>
          <w:spacing w:val="-6"/>
        </w:rPr>
        <w:t> </w:t>
      </w:r>
      <w:r>
        <w:rPr/>
        <w:t>be</w:t>
      </w:r>
      <w:r>
        <w:rPr>
          <w:spacing w:val="-8"/>
        </w:rPr>
        <w:t> </w:t>
      </w:r>
      <w:r>
        <w:rPr/>
        <w:t>provided</w:t>
      </w:r>
      <w:r>
        <w:rPr>
          <w:spacing w:val="-6"/>
        </w:rPr>
        <w:t> </w:t>
      </w:r>
      <w:r>
        <w:rPr/>
        <w:t>in</w:t>
      </w:r>
      <w:r>
        <w:rPr>
          <w:spacing w:val="-6"/>
        </w:rPr>
        <w:t> </w:t>
      </w:r>
      <w:r>
        <w:rPr/>
        <w:t>order </w:t>
      </w:r>
      <w:r>
        <w:rPr/>
        <w:t>to keep all stakeholders on the same page and looking</w:t>
      </w:r>
      <w:r>
        <w:rPr>
          <w:spacing w:val="-27"/>
        </w:rPr>
        <w:t> </w:t>
      </w:r>
      <w:r>
        <w:rPr/>
        <w:t>forward.</w:t>
      </w:r>
    </w:p>
    <w:p>
      <w:pPr>
        <w:spacing w:after="0" w:line="259" w:lineRule="auto"/>
        <w:jc w:val="both"/>
        <w:sectPr>
          <w:type w:val="continuous"/>
          <w:pgSz w:w="12240" w:h="15840"/>
          <w:pgMar w:top="1500" w:bottom="280" w:left="0" w:right="0"/>
        </w:sectPr>
      </w:pPr>
    </w:p>
    <w:p>
      <w:pPr>
        <w:spacing w:line="240" w:lineRule="auto" w:before="0"/>
        <w:ind w:right="0"/>
        <w:rPr>
          <w:rFonts w:ascii="Calibri" w:hAnsi="Calibri" w:cs="Calibri" w:eastAsia="Calibri" w:hint="default"/>
          <w:sz w:val="20"/>
          <w:szCs w:val="20"/>
        </w:rPr>
      </w:pPr>
    </w:p>
    <w:p>
      <w:pPr>
        <w:spacing w:line="240" w:lineRule="auto" w:before="3"/>
        <w:ind w:right="0"/>
        <w:rPr>
          <w:rFonts w:ascii="Calibri" w:hAnsi="Calibri" w:cs="Calibri" w:eastAsia="Calibri" w:hint="default"/>
          <w:sz w:val="26"/>
          <w:szCs w:val="26"/>
        </w:rPr>
      </w:pPr>
    </w:p>
    <w:p>
      <w:pPr>
        <w:pStyle w:val="Heading1"/>
        <w:spacing w:line="240" w:lineRule="auto"/>
        <w:ind w:left="4513" w:right="1463" w:hanging="3037"/>
        <w:jc w:val="left"/>
        <w:rPr>
          <w:b w:val="0"/>
          <w:bCs w:val="0"/>
        </w:rPr>
      </w:pPr>
      <w:bookmarkStart w:name="_bookmark97" w:id="98"/>
      <w:bookmarkEnd w:id="98"/>
      <w:r>
        <w:rPr>
          <w:b w:val="0"/>
          <w:bCs w:val="0"/>
        </w:rPr>
      </w:r>
      <w:r>
        <w:rPr/>
        <w:t>Chapter 6: Profiling Curaçao</w:t>
      </w:r>
      <w:r>
        <w:rPr>
          <w:rFonts w:ascii="Calibri" w:hAnsi="Calibri" w:cs="Calibri" w:eastAsia="Calibri" w:hint="default"/>
        </w:rPr>
        <w:t>’s </w:t>
      </w:r>
      <w:r>
        <w:rPr/>
        <w:t>Tourists, Satisfaction, and Intention to</w:t>
      </w:r>
      <w:r>
        <w:rPr>
          <w:spacing w:val="-8"/>
        </w:rPr>
        <w:t> </w:t>
      </w:r>
      <w:r>
        <w:rPr/>
        <w:t>Return</w:t>
      </w:r>
      <w:r>
        <w:rPr>
          <w:b w:val="0"/>
          <w:bCs w:val="0"/>
        </w:rPr>
      </w:r>
    </w:p>
    <w:p>
      <w:pPr>
        <w:pStyle w:val="Heading2"/>
        <w:spacing w:line="240" w:lineRule="auto" w:before="284"/>
        <w:ind w:right="0"/>
        <w:jc w:val="both"/>
        <w:rPr>
          <w:b w:val="0"/>
          <w:bCs w:val="0"/>
        </w:rPr>
      </w:pPr>
      <w:bookmarkStart w:name="_bookmark98" w:id="99"/>
      <w:bookmarkEnd w:id="99"/>
      <w:r>
        <w:rPr>
          <w:b w:val="0"/>
        </w:rPr>
      </w:r>
      <w:r>
        <w:rPr/>
        <w:t>Demographic tourist</w:t>
      </w:r>
      <w:r>
        <w:rPr>
          <w:spacing w:val="-17"/>
        </w:rPr>
        <w:t> </w:t>
      </w:r>
      <w:r>
        <w:rPr/>
        <w:t>profile</w:t>
      </w:r>
      <w:r>
        <w:rPr>
          <w:b w:val="0"/>
        </w:rPr>
      </w:r>
    </w:p>
    <w:p>
      <w:pPr>
        <w:pStyle w:val="BodyText"/>
        <w:spacing w:line="240" w:lineRule="auto" w:before="189"/>
        <w:ind w:right="1438"/>
        <w:jc w:val="both"/>
      </w:pPr>
      <w:r>
        <w:rPr/>
        <w:t>The</w:t>
      </w:r>
      <w:r>
        <w:rPr>
          <w:spacing w:val="-5"/>
        </w:rPr>
        <w:t> </w:t>
      </w:r>
      <w:r>
        <w:rPr/>
        <w:t>average</w:t>
      </w:r>
      <w:r>
        <w:rPr>
          <w:spacing w:val="-5"/>
        </w:rPr>
        <w:t> </w:t>
      </w:r>
      <w:r>
        <w:rPr/>
        <w:t>tourist</w:t>
      </w:r>
      <w:r>
        <w:rPr>
          <w:spacing w:val="-2"/>
        </w:rPr>
        <w:t> </w:t>
      </w:r>
      <w:r>
        <w:rPr/>
        <w:t>visiting</w:t>
      </w:r>
      <w:r>
        <w:rPr>
          <w:spacing w:val="-1"/>
        </w:rPr>
        <w:t> </w:t>
      </w:r>
      <w:r>
        <w:rPr/>
        <w:t>Curaçao</w:t>
      </w:r>
      <w:r>
        <w:rPr>
          <w:spacing w:val="-3"/>
        </w:rPr>
        <w:t> </w:t>
      </w:r>
      <w:r>
        <w:rPr/>
        <w:t>is</w:t>
      </w:r>
      <w:r>
        <w:rPr>
          <w:spacing w:val="-6"/>
        </w:rPr>
        <w:t> </w:t>
      </w:r>
      <w:r>
        <w:rPr/>
        <w:t>43</w:t>
      </w:r>
      <w:r>
        <w:rPr>
          <w:spacing w:val="-4"/>
        </w:rPr>
        <w:t> </w:t>
      </w:r>
      <w:r>
        <w:rPr/>
        <w:t>years</w:t>
      </w:r>
      <w:r>
        <w:rPr>
          <w:spacing w:val="-5"/>
        </w:rPr>
        <w:t> </w:t>
      </w:r>
      <w:r>
        <w:rPr/>
        <w:t>old,</w:t>
      </w:r>
      <w:r>
        <w:rPr>
          <w:spacing w:val="-4"/>
        </w:rPr>
        <w:t> </w:t>
      </w:r>
      <w:r>
        <w:rPr/>
        <w:t>37%</w:t>
      </w:r>
      <w:r>
        <w:rPr>
          <w:spacing w:val="-5"/>
        </w:rPr>
        <w:t> </w:t>
      </w:r>
      <w:r>
        <w:rPr/>
        <w:t>of</w:t>
      </w:r>
      <w:r>
        <w:rPr>
          <w:spacing w:val="-4"/>
        </w:rPr>
        <w:t> </w:t>
      </w:r>
      <w:r>
        <w:rPr/>
        <w:t>whom</w:t>
      </w:r>
      <w:r>
        <w:rPr>
          <w:spacing w:val="-3"/>
        </w:rPr>
        <w:t> </w:t>
      </w:r>
      <w:r>
        <w:rPr/>
        <w:t>enjoy</w:t>
      </w:r>
      <w:r>
        <w:rPr>
          <w:spacing w:val="-4"/>
        </w:rPr>
        <w:t> </w:t>
      </w:r>
      <w:r>
        <w:rPr/>
        <w:t>an</w:t>
      </w:r>
      <w:r>
        <w:rPr>
          <w:spacing w:val="-3"/>
        </w:rPr>
        <w:t> </w:t>
      </w:r>
      <w:r>
        <w:rPr/>
        <w:t>income</w:t>
      </w:r>
      <w:r>
        <w:rPr>
          <w:spacing w:val="-6"/>
        </w:rPr>
        <w:t> </w:t>
      </w:r>
      <w:r>
        <w:rPr/>
        <w:t>of</w:t>
      </w:r>
      <w:r>
        <w:rPr>
          <w:spacing w:val="-5"/>
        </w:rPr>
        <w:t> </w:t>
      </w:r>
      <w:r>
        <w:rPr/>
        <w:t>over</w:t>
      </w:r>
      <w:r>
        <w:rPr>
          <w:spacing w:val="-4"/>
        </w:rPr>
        <w:t> </w:t>
      </w:r>
      <w:r>
        <w:rPr/>
        <w:t>US$50,000.</w:t>
      </w:r>
      <w:r>
        <w:rPr>
          <w:spacing w:val="3"/>
        </w:rPr>
        <w:t> </w:t>
      </w:r>
      <w:r>
        <w:rPr/>
        <w:t>The</w:t>
      </w:r>
      <w:r>
        <w:rPr>
          <w:spacing w:val="-5"/>
        </w:rPr>
        <w:t> </w:t>
      </w:r>
      <w:r>
        <w:rPr/>
        <w:t>tourist</w:t>
      </w:r>
      <w:r>
        <w:rPr>
          <w:spacing w:val="-4"/>
        </w:rPr>
        <w:t> </w:t>
      </w:r>
      <w:r>
        <w:rPr/>
        <w:t>is </w:t>
      </w:r>
      <w:r>
        <w:rPr/>
        <w:t>relatively</w:t>
      </w:r>
      <w:r>
        <w:rPr>
          <w:spacing w:val="-7"/>
        </w:rPr>
        <w:t> </w:t>
      </w:r>
      <w:r>
        <w:rPr/>
        <w:t>well</w:t>
      </w:r>
      <w:r>
        <w:rPr>
          <w:spacing w:val="-5"/>
        </w:rPr>
        <w:t> </w:t>
      </w:r>
      <w:r>
        <w:rPr/>
        <w:t>educated</w:t>
      </w:r>
      <w:r>
        <w:rPr>
          <w:spacing w:val="-7"/>
        </w:rPr>
        <w:t> </w:t>
      </w:r>
      <w:r>
        <w:rPr/>
        <w:t>with</w:t>
      </w:r>
      <w:r>
        <w:rPr>
          <w:spacing w:val="-5"/>
        </w:rPr>
        <w:t> </w:t>
      </w:r>
      <w:r>
        <w:rPr/>
        <w:t>79%</w:t>
      </w:r>
      <w:r>
        <w:rPr>
          <w:spacing w:val="-9"/>
        </w:rPr>
        <w:t> </w:t>
      </w:r>
      <w:r>
        <w:rPr/>
        <w:t>having</w:t>
      </w:r>
      <w:r>
        <w:rPr>
          <w:spacing w:val="-8"/>
        </w:rPr>
        <w:t> </w:t>
      </w:r>
      <w:r>
        <w:rPr/>
        <w:t>a</w:t>
      </w:r>
      <w:r>
        <w:rPr>
          <w:spacing w:val="-7"/>
        </w:rPr>
        <w:t> </w:t>
      </w:r>
      <w:r>
        <w:rPr/>
        <w:t>college</w:t>
      </w:r>
      <w:r>
        <w:rPr>
          <w:spacing w:val="-7"/>
        </w:rPr>
        <w:t> </w:t>
      </w:r>
      <w:r>
        <w:rPr/>
        <w:t>degree</w:t>
      </w:r>
      <w:r>
        <w:rPr>
          <w:spacing w:val="-6"/>
        </w:rPr>
        <w:t> </w:t>
      </w:r>
      <w:r>
        <w:rPr/>
        <w:t>(including</w:t>
      </w:r>
      <w:r>
        <w:rPr>
          <w:spacing w:val="-8"/>
        </w:rPr>
        <w:t> </w:t>
      </w:r>
      <w:r>
        <w:rPr/>
        <w:t>professional</w:t>
      </w:r>
      <w:r>
        <w:rPr>
          <w:spacing w:val="-7"/>
        </w:rPr>
        <w:t> </w:t>
      </w:r>
      <w:r>
        <w:rPr/>
        <w:t>formation,</w:t>
      </w:r>
      <w:r>
        <w:rPr>
          <w:spacing w:val="-7"/>
        </w:rPr>
        <w:t> </w:t>
      </w:r>
      <w:r>
        <w:rPr/>
        <w:t>bachelor,</w:t>
      </w:r>
      <w:r>
        <w:rPr>
          <w:spacing w:val="-7"/>
        </w:rPr>
        <w:t> </w:t>
      </w:r>
      <w:r>
        <w:rPr/>
        <w:t>and</w:t>
      </w:r>
      <w:r>
        <w:rPr>
          <w:spacing w:val="-7"/>
        </w:rPr>
        <w:t> </w:t>
      </w:r>
      <w:r>
        <w:rPr/>
        <w:t>graduate </w:t>
      </w:r>
      <w:r>
        <w:rPr/>
        <w:t>degrees). Approximately, 40% are married with kids, and have visited Curaçao multiple times. Sixty percent are repeat visitors and 39.7% visited Curaçao for the first</w:t>
      </w:r>
      <w:r>
        <w:rPr>
          <w:spacing w:val="-19"/>
        </w:rPr>
        <w:t> </w:t>
      </w:r>
      <w:r>
        <w:rPr/>
        <w:t>time.</w:t>
      </w:r>
    </w:p>
    <w:p>
      <w:pPr>
        <w:spacing w:line="240" w:lineRule="auto" w:before="1"/>
        <w:ind w:right="0"/>
        <w:rPr>
          <w:rFonts w:ascii="Calibri" w:hAnsi="Calibri" w:cs="Calibri" w:eastAsia="Calibri" w:hint="default"/>
          <w:sz w:val="20"/>
          <w:szCs w:val="20"/>
        </w:rPr>
      </w:pPr>
    </w:p>
    <w:p>
      <w:pPr>
        <w:pStyle w:val="BodyText"/>
        <w:spacing w:line="240" w:lineRule="auto"/>
        <w:ind w:right="1437"/>
        <w:jc w:val="both"/>
      </w:pPr>
      <w:r>
        <w:rPr/>
        <w:t>There are some significant differences among age groups and income brackets. Hence, 22.2% of the age group between 18 and 38 years old have an income of less than US$25,000; 21.5% of the group between 39 and 54 years old have an income of over US$100,000; while the age group older than 55 years has the highest income level with 22.1% being over US$100,000. In terms of spending, there is no significant difference between Generation X (39 to 54 years old) which spent US$1,135.86 per person while in Curaçao when compared to Baby Boomers (older than 55 years old) with US$1,208.14 per person. However, a significant difference </w:t>
      </w:r>
      <w:r>
        <w:rPr>
          <w:spacing w:val="2"/>
        </w:rPr>
        <w:t>lies </w:t>
      </w:r>
      <w:r>
        <w:rPr/>
        <w:t>when compared to the younger </w:t>
      </w:r>
      <w:r>
        <w:rPr/>
        <w:t>Generation</w:t>
      </w:r>
      <w:r>
        <w:rPr>
          <w:spacing w:val="-3"/>
        </w:rPr>
        <w:t> </w:t>
      </w:r>
      <w:r>
        <w:rPr/>
        <w:t>Y</w:t>
      </w:r>
      <w:r>
        <w:rPr>
          <w:spacing w:val="-1"/>
        </w:rPr>
        <w:t> </w:t>
      </w:r>
      <w:r>
        <w:rPr/>
        <w:t>(18</w:t>
      </w:r>
      <w:r>
        <w:rPr>
          <w:spacing w:val="-4"/>
        </w:rPr>
        <w:t> </w:t>
      </w:r>
      <w:r>
        <w:rPr/>
        <w:t>to</w:t>
      </w:r>
      <w:r>
        <w:rPr>
          <w:spacing w:val="-3"/>
        </w:rPr>
        <w:t> </w:t>
      </w:r>
      <w:r>
        <w:rPr/>
        <w:t>38</w:t>
      </w:r>
      <w:r>
        <w:rPr>
          <w:spacing w:val="-3"/>
        </w:rPr>
        <w:t> </w:t>
      </w:r>
      <w:r>
        <w:rPr/>
        <w:t>years</w:t>
      </w:r>
      <w:r>
        <w:rPr>
          <w:spacing w:val="-2"/>
        </w:rPr>
        <w:t> </w:t>
      </w:r>
      <w:r>
        <w:rPr/>
        <w:t>old)</w:t>
      </w:r>
      <w:r>
        <w:rPr>
          <w:spacing w:val="-4"/>
        </w:rPr>
        <w:t> </w:t>
      </w:r>
      <w:r>
        <w:rPr/>
        <w:t>which</w:t>
      </w:r>
      <w:r>
        <w:rPr>
          <w:spacing w:val="-3"/>
        </w:rPr>
        <w:t> </w:t>
      </w:r>
      <w:r>
        <w:rPr/>
        <w:t>only</w:t>
      </w:r>
      <w:r>
        <w:rPr>
          <w:spacing w:val="-3"/>
        </w:rPr>
        <w:t> </w:t>
      </w:r>
      <w:r>
        <w:rPr/>
        <w:t>spent</w:t>
      </w:r>
      <w:r>
        <w:rPr>
          <w:spacing w:val="-3"/>
        </w:rPr>
        <w:t> </w:t>
      </w:r>
      <w:r>
        <w:rPr/>
        <w:t>US$887.63</w:t>
      </w:r>
      <w:r>
        <w:rPr>
          <w:spacing w:val="-3"/>
        </w:rPr>
        <w:t> </w:t>
      </w:r>
      <w:r>
        <w:rPr/>
        <w:t>per</w:t>
      </w:r>
      <w:r>
        <w:rPr>
          <w:spacing w:val="-3"/>
        </w:rPr>
        <w:t> </w:t>
      </w:r>
      <w:r>
        <w:rPr/>
        <w:t>person</w:t>
      </w:r>
      <w:r>
        <w:rPr>
          <w:spacing w:val="-3"/>
        </w:rPr>
        <w:t> </w:t>
      </w:r>
      <w:r>
        <w:rPr/>
        <w:t>during</w:t>
      </w:r>
      <w:r>
        <w:rPr>
          <w:spacing w:val="-4"/>
        </w:rPr>
        <w:t> </w:t>
      </w:r>
      <w:r>
        <w:rPr/>
        <w:t>the</w:t>
      </w:r>
      <w:r>
        <w:rPr>
          <w:spacing w:val="-4"/>
        </w:rPr>
        <w:t> </w:t>
      </w:r>
      <w:r>
        <w:rPr/>
        <w:t>timespan</w:t>
      </w:r>
      <w:r>
        <w:rPr>
          <w:spacing w:val="-2"/>
        </w:rPr>
        <w:t> </w:t>
      </w:r>
      <w:r>
        <w:rPr/>
        <w:t>of</w:t>
      </w:r>
      <w:r>
        <w:rPr>
          <w:spacing w:val="-5"/>
        </w:rPr>
        <w:t> </w:t>
      </w:r>
      <w:r>
        <w:rPr/>
        <w:t>their</w:t>
      </w:r>
      <w:r>
        <w:rPr>
          <w:spacing w:val="-4"/>
        </w:rPr>
        <w:t> </w:t>
      </w:r>
      <w:r>
        <w:rPr/>
        <w:t>visit.</w:t>
      </w:r>
    </w:p>
    <w:p>
      <w:pPr>
        <w:spacing w:line="240" w:lineRule="auto" w:before="1"/>
        <w:ind w:right="0"/>
        <w:rPr>
          <w:rFonts w:ascii="Calibri" w:hAnsi="Calibri" w:cs="Calibri" w:eastAsia="Calibri" w:hint="default"/>
          <w:sz w:val="20"/>
          <w:szCs w:val="20"/>
        </w:rPr>
      </w:pPr>
    </w:p>
    <w:p>
      <w:pPr>
        <w:pStyle w:val="BodyText"/>
        <w:spacing w:line="240" w:lineRule="auto"/>
        <w:ind w:right="1438"/>
        <w:jc w:val="both"/>
      </w:pPr>
      <w:r>
        <w:rPr/>
        <w:t>The destination has a large contingency of representatives of Gen Y consuming the Curaçao product. For example, more</w:t>
      </w:r>
      <w:r>
        <w:rPr>
          <w:spacing w:val="-8"/>
        </w:rPr>
        <w:t> </w:t>
      </w:r>
      <w:r>
        <w:rPr/>
        <w:t>than</w:t>
      </w:r>
      <w:r>
        <w:rPr>
          <w:spacing w:val="-7"/>
        </w:rPr>
        <w:t> </w:t>
      </w:r>
      <w:r>
        <w:rPr/>
        <w:t>one-third</w:t>
      </w:r>
      <w:r>
        <w:rPr>
          <w:spacing w:val="-7"/>
        </w:rPr>
        <w:t> </w:t>
      </w:r>
      <w:r>
        <w:rPr/>
        <w:t>of</w:t>
      </w:r>
      <w:r>
        <w:rPr>
          <w:spacing w:val="-8"/>
        </w:rPr>
        <w:t> </w:t>
      </w:r>
      <w:r>
        <w:rPr/>
        <w:t>Dutch</w:t>
      </w:r>
      <w:r>
        <w:rPr>
          <w:spacing w:val="-3"/>
        </w:rPr>
        <w:t> </w:t>
      </w:r>
      <w:r>
        <w:rPr/>
        <w:t>visitors</w:t>
      </w:r>
      <w:r>
        <w:rPr>
          <w:spacing w:val="-8"/>
        </w:rPr>
        <w:t> </w:t>
      </w:r>
      <w:r>
        <w:rPr/>
        <w:t>arriving</w:t>
      </w:r>
      <w:r>
        <w:rPr>
          <w:spacing w:val="-8"/>
        </w:rPr>
        <w:t> </w:t>
      </w:r>
      <w:r>
        <w:rPr/>
        <w:t>to</w:t>
      </w:r>
      <w:r>
        <w:rPr>
          <w:spacing w:val="-7"/>
        </w:rPr>
        <w:t> </w:t>
      </w:r>
      <w:r>
        <w:rPr/>
        <w:t>Curacao</w:t>
      </w:r>
      <w:r>
        <w:rPr>
          <w:spacing w:val="-6"/>
        </w:rPr>
        <w:t> </w:t>
      </w:r>
      <w:r>
        <w:rPr/>
        <w:t>belong</w:t>
      </w:r>
      <w:r>
        <w:rPr>
          <w:spacing w:val="-8"/>
        </w:rPr>
        <w:t> </w:t>
      </w:r>
      <w:r>
        <w:rPr/>
        <w:t>to</w:t>
      </w:r>
      <w:r>
        <w:rPr>
          <w:spacing w:val="-7"/>
        </w:rPr>
        <w:t> </w:t>
      </w:r>
      <w:r>
        <w:rPr/>
        <w:t>Generation</w:t>
      </w:r>
      <w:r>
        <w:rPr>
          <w:spacing w:val="-7"/>
        </w:rPr>
        <w:t> </w:t>
      </w:r>
      <w:r>
        <w:rPr/>
        <w:t>Y.</w:t>
      </w:r>
      <w:r>
        <w:rPr>
          <w:spacing w:val="-5"/>
        </w:rPr>
        <w:t> </w:t>
      </w:r>
      <w:r>
        <w:rPr/>
        <w:t>This</w:t>
      </w:r>
      <w:r>
        <w:rPr>
          <w:spacing w:val="-8"/>
        </w:rPr>
        <w:t> </w:t>
      </w:r>
      <w:r>
        <w:rPr/>
        <w:t>large</w:t>
      </w:r>
      <w:r>
        <w:rPr>
          <w:spacing w:val="-8"/>
        </w:rPr>
        <w:t> </w:t>
      </w:r>
      <w:r>
        <w:rPr/>
        <w:t>presence</w:t>
      </w:r>
      <w:r>
        <w:rPr>
          <w:spacing w:val="-8"/>
        </w:rPr>
        <w:t> </w:t>
      </w:r>
      <w:r>
        <w:rPr/>
        <w:t>of</w:t>
      </w:r>
      <w:r>
        <w:rPr>
          <w:spacing w:val="-8"/>
        </w:rPr>
        <w:t> </w:t>
      </w:r>
      <w:r>
        <w:rPr/>
        <w:t>the</w:t>
      </w:r>
      <w:r>
        <w:rPr>
          <w:spacing w:val="-8"/>
        </w:rPr>
        <w:t> </w:t>
      </w:r>
      <w:r>
        <w:rPr/>
        <w:t>younger </w:t>
      </w:r>
      <w:r>
        <w:rPr/>
        <w:t>generation</w:t>
      </w:r>
      <w:r>
        <w:rPr>
          <w:spacing w:val="-2"/>
        </w:rPr>
        <w:t> </w:t>
      </w:r>
      <w:r>
        <w:rPr/>
        <w:t>that</w:t>
      </w:r>
      <w:r>
        <w:rPr>
          <w:spacing w:val="-2"/>
        </w:rPr>
        <w:t> </w:t>
      </w:r>
      <w:r>
        <w:rPr/>
        <w:t>is</w:t>
      </w:r>
      <w:r>
        <w:rPr>
          <w:spacing w:val="-5"/>
        </w:rPr>
        <w:t> </w:t>
      </w:r>
      <w:r>
        <w:rPr/>
        <w:t>spending</w:t>
      </w:r>
      <w:r>
        <w:rPr>
          <w:spacing w:val="-4"/>
        </w:rPr>
        <w:t> </w:t>
      </w:r>
      <w:r>
        <w:rPr/>
        <w:t>less</w:t>
      </w:r>
      <w:r>
        <w:rPr>
          <w:spacing w:val="-2"/>
        </w:rPr>
        <w:t> </w:t>
      </w:r>
      <w:r>
        <w:rPr/>
        <w:t>while</w:t>
      </w:r>
      <w:r>
        <w:rPr>
          <w:spacing w:val="-5"/>
        </w:rPr>
        <w:t> </w:t>
      </w:r>
      <w:r>
        <w:rPr/>
        <w:t>in</w:t>
      </w:r>
      <w:r>
        <w:rPr>
          <w:spacing w:val="-3"/>
        </w:rPr>
        <w:t> </w:t>
      </w:r>
      <w:r>
        <w:rPr/>
        <w:t>Curacao</w:t>
      </w:r>
      <w:r>
        <w:rPr>
          <w:spacing w:val="-3"/>
        </w:rPr>
        <w:t> </w:t>
      </w:r>
      <w:r>
        <w:rPr/>
        <w:t>is</w:t>
      </w:r>
      <w:r>
        <w:rPr>
          <w:spacing w:val="-5"/>
        </w:rPr>
        <w:t> </w:t>
      </w:r>
      <w:r>
        <w:rPr/>
        <w:t>affecting</w:t>
      </w:r>
      <w:r>
        <w:rPr>
          <w:spacing w:val="-4"/>
        </w:rPr>
        <w:t> </w:t>
      </w:r>
      <w:r>
        <w:rPr/>
        <w:t>the</w:t>
      </w:r>
      <w:r>
        <w:rPr>
          <w:spacing w:val="-4"/>
        </w:rPr>
        <w:t> </w:t>
      </w:r>
      <w:r>
        <w:rPr/>
        <w:t>total</w:t>
      </w:r>
      <w:r>
        <w:rPr>
          <w:spacing w:val="-4"/>
        </w:rPr>
        <w:t> </w:t>
      </w:r>
      <w:r>
        <w:rPr/>
        <w:t>tourist</w:t>
      </w:r>
      <w:r>
        <w:rPr>
          <w:spacing w:val="-3"/>
        </w:rPr>
        <w:t> </w:t>
      </w:r>
      <w:r>
        <w:rPr/>
        <w:t>spending</w:t>
      </w:r>
      <w:r>
        <w:rPr>
          <w:spacing w:val="-4"/>
        </w:rPr>
        <w:t> </w:t>
      </w:r>
      <w:r>
        <w:rPr/>
        <w:t>on</w:t>
      </w:r>
      <w:r>
        <w:rPr>
          <w:spacing w:val="-3"/>
        </w:rPr>
        <w:t> </w:t>
      </w:r>
      <w:r>
        <w:rPr/>
        <w:t>the</w:t>
      </w:r>
      <w:r>
        <w:rPr>
          <w:spacing w:val="-4"/>
        </w:rPr>
        <w:t> </w:t>
      </w:r>
      <w:r>
        <w:rPr/>
        <w:t>island.</w:t>
      </w:r>
    </w:p>
    <w:p>
      <w:pPr>
        <w:spacing w:line="240" w:lineRule="auto" w:before="1"/>
        <w:ind w:right="0"/>
        <w:rPr>
          <w:rFonts w:ascii="Calibri" w:hAnsi="Calibri" w:cs="Calibri" w:eastAsia="Calibri" w:hint="default"/>
          <w:sz w:val="20"/>
          <w:szCs w:val="20"/>
        </w:rPr>
      </w:pPr>
    </w:p>
    <w:p>
      <w:pPr>
        <w:pStyle w:val="BodyText"/>
        <w:spacing w:line="240" w:lineRule="auto"/>
        <w:ind w:right="1439"/>
        <w:jc w:val="both"/>
      </w:pPr>
      <w:r>
        <w:rPr/>
        <w:t>In terms of purpose of visit (Table 26), 86.4% said they came to Curaçao on a vacation or pleasure trip, 3.4% said they</w:t>
      </w:r>
      <w:r>
        <w:rPr>
          <w:spacing w:val="-8"/>
        </w:rPr>
        <w:t> </w:t>
      </w:r>
      <w:r>
        <w:rPr/>
        <w:t>came</w:t>
      </w:r>
      <w:r>
        <w:rPr>
          <w:spacing w:val="-8"/>
        </w:rPr>
        <w:t> </w:t>
      </w:r>
      <w:r>
        <w:rPr/>
        <w:t>specifically</w:t>
      </w:r>
      <w:r>
        <w:rPr>
          <w:spacing w:val="-8"/>
        </w:rPr>
        <w:t> </w:t>
      </w:r>
      <w:r>
        <w:rPr/>
        <w:t>for</w:t>
      </w:r>
      <w:r>
        <w:rPr>
          <w:spacing w:val="-7"/>
        </w:rPr>
        <w:t> </w:t>
      </w:r>
      <w:r>
        <w:rPr/>
        <w:t>shopping,</w:t>
      </w:r>
      <w:r>
        <w:rPr>
          <w:spacing w:val="-9"/>
        </w:rPr>
        <w:t> </w:t>
      </w:r>
      <w:r>
        <w:rPr/>
        <w:t>6.9%</w:t>
      </w:r>
      <w:r>
        <w:rPr>
          <w:spacing w:val="-8"/>
        </w:rPr>
        <w:t> </w:t>
      </w:r>
      <w:r>
        <w:rPr/>
        <w:t>for</w:t>
      </w:r>
      <w:r>
        <w:rPr>
          <w:spacing w:val="-9"/>
        </w:rPr>
        <w:t> </w:t>
      </w:r>
      <w:r>
        <w:rPr/>
        <w:t>cultural</w:t>
      </w:r>
      <w:r>
        <w:rPr>
          <w:spacing w:val="-9"/>
        </w:rPr>
        <w:t> </w:t>
      </w:r>
      <w:r>
        <w:rPr/>
        <w:t>tourism,</w:t>
      </w:r>
      <w:r>
        <w:rPr>
          <w:spacing w:val="-9"/>
        </w:rPr>
        <w:t> </w:t>
      </w:r>
      <w:r>
        <w:rPr/>
        <w:t>3.9%</w:t>
      </w:r>
      <w:r>
        <w:rPr>
          <w:spacing w:val="-10"/>
        </w:rPr>
        <w:t> </w:t>
      </w:r>
      <w:r>
        <w:rPr/>
        <w:t>for</w:t>
      </w:r>
      <w:r>
        <w:rPr>
          <w:spacing w:val="-7"/>
        </w:rPr>
        <w:t> </w:t>
      </w:r>
      <w:r>
        <w:rPr/>
        <w:t>wedding</w:t>
      </w:r>
      <w:r>
        <w:rPr>
          <w:spacing w:val="-9"/>
        </w:rPr>
        <w:t> </w:t>
      </w:r>
      <w:r>
        <w:rPr/>
        <w:t>and</w:t>
      </w:r>
      <w:r>
        <w:rPr>
          <w:spacing w:val="-9"/>
        </w:rPr>
        <w:t> </w:t>
      </w:r>
      <w:r>
        <w:rPr/>
        <w:t>anniversaries,</w:t>
      </w:r>
      <w:r>
        <w:rPr>
          <w:spacing w:val="-9"/>
        </w:rPr>
        <w:t> </w:t>
      </w:r>
      <w:r>
        <w:rPr/>
        <w:t>1.4%</w:t>
      </w:r>
      <w:r>
        <w:rPr>
          <w:spacing w:val="-8"/>
        </w:rPr>
        <w:t> </w:t>
      </w:r>
      <w:r>
        <w:rPr/>
        <w:t>for</w:t>
      </w:r>
      <w:r>
        <w:rPr>
          <w:spacing w:val="-9"/>
        </w:rPr>
        <w:t> </w:t>
      </w:r>
      <w:r>
        <w:rPr/>
        <w:t>a</w:t>
      </w:r>
      <w:r>
        <w:rPr>
          <w:spacing w:val="-6"/>
        </w:rPr>
        <w:t> </w:t>
      </w:r>
      <w:r>
        <w:rPr/>
        <w:t>special </w:t>
      </w:r>
      <w:r>
        <w:rPr/>
        <w:t>event, 9% visiting friends and families, and 6.1% for business. The overwhelming majority, 61.8%, came specifically for the warm weather and beaches. Although sun and beach tourism is the dominant purpose of the trip for both those who had at least one previous experience on the island and those who traveled to Curaçao for the first time, only</w:t>
      </w:r>
      <w:r>
        <w:rPr>
          <w:spacing w:val="-2"/>
        </w:rPr>
        <w:t> </w:t>
      </w:r>
      <w:r>
        <w:rPr/>
        <w:t>57%</w:t>
      </w:r>
      <w:r>
        <w:rPr>
          <w:spacing w:val="-3"/>
        </w:rPr>
        <w:t> </w:t>
      </w:r>
      <w:r>
        <w:rPr/>
        <w:t>of</w:t>
      </w:r>
      <w:r>
        <w:rPr>
          <w:spacing w:val="-4"/>
        </w:rPr>
        <w:t> </w:t>
      </w:r>
      <w:r>
        <w:rPr/>
        <w:t>repeat</w:t>
      </w:r>
      <w:r>
        <w:rPr>
          <w:spacing w:val="1"/>
        </w:rPr>
        <w:t> </w:t>
      </w:r>
      <w:r>
        <w:rPr/>
        <w:t>visitors</w:t>
      </w:r>
      <w:r>
        <w:rPr>
          <w:spacing w:val="-4"/>
        </w:rPr>
        <w:t> </w:t>
      </w:r>
      <w:r>
        <w:rPr/>
        <w:t>said</w:t>
      </w:r>
      <w:r>
        <w:rPr>
          <w:spacing w:val="-2"/>
        </w:rPr>
        <w:t> </w:t>
      </w:r>
      <w:r>
        <w:rPr/>
        <w:t>that</w:t>
      </w:r>
      <w:r>
        <w:rPr>
          <w:spacing w:val="-2"/>
        </w:rPr>
        <w:t> </w:t>
      </w:r>
      <w:r>
        <w:rPr/>
        <w:t>they</w:t>
      </w:r>
      <w:r>
        <w:rPr>
          <w:spacing w:val="-2"/>
        </w:rPr>
        <w:t> </w:t>
      </w:r>
      <w:r>
        <w:rPr/>
        <w:t>came</w:t>
      </w:r>
      <w:r>
        <w:rPr>
          <w:spacing w:val="-3"/>
        </w:rPr>
        <w:t> </w:t>
      </w:r>
      <w:r>
        <w:rPr/>
        <w:t>for</w:t>
      </w:r>
      <w:r>
        <w:rPr>
          <w:spacing w:val="-2"/>
        </w:rPr>
        <w:t> </w:t>
      </w:r>
      <w:r>
        <w:rPr/>
        <w:t>this</w:t>
      </w:r>
      <w:r>
        <w:rPr>
          <w:spacing w:val="-4"/>
        </w:rPr>
        <w:t> </w:t>
      </w:r>
      <w:r>
        <w:rPr/>
        <w:t>purpose,</w:t>
      </w:r>
      <w:r>
        <w:rPr>
          <w:spacing w:val="-2"/>
        </w:rPr>
        <w:t> </w:t>
      </w:r>
      <w:r>
        <w:rPr/>
        <w:t>while</w:t>
      </w:r>
      <w:r>
        <w:rPr>
          <w:spacing w:val="-3"/>
        </w:rPr>
        <w:t> </w:t>
      </w:r>
      <w:r>
        <w:rPr/>
        <w:t>68.8%</w:t>
      </w:r>
      <w:r>
        <w:rPr>
          <w:spacing w:val="-3"/>
        </w:rPr>
        <w:t> </w:t>
      </w:r>
      <w:r>
        <w:rPr/>
        <w:t>of</w:t>
      </w:r>
      <w:r>
        <w:rPr>
          <w:spacing w:val="-4"/>
        </w:rPr>
        <w:t> </w:t>
      </w:r>
      <w:r>
        <w:rPr/>
        <w:t>first-timers</w:t>
      </w:r>
      <w:r>
        <w:rPr>
          <w:spacing w:val="-4"/>
        </w:rPr>
        <w:t> </w:t>
      </w:r>
      <w:r>
        <w:rPr/>
        <w:t>came</w:t>
      </w:r>
      <w:r>
        <w:rPr>
          <w:spacing w:val="-3"/>
        </w:rPr>
        <w:t> </w:t>
      </w:r>
      <w:r>
        <w:rPr/>
        <w:t>for</w:t>
      </w:r>
      <w:r>
        <w:rPr>
          <w:spacing w:val="-2"/>
        </w:rPr>
        <w:t> </w:t>
      </w:r>
      <w:r>
        <w:rPr/>
        <w:t>sun</w:t>
      </w:r>
      <w:r>
        <w:rPr>
          <w:spacing w:val="-2"/>
        </w:rPr>
        <w:t> </w:t>
      </w:r>
      <w:r>
        <w:rPr/>
        <w:t>and</w:t>
      </w:r>
      <w:r>
        <w:rPr>
          <w:spacing w:val="-2"/>
        </w:rPr>
        <w:t> </w:t>
      </w:r>
      <w:r>
        <w:rPr/>
        <w:t>beach </w:t>
      </w:r>
      <w:r>
        <w:rPr/>
        <w:t>tourism.</w:t>
      </w:r>
    </w:p>
    <w:p>
      <w:pPr>
        <w:pStyle w:val="Heading9"/>
        <w:tabs>
          <w:tab w:pos="5055" w:val="left" w:leader="none"/>
          <w:tab w:pos="10725" w:val="left" w:leader="none"/>
        </w:tabs>
        <w:spacing w:line="240" w:lineRule="auto"/>
        <w:ind w:left="1517" w:right="0"/>
        <w:jc w:val="both"/>
        <w:rPr>
          <w:b w:val="0"/>
          <w:bCs w:val="0"/>
        </w:rPr>
      </w:pPr>
      <w:bookmarkStart w:name="_bookmark99" w:id="100"/>
      <w:bookmarkEnd w:id="100"/>
      <w:r>
        <w:rPr>
          <w:b w:val="0"/>
        </w:rPr>
      </w:r>
      <w:r>
        <w:rPr>
          <w:w w:val="99"/>
        </w:rPr>
      </w:r>
      <w:r>
        <w:rPr>
          <w:w w:val="99"/>
          <w:u w:val="single" w:color="000000"/>
        </w:rPr>
        <w:t> </w:t>
      </w:r>
      <w:r>
        <w:rPr>
          <w:u w:val="single" w:color="000000"/>
        </w:rPr>
        <w:tab/>
        <w:t>Table 26:  Purpose of</w:t>
      </w:r>
      <w:r>
        <w:rPr>
          <w:spacing w:val="-18"/>
          <w:u w:val="single" w:color="000000"/>
        </w:rPr>
        <w:t> </w:t>
      </w:r>
      <w:r>
        <w:rPr>
          <w:u w:val="single" w:color="000000"/>
        </w:rPr>
        <w:t>visit</w:t>
        <w:tab/>
      </w:r>
      <w:r>
        <w:rPr/>
      </w:r>
      <w:r>
        <w:rPr>
          <w:b w:val="0"/>
        </w:rPr>
      </w:r>
    </w:p>
    <w:p>
      <w:pPr>
        <w:spacing w:line="240" w:lineRule="auto" w:before="2"/>
        <w:ind w:right="0"/>
        <w:rPr>
          <w:rFonts w:ascii="Calibri" w:hAnsi="Calibri" w:cs="Calibri" w:eastAsia="Calibri" w:hint="default"/>
          <w:b/>
          <w:bCs/>
          <w:sz w:val="8"/>
          <w:szCs w:val="8"/>
        </w:rPr>
      </w:pPr>
    </w:p>
    <w:tbl>
      <w:tblPr>
        <w:tblW w:w="0" w:type="auto"/>
        <w:jc w:val="left"/>
        <w:tblInd w:w="1502" w:type="dxa"/>
        <w:tblLayout w:type="fixed"/>
        <w:tblCellMar>
          <w:top w:w="0" w:type="dxa"/>
          <w:left w:w="0" w:type="dxa"/>
          <w:bottom w:w="0" w:type="dxa"/>
          <w:right w:w="0" w:type="dxa"/>
        </w:tblCellMar>
        <w:tblLook w:val="01E0"/>
      </w:tblPr>
      <w:tblGrid>
        <w:gridCol w:w="5070"/>
        <w:gridCol w:w="4152"/>
      </w:tblGrid>
      <w:tr>
        <w:trPr>
          <w:trHeight w:val="224" w:hRule="exact"/>
        </w:trPr>
        <w:tc>
          <w:tcPr>
            <w:tcW w:w="9222" w:type="dxa"/>
            <w:gridSpan w:val="2"/>
            <w:tcBorders>
              <w:top w:val="nil" w:sz="6" w:space="0" w:color="auto"/>
              <w:left w:val="nil" w:sz="6" w:space="0" w:color="auto"/>
              <w:bottom w:val="nil" w:sz="6" w:space="0" w:color="auto"/>
              <w:right w:val="nil" w:sz="6" w:space="0" w:color="auto"/>
            </w:tcBorders>
          </w:tcPr>
          <w:p>
            <w:pPr>
              <w:pStyle w:val="TableParagraph"/>
              <w:tabs>
                <w:tab w:pos="8327" w:val="left" w:leader="none"/>
                <w:tab w:pos="9222" w:val="left" w:leader="none"/>
              </w:tabs>
              <w:spacing w:line="203" w:lineRule="exact"/>
              <w:ind w:left="14" w:right="0"/>
              <w:jc w:val="left"/>
              <w:rPr>
                <w:rFonts w:ascii="Calibri" w:hAnsi="Calibri" w:cs="Calibri" w:eastAsia="Calibri" w:hint="default"/>
                <w:sz w:val="20"/>
                <w:szCs w:val="20"/>
              </w:rPr>
            </w:pPr>
            <w:r>
              <w:rPr>
                <w:rFonts w:ascii="Calibri"/>
                <w:b/>
                <w:w w:val="99"/>
                <w:sz w:val="20"/>
              </w:rPr>
            </w:r>
            <w:r>
              <w:rPr>
                <w:rFonts w:ascii="Calibri"/>
                <w:b/>
                <w:w w:val="99"/>
                <w:sz w:val="20"/>
                <w:u w:val="single" w:color="000000"/>
              </w:rPr>
              <w:t> </w:t>
            </w:r>
            <w:r>
              <w:rPr>
                <w:rFonts w:ascii="Calibri"/>
                <w:b/>
                <w:sz w:val="20"/>
                <w:u w:val="single" w:color="000000"/>
              </w:rPr>
              <w:tab/>
              <w:t>%</w:t>
              <w:tab/>
            </w:r>
            <w:r>
              <w:rPr>
                <w:rFonts w:ascii="Calibri"/>
                <w:b/>
                <w:sz w:val="20"/>
              </w:rPr>
            </w:r>
            <w:r>
              <w:rPr>
                <w:rFonts w:ascii="Calibri"/>
                <w:sz w:val="20"/>
              </w:rPr>
            </w:r>
          </w:p>
        </w:tc>
      </w:tr>
      <w:tr>
        <w:trPr>
          <w:trHeight w:val="224" w:hRule="exact"/>
        </w:trPr>
        <w:tc>
          <w:tcPr>
            <w:tcW w:w="5070" w:type="dxa"/>
            <w:tcBorders>
              <w:top w:val="nil" w:sz="6" w:space="0" w:color="auto"/>
              <w:left w:val="nil" w:sz="6" w:space="0" w:color="auto"/>
              <w:bottom w:val="nil" w:sz="6" w:space="0" w:color="auto"/>
              <w:right w:val="nil" w:sz="6" w:space="0" w:color="auto"/>
            </w:tcBorders>
          </w:tcPr>
          <w:p>
            <w:pPr>
              <w:pStyle w:val="TableParagraph"/>
              <w:spacing w:line="209" w:lineRule="exact"/>
              <w:ind w:left="122" w:right="0"/>
              <w:jc w:val="left"/>
              <w:rPr>
                <w:rFonts w:ascii="Calibri" w:hAnsi="Calibri" w:cs="Calibri" w:eastAsia="Calibri" w:hint="default"/>
                <w:sz w:val="18"/>
                <w:szCs w:val="18"/>
              </w:rPr>
            </w:pPr>
            <w:r>
              <w:rPr>
                <w:rFonts w:ascii="Calibri"/>
                <w:sz w:val="18"/>
              </w:rPr>
              <w:t>Business</w:t>
            </w:r>
          </w:p>
        </w:tc>
        <w:tc>
          <w:tcPr>
            <w:tcW w:w="4152" w:type="dxa"/>
            <w:tcBorders>
              <w:top w:val="nil" w:sz="6" w:space="0" w:color="auto"/>
              <w:left w:val="nil" w:sz="6" w:space="0" w:color="auto"/>
              <w:bottom w:val="nil" w:sz="6" w:space="0" w:color="auto"/>
              <w:right w:val="nil" w:sz="6" w:space="0" w:color="auto"/>
            </w:tcBorders>
          </w:tcPr>
          <w:p>
            <w:pPr>
              <w:pStyle w:val="TableParagraph"/>
              <w:spacing w:line="209" w:lineRule="exact"/>
              <w:ind w:right="596"/>
              <w:jc w:val="right"/>
              <w:rPr>
                <w:rFonts w:ascii="Calibri" w:hAnsi="Calibri" w:cs="Calibri" w:eastAsia="Calibri" w:hint="default"/>
                <w:sz w:val="18"/>
                <w:szCs w:val="18"/>
              </w:rPr>
            </w:pPr>
            <w:r>
              <w:rPr>
                <w:rFonts w:ascii="Calibri"/>
                <w:spacing w:val="-1"/>
                <w:sz w:val="18"/>
              </w:rPr>
              <w:t>4.70%</w:t>
            </w:r>
            <w:r>
              <w:rPr>
                <w:rFonts w:ascii="Calibri"/>
                <w:sz w:val="18"/>
              </w:rPr>
            </w:r>
          </w:p>
        </w:tc>
      </w:tr>
      <w:tr>
        <w:trPr>
          <w:trHeight w:val="220" w:hRule="exact"/>
        </w:trPr>
        <w:tc>
          <w:tcPr>
            <w:tcW w:w="5070" w:type="dxa"/>
            <w:tcBorders>
              <w:top w:val="nil" w:sz="6" w:space="0" w:color="auto"/>
              <w:left w:val="nil" w:sz="6" w:space="0" w:color="auto"/>
              <w:bottom w:val="nil" w:sz="6" w:space="0" w:color="auto"/>
              <w:right w:val="nil" w:sz="6" w:space="0" w:color="auto"/>
            </w:tcBorders>
          </w:tcPr>
          <w:p>
            <w:pPr>
              <w:pStyle w:val="TableParagraph"/>
              <w:spacing w:line="203" w:lineRule="exact"/>
              <w:ind w:left="122" w:right="0"/>
              <w:jc w:val="left"/>
              <w:rPr>
                <w:rFonts w:ascii="Calibri" w:hAnsi="Calibri" w:cs="Calibri" w:eastAsia="Calibri" w:hint="default"/>
                <w:sz w:val="18"/>
                <w:szCs w:val="18"/>
              </w:rPr>
            </w:pPr>
            <w:r>
              <w:rPr>
                <w:rFonts w:ascii="Calibri"/>
                <w:sz w:val="18"/>
              </w:rPr>
              <w:t>Conference</w:t>
            </w:r>
          </w:p>
        </w:tc>
        <w:tc>
          <w:tcPr>
            <w:tcW w:w="4152" w:type="dxa"/>
            <w:tcBorders>
              <w:top w:val="nil" w:sz="6" w:space="0" w:color="auto"/>
              <w:left w:val="nil" w:sz="6" w:space="0" w:color="auto"/>
              <w:bottom w:val="nil" w:sz="6" w:space="0" w:color="auto"/>
              <w:right w:val="nil" w:sz="6" w:space="0" w:color="auto"/>
            </w:tcBorders>
          </w:tcPr>
          <w:p>
            <w:pPr>
              <w:pStyle w:val="TableParagraph"/>
              <w:spacing w:line="203" w:lineRule="exact"/>
              <w:ind w:right="642"/>
              <w:jc w:val="right"/>
              <w:rPr>
                <w:rFonts w:ascii="Calibri" w:hAnsi="Calibri" w:cs="Calibri" w:eastAsia="Calibri" w:hint="default"/>
                <w:sz w:val="18"/>
                <w:szCs w:val="18"/>
              </w:rPr>
            </w:pPr>
            <w:r>
              <w:rPr>
                <w:rFonts w:ascii="Calibri"/>
                <w:spacing w:val="-1"/>
                <w:sz w:val="18"/>
              </w:rPr>
              <w:t>.60%</w:t>
            </w:r>
            <w:r>
              <w:rPr>
                <w:rFonts w:ascii="Calibri"/>
                <w:sz w:val="18"/>
              </w:rPr>
            </w:r>
          </w:p>
        </w:tc>
      </w:tr>
      <w:tr>
        <w:trPr>
          <w:trHeight w:val="220" w:hRule="exact"/>
        </w:trPr>
        <w:tc>
          <w:tcPr>
            <w:tcW w:w="5070" w:type="dxa"/>
            <w:tcBorders>
              <w:top w:val="nil" w:sz="6" w:space="0" w:color="auto"/>
              <w:left w:val="nil" w:sz="6" w:space="0" w:color="auto"/>
              <w:bottom w:val="nil" w:sz="6" w:space="0" w:color="auto"/>
              <w:right w:val="nil" w:sz="6" w:space="0" w:color="auto"/>
            </w:tcBorders>
          </w:tcPr>
          <w:p>
            <w:pPr>
              <w:pStyle w:val="TableParagraph"/>
              <w:spacing w:line="204" w:lineRule="exact"/>
              <w:ind w:left="122" w:right="0"/>
              <w:jc w:val="left"/>
              <w:rPr>
                <w:rFonts w:ascii="Calibri" w:hAnsi="Calibri" w:cs="Calibri" w:eastAsia="Calibri" w:hint="default"/>
                <w:sz w:val="18"/>
                <w:szCs w:val="18"/>
              </w:rPr>
            </w:pPr>
            <w:r>
              <w:rPr>
                <w:rFonts w:ascii="Calibri"/>
                <w:sz w:val="18"/>
              </w:rPr>
              <w:t>Shopping</w:t>
            </w:r>
          </w:p>
        </w:tc>
        <w:tc>
          <w:tcPr>
            <w:tcW w:w="4152" w:type="dxa"/>
            <w:tcBorders>
              <w:top w:val="nil" w:sz="6" w:space="0" w:color="auto"/>
              <w:left w:val="nil" w:sz="6" w:space="0" w:color="auto"/>
              <w:bottom w:val="nil" w:sz="6" w:space="0" w:color="auto"/>
              <w:right w:val="nil" w:sz="6" w:space="0" w:color="auto"/>
            </w:tcBorders>
          </w:tcPr>
          <w:p>
            <w:pPr>
              <w:pStyle w:val="TableParagraph"/>
              <w:spacing w:line="204" w:lineRule="exact"/>
              <w:ind w:right="596"/>
              <w:jc w:val="right"/>
              <w:rPr>
                <w:rFonts w:ascii="Calibri" w:hAnsi="Calibri" w:cs="Calibri" w:eastAsia="Calibri" w:hint="default"/>
                <w:sz w:val="18"/>
                <w:szCs w:val="18"/>
              </w:rPr>
            </w:pPr>
            <w:r>
              <w:rPr>
                <w:rFonts w:ascii="Calibri"/>
                <w:spacing w:val="-1"/>
                <w:sz w:val="18"/>
              </w:rPr>
              <w:t>3.40%</w:t>
            </w:r>
            <w:r>
              <w:rPr>
                <w:rFonts w:ascii="Calibri"/>
                <w:sz w:val="18"/>
              </w:rPr>
            </w:r>
          </w:p>
        </w:tc>
      </w:tr>
      <w:tr>
        <w:trPr>
          <w:trHeight w:val="220" w:hRule="exact"/>
        </w:trPr>
        <w:tc>
          <w:tcPr>
            <w:tcW w:w="5070" w:type="dxa"/>
            <w:tcBorders>
              <w:top w:val="nil" w:sz="6" w:space="0" w:color="auto"/>
              <w:left w:val="nil" w:sz="6" w:space="0" w:color="auto"/>
              <w:bottom w:val="nil" w:sz="6" w:space="0" w:color="auto"/>
              <w:right w:val="nil" w:sz="6" w:space="0" w:color="auto"/>
            </w:tcBorders>
          </w:tcPr>
          <w:p>
            <w:pPr>
              <w:pStyle w:val="TableParagraph"/>
              <w:spacing w:line="203" w:lineRule="exact"/>
              <w:ind w:left="122" w:right="0"/>
              <w:jc w:val="left"/>
              <w:rPr>
                <w:rFonts w:ascii="Calibri" w:hAnsi="Calibri" w:cs="Calibri" w:eastAsia="Calibri" w:hint="default"/>
                <w:sz w:val="18"/>
                <w:szCs w:val="18"/>
              </w:rPr>
            </w:pPr>
            <w:r>
              <w:rPr>
                <w:rFonts w:ascii="Calibri"/>
                <w:sz w:val="18"/>
              </w:rPr>
              <w:t>Cultural</w:t>
            </w:r>
            <w:r>
              <w:rPr>
                <w:rFonts w:ascii="Calibri"/>
                <w:spacing w:val="-7"/>
                <w:sz w:val="18"/>
              </w:rPr>
              <w:t> </w:t>
            </w:r>
            <w:r>
              <w:rPr>
                <w:rFonts w:ascii="Calibri"/>
                <w:sz w:val="18"/>
              </w:rPr>
              <w:t>tourism</w:t>
            </w:r>
          </w:p>
        </w:tc>
        <w:tc>
          <w:tcPr>
            <w:tcW w:w="4152" w:type="dxa"/>
            <w:tcBorders>
              <w:top w:val="nil" w:sz="6" w:space="0" w:color="auto"/>
              <w:left w:val="nil" w:sz="6" w:space="0" w:color="auto"/>
              <w:bottom w:val="nil" w:sz="6" w:space="0" w:color="auto"/>
              <w:right w:val="nil" w:sz="6" w:space="0" w:color="auto"/>
            </w:tcBorders>
          </w:tcPr>
          <w:p>
            <w:pPr>
              <w:pStyle w:val="TableParagraph"/>
              <w:spacing w:line="203" w:lineRule="exact"/>
              <w:ind w:right="596"/>
              <w:jc w:val="right"/>
              <w:rPr>
                <w:rFonts w:ascii="Calibri" w:hAnsi="Calibri" w:cs="Calibri" w:eastAsia="Calibri" w:hint="default"/>
                <w:sz w:val="18"/>
                <w:szCs w:val="18"/>
              </w:rPr>
            </w:pPr>
            <w:r>
              <w:rPr>
                <w:rFonts w:ascii="Calibri"/>
                <w:spacing w:val="-1"/>
                <w:sz w:val="18"/>
              </w:rPr>
              <w:t>6.90%</w:t>
            </w:r>
            <w:r>
              <w:rPr>
                <w:rFonts w:ascii="Calibri"/>
                <w:sz w:val="18"/>
              </w:rPr>
            </w:r>
          </w:p>
        </w:tc>
      </w:tr>
      <w:tr>
        <w:trPr>
          <w:trHeight w:val="221" w:hRule="exact"/>
        </w:trPr>
        <w:tc>
          <w:tcPr>
            <w:tcW w:w="5070" w:type="dxa"/>
            <w:tcBorders>
              <w:top w:val="nil" w:sz="6" w:space="0" w:color="auto"/>
              <w:left w:val="nil" w:sz="6" w:space="0" w:color="auto"/>
              <w:bottom w:val="nil" w:sz="6" w:space="0" w:color="auto"/>
              <w:right w:val="nil" w:sz="6" w:space="0" w:color="auto"/>
            </w:tcBorders>
          </w:tcPr>
          <w:p>
            <w:pPr>
              <w:pStyle w:val="TableParagraph"/>
              <w:spacing w:line="204" w:lineRule="exact"/>
              <w:ind w:left="122" w:right="0"/>
              <w:jc w:val="left"/>
              <w:rPr>
                <w:rFonts w:ascii="Calibri" w:hAnsi="Calibri" w:cs="Calibri" w:eastAsia="Calibri" w:hint="default"/>
                <w:sz w:val="18"/>
                <w:szCs w:val="18"/>
              </w:rPr>
            </w:pPr>
            <w:r>
              <w:rPr>
                <w:rFonts w:ascii="Calibri"/>
                <w:sz w:val="18"/>
              </w:rPr>
              <w:t>Sun and beach</w:t>
            </w:r>
            <w:r>
              <w:rPr>
                <w:rFonts w:ascii="Calibri"/>
                <w:spacing w:val="-8"/>
                <w:sz w:val="18"/>
              </w:rPr>
              <w:t> </w:t>
            </w:r>
            <w:r>
              <w:rPr>
                <w:rFonts w:ascii="Calibri"/>
                <w:sz w:val="18"/>
              </w:rPr>
              <w:t>tourism</w:t>
            </w:r>
          </w:p>
        </w:tc>
        <w:tc>
          <w:tcPr>
            <w:tcW w:w="4152" w:type="dxa"/>
            <w:tcBorders>
              <w:top w:val="nil" w:sz="6" w:space="0" w:color="auto"/>
              <w:left w:val="nil" w:sz="6" w:space="0" w:color="auto"/>
              <w:bottom w:val="nil" w:sz="6" w:space="0" w:color="auto"/>
              <w:right w:val="nil" w:sz="6" w:space="0" w:color="auto"/>
            </w:tcBorders>
          </w:tcPr>
          <w:p>
            <w:pPr>
              <w:pStyle w:val="TableParagraph"/>
              <w:spacing w:line="204" w:lineRule="exact"/>
              <w:ind w:right="550"/>
              <w:jc w:val="right"/>
              <w:rPr>
                <w:rFonts w:ascii="Calibri" w:hAnsi="Calibri" w:cs="Calibri" w:eastAsia="Calibri" w:hint="default"/>
                <w:sz w:val="18"/>
                <w:szCs w:val="18"/>
              </w:rPr>
            </w:pPr>
            <w:r>
              <w:rPr>
                <w:rFonts w:ascii="Calibri"/>
                <w:spacing w:val="-1"/>
                <w:sz w:val="18"/>
              </w:rPr>
              <w:t>61.80%</w:t>
            </w:r>
            <w:r>
              <w:rPr>
                <w:rFonts w:ascii="Calibri"/>
                <w:sz w:val="18"/>
              </w:rPr>
            </w:r>
          </w:p>
        </w:tc>
      </w:tr>
      <w:tr>
        <w:trPr>
          <w:trHeight w:val="220" w:hRule="exact"/>
        </w:trPr>
        <w:tc>
          <w:tcPr>
            <w:tcW w:w="5070" w:type="dxa"/>
            <w:tcBorders>
              <w:top w:val="nil" w:sz="6" w:space="0" w:color="auto"/>
              <w:left w:val="nil" w:sz="6" w:space="0" w:color="auto"/>
              <w:bottom w:val="nil" w:sz="6" w:space="0" w:color="auto"/>
              <w:right w:val="nil" w:sz="6" w:space="0" w:color="auto"/>
            </w:tcBorders>
          </w:tcPr>
          <w:p>
            <w:pPr>
              <w:pStyle w:val="TableParagraph"/>
              <w:spacing w:line="204" w:lineRule="exact"/>
              <w:ind w:left="122" w:right="0"/>
              <w:jc w:val="left"/>
              <w:rPr>
                <w:rFonts w:ascii="Calibri" w:hAnsi="Calibri" w:cs="Calibri" w:eastAsia="Calibri" w:hint="default"/>
                <w:sz w:val="18"/>
                <w:szCs w:val="18"/>
              </w:rPr>
            </w:pPr>
            <w:r>
              <w:rPr>
                <w:rFonts w:ascii="Calibri"/>
                <w:sz w:val="18"/>
              </w:rPr>
              <w:t>Wedding/honeymoon</w:t>
            </w:r>
          </w:p>
        </w:tc>
        <w:tc>
          <w:tcPr>
            <w:tcW w:w="4152" w:type="dxa"/>
            <w:tcBorders>
              <w:top w:val="nil" w:sz="6" w:space="0" w:color="auto"/>
              <w:left w:val="nil" w:sz="6" w:space="0" w:color="auto"/>
              <w:bottom w:val="nil" w:sz="6" w:space="0" w:color="auto"/>
              <w:right w:val="nil" w:sz="6" w:space="0" w:color="auto"/>
            </w:tcBorders>
          </w:tcPr>
          <w:p>
            <w:pPr>
              <w:pStyle w:val="TableParagraph"/>
              <w:spacing w:line="204" w:lineRule="exact"/>
              <w:ind w:right="596"/>
              <w:jc w:val="right"/>
              <w:rPr>
                <w:rFonts w:ascii="Calibri" w:hAnsi="Calibri" w:cs="Calibri" w:eastAsia="Calibri" w:hint="default"/>
                <w:sz w:val="18"/>
                <w:szCs w:val="18"/>
              </w:rPr>
            </w:pPr>
            <w:r>
              <w:rPr>
                <w:rFonts w:ascii="Calibri"/>
                <w:spacing w:val="-1"/>
                <w:sz w:val="18"/>
              </w:rPr>
              <w:t>3.90%</w:t>
            </w:r>
            <w:r>
              <w:rPr>
                <w:rFonts w:ascii="Calibri"/>
                <w:sz w:val="18"/>
              </w:rPr>
            </w:r>
          </w:p>
        </w:tc>
      </w:tr>
      <w:tr>
        <w:trPr>
          <w:trHeight w:val="220" w:hRule="exact"/>
        </w:trPr>
        <w:tc>
          <w:tcPr>
            <w:tcW w:w="5070" w:type="dxa"/>
            <w:tcBorders>
              <w:top w:val="nil" w:sz="6" w:space="0" w:color="auto"/>
              <w:left w:val="nil" w:sz="6" w:space="0" w:color="auto"/>
              <w:bottom w:val="nil" w:sz="6" w:space="0" w:color="auto"/>
              <w:right w:val="nil" w:sz="6" w:space="0" w:color="auto"/>
            </w:tcBorders>
          </w:tcPr>
          <w:p>
            <w:pPr>
              <w:pStyle w:val="TableParagraph"/>
              <w:spacing w:line="203" w:lineRule="exact"/>
              <w:ind w:left="122" w:right="0"/>
              <w:jc w:val="left"/>
              <w:rPr>
                <w:rFonts w:ascii="Calibri" w:hAnsi="Calibri" w:cs="Calibri" w:eastAsia="Calibri" w:hint="default"/>
                <w:sz w:val="18"/>
                <w:szCs w:val="18"/>
              </w:rPr>
            </w:pPr>
            <w:r>
              <w:rPr>
                <w:rFonts w:ascii="Calibri"/>
                <w:sz w:val="18"/>
              </w:rPr>
              <w:t>Events</w:t>
            </w:r>
          </w:p>
        </w:tc>
        <w:tc>
          <w:tcPr>
            <w:tcW w:w="4152" w:type="dxa"/>
            <w:tcBorders>
              <w:top w:val="nil" w:sz="6" w:space="0" w:color="auto"/>
              <w:left w:val="nil" w:sz="6" w:space="0" w:color="auto"/>
              <w:bottom w:val="nil" w:sz="6" w:space="0" w:color="auto"/>
              <w:right w:val="nil" w:sz="6" w:space="0" w:color="auto"/>
            </w:tcBorders>
          </w:tcPr>
          <w:p>
            <w:pPr>
              <w:pStyle w:val="TableParagraph"/>
              <w:spacing w:line="203" w:lineRule="exact"/>
              <w:ind w:right="596"/>
              <w:jc w:val="right"/>
              <w:rPr>
                <w:rFonts w:ascii="Calibri" w:hAnsi="Calibri" w:cs="Calibri" w:eastAsia="Calibri" w:hint="default"/>
                <w:sz w:val="18"/>
                <w:szCs w:val="18"/>
              </w:rPr>
            </w:pPr>
            <w:r>
              <w:rPr>
                <w:rFonts w:ascii="Calibri"/>
                <w:spacing w:val="-1"/>
                <w:sz w:val="18"/>
              </w:rPr>
              <w:t>1.40%</w:t>
            </w:r>
            <w:r>
              <w:rPr>
                <w:rFonts w:ascii="Calibri"/>
                <w:sz w:val="18"/>
              </w:rPr>
            </w:r>
          </w:p>
        </w:tc>
      </w:tr>
      <w:tr>
        <w:trPr>
          <w:trHeight w:val="220" w:hRule="exact"/>
        </w:trPr>
        <w:tc>
          <w:tcPr>
            <w:tcW w:w="5070" w:type="dxa"/>
            <w:tcBorders>
              <w:top w:val="nil" w:sz="6" w:space="0" w:color="auto"/>
              <w:left w:val="nil" w:sz="6" w:space="0" w:color="auto"/>
              <w:bottom w:val="nil" w:sz="6" w:space="0" w:color="auto"/>
              <w:right w:val="nil" w:sz="6" w:space="0" w:color="auto"/>
            </w:tcBorders>
          </w:tcPr>
          <w:p>
            <w:pPr>
              <w:pStyle w:val="TableParagraph"/>
              <w:spacing w:line="204" w:lineRule="exact"/>
              <w:ind w:left="122" w:right="0"/>
              <w:jc w:val="left"/>
              <w:rPr>
                <w:rFonts w:ascii="Calibri" w:hAnsi="Calibri" w:cs="Calibri" w:eastAsia="Calibri" w:hint="default"/>
                <w:sz w:val="18"/>
                <w:szCs w:val="18"/>
              </w:rPr>
            </w:pPr>
            <w:r>
              <w:rPr>
                <w:rFonts w:ascii="Calibri"/>
                <w:sz w:val="18"/>
              </w:rPr>
              <w:t>Incentive</w:t>
            </w:r>
            <w:r>
              <w:rPr>
                <w:rFonts w:ascii="Calibri"/>
                <w:spacing w:val="-4"/>
                <w:sz w:val="18"/>
              </w:rPr>
              <w:t> </w:t>
            </w:r>
            <w:r>
              <w:rPr>
                <w:rFonts w:ascii="Calibri"/>
                <w:sz w:val="18"/>
              </w:rPr>
              <w:t>travel</w:t>
            </w:r>
          </w:p>
        </w:tc>
        <w:tc>
          <w:tcPr>
            <w:tcW w:w="4152" w:type="dxa"/>
            <w:tcBorders>
              <w:top w:val="nil" w:sz="6" w:space="0" w:color="auto"/>
              <w:left w:val="nil" w:sz="6" w:space="0" w:color="auto"/>
              <w:bottom w:val="nil" w:sz="6" w:space="0" w:color="auto"/>
              <w:right w:val="nil" w:sz="6" w:space="0" w:color="auto"/>
            </w:tcBorders>
          </w:tcPr>
          <w:p>
            <w:pPr>
              <w:pStyle w:val="TableParagraph"/>
              <w:spacing w:line="204" w:lineRule="exact"/>
              <w:ind w:right="642"/>
              <w:jc w:val="right"/>
              <w:rPr>
                <w:rFonts w:ascii="Calibri" w:hAnsi="Calibri" w:cs="Calibri" w:eastAsia="Calibri" w:hint="default"/>
                <w:sz w:val="18"/>
                <w:szCs w:val="18"/>
              </w:rPr>
            </w:pPr>
            <w:r>
              <w:rPr>
                <w:rFonts w:ascii="Calibri"/>
                <w:spacing w:val="-1"/>
                <w:sz w:val="18"/>
              </w:rPr>
              <w:t>.80%</w:t>
            </w:r>
            <w:r>
              <w:rPr>
                <w:rFonts w:ascii="Calibri"/>
                <w:sz w:val="18"/>
              </w:rPr>
            </w:r>
          </w:p>
        </w:tc>
      </w:tr>
      <w:tr>
        <w:trPr>
          <w:trHeight w:val="220" w:hRule="exact"/>
        </w:trPr>
        <w:tc>
          <w:tcPr>
            <w:tcW w:w="5070" w:type="dxa"/>
            <w:tcBorders>
              <w:top w:val="nil" w:sz="6" w:space="0" w:color="auto"/>
              <w:left w:val="nil" w:sz="6" w:space="0" w:color="auto"/>
              <w:bottom w:val="nil" w:sz="6" w:space="0" w:color="auto"/>
              <w:right w:val="nil" w:sz="6" w:space="0" w:color="auto"/>
            </w:tcBorders>
          </w:tcPr>
          <w:p>
            <w:pPr>
              <w:pStyle w:val="TableParagraph"/>
              <w:spacing w:line="203" w:lineRule="exact"/>
              <w:ind w:left="122" w:right="0"/>
              <w:jc w:val="left"/>
              <w:rPr>
                <w:rFonts w:ascii="Calibri" w:hAnsi="Calibri" w:cs="Calibri" w:eastAsia="Calibri" w:hint="default"/>
                <w:sz w:val="18"/>
                <w:szCs w:val="18"/>
              </w:rPr>
            </w:pPr>
            <w:r>
              <w:rPr>
                <w:rFonts w:ascii="Calibri"/>
                <w:sz w:val="18"/>
              </w:rPr>
              <w:t>Visiting friends and</w:t>
            </w:r>
            <w:r>
              <w:rPr>
                <w:rFonts w:ascii="Calibri"/>
                <w:spacing w:val="-10"/>
                <w:sz w:val="18"/>
              </w:rPr>
              <w:t> </w:t>
            </w:r>
            <w:r>
              <w:rPr>
                <w:rFonts w:ascii="Calibri"/>
                <w:sz w:val="18"/>
              </w:rPr>
              <w:t>family</w:t>
            </w:r>
          </w:p>
        </w:tc>
        <w:tc>
          <w:tcPr>
            <w:tcW w:w="4152" w:type="dxa"/>
            <w:tcBorders>
              <w:top w:val="nil" w:sz="6" w:space="0" w:color="auto"/>
              <w:left w:val="nil" w:sz="6" w:space="0" w:color="auto"/>
              <w:bottom w:val="nil" w:sz="6" w:space="0" w:color="auto"/>
              <w:right w:val="nil" w:sz="6" w:space="0" w:color="auto"/>
            </w:tcBorders>
          </w:tcPr>
          <w:p>
            <w:pPr>
              <w:pStyle w:val="TableParagraph"/>
              <w:spacing w:line="203" w:lineRule="exact"/>
              <w:ind w:right="642"/>
              <w:jc w:val="right"/>
              <w:rPr>
                <w:rFonts w:ascii="Calibri" w:hAnsi="Calibri" w:cs="Calibri" w:eastAsia="Calibri" w:hint="default"/>
                <w:sz w:val="18"/>
                <w:szCs w:val="18"/>
              </w:rPr>
            </w:pPr>
            <w:r>
              <w:rPr>
                <w:rFonts w:ascii="Calibri"/>
                <w:sz w:val="18"/>
              </w:rPr>
              <w:t>9.0%</w:t>
            </w:r>
          </w:p>
        </w:tc>
      </w:tr>
      <w:tr>
        <w:trPr>
          <w:trHeight w:val="208" w:hRule="exact"/>
        </w:trPr>
        <w:tc>
          <w:tcPr>
            <w:tcW w:w="5070" w:type="dxa"/>
            <w:tcBorders>
              <w:top w:val="nil" w:sz="6" w:space="0" w:color="auto"/>
              <w:left w:val="nil" w:sz="6" w:space="0" w:color="auto"/>
              <w:bottom w:val="single" w:sz="4" w:space="0" w:color="000000"/>
              <w:right w:val="nil" w:sz="6" w:space="0" w:color="auto"/>
            </w:tcBorders>
          </w:tcPr>
          <w:p>
            <w:pPr>
              <w:pStyle w:val="TableParagraph"/>
              <w:spacing w:line="204" w:lineRule="exact"/>
              <w:ind w:left="122" w:right="0"/>
              <w:jc w:val="left"/>
              <w:rPr>
                <w:rFonts w:ascii="Calibri" w:hAnsi="Calibri" w:cs="Calibri" w:eastAsia="Calibri" w:hint="default"/>
                <w:sz w:val="18"/>
                <w:szCs w:val="18"/>
              </w:rPr>
            </w:pPr>
            <w:r>
              <w:rPr>
                <w:rFonts w:ascii="Calibri"/>
                <w:sz w:val="18"/>
              </w:rPr>
              <w:t>Other</w:t>
            </w:r>
          </w:p>
        </w:tc>
        <w:tc>
          <w:tcPr>
            <w:tcW w:w="4152" w:type="dxa"/>
            <w:tcBorders>
              <w:top w:val="nil" w:sz="6" w:space="0" w:color="auto"/>
              <w:left w:val="nil" w:sz="6" w:space="0" w:color="auto"/>
              <w:bottom w:val="single" w:sz="4" w:space="0" w:color="000000"/>
              <w:right w:val="nil" w:sz="6" w:space="0" w:color="auto"/>
            </w:tcBorders>
          </w:tcPr>
          <w:p>
            <w:pPr>
              <w:pStyle w:val="TableParagraph"/>
              <w:spacing w:line="204" w:lineRule="exact"/>
              <w:ind w:right="642"/>
              <w:jc w:val="right"/>
              <w:rPr>
                <w:rFonts w:ascii="Calibri" w:hAnsi="Calibri" w:cs="Calibri" w:eastAsia="Calibri" w:hint="default"/>
                <w:sz w:val="18"/>
                <w:szCs w:val="18"/>
              </w:rPr>
            </w:pPr>
            <w:r>
              <w:rPr>
                <w:rFonts w:ascii="Calibri"/>
                <w:sz w:val="18"/>
              </w:rPr>
              <w:t>7.5%</w:t>
            </w:r>
          </w:p>
        </w:tc>
      </w:tr>
    </w:tbl>
    <w:p>
      <w:pPr>
        <w:spacing w:line="240" w:lineRule="auto" w:before="2"/>
        <w:ind w:right="0"/>
        <w:rPr>
          <w:rFonts w:ascii="Calibri" w:hAnsi="Calibri" w:cs="Calibri" w:eastAsia="Calibri" w:hint="default"/>
          <w:b/>
          <w:bCs/>
          <w:sz w:val="15"/>
          <w:szCs w:val="15"/>
        </w:rPr>
      </w:pPr>
    </w:p>
    <w:p>
      <w:pPr>
        <w:pStyle w:val="BodyText"/>
        <w:spacing w:line="240" w:lineRule="auto" w:before="59"/>
        <w:ind w:right="1440"/>
        <w:jc w:val="both"/>
      </w:pPr>
      <w:r>
        <w:rPr/>
        <w:t>Eight</w:t>
      </w:r>
      <w:r>
        <w:rPr>
          <w:spacing w:val="-6"/>
        </w:rPr>
        <w:t> </w:t>
      </w:r>
      <w:r>
        <w:rPr/>
        <w:t>of</w:t>
      </w:r>
      <w:r>
        <w:rPr>
          <w:spacing w:val="-8"/>
        </w:rPr>
        <w:t> </w:t>
      </w:r>
      <w:r>
        <w:rPr/>
        <w:t>10</w:t>
      </w:r>
      <w:r>
        <w:rPr>
          <w:spacing w:val="-5"/>
        </w:rPr>
        <w:t> </w:t>
      </w:r>
      <w:r>
        <w:rPr/>
        <w:t>visitors</w:t>
      </w:r>
      <w:r>
        <w:rPr>
          <w:spacing w:val="-6"/>
        </w:rPr>
        <w:t> </w:t>
      </w:r>
      <w:r>
        <w:rPr/>
        <w:t>went</w:t>
      </w:r>
      <w:r>
        <w:rPr>
          <w:spacing w:val="-6"/>
        </w:rPr>
        <w:t> </w:t>
      </w:r>
      <w:r>
        <w:rPr/>
        <w:t>to</w:t>
      </w:r>
      <w:r>
        <w:rPr>
          <w:spacing w:val="-6"/>
        </w:rPr>
        <w:t> </w:t>
      </w:r>
      <w:r>
        <w:rPr/>
        <w:t>downtown</w:t>
      </w:r>
      <w:r>
        <w:rPr>
          <w:spacing w:val="-6"/>
        </w:rPr>
        <w:t> </w:t>
      </w:r>
      <w:r>
        <w:rPr/>
        <w:t>Punda/Otrabanda.</w:t>
      </w:r>
      <w:r>
        <w:rPr>
          <w:spacing w:val="36"/>
        </w:rPr>
        <w:t> </w:t>
      </w:r>
      <w:r>
        <w:rPr/>
        <w:t>The</w:t>
      </w:r>
      <w:r>
        <w:rPr>
          <w:spacing w:val="-8"/>
        </w:rPr>
        <w:t> </w:t>
      </w:r>
      <w:r>
        <w:rPr/>
        <w:t>other</w:t>
      </w:r>
      <w:r>
        <w:rPr>
          <w:spacing w:val="-4"/>
        </w:rPr>
        <w:t> </w:t>
      </w:r>
      <w:r>
        <w:rPr/>
        <w:t>most</w:t>
      </w:r>
      <w:r>
        <w:rPr>
          <w:spacing w:val="-6"/>
        </w:rPr>
        <w:t> </w:t>
      </w:r>
      <w:r>
        <w:rPr/>
        <w:t>popular</w:t>
      </w:r>
      <w:r>
        <w:rPr>
          <w:spacing w:val="-7"/>
        </w:rPr>
        <w:t> </w:t>
      </w:r>
      <w:r>
        <w:rPr/>
        <w:t>activities</w:t>
      </w:r>
      <w:r>
        <w:rPr>
          <w:spacing w:val="-5"/>
        </w:rPr>
        <w:t> </w:t>
      </w:r>
      <w:r>
        <w:rPr/>
        <w:t>were</w:t>
      </w:r>
      <w:r>
        <w:rPr>
          <w:spacing w:val="-8"/>
        </w:rPr>
        <w:t> </w:t>
      </w:r>
      <w:r>
        <w:rPr/>
        <w:t>beaches</w:t>
      </w:r>
      <w:r>
        <w:rPr>
          <w:spacing w:val="-6"/>
        </w:rPr>
        <w:t> </w:t>
      </w:r>
      <w:r>
        <w:rPr/>
        <w:t>(77.7%</w:t>
      </w:r>
      <w:r>
        <w:rPr>
          <w:spacing w:val="-6"/>
        </w:rPr>
        <w:t> </w:t>
      </w:r>
      <w:r>
        <w:rPr/>
        <w:t>of </w:t>
      </w:r>
      <w:r>
        <w:rPr/>
        <w:t>all visitors) followed closely by bars and cafés (73.8%), and snorkeling</w:t>
      </w:r>
      <w:r>
        <w:rPr>
          <w:spacing w:val="-31"/>
        </w:rPr>
        <w:t> </w:t>
      </w:r>
      <w:r>
        <w:rPr/>
        <w:t>(44.5%).</w:t>
      </w:r>
    </w:p>
    <w:p>
      <w:pPr>
        <w:spacing w:line="240" w:lineRule="auto" w:before="11"/>
        <w:ind w:right="0"/>
        <w:rPr>
          <w:rFonts w:ascii="Calibri" w:hAnsi="Calibri" w:cs="Calibri" w:eastAsia="Calibri" w:hint="default"/>
          <w:sz w:val="22"/>
          <w:szCs w:val="22"/>
        </w:rPr>
      </w:pPr>
    </w:p>
    <w:p>
      <w:pPr>
        <w:pStyle w:val="Heading2"/>
        <w:spacing w:line="240" w:lineRule="auto" w:before="0"/>
        <w:ind w:right="0"/>
        <w:jc w:val="both"/>
        <w:rPr>
          <w:b w:val="0"/>
          <w:bCs w:val="0"/>
        </w:rPr>
      </w:pPr>
      <w:bookmarkStart w:name="_bookmark100" w:id="101"/>
      <w:bookmarkEnd w:id="101"/>
      <w:r>
        <w:rPr>
          <w:b w:val="0"/>
        </w:rPr>
      </w:r>
      <w:r>
        <w:rPr/>
        <w:t>Information search and booking</w:t>
      </w:r>
      <w:r>
        <w:rPr>
          <w:spacing w:val="-22"/>
        </w:rPr>
        <w:t> </w:t>
      </w:r>
      <w:r>
        <w:rPr/>
        <w:t>behavior</w:t>
      </w:r>
      <w:r>
        <w:rPr>
          <w:b w:val="0"/>
        </w:rPr>
      </w:r>
    </w:p>
    <w:p>
      <w:pPr>
        <w:pStyle w:val="BodyText"/>
        <w:spacing w:line="240" w:lineRule="auto" w:before="191"/>
        <w:ind w:right="1436"/>
        <w:jc w:val="both"/>
      </w:pPr>
      <w:r>
        <w:rPr/>
        <w:t>Tourism consists of intangible products, making measurement of product quality difficult. In order to mitigate this difficulty, tourists engage in information searches to cope with uncertainty when purchasing services from a destination,</w:t>
      </w:r>
      <w:r>
        <w:rPr>
          <w:spacing w:val="-7"/>
        </w:rPr>
        <w:t> </w:t>
      </w:r>
      <w:r>
        <w:rPr/>
        <w:t>such</w:t>
      </w:r>
      <w:r>
        <w:rPr>
          <w:spacing w:val="-7"/>
        </w:rPr>
        <w:t> </w:t>
      </w:r>
      <w:r>
        <w:rPr/>
        <w:t>as</w:t>
      </w:r>
      <w:r>
        <w:rPr>
          <w:spacing w:val="-8"/>
        </w:rPr>
        <w:t> </w:t>
      </w:r>
      <w:r>
        <w:rPr/>
        <w:t>booking</w:t>
      </w:r>
      <w:r>
        <w:rPr>
          <w:spacing w:val="-8"/>
        </w:rPr>
        <w:t> </w:t>
      </w:r>
      <w:r>
        <w:rPr/>
        <w:t>a</w:t>
      </w:r>
      <w:r>
        <w:rPr>
          <w:spacing w:val="-10"/>
        </w:rPr>
        <w:t> </w:t>
      </w:r>
      <w:r>
        <w:rPr/>
        <w:t>hotel</w:t>
      </w:r>
      <w:r>
        <w:rPr>
          <w:spacing w:val="-8"/>
        </w:rPr>
        <w:t> </w:t>
      </w:r>
      <w:r>
        <w:rPr/>
        <w:t>in</w:t>
      </w:r>
      <w:r>
        <w:rPr>
          <w:spacing w:val="-7"/>
        </w:rPr>
        <w:t> </w:t>
      </w:r>
      <w:r>
        <w:rPr/>
        <w:t>advance</w:t>
      </w:r>
      <w:r>
        <w:rPr>
          <w:spacing w:val="-9"/>
        </w:rPr>
        <w:t> </w:t>
      </w:r>
      <w:r>
        <w:rPr/>
        <w:t>of</w:t>
      </w:r>
      <w:r>
        <w:rPr>
          <w:spacing w:val="-9"/>
        </w:rPr>
        <w:t> </w:t>
      </w:r>
      <w:r>
        <w:rPr/>
        <w:t>the</w:t>
      </w:r>
      <w:r>
        <w:rPr>
          <w:spacing w:val="-9"/>
        </w:rPr>
        <w:t> </w:t>
      </w:r>
      <w:r>
        <w:rPr/>
        <w:t>destination</w:t>
      </w:r>
      <w:r>
        <w:rPr>
          <w:spacing w:val="-7"/>
        </w:rPr>
        <w:t> </w:t>
      </w:r>
      <w:r>
        <w:rPr/>
        <w:t>visit.</w:t>
      </w:r>
      <w:r>
        <w:rPr>
          <w:spacing w:val="31"/>
        </w:rPr>
        <w:t> </w:t>
      </w:r>
      <w:r>
        <w:rPr/>
        <w:t>Timing</w:t>
      </w:r>
      <w:r>
        <w:rPr>
          <w:spacing w:val="-8"/>
        </w:rPr>
        <w:t> </w:t>
      </w:r>
      <w:r>
        <w:rPr/>
        <w:t>and</w:t>
      </w:r>
      <w:r>
        <w:rPr>
          <w:spacing w:val="-7"/>
        </w:rPr>
        <w:t> </w:t>
      </w:r>
      <w:r>
        <w:rPr/>
        <w:t>sources</w:t>
      </w:r>
      <w:r>
        <w:rPr>
          <w:spacing w:val="-9"/>
        </w:rPr>
        <w:t> </w:t>
      </w:r>
      <w:r>
        <w:rPr/>
        <w:t>of</w:t>
      </w:r>
      <w:r>
        <w:rPr>
          <w:spacing w:val="-9"/>
        </w:rPr>
        <w:t> </w:t>
      </w:r>
      <w:r>
        <w:rPr/>
        <w:t>information</w:t>
      </w:r>
      <w:r>
        <w:rPr>
          <w:spacing w:val="-7"/>
        </w:rPr>
        <w:t> </w:t>
      </w:r>
      <w:r>
        <w:rPr/>
        <w:t>about</w:t>
      </w:r>
      <w:r>
        <w:rPr>
          <w:spacing w:val="-7"/>
        </w:rPr>
        <w:t> </w:t>
      </w:r>
      <w:r>
        <w:rPr/>
        <w:t>the</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7"/>
        <w:jc w:val="both"/>
      </w:pPr>
      <w:r>
        <w:rPr/>
        <w:t>quality</w:t>
      </w:r>
      <w:r>
        <w:rPr>
          <w:spacing w:val="-11"/>
        </w:rPr>
        <w:t> </w:t>
      </w:r>
      <w:r>
        <w:rPr/>
        <w:t>and</w:t>
      </w:r>
      <w:r>
        <w:rPr>
          <w:spacing w:val="-11"/>
        </w:rPr>
        <w:t> </w:t>
      </w:r>
      <w:r>
        <w:rPr/>
        <w:t>image</w:t>
      </w:r>
      <w:r>
        <w:rPr>
          <w:spacing w:val="-12"/>
        </w:rPr>
        <w:t> </w:t>
      </w:r>
      <w:r>
        <w:rPr/>
        <w:t>of</w:t>
      </w:r>
      <w:r>
        <w:rPr>
          <w:spacing w:val="-10"/>
        </w:rPr>
        <w:t> </w:t>
      </w:r>
      <w:r>
        <w:rPr/>
        <w:t>a</w:t>
      </w:r>
      <w:r>
        <w:rPr>
          <w:spacing w:val="-11"/>
        </w:rPr>
        <w:t> </w:t>
      </w:r>
      <w:r>
        <w:rPr/>
        <w:t>destination</w:t>
      </w:r>
      <w:r>
        <w:rPr>
          <w:spacing w:val="-11"/>
        </w:rPr>
        <w:t> </w:t>
      </w:r>
      <w:r>
        <w:rPr/>
        <w:t>plays</w:t>
      </w:r>
      <w:r>
        <w:rPr>
          <w:spacing w:val="-13"/>
        </w:rPr>
        <w:t> </w:t>
      </w:r>
      <w:r>
        <w:rPr/>
        <w:t>an</w:t>
      </w:r>
      <w:r>
        <w:rPr>
          <w:spacing w:val="-10"/>
        </w:rPr>
        <w:t> </w:t>
      </w:r>
      <w:r>
        <w:rPr/>
        <w:t>important</w:t>
      </w:r>
      <w:r>
        <w:rPr>
          <w:spacing w:val="-11"/>
        </w:rPr>
        <w:t> </w:t>
      </w:r>
      <w:r>
        <w:rPr/>
        <w:t>role</w:t>
      </w:r>
      <w:r>
        <w:rPr>
          <w:spacing w:val="-10"/>
        </w:rPr>
        <w:t> </w:t>
      </w:r>
      <w:r>
        <w:rPr/>
        <w:t>in</w:t>
      </w:r>
      <w:r>
        <w:rPr>
          <w:spacing w:val="-9"/>
        </w:rPr>
        <w:t> </w:t>
      </w:r>
      <w:r>
        <w:rPr/>
        <w:t>determining</w:t>
      </w:r>
      <w:r>
        <w:rPr>
          <w:spacing w:val="-10"/>
        </w:rPr>
        <w:t> </w:t>
      </w:r>
      <w:r>
        <w:rPr/>
        <w:t>destination</w:t>
      </w:r>
      <w:r>
        <w:rPr>
          <w:spacing w:val="-11"/>
        </w:rPr>
        <w:t> </w:t>
      </w:r>
      <w:r>
        <w:rPr/>
        <w:t>choice.</w:t>
      </w:r>
      <w:r>
        <w:rPr>
          <w:spacing w:val="23"/>
        </w:rPr>
        <w:t> </w:t>
      </w:r>
      <w:r>
        <w:rPr/>
        <w:t>Nearly</w:t>
      </w:r>
      <w:r>
        <w:rPr>
          <w:spacing w:val="-11"/>
        </w:rPr>
        <w:t> </w:t>
      </w:r>
      <w:r>
        <w:rPr/>
        <w:t>one</w:t>
      </w:r>
      <w:r>
        <w:rPr>
          <w:spacing w:val="-12"/>
        </w:rPr>
        <w:t> </w:t>
      </w:r>
      <w:r>
        <w:rPr/>
        <w:t>out</w:t>
      </w:r>
      <w:r>
        <w:rPr>
          <w:spacing w:val="-11"/>
        </w:rPr>
        <w:t> </w:t>
      </w:r>
      <w:r>
        <w:rPr/>
        <w:t>of</w:t>
      </w:r>
      <w:r>
        <w:rPr>
          <w:spacing w:val="-12"/>
        </w:rPr>
        <w:t> </w:t>
      </w:r>
      <w:r>
        <w:rPr/>
        <w:t>three </w:t>
      </w:r>
      <w:r>
        <w:rPr/>
        <w:t>tourists (31.3%) who visited Curaçao began their information search about Curaçao between one to three months prior</w:t>
      </w:r>
      <w:r>
        <w:rPr>
          <w:spacing w:val="-7"/>
        </w:rPr>
        <w:t> </w:t>
      </w:r>
      <w:r>
        <w:rPr/>
        <w:t>to</w:t>
      </w:r>
      <w:r>
        <w:rPr>
          <w:spacing w:val="-6"/>
        </w:rPr>
        <w:t> </w:t>
      </w:r>
      <w:r>
        <w:rPr/>
        <w:t>their</w:t>
      </w:r>
      <w:r>
        <w:rPr>
          <w:spacing w:val="-7"/>
        </w:rPr>
        <w:t> </w:t>
      </w:r>
      <w:r>
        <w:rPr/>
        <w:t>actual</w:t>
      </w:r>
      <w:r>
        <w:rPr>
          <w:spacing w:val="-4"/>
        </w:rPr>
        <w:t> </w:t>
      </w:r>
      <w:r>
        <w:rPr/>
        <w:t>visit.</w:t>
      </w:r>
      <w:r>
        <w:rPr>
          <w:spacing w:val="35"/>
        </w:rPr>
        <w:t> </w:t>
      </w:r>
      <w:r>
        <w:rPr/>
        <w:t>One</w:t>
      </w:r>
      <w:r>
        <w:rPr>
          <w:spacing w:val="-5"/>
        </w:rPr>
        <w:t> </w:t>
      </w:r>
      <w:r>
        <w:rPr/>
        <w:t>out</w:t>
      </w:r>
      <w:r>
        <w:rPr>
          <w:spacing w:val="-6"/>
        </w:rPr>
        <w:t> </w:t>
      </w:r>
      <w:r>
        <w:rPr/>
        <w:t>of</w:t>
      </w:r>
      <w:r>
        <w:rPr>
          <w:spacing w:val="-8"/>
        </w:rPr>
        <w:t> </w:t>
      </w:r>
      <w:r>
        <w:rPr/>
        <w:t>four</w:t>
      </w:r>
      <w:r>
        <w:rPr>
          <w:spacing w:val="-4"/>
        </w:rPr>
        <w:t> </w:t>
      </w:r>
      <w:r>
        <w:rPr/>
        <w:t>(23.8%)</w:t>
      </w:r>
      <w:r>
        <w:rPr>
          <w:spacing w:val="-5"/>
        </w:rPr>
        <w:t> </w:t>
      </w:r>
      <w:r>
        <w:rPr/>
        <w:t>initiated</w:t>
      </w:r>
      <w:r>
        <w:rPr>
          <w:spacing w:val="-6"/>
        </w:rPr>
        <w:t> </w:t>
      </w:r>
      <w:r>
        <w:rPr/>
        <w:t>their</w:t>
      </w:r>
      <w:r>
        <w:rPr>
          <w:spacing w:val="-7"/>
        </w:rPr>
        <w:t> </w:t>
      </w:r>
      <w:r>
        <w:rPr/>
        <w:t>search</w:t>
      </w:r>
      <w:r>
        <w:rPr>
          <w:spacing w:val="-4"/>
        </w:rPr>
        <w:t> </w:t>
      </w:r>
      <w:r>
        <w:rPr/>
        <w:t>for</w:t>
      </w:r>
      <w:r>
        <w:rPr>
          <w:spacing w:val="-7"/>
        </w:rPr>
        <w:t> </w:t>
      </w:r>
      <w:r>
        <w:rPr/>
        <w:t>information</w:t>
      </w:r>
      <w:r>
        <w:rPr>
          <w:spacing w:val="-6"/>
        </w:rPr>
        <w:t> </w:t>
      </w:r>
      <w:r>
        <w:rPr/>
        <w:t>about</w:t>
      </w:r>
      <w:r>
        <w:rPr>
          <w:spacing w:val="-4"/>
        </w:rPr>
        <w:t> </w:t>
      </w:r>
      <w:r>
        <w:rPr/>
        <w:t>Curaçao</w:t>
      </w:r>
      <w:r>
        <w:rPr>
          <w:spacing w:val="-5"/>
        </w:rPr>
        <w:t> </w:t>
      </w:r>
      <w:r>
        <w:rPr/>
        <w:t>more</w:t>
      </w:r>
      <w:r>
        <w:rPr>
          <w:spacing w:val="-8"/>
        </w:rPr>
        <w:t> </w:t>
      </w:r>
      <w:r>
        <w:rPr/>
        <w:t>than</w:t>
      </w:r>
      <w:r>
        <w:rPr>
          <w:spacing w:val="-6"/>
        </w:rPr>
        <w:t> </w:t>
      </w:r>
      <w:r>
        <w:rPr/>
        <w:t>six </w:t>
      </w:r>
      <w:r>
        <w:rPr/>
        <w:t>months prior to their visit to the</w:t>
      </w:r>
      <w:r>
        <w:rPr>
          <w:spacing w:val="-16"/>
        </w:rPr>
        <w:t> </w:t>
      </w:r>
      <w:r>
        <w:rPr/>
        <w:t>island.</w:t>
      </w:r>
    </w:p>
    <w:p>
      <w:pPr>
        <w:spacing w:line="240" w:lineRule="auto" w:before="1"/>
        <w:ind w:right="0"/>
        <w:rPr>
          <w:rFonts w:ascii="Calibri" w:hAnsi="Calibri" w:cs="Calibri" w:eastAsia="Calibri" w:hint="default"/>
          <w:sz w:val="20"/>
          <w:szCs w:val="20"/>
        </w:rPr>
      </w:pPr>
    </w:p>
    <w:p>
      <w:pPr>
        <w:pStyle w:val="BodyText"/>
        <w:spacing w:line="240" w:lineRule="auto"/>
        <w:ind w:right="1437"/>
        <w:jc w:val="both"/>
      </w:pPr>
      <w:r>
        <w:rPr/>
        <w:t>The two most preferred sources of information are friends and family and online sources, including company websites, online rating websites, and online travel agents. Three out of four tourists (75.6%) used online sources (including company websites) as their main source of information followed by 51.6% friends and family, and 21.2% travel</w:t>
      </w:r>
      <w:r>
        <w:rPr>
          <w:spacing w:val="-10"/>
        </w:rPr>
        <w:t> </w:t>
      </w:r>
      <w:r>
        <w:rPr/>
        <w:t>agencies.</w:t>
      </w:r>
      <w:r>
        <w:rPr>
          <w:spacing w:val="26"/>
        </w:rPr>
        <w:t> </w:t>
      </w:r>
      <w:r>
        <w:rPr/>
        <w:t>Nearly</w:t>
      </w:r>
      <w:r>
        <w:rPr>
          <w:spacing w:val="-10"/>
        </w:rPr>
        <w:t> </w:t>
      </w:r>
      <w:r>
        <w:rPr/>
        <w:t>17%</w:t>
      </w:r>
      <w:r>
        <w:rPr>
          <w:spacing w:val="-11"/>
        </w:rPr>
        <w:t> </w:t>
      </w:r>
      <w:r>
        <w:rPr/>
        <w:t>consulted</w:t>
      </w:r>
      <w:r>
        <w:rPr>
          <w:spacing w:val="-10"/>
        </w:rPr>
        <w:t> </w:t>
      </w:r>
      <w:r>
        <w:rPr/>
        <w:t>social</w:t>
      </w:r>
      <w:r>
        <w:rPr>
          <w:spacing w:val="-8"/>
        </w:rPr>
        <w:t> </w:t>
      </w:r>
      <w:r>
        <w:rPr/>
        <w:t>media,</w:t>
      </w:r>
      <w:r>
        <w:rPr>
          <w:spacing w:val="-9"/>
        </w:rPr>
        <w:t> </w:t>
      </w:r>
      <w:r>
        <w:rPr/>
        <w:t>including</w:t>
      </w:r>
      <w:r>
        <w:rPr>
          <w:spacing w:val="-10"/>
        </w:rPr>
        <w:t> </w:t>
      </w:r>
      <w:r>
        <w:rPr/>
        <w:t>Facebook,</w:t>
      </w:r>
      <w:r>
        <w:rPr>
          <w:spacing w:val="-9"/>
        </w:rPr>
        <w:t> </w:t>
      </w:r>
      <w:r>
        <w:rPr/>
        <w:t>YouTube,</w:t>
      </w:r>
      <w:r>
        <w:rPr>
          <w:spacing w:val="-10"/>
        </w:rPr>
        <w:t> </w:t>
      </w:r>
      <w:r>
        <w:rPr/>
        <w:t>Instagram,</w:t>
      </w:r>
      <w:r>
        <w:rPr>
          <w:spacing w:val="-10"/>
        </w:rPr>
        <w:t> </w:t>
      </w:r>
      <w:r>
        <w:rPr/>
        <w:t>and</w:t>
      </w:r>
      <w:r>
        <w:rPr>
          <w:spacing w:val="-10"/>
        </w:rPr>
        <w:t> </w:t>
      </w:r>
      <w:r>
        <w:rPr/>
        <w:t>Twitter,</w:t>
      </w:r>
      <w:r>
        <w:rPr>
          <w:spacing w:val="-10"/>
        </w:rPr>
        <w:t> </w:t>
      </w:r>
      <w:r>
        <w:rPr/>
        <w:t>regarding </w:t>
      </w:r>
      <w:r>
        <w:rPr/>
        <w:t>information</w:t>
      </w:r>
      <w:r>
        <w:rPr>
          <w:spacing w:val="-12"/>
        </w:rPr>
        <w:t> </w:t>
      </w:r>
      <w:r>
        <w:rPr/>
        <w:t>about</w:t>
      </w:r>
      <w:r>
        <w:rPr>
          <w:spacing w:val="-12"/>
        </w:rPr>
        <w:t> </w:t>
      </w:r>
      <w:r>
        <w:rPr/>
        <w:t>Curaçao.</w:t>
      </w:r>
      <w:r>
        <w:rPr>
          <w:spacing w:val="20"/>
        </w:rPr>
        <w:t> </w:t>
      </w:r>
      <w:r>
        <w:rPr/>
        <w:t>Approximately,</w:t>
      </w:r>
      <w:r>
        <w:rPr>
          <w:spacing w:val="-12"/>
        </w:rPr>
        <w:t> </w:t>
      </w:r>
      <w:r>
        <w:rPr/>
        <w:t>one</w:t>
      </w:r>
      <w:r>
        <w:rPr>
          <w:spacing w:val="-13"/>
        </w:rPr>
        <w:t> </w:t>
      </w:r>
      <w:r>
        <w:rPr/>
        <w:t>out</w:t>
      </w:r>
      <w:r>
        <w:rPr>
          <w:spacing w:val="-12"/>
        </w:rPr>
        <w:t> </w:t>
      </w:r>
      <w:r>
        <w:rPr/>
        <w:t>of</w:t>
      </w:r>
      <w:r>
        <w:rPr>
          <w:spacing w:val="-13"/>
        </w:rPr>
        <w:t> </w:t>
      </w:r>
      <w:r>
        <w:rPr/>
        <w:t>ten</w:t>
      </w:r>
      <w:r>
        <w:rPr>
          <w:spacing w:val="-12"/>
        </w:rPr>
        <w:t> </w:t>
      </w:r>
      <w:r>
        <w:rPr/>
        <w:t>tourists</w:t>
      </w:r>
      <w:r>
        <w:rPr>
          <w:spacing w:val="-13"/>
        </w:rPr>
        <w:t> </w:t>
      </w:r>
      <w:r>
        <w:rPr/>
        <w:t>(11.2%)</w:t>
      </w:r>
      <w:r>
        <w:rPr>
          <w:spacing w:val="-13"/>
        </w:rPr>
        <w:t> </w:t>
      </w:r>
      <w:r>
        <w:rPr/>
        <w:t>visiting</w:t>
      </w:r>
      <w:r>
        <w:rPr>
          <w:spacing w:val="-7"/>
        </w:rPr>
        <w:t> </w:t>
      </w:r>
      <w:r>
        <w:rPr/>
        <w:t>Curaçao</w:t>
      </w:r>
      <w:r>
        <w:rPr>
          <w:spacing w:val="-12"/>
        </w:rPr>
        <w:t> </w:t>
      </w:r>
      <w:r>
        <w:rPr/>
        <w:t>used</w:t>
      </w:r>
      <w:r>
        <w:rPr>
          <w:spacing w:val="-12"/>
        </w:rPr>
        <w:t> </w:t>
      </w:r>
      <w:r>
        <w:rPr/>
        <w:t>the</w:t>
      </w:r>
      <w:r>
        <w:rPr>
          <w:spacing w:val="-12"/>
        </w:rPr>
        <w:t> </w:t>
      </w:r>
      <w:r>
        <w:rPr/>
        <w:t>Curaçao</w:t>
      </w:r>
      <w:r>
        <w:rPr>
          <w:spacing w:val="-12"/>
        </w:rPr>
        <w:t> </w:t>
      </w:r>
      <w:r>
        <w:rPr/>
        <w:t>Tourist </w:t>
      </w:r>
      <w:r>
        <w:rPr/>
        <w:t>Board as their source of information.</w:t>
      </w:r>
      <w:r>
        <w:rPr>
          <w:position w:val="5"/>
          <w:sz w:val="12"/>
        </w:rPr>
        <w:t>53 </w:t>
      </w:r>
      <w:r>
        <w:rPr/>
        <w:t>See Table 27 for an overview of the sources of information used by tourists </w:t>
      </w:r>
      <w:r>
        <w:rPr/>
        <w:t>who visited</w:t>
      </w:r>
      <w:r>
        <w:rPr>
          <w:spacing w:val="-10"/>
        </w:rPr>
        <w:t> </w:t>
      </w:r>
      <w:r>
        <w:rPr/>
        <w:t>Curaçao.</w:t>
      </w:r>
    </w:p>
    <w:p>
      <w:pPr>
        <w:spacing w:line="240" w:lineRule="auto" w:before="11"/>
        <w:ind w:right="0"/>
        <w:rPr>
          <w:rFonts w:ascii="Calibri" w:hAnsi="Calibri" w:cs="Calibri" w:eastAsia="Calibri" w:hint="default"/>
          <w:sz w:val="19"/>
          <w:szCs w:val="19"/>
        </w:rPr>
      </w:pPr>
    </w:p>
    <w:p>
      <w:pPr>
        <w:pStyle w:val="Heading9"/>
        <w:tabs>
          <w:tab w:pos="4745" w:val="left" w:leader="none"/>
          <w:tab w:pos="10806" w:val="left" w:leader="none"/>
        </w:tabs>
        <w:spacing w:line="240" w:lineRule="auto" w:after="51"/>
        <w:ind w:left="1438" w:right="0"/>
        <w:jc w:val="both"/>
        <w:rPr>
          <w:b w:val="0"/>
          <w:bCs w:val="0"/>
        </w:rPr>
      </w:pPr>
      <w:bookmarkStart w:name="_bookmark101" w:id="102"/>
      <w:bookmarkEnd w:id="102"/>
      <w:r>
        <w:rPr>
          <w:b w:val="0"/>
        </w:rPr>
      </w:r>
      <w:r>
        <w:rPr>
          <w:w w:val="99"/>
        </w:rPr>
      </w:r>
      <w:r>
        <w:rPr>
          <w:w w:val="99"/>
          <w:u w:val="single" w:color="000000"/>
        </w:rPr>
        <w:t> </w:t>
      </w:r>
      <w:r>
        <w:rPr>
          <w:u w:val="single" w:color="000000"/>
        </w:rPr>
        <w:tab/>
        <w:t>Table 27:  Sources of</w:t>
      </w:r>
      <w:r>
        <w:rPr>
          <w:spacing w:val="-17"/>
          <w:u w:val="single" w:color="000000"/>
        </w:rPr>
        <w:t> </w:t>
      </w:r>
      <w:r>
        <w:rPr>
          <w:u w:val="single" w:color="000000"/>
        </w:rPr>
        <w:t>information</w:t>
        <w:tab/>
      </w:r>
      <w:r>
        <w:rPr/>
      </w:r>
      <w:r>
        <w:rPr>
          <w:b w:val="0"/>
        </w:rPr>
      </w:r>
    </w:p>
    <w:tbl>
      <w:tblPr>
        <w:tblW w:w="0" w:type="auto"/>
        <w:jc w:val="left"/>
        <w:tblInd w:w="1438" w:type="dxa"/>
        <w:tblLayout w:type="fixed"/>
        <w:tblCellMar>
          <w:top w:w="0" w:type="dxa"/>
          <w:left w:w="0" w:type="dxa"/>
          <w:bottom w:w="0" w:type="dxa"/>
          <w:right w:w="0" w:type="dxa"/>
        </w:tblCellMar>
        <w:tblLook w:val="01E0"/>
      </w:tblPr>
      <w:tblGrid>
        <w:gridCol w:w="5682"/>
        <w:gridCol w:w="3687"/>
      </w:tblGrid>
      <w:tr>
        <w:trPr>
          <w:trHeight w:val="210" w:hRule="exact"/>
        </w:trPr>
        <w:tc>
          <w:tcPr>
            <w:tcW w:w="5682" w:type="dxa"/>
            <w:tcBorders>
              <w:top w:val="nil" w:sz="6" w:space="0" w:color="auto"/>
              <w:left w:val="nil" w:sz="6" w:space="0" w:color="auto"/>
              <w:bottom w:val="single" w:sz="4" w:space="0" w:color="000000"/>
              <w:right w:val="nil" w:sz="6" w:space="0" w:color="auto"/>
            </w:tcBorders>
          </w:tcPr>
          <w:p>
            <w:pPr>
              <w:pStyle w:val="TableParagraph"/>
              <w:spacing w:line="203" w:lineRule="exact"/>
              <w:ind w:left="518" w:right="0"/>
              <w:jc w:val="left"/>
              <w:rPr>
                <w:rFonts w:ascii="Calibri" w:hAnsi="Calibri" w:cs="Calibri" w:eastAsia="Calibri" w:hint="default"/>
                <w:sz w:val="20"/>
                <w:szCs w:val="20"/>
              </w:rPr>
            </w:pPr>
            <w:r>
              <w:rPr>
                <w:rFonts w:ascii="Calibri"/>
                <w:b/>
                <w:sz w:val="20"/>
              </w:rPr>
              <w:t>Communication</w:t>
            </w:r>
            <w:r>
              <w:rPr>
                <w:rFonts w:ascii="Calibri"/>
                <w:b/>
                <w:spacing w:val="-14"/>
                <w:sz w:val="20"/>
              </w:rPr>
              <w:t> </w:t>
            </w:r>
            <w:r>
              <w:rPr>
                <w:rFonts w:ascii="Calibri"/>
                <w:b/>
                <w:sz w:val="20"/>
              </w:rPr>
              <w:t>Channel</w:t>
            </w:r>
            <w:r>
              <w:rPr>
                <w:rFonts w:ascii="Calibri"/>
                <w:sz w:val="20"/>
              </w:rPr>
            </w:r>
          </w:p>
        </w:tc>
        <w:tc>
          <w:tcPr>
            <w:tcW w:w="3687" w:type="dxa"/>
            <w:tcBorders>
              <w:top w:val="nil" w:sz="6" w:space="0" w:color="auto"/>
              <w:left w:val="nil" w:sz="6" w:space="0" w:color="auto"/>
              <w:bottom w:val="single" w:sz="4" w:space="0" w:color="000000"/>
              <w:right w:val="nil" w:sz="6" w:space="0" w:color="auto"/>
            </w:tcBorders>
          </w:tcPr>
          <w:p>
            <w:pPr>
              <w:pStyle w:val="TableParagraph"/>
              <w:spacing w:line="203" w:lineRule="exact"/>
              <w:ind w:left="1989" w:right="0"/>
              <w:jc w:val="center"/>
              <w:rPr>
                <w:rFonts w:ascii="Calibri" w:hAnsi="Calibri" w:cs="Calibri" w:eastAsia="Calibri" w:hint="default"/>
                <w:sz w:val="20"/>
                <w:szCs w:val="20"/>
              </w:rPr>
            </w:pPr>
            <w:r>
              <w:rPr>
                <w:rFonts w:ascii="Calibri"/>
                <w:b/>
                <w:sz w:val="20"/>
              </w:rPr>
              <w:t>% of</w:t>
            </w:r>
            <w:r>
              <w:rPr>
                <w:rFonts w:ascii="Calibri"/>
                <w:b/>
                <w:spacing w:val="-9"/>
                <w:sz w:val="20"/>
              </w:rPr>
              <w:t> </w:t>
            </w:r>
            <w:r>
              <w:rPr>
                <w:rFonts w:ascii="Calibri"/>
                <w:b/>
                <w:sz w:val="20"/>
              </w:rPr>
              <w:t>Cases</w:t>
            </w:r>
            <w:r>
              <w:rPr>
                <w:rFonts w:ascii="Calibri"/>
                <w:sz w:val="20"/>
              </w:rPr>
            </w:r>
          </w:p>
        </w:tc>
      </w:tr>
      <w:tr>
        <w:trPr>
          <w:trHeight w:val="267" w:hRule="exact"/>
        </w:trPr>
        <w:tc>
          <w:tcPr>
            <w:tcW w:w="5682" w:type="dxa"/>
            <w:tcBorders>
              <w:top w:val="single" w:sz="4" w:space="0" w:color="000000"/>
              <w:left w:val="nil" w:sz="6" w:space="0" w:color="auto"/>
              <w:bottom w:val="nil" w:sz="6" w:space="0" w:color="auto"/>
              <w:right w:val="nil" w:sz="6" w:space="0" w:color="auto"/>
            </w:tcBorders>
          </w:tcPr>
          <w:p>
            <w:pPr>
              <w:pStyle w:val="TableParagraph"/>
              <w:spacing w:line="243" w:lineRule="exact"/>
              <w:ind w:left="108" w:right="0"/>
              <w:jc w:val="left"/>
              <w:rPr>
                <w:rFonts w:ascii="Calibri" w:hAnsi="Calibri" w:cs="Calibri" w:eastAsia="Calibri" w:hint="default"/>
                <w:sz w:val="20"/>
                <w:szCs w:val="20"/>
              </w:rPr>
            </w:pPr>
            <w:r>
              <w:rPr>
                <w:rFonts w:ascii="Calibri"/>
                <w:sz w:val="20"/>
              </w:rPr>
              <w:t>Friends/</w:t>
            </w:r>
            <w:r>
              <w:rPr>
                <w:rFonts w:ascii="Calibri"/>
                <w:spacing w:val="-10"/>
                <w:sz w:val="20"/>
              </w:rPr>
              <w:t> </w:t>
            </w:r>
            <w:r>
              <w:rPr>
                <w:rFonts w:ascii="Calibri"/>
                <w:sz w:val="20"/>
              </w:rPr>
              <w:t>Family</w:t>
            </w:r>
          </w:p>
        </w:tc>
        <w:tc>
          <w:tcPr>
            <w:tcW w:w="3687" w:type="dxa"/>
            <w:tcBorders>
              <w:top w:val="single" w:sz="4" w:space="0" w:color="000000"/>
              <w:left w:val="nil" w:sz="6" w:space="0" w:color="auto"/>
              <w:bottom w:val="nil" w:sz="6" w:space="0" w:color="auto"/>
              <w:right w:val="nil" w:sz="6" w:space="0" w:color="auto"/>
            </w:tcBorders>
          </w:tcPr>
          <w:p>
            <w:pPr>
              <w:pStyle w:val="TableParagraph"/>
              <w:spacing w:line="243" w:lineRule="exact"/>
              <w:ind w:left="1985" w:right="0"/>
              <w:jc w:val="center"/>
              <w:rPr>
                <w:rFonts w:ascii="Calibri" w:hAnsi="Calibri" w:cs="Calibri" w:eastAsia="Calibri" w:hint="default"/>
                <w:sz w:val="20"/>
                <w:szCs w:val="20"/>
              </w:rPr>
            </w:pPr>
            <w:r>
              <w:rPr>
                <w:rFonts w:ascii="Calibri"/>
                <w:sz w:val="20"/>
              </w:rPr>
              <w:t>51.6</w:t>
            </w:r>
          </w:p>
        </w:tc>
      </w:tr>
      <w:tr>
        <w:trPr>
          <w:trHeight w:val="245" w:hRule="exact"/>
        </w:trPr>
        <w:tc>
          <w:tcPr>
            <w:tcW w:w="5682"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Company website (hotels,</w:t>
            </w:r>
            <w:r>
              <w:rPr>
                <w:rFonts w:ascii="Calibri"/>
                <w:spacing w:val="-15"/>
                <w:sz w:val="20"/>
              </w:rPr>
              <w:t> </w:t>
            </w:r>
            <w:r>
              <w:rPr>
                <w:rFonts w:ascii="Calibri"/>
                <w:sz w:val="20"/>
              </w:rPr>
              <w:t>airlines)</w:t>
            </w:r>
          </w:p>
        </w:tc>
        <w:tc>
          <w:tcPr>
            <w:tcW w:w="3687" w:type="dxa"/>
            <w:tcBorders>
              <w:top w:val="nil" w:sz="6" w:space="0" w:color="auto"/>
              <w:left w:val="nil" w:sz="6" w:space="0" w:color="auto"/>
              <w:bottom w:val="nil" w:sz="6" w:space="0" w:color="auto"/>
              <w:right w:val="nil" w:sz="6" w:space="0" w:color="auto"/>
            </w:tcBorders>
          </w:tcPr>
          <w:p>
            <w:pPr>
              <w:pStyle w:val="TableParagraph"/>
              <w:spacing w:line="226" w:lineRule="exact"/>
              <w:ind w:left="1985" w:right="0"/>
              <w:jc w:val="center"/>
              <w:rPr>
                <w:rFonts w:ascii="Calibri" w:hAnsi="Calibri" w:cs="Calibri" w:eastAsia="Calibri" w:hint="default"/>
                <w:sz w:val="20"/>
                <w:szCs w:val="20"/>
              </w:rPr>
            </w:pPr>
            <w:r>
              <w:rPr>
                <w:rFonts w:ascii="Calibri"/>
                <w:sz w:val="20"/>
              </w:rPr>
              <w:t>26.9</w:t>
            </w:r>
          </w:p>
        </w:tc>
      </w:tr>
      <w:tr>
        <w:trPr>
          <w:trHeight w:val="244" w:hRule="exact"/>
        </w:trPr>
        <w:tc>
          <w:tcPr>
            <w:tcW w:w="5682"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Online rating website (e.g.</w:t>
            </w:r>
            <w:r>
              <w:rPr>
                <w:rFonts w:ascii="Calibri"/>
                <w:spacing w:val="-18"/>
                <w:sz w:val="20"/>
              </w:rPr>
              <w:t> </w:t>
            </w:r>
            <w:r>
              <w:rPr>
                <w:rFonts w:ascii="Calibri"/>
                <w:sz w:val="20"/>
              </w:rPr>
              <w:t>TripAdvisor)</w:t>
            </w:r>
          </w:p>
        </w:tc>
        <w:tc>
          <w:tcPr>
            <w:tcW w:w="3687" w:type="dxa"/>
            <w:tcBorders>
              <w:top w:val="nil" w:sz="6" w:space="0" w:color="auto"/>
              <w:left w:val="nil" w:sz="6" w:space="0" w:color="auto"/>
              <w:bottom w:val="nil" w:sz="6" w:space="0" w:color="auto"/>
              <w:right w:val="nil" w:sz="6" w:space="0" w:color="auto"/>
            </w:tcBorders>
          </w:tcPr>
          <w:p>
            <w:pPr>
              <w:pStyle w:val="TableParagraph"/>
              <w:spacing w:line="226" w:lineRule="exact"/>
              <w:ind w:left="1985" w:right="0"/>
              <w:jc w:val="center"/>
              <w:rPr>
                <w:rFonts w:ascii="Calibri" w:hAnsi="Calibri" w:cs="Calibri" w:eastAsia="Calibri" w:hint="default"/>
                <w:sz w:val="20"/>
                <w:szCs w:val="20"/>
              </w:rPr>
            </w:pPr>
            <w:r>
              <w:rPr>
                <w:rFonts w:ascii="Calibri"/>
                <w:sz w:val="20"/>
              </w:rPr>
              <w:t>23.9</w:t>
            </w:r>
          </w:p>
        </w:tc>
      </w:tr>
      <w:tr>
        <w:trPr>
          <w:trHeight w:val="244" w:hRule="exact"/>
        </w:trPr>
        <w:tc>
          <w:tcPr>
            <w:tcW w:w="5682" w:type="dxa"/>
            <w:tcBorders>
              <w:top w:val="nil" w:sz="6" w:space="0" w:color="auto"/>
              <w:left w:val="nil" w:sz="6" w:space="0" w:color="auto"/>
              <w:bottom w:val="nil" w:sz="6" w:space="0" w:color="auto"/>
              <w:right w:val="nil" w:sz="6" w:space="0" w:color="auto"/>
            </w:tcBorders>
          </w:tcPr>
          <w:p>
            <w:pPr>
              <w:pStyle w:val="TableParagraph"/>
              <w:spacing w:line="225" w:lineRule="exact"/>
              <w:ind w:left="108" w:right="0"/>
              <w:jc w:val="left"/>
              <w:rPr>
                <w:rFonts w:ascii="Calibri" w:hAnsi="Calibri" w:cs="Calibri" w:eastAsia="Calibri" w:hint="default"/>
                <w:sz w:val="20"/>
                <w:szCs w:val="20"/>
              </w:rPr>
            </w:pPr>
            <w:r>
              <w:rPr>
                <w:rFonts w:ascii="Calibri"/>
                <w:sz w:val="20"/>
              </w:rPr>
              <w:t>Travel</w:t>
            </w:r>
            <w:r>
              <w:rPr>
                <w:rFonts w:ascii="Calibri"/>
                <w:spacing w:val="-6"/>
                <w:sz w:val="20"/>
              </w:rPr>
              <w:t> </w:t>
            </w:r>
            <w:r>
              <w:rPr>
                <w:rFonts w:ascii="Calibri"/>
                <w:sz w:val="20"/>
              </w:rPr>
              <w:t>Agent</w:t>
            </w:r>
          </w:p>
        </w:tc>
        <w:tc>
          <w:tcPr>
            <w:tcW w:w="3687" w:type="dxa"/>
            <w:tcBorders>
              <w:top w:val="nil" w:sz="6" w:space="0" w:color="auto"/>
              <w:left w:val="nil" w:sz="6" w:space="0" w:color="auto"/>
              <w:bottom w:val="nil" w:sz="6" w:space="0" w:color="auto"/>
              <w:right w:val="nil" w:sz="6" w:space="0" w:color="auto"/>
            </w:tcBorders>
          </w:tcPr>
          <w:p>
            <w:pPr>
              <w:pStyle w:val="TableParagraph"/>
              <w:spacing w:line="225" w:lineRule="exact"/>
              <w:ind w:left="1985" w:right="0"/>
              <w:jc w:val="center"/>
              <w:rPr>
                <w:rFonts w:ascii="Calibri" w:hAnsi="Calibri" w:cs="Calibri" w:eastAsia="Calibri" w:hint="default"/>
                <w:sz w:val="20"/>
                <w:szCs w:val="20"/>
              </w:rPr>
            </w:pPr>
            <w:r>
              <w:rPr>
                <w:rFonts w:ascii="Calibri"/>
                <w:sz w:val="20"/>
              </w:rPr>
              <w:t>21.2</w:t>
            </w:r>
          </w:p>
        </w:tc>
      </w:tr>
      <w:tr>
        <w:trPr>
          <w:trHeight w:val="245" w:hRule="exact"/>
        </w:trPr>
        <w:tc>
          <w:tcPr>
            <w:tcW w:w="5682"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Travel</w:t>
            </w:r>
            <w:r>
              <w:rPr>
                <w:rFonts w:ascii="Calibri"/>
                <w:spacing w:val="-8"/>
                <w:sz w:val="20"/>
              </w:rPr>
              <w:t> </w:t>
            </w:r>
            <w:r>
              <w:rPr>
                <w:rFonts w:ascii="Calibri"/>
                <w:sz w:val="20"/>
              </w:rPr>
              <w:t>Guides</w:t>
            </w:r>
          </w:p>
        </w:tc>
        <w:tc>
          <w:tcPr>
            <w:tcW w:w="3687" w:type="dxa"/>
            <w:tcBorders>
              <w:top w:val="nil" w:sz="6" w:space="0" w:color="auto"/>
              <w:left w:val="nil" w:sz="6" w:space="0" w:color="auto"/>
              <w:bottom w:val="nil" w:sz="6" w:space="0" w:color="auto"/>
              <w:right w:val="nil" w:sz="6" w:space="0" w:color="auto"/>
            </w:tcBorders>
          </w:tcPr>
          <w:p>
            <w:pPr>
              <w:pStyle w:val="TableParagraph"/>
              <w:spacing w:line="226" w:lineRule="exact"/>
              <w:ind w:left="1985" w:right="0"/>
              <w:jc w:val="center"/>
              <w:rPr>
                <w:rFonts w:ascii="Calibri" w:hAnsi="Calibri" w:cs="Calibri" w:eastAsia="Calibri" w:hint="default"/>
                <w:sz w:val="20"/>
                <w:szCs w:val="20"/>
              </w:rPr>
            </w:pPr>
            <w:r>
              <w:rPr>
                <w:rFonts w:ascii="Calibri"/>
                <w:sz w:val="20"/>
              </w:rPr>
              <w:t>16.0</w:t>
            </w:r>
          </w:p>
        </w:tc>
      </w:tr>
      <w:tr>
        <w:trPr>
          <w:trHeight w:val="245" w:hRule="exact"/>
        </w:trPr>
        <w:tc>
          <w:tcPr>
            <w:tcW w:w="5682"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hAnsi="Calibri"/>
                <w:sz w:val="20"/>
              </w:rPr>
              <w:t>Curaçao Tourist</w:t>
            </w:r>
            <w:r>
              <w:rPr>
                <w:rFonts w:ascii="Calibri" w:hAnsi="Calibri"/>
                <w:spacing w:val="-12"/>
                <w:sz w:val="20"/>
              </w:rPr>
              <w:t> </w:t>
            </w:r>
            <w:r>
              <w:rPr>
                <w:rFonts w:ascii="Calibri" w:hAnsi="Calibri"/>
                <w:sz w:val="20"/>
              </w:rPr>
              <w:t>Board</w:t>
            </w:r>
          </w:p>
        </w:tc>
        <w:tc>
          <w:tcPr>
            <w:tcW w:w="3687" w:type="dxa"/>
            <w:tcBorders>
              <w:top w:val="nil" w:sz="6" w:space="0" w:color="auto"/>
              <w:left w:val="nil" w:sz="6" w:space="0" w:color="auto"/>
              <w:bottom w:val="nil" w:sz="6" w:space="0" w:color="auto"/>
              <w:right w:val="nil" w:sz="6" w:space="0" w:color="auto"/>
            </w:tcBorders>
          </w:tcPr>
          <w:p>
            <w:pPr>
              <w:pStyle w:val="TableParagraph"/>
              <w:spacing w:line="226" w:lineRule="exact"/>
              <w:ind w:left="1985" w:right="0"/>
              <w:jc w:val="center"/>
              <w:rPr>
                <w:rFonts w:ascii="Calibri" w:hAnsi="Calibri" w:cs="Calibri" w:eastAsia="Calibri" w:hint="default"/>
                <w:sz w:val="20"/>
                <w:szCs w:val="20"/>
              </w:rPr>
            </w:pPr>
            <w:r>
              <w:rPr>
                <w:rFonts w:ascii="Calibri"/>
                <w:sz w:val="20"/>
              </w:rPr>
              <w:t>11.2</w:t>
            </w:r>
          </w:p>
        </w:tc>
      </w:tr>
      <w:tr>
        <w:trPr>
          <w:trHeight w:val="244" w:hRule="exact"/>
        </w:trPr>
        <w:tc>
          <w:tcPr>
            <w:tcW w:w="5682"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Newspaper/</w:t>
            </w:r>
            <w:r>
              <w:rPr>
                <w:rFonts w:ascii="Calibri"/>
                <w:spacing w:val="-8"/>
                <w:sz w:val="20"/>
              </w:rPr>
              <w:t> </w:t>
            </w:r>
            <w:r>
              <w:rPr>
                <w:rFonts w:ascii="Calibri"/>
                <w:sz w:val="20"/>
              </w:rPr>
              <w:t>Magazines</w:t>
            </w:r>
          </w:p>
        </w:tc>
        <w:tc>
          <w:tcPr>
            <w:tcW w:w="3687" w:type="dxa"/>
            <w:tcBorders>
              <w:top w:val="nil" w:sz="6" w:space="0" w:color="auto"/>
              <w:left w:val="nil" w:sz="6" w:space="0" w:color="auto"/>
              <w:bottom w:val="nil" w:sz="6" w:space="0" w:color="auto"/>
              <w:right w:val="nil" w:sz="6" w:space="0" w:color="auto"/>
            </w:tcBorders>
          </w:tcPr>
          <w:p>
            <w:pPr>
              <w:pStyle w:val="TableParagraph"/>
              <w:spacing w:line="226" w:lineRule="exact"/>
              <w:ind w:left="1985" w:right="0"/>
              <w:jc w:val="center"/>
              <w:rPr>
                <w:rFonts w:ascii="Calibri" w:hAnsi="Calibri" w:cs="Calibri" w:eastAsia="Calibri" w:hint="default"/>
                <w:sz w:val="20"/>
                <w:szCs w:val="20"/>
              </w:rPr>
            </w:pPr>
            <w:r>
              <w:rPr>
                <w:rFonts w:ascii="Calibri"/>
                <w:sz w:val="20"/>
              </w:rPr>
              <w:t>9.3</w:t>
            </w:r>
          </w:p>
        </w:tc>
      </w:tr>
      <w:tr>
        <w:trPr>
          <w:trHeight w:val="244" w:hRule="exact"/>
        </w:trPr>
        <w:tc>
          <w:tcPr>
            <w:tcW w:w="5682" w:type="dxa"/>
            <w:tcBorders>
              <w:top w:val="nil" w:sz="6" w:space="0" w:color="auto"/>
              <w:left w:val="nil" w:sz="6" w:space="0" w:color="auto"/>
              <w:bottom w:val="nil" w:sz="6" w:space="0" w:color="auto"/>
              <w:right w:val="nil" w:sz="6" w:space="0" w:color="auto"/>
            </w:tcBorders>
          </w:tcPr>
          <w:p>
            <w:pPr>
              <w:pStyle w:val="TableParagraph"/>
              <w:spacing w:line="225" w:lineRule="exact"/>
              <w:ind w:left="108" w:right="0"/>
              <w:jc w:val="left"/>
              <w:rPr>
                <w:rFonts w:ascii="Calibri" w:hAnsi="Calibri" w:cs="Calibri" w:eastAsia="Calibri" w:hint="default"/>
                <w:sz w:val="20"/>
                <w:szCs w:val="20"/>
              </w:rPr>
            </w:pPr>
            <w:r>
              <w:rPr>
                <w:rFonts w:ascii="Calibri"/>
                <w:sz w:val="20"/>
              </w:rPr>
              <w:t>Online Travel Agent (e.g.</w:t>
            </w:r>
            <w:r>
              <w:rPr>
                <w:rFonts w:ascii="Calibri"/>
                <w:spacing w:val="-18"/>
                <w:sz w:val="20"/>
              </w:rPr>
              <w:t> </w:t>
            </w:r>
            <w:r>
              <w:rPr>
                <w:rFonts w:ascii="Calibri"/>
                <w:sz w:val="20"/>
              </w:rPr>
              <w:t>Travelocity)</w:t>
            </w:r>
          </w:p>
        </w:tc>
        <w:tc>
          <w:tcPr>
            <w:tcW w:w="3687" w:type="dxa"/>
            <w:tcBorders>
              <w:top w:val="nil" w:sz="6" w:space="0" w:color="auto"/>
              <w:left w:val="nil" w:sz="6" w:space="0" w:color="auto"/>
              <w:bottom w:val="nil" w:sz="6" w:space="0" w:color="auto"/>
              <w:right w:val="nil" w:sz="6" w:space="0" w:color="auto"/>
            </w:tcBorders>
          </w:tcPr>
          <w:p>
            <w:pPr>
              <w:pStyle w:val="TableParagraph"/>
              <w:spacing w:line="225" w:lineRule="exact"/>
              <w:ind w:left="1985" w:right="0"/>
              <w:jc w:val="center"/>
              <w:rPr>
                <w:rFonts w:ascii="Calibri" w:hAnsi="Calibri" w:cs="Calibri" w:eastAsia="Calibri" w:hint="default"/>
                <w:sz w:val="20"/>
                <w:szCs w:val="20"/>
              </w:rPr>
            </w:pPr>
            <w:r>
              <w:rPr>
                <w:rFonts w:ascii="Calibri"/>
                <w:sz w:val="20"/>
              </w:rPr>
              <w:t>8.1</w:t>
            </w:r>
          </w:p>
        </w:tc>
      </w:tr>
      <w:tr>
        <w:trPr>
          <w:trHeight w:val="245" w:hRule="exact"/>
        </w:trPr>
        <w:tc>
          <w:tcPr>
            <w:tcW w:w="5682"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Others</w:t>
            </w:r>
          </w:p>
        </w:tc>
        <w:tc>
          <w:tcPr>
            <w:tcW w:w="3687" w:type="dxa"/>
            <w:tcBorders>
              <w:top w:val="nil" w:sz="6" w:space="0" w:color="auto"/>
              <w:left w:val="nil" w:sz="6" w:space="0" w:color="auto"/>
              <w:bottom w:val="nil" w:sz="6" w:space="0" w:color="auto"/>
              <w:right w:val="nil" w:sz="6" w:space="0" w:color="auto"/>
            </w:tcBorders>
          </w:tcPr>
          <w:p>
            <w:pPr>
              <w:pStyle w:val="TableParagraph"/>
              <w:spacing w:line="226" w:lineRule="exact"/>
              <w:ind w:left="1985" w:right="0"/>
              <w:jc w:val="center"/>
              <w:rPr>
                <w:rFonts w:ascii="Calibri" w:hAnsi="Calibri" w:cs="Calibri" w:eastAsia="Calibri" w:hint="default"/>
                <w:sz w:val="20"/>
                <w:szCs w:val="20"/>
              </w:rPr>
            </w:pPr>
            <w:r>
              <w:rPr>
                <w:rFonts w:ascii="Calibri"/>
                <w:sz w:val="20"/>
              </w:rPr>
              <w:t>7.9</w:t>
            </w:r>
          </w:p>
        </w:tc>
      </w:tr>
      <w:tr>
        <w:trPr>
          <w:trHeight w:val="244" w:hRule="exact"/>
        </w:trPr>
        <w:tc>
          <w:tcPr>
            <w:tcW w:w="5682"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Facebook</w:t>
            </w:r>
          </w:p>
        </w:tc>
        <w:tc>
          <w:tcPr>
            <w:tcW w:w="3687" w:type="dxa"/>
            <w:tcBorders>
              <w:top w:val="nil" w:sz="6" w:space="0" w:color="auto"/>
              <w:left w:val="nil" w:sz="6" w:space="0" w:color="auto"/>
              <w:bottom w:val="nil" w:sz="6" w:space="0" w:color="auto"/>
              <w:right w:val="nil" w:sz="6" w:space="0" w:color="auto"/>
            </w:tcBorders>
          </w:tcPr>
          <w:p>
            <w:pPr>
              <w:pStyle w:val="TableParagraph"/>
              <w:spacing w:line="226" w:lineRule="exact"/>
              <w:ind w:left="1985" w:right="0"/>
              <w:jc w:val="center"/>
              <w:rPr>
                <w:rFonts w:ascii="Calibri" w:hAnsi="Calibri" w:cs="Calibri" w:eastAsia="Calibri" w:hint="default"/>
                <w:sz w:val="20"/>
                <w:szCs w:val="20"/>
              </w:rPr>
            </w:pPr>
            <w:r>
              <w:rPr>
                <w:rFonts w:ascii="Calibri"/>
                <w:sz w:val="20"/>
              </w:rPr>
              <w:t>7.4</w:t>
            </w:r>
          </w:p>
        </w:tc>
      </w:tr>
      <w:tr>
        <w:trPr>
          <w:trHeight w:val="244" w:hRule="exact"/>
        </w:trPr>
        <w:tc>
          <w:tcPr>
            <w:tcW w:w="5682" w:type="dxa"/>
            <w:tcBorders>
              <w:top w:val="nil" w:sz="6" w:space="0" w:color="auto"/>
              <w:left w:val="nil" w:sz="6" w:space="0" w:color="auto"/>
              <w:bottom w:val="nil" w:sz="6" w:space="0" w:color="auto"/>
              <w:right w:val="nil" w:sz="6" w:space="0" w:color="auto"/>
            </w:tcBorders>
          </w:tcPr>
          <w:p>
            <w:pPr>
              <w:pStyle w:val="TableParagraph"/>
              <w:spacing w:line="225" w:lineRule="exact"/>
              <w:ind w:left="108" w:right="0"/>
              <w:jc w:val="left"/>
              <w:rPr>
                <w:rFonts w:ascii="Calibri" w:hAnsi="Calibri" w:cs="Calibri" w:eastAsia="Calibri" w:hint="default"/>
                <w:sz w:val="20"/>
                <w:szCs w:val="20"/>
              </w:rPr>
            </w:pPr>
            <w:r>
              <w:rPr>
                <w:rFonts w:ascii="Calibri"/>
                <w:sz w:val="20"/>
              </w:rPr>
              <w:t>Television</w:t>
            </w:r>
          </w:p>
        </w:tc>
        <w:tc>
          <w:tcPr>
            <w:tcW w:w="3687" w:type="dxa"/>
            <w:tcBorders>
              <w:top w:val="nil" w:sz="6" w:space="0" w:color="auto"/>
              <w:left w:val="nil" w:sz="6" w:space="0" w:color="auto"/>
              <w:bottom w:val="nil" w:sz="6" w:space="0" w:color="auto"/>
              <w:right w:val="nil" w:sz="6" w:space="0" w:color="auto"/>
            </w:tcBorders>
          </w:tcPr>
          <w:p>
            <w:pPr>
              <w:pStyle w:val="TableParagraph"/>
              <w:spacing w:line="225" w:lineRule="exact"/>
              <w:ind w:left="1985" w:right="0"/>
              <w:jc w:val="center"/>
              <w:rPr>
                <w:rFonts w:ascii="Calibri" w:hAnsi="Calibri" w:cs="Calibri" w:eastAsia="Calibri" w:hint="default"/>
                <w:sz w:val="20"/>
                <w:szCs w:val="20"/>
              </w:rPr>
            </w:pPr>
            <w:r>
              <w:rPr>
                <w:rFonts w:ascii="Calibri"/>
                <w:sz w:val="20"/>
              </w:rPr>
              <w:t>6.5</w:t>
            </w:r>
          </w:p>
        </w:tc>
      </w:tr>
      <w:tr>
        <w:trPr>
          <w:trHeight w:val="245" w:hRule="exact"/>
        </w:trPr>
        <w:tc>
          <w:tcPr>
            <w:tcW w:w="5682"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Tour Operator</w:t>
            </w:r>
            <w:r>
              <w:rPr>
                <w:rFonts w:ascii="Calibri"/>
                <w:spacing w:val="-12"/>
                <w:sz w:val="20"/>
              </w:rPr>
              <w:t> </w:t>
            </w:r>
            <w:r>
              <w:rPr>
                <w:rFonts w:ascii="Calibri"/>
                <w:sz w:val="20"/>
              </w:rPr>
              <w:t>Brochure</w:t>
            </w:r>
          </w:p>
        </w:tc>
        <w:tc>
          <w:tcPr>
            <w:tcW w:w="3687" w:type="dxa"/>
            <w:tcBorders>
              <w:top w:val="nil" w:sz="6" w:space="0" w:color="auto"/>
              <w:left w:val="nil" w:sz="6" w:space="0" w:color="auto"/>
              <w:bottom w:val="nil" w:sz="6" w:space="0" w:color="auto"/>
              <w:right w:val="nil" w:sz="6" w:space="0" w:color="auto"/>
            </w:tcBorders>
          </w:tcPr>
          <w:p>
            <w:pPr>
              <w:pStyle w:val="TableParagraph"/>
              <w:spacing w:line="226" w:lineRule="exact"/>
              <w:ind w:left="1985" w:right="0"/>
              <w:jc w:val="center"/>
              <w:rPr>
                <w:rFonts w:ascii="Calibri" w:hAnsi="Calibri" w:cs="Calibri" w:eastAsia="Calibri" w:hint="default"/>
                <w:sz w:val="20"/>
                <w:szCs w:val="20"/>
              </w:rPr>
            </w:pPr>
            <w:r>
              <w:rPr>
                <w:rFonts w:ascii="Calibri"/>
                <w:sz w:val="20"/>
              </w:rPr>
              <w:t>6.5</w:t>
            </w:r>
          </w:p>
        </w:tc>
      </w:tr>
      <w:tr>
        <w:trPr>
          <w:trHeight w:val="245" w:hRule="exact"/>
        </w:trPr>
        <w:tc>
          <w:tcPr>
            <w:tcW w:w="5682"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Youtube</w:t>
            </w:r>
          </w:p>
        </w:tc>
        <w:tc>
          <w:tcPr>
            <w:tcW w:w="3687" w:type="dxa"/>
            <w:tcBorders>
              <w:top w:val="nil" w:sz="6" w:space="0" w:color="auto"/>
              <w:left w:val="nil" w:sz="6" w:space="0" w:color="auto"/>
              <w:bottom w:val="nil" w:sz="6" w:space="0" w:color="auto"/>
              <w:right w:val="nil" w:sz="6" w:space="0" w:color="auto"/>
            </w:tcBorders>
          </w:tcPr>
          <w:p>
            <w:pPr>
              <w:pStyle w:val="TableParagraph"/>
              <w:spacing w:line="226" w:lineRule="exact"/>
              <w:ind w:left="1985" w:right="0"/>
              <w:jc w:val="center"/>
              <w:rPr>
                <w:rFonts w:ascii="Calibri" w:hAnsi="Calibri" w:cs="Calibri" w:eastAsia="Calibri" w:hint="default"/>
                <w:sz w:val="20"/>
                <w:szCs w:val="20"/>
              </w:rPr>
            </w:pPr>
            <w:r>
              <w:rPr>
                <w:rFonts w:ascii="Calibri"/>
                <w:sz w:val="20"/>
              </w:rPr>
              <w:t>5.9</w:t>
            </w:r>
          </w:p>
        </w:tc>
      </w:tr>
      <w:tr>
        <w:trPr>
          <w:trHeight w:val="244" w:hRule="exact"/>
        </w:trPr>
        <w:tc>
          <w:tcPr>
            <w:tcW w:w="5682" w:type="dxa"/>
            <w:tcBorders>
              <w:top w:val="nil" w:sz="6" w:space="0" w:color="auto"/>
              <w:left w:val="nil" w:sz="6" w:space="0" w:color="auto"/>
              <w:bottom w:val="nil" w:sz="6" w:space="0" w:color="auto"/>
              <w:right w:val="nil" w:sz="6" w:space="0" w:color="auto"/>
            </w:tcBorders>
          </w:tcPr>
          <w:p>
            <w:pPr>
              <w:pStyle w:val="TableParagraph"/>
              <w:spacing w:line="226" w:lineRule="exact"/>
              <w:ind w:left="108" w:right="0"/>
              <w:jc w:val="left"/>
              <w:rPr>
                <w:rFonts w:ascii="Calibri" w:hAnsi="Calibri" w:cs="Calibri" w:eastAsia="Calibri" w:hint="default"/>
                <w:sz w:val="20"/>
                <w:szCs w:val="20"/>
              </w:rPr>
            </w:pPr>
            <w:r>
              <w:rPr>
                <w:rFonts w:ascii="Calibri"/>
                <w:sz w:val="20"/>
              </w:rPr>
              <w:t>Instagram</w:t>
            </w:r>
          </w:p>
        </w:tc>
        <w:tc>
          <w:tcPr>
            <w:tcW w:w="3687" w:type="dxa"/>
            <w:tcBorders>
              <w:top w:val="nil" w:sz="6" w:space="0" w:color="auto"/>
              <w:left w:val="nil" w:sz="6" w:space="0" w:color="auto"/>
              <w:bottom w:val="nil" w:sz="6" w:space="0" w:color="auto"/>
              <w:right w:val="nil" w:sz="6" w:space="0" w:color="auto"/>
            </w:tcBorders>
          </w:tcPr>
          <w:p>
            <w:pPr>
              <w:pStyle w:val="TableParagraph"/>
              <w:spacing w:line="226" w:lineRule="exact"/>
              <w:ind w:left="1985" w:right="0"/>
              <w:jc w:val="center"/>
              <w:rPr>
                <w:rFonts w:ascii="Calibri" w:hAnsi="Calibri" w:cs="Calibri" w:eastAsia="Calibri" w:hint="default"/>
                <w:sz w:val="20"/>
                <w:szCs w:val="20"/>
              </w:rPr>
            </w:pPr>
            <w:r>
              <w:rPr>
                <w:rFonts w:ascii="Calibri"/>
                <w:sz w:val="20"/>
              </w:rPr>
              <w:t>2.8</w:t>
            </w:r>
          </w:p>
        </w:tc>
      </w:tr>
      <w:tr>
        <w:trPr>
          <w:trHeight w:val="231" w:hRule="exact"/>
        </w:trPr>
        <w:tc>
          <w:tcPr>
            <w:tcW w:w="5682" w:type="dxa"/>
            <w:tcBorders>
              <w:top w:val="nil" w:sz="6" w:space="0" w:color="auto"/>
              <w:left w:val="nil" w:sz="6" w:space="0" w:color="auto"/>
              <w:bottom w:val="single" w:sz="4" w:space="0" w:color="000000"/>
              <w:right w:val="nil" w:sz="6" w:space="0" w:color="auto"/>
            </w:tcBorders>
          </w:tcPr>
          <w:p>
            <w:pPr>
              <w:pStyle w:val="TableParagraph"/>
              <w:spacing w:line="225" w:lineRule="exact"/>
              <w:ind w:left="108" w:right="0"/>
              <w:jc w:val="left"/>
              <w:rPr>
                <w:rFonts w:ascii="Calibri" w:hAnsi="Calibri" w:cs="Calibri" w:eastAsia="Calibri" w:hint="default"/>
                <w:sz w:val="20"/>
                <w:szCs w:val="20"/>
              </w:rPr>
            </w:pPr>
            <w:r>
              <w:rPr>
                <w:rFonts w:ascii="Calibri"/>
                <w:sz w:val="20"/>
              </w:rPr>
              <w:t>Twitter</w:t>
            </w:r>
          </w:p>
        </w:tc>
        <w:tc>
          <w:tcPr>
            <w:tcW w:w="3687" w:type="dxa"/>
            <w:tcBorders>
              <w:top w:val="nil" w:sz="6" w:space="0" w:color="auto"/>
              <w:left w:val="nil" w:sz="6" w:space="0" w:color="auto"/>
              <w:bottom w:val="single" w:sz="4" w:space="0" w:color="000000"/>
              <w:right w:val="nil" w:sz="6" w:space="0" w:color="auto"/>
            </w:tcBorders>
          </w:tcPr>
          <w:p>
            <w:pPr>
              <w:pStyle w:val="TableParagraph"/>
              <w:spacing w:line="225" w:lineRule="exact"/>
              <w:ind w:left="1985" w:right="0"/>
              <w:jc w:val="center"/>
              <w:rPr>
                <w:rFonts w:ascii="Calibri" w:hAnsi="Calibri" w:cs="Calibri" w:eastAsia="Calibri" w:hint="default"/>
                <w:sz w:val="20"/>
                <w:szCs w:val="20"/>
              </w:rPr>
            </w:pPr>
            <w:r>
              <w:rPr>
                <w:rFonts w:ascii="Calibri"/>
                <w:sz w:val="20"/>
              </w:rPr>
              <w:t>0.6</w:t>
            </w:r>
          </w:p>
        </w:tc>
      </w:tr>
    </w:tbl>
    <w:p>
      <w:pPr>
        <w:spacing w:line="240" w:lineRule="auto" w:before="9"/>
        <w:ind w:right="0"/>
        <w:rPr>
          <w:rFonts w:ascii="Calibri" w:hAnsi="Calibri" w:cs="Calibri" w:eastAsia="Calibri" w:hint="default"/>
          <w:b/>
          <w:bCs/>
          <w:sz w:val="16"/>
          <w:szCs w:val="16"/>
        </w:rPr>
      </w:pPr>
    </w:p>
    <w:p>
      <w:pPr>
        <w:pStyle w:val="BodyText"/>
        <w:spacing w:line="240" w:lineRule="auto" w:before="59"/>
        <w:ind w:right="1436"/>
        <w:jc w:val="both"/>
      </w:pPr>
      <w:r>
        <w:rPr/>
        <w:t>It</w:t>
      </w:r>
      <w:r>
        <w:rPr>
          <w:spacing w:val="-4"/>
        </w:rPr>
        <w:t> </w:t>
      </w:r>
      <w:r>
        <w:rPr/>
        <w:t>seems</w:t>
      </w:r>
      <w:r>
        <w:rPr>
          <w:spacing w:val="-5"/>
        </w:rPr>
        <w:t> </w:t>
      </w:r>
      <w:r>
        <w:rPr/>
        <w:t>that</w:t>
      </w:r>
      <w:r>
        <w:rPr>
          <w:spacing w:val="-4"/>
        </w:rPr>
        <w:t> </w:t>
      </w:r>
      <w:r>
        <w:rPr/>
        <w:t>tourists</w:t>
      </w:r>
      <w:r>
        <w:rPr>
          <w:spacing w:val="-5"/>
        </w:rPr>
        <w:t> </w:t>
      </w:r>
      <w:r>
        <w:rPr/>
        <w:t>bought</w:t>
      </w:r>
      <w:r>
        <w:rPr>
          <w:spacing w:val="-4"/>
        </w:rPr>
        <w:t> </w:t>
      </w:r>
      <w:r>
        <w:rPr/>
        <w:t>their</w:t>
      </w:r>
      <w:r>
        <w:rPr>
          <w:spacing w:val="-5"/>
        </w:rPr>
        <w:t> </w:t>
      </w:r>
      <w:r>
        <w:rPr/>
        <w:t>flight</w:t>
      </w:r>
      <w:r>
        <w:rPr>
          <w:spacing w:val="-4"/>
        </w:rPr>
        <w:t> </w:t>
      </w:r>
      <w:r>
        <w:rPr/>
        <w:t>to</w:t>
      </w:r>
      <w:r>
        <w:rPr>
          <w:spacing w:val="1"/>
        </w:rPr>
        <w:t> </w:t>
      </w:r>
      <w:r>
        <w:rPr/>
        <w:t>Curaçao</w:t>
      </w:r>
      <w:r>
        <w:rPr>
          <w:spacing w:val="-4"/>
        </w:rPr>
        <w:t> </w:t>
      </w:r>
      <w:r>
        <w:rPr/>
        <w:t>via</w:t>
      </w:r>
      <w:r>
        <w:rPr>
          <w:spacing w:val="-4"/>
        </w:rPr>
        <w:t> </w:t>
      </w:r>
      <w:r>
        <w:rPr/>
        <w:t>three</w:t>
      </w:r>
      <w:r>
        <w:rPr>
          <w:spacing w:val="-5"/>
        </w:rPr>
        <w:t> </w:t>
      </w:r>
      <w:r>
        <w:rPr/>
        <w:t>main</w:t>
      </w:r>
      <w:r>
        <w:rPr>
          <w:spacing w:val="-3"/>
        </w:rPr>
        <w:t> </w:t>
      </w:r>
      <w:r>
        <w:rPr/>
        <w:t>channels,</w:t>
      </w:r>
      <w:r>
        <w:rPr>
          <w:spacing w:val="-4"/>
        </w:rPr>
        <w:t> </w:t>
      </w:r>
      <w:r>
        <w:rPr/>
        <w:t>i.e.,</w:t>
      </w:r>
      <w:r>
        <w:rPr>
          <w:spacing w:val="-4"/>
        </w:rPr>
        <w:t> </w:t>
      </w:r>
      <w:r>
        <w:rPr/>
        <w:t>travel</w:t>
      </w:r>
      <w:r>
        <w:rPr>
          <w:spacing w:val="-5"/>
        </w:rPr>
        <w:t> </w:t>
      </w:r>
      <w:r>
        <w:rPr/>
        <w:t>agent,</w:t>
      </w:r>
      <w:r>
        <w:rPr>
          <w:spacing w:val="-4"/>
        </w:rPr>
        <w:t> </w:t>
      </w:r>
      <w:r>
        <w:rPr/>
        <w:t>airline</w:t>
      </w:r>
      <w:r>
        <w:rPr>
          <w:spacing w:val="-5"/>
        </w:rPr>
        <w:t> </w:t>
      </w:r>
      <w:r>
        <w:rPr/>
        <w:t>website,</w:t>
      </w:r>
      <w:r>
        <w:rPr>
          <w:spacing w:val="-4"/>
        </w:rPr>
        <w:t> </w:t>
      </w:r>
      <w:r>
        <w:rPr/>
        <w:t>or</w:t>
      </w:r>
      <w:r>
        <w:rPr>
          <w:spacing w:val="-4"/>
        </w:rPr>
        <w:t> </w:t>
      </w:r>
      <w:r>
        <w:rPr/>
        <w:t>via </w:t>
      </w:r>
      <w:r>
        <w:rPr/>
        <w:t>Internet through electronic distribution channels, such as Travelocity. Travel agents remain the main provider for purchasing a flight to Curaçao. It is incumbent upon the CTB to know who these travel agents are, and to forge strong</w:t>
      </w:r>
      <w:r>
        <w:rPr>
          <w:spacing w:val="-6"/>
        </w:rPr>
        <w:t> </w:t>
      </w:r>
      <w:r>
        <w:rPr/>
        <w:t>partnerships</w:t>
      </w:r>
      <w:r>
        <w:rPr>
          <w:spacing w:val="-5"/>
        </w:rPr>
        <w:t> </w:t>
      </w:r>
      <w:r>
        <w:rPr/>
        <w:t>with</w:t>
      </w:r>
      <w:r>
        <w:rPr>
          <w:spacing w:val="-5"/>
        </w:rPr>
        <w:t> </w:t>
      </w:r>
      <w:r>
        <w:rPr/>
        <w:t>these</w:t>
      </w:r>
      <w:r>
        <w:rPr>
          <w:spacing w:val="-6"/>
        </w:rPr>
        <w:t> </w:t>
      </w:r>
      <w:r>
        <w:rPr/>
        <w:t>travel</w:t>
      </w:r>
      <w:r>
        <w:rPr>
          <w:spacing w:val="-6"/>
        </w:rPr>
        <w:t> </w:t>
      </w:r>
      <w:r>
        <w:rPr/>
        <w:t>agents.</w:t>
      </w:r>
      <w:r>
        <w:rPr>
          <w:spacing w:val="-3"/>
        </w:rPr>
        <w:t> </w:t>
      </w:r>
      <w:r>
        <w:rPr/>
        <w:t>Tourists</w:t>
      </w:r>
      <w:r>
        <w:rPr>
          <w:spacing w:val="-6"/>
        </w:rPr>
        <w:t> </w:t>
      </w:r>
      <w:r>
        <w:rPr/>
        <w:t>have</w:t>
      </w:r>
      <w:r>
        <w:rPr>
          <w:spacing w:val="-4"/>
        </w:rPr>
        <w:t> </w:t>
      </w:r>
      <w:r>
        <w:rPr/>
        <w:t>a</w:t>
      </w:r>
      <w:r>
        <w:rPr>
          <w:spacing w:val="-4"/>
        </w:rPr>
        <w:t> </w:t>
      </w:r>
      <w:r>
        <w:rPr/>
        <w:t>different</w:t>
      </w:r>
      <w:r>
        <w:rPr>
          <w:spacing w:val="-5"/>
        </w:rPr>
        <w:t> </w:t>
      </w:r>
      <w:r>
        <w:rPr/>
        <w:t>purchasing</w:t>
      </w:r>
      <w:r>
        <w:rPr>
          <w:spacing w:val="-6"/>
        </w:rPr>
        <w:t> </w:t>
      </w:r>
      <w:r>
        <w:rPr/>
        <w:t>behavior</w:t>
      </w:r>
      <w:r>
        <w:rPr>
          <w:spacing w:val="-5"/>
        </w:rPr>
        <w:t> </w:t>
      </w:r>
      <w:r>
        <w:rPr/>
        <w:t>when</w:t>
      </w:r>
      <w:r>
        <w:rPr>
          <w:spacing w:val="-5"/>
        </w:rPr>
        <w:t> </w:t>
      </w:r>
      <w:r>
        <w:rPr/>
        <w:t>it</w:t>
      </w:r>
      <w:r>
        <w:rPr>
          <w:spacing w:val="-5"/>
        </w:rPr>
        <w:t> </w:t>
      </w:r>
      <w:r>
        <w:rPr/>
        <w:t>comes</w:t>
      </w:r>
      <w:r>
        <w:rPr>
          <w:spacing w:val="-6"/>
        </w:rPr>
        <w:t> </w:t>
      </w:r>
      <w:r>
        <w:rPr/>
        <w:t>to</w:t>
      </w:r>
      <w:r>
        <w:rPr>
          <w:spacing w:val="-5"/>
        </w:rPr>
        <w:t> </w:t>
      </w:r>
      <w:r>
        <w:rPr/>
        <w:t>buying </w:t>
      </w:r>
      <w:r>
        <w:rPr/>
        <w:t>a hotel room in Curaçao. Travel agents remain slightly as the largest provider for room bookings followed by </w:t>
      </w:r>
      <w:r>
        <w:rPr>
          <w:rFonts w:ascii="Calibri" w:hAnsi="Calibri" w:cs="Calibri" w:eastAsia="Calibri" w:hint="default"/>
        </w:rPr>
        <w:t>electronic distribution channels and hotel websites. Tourists’ purchasing behavior seems to suggest that tourists </w:t>
      </w:r>
      <w:r>
        <w:rPr/>
        <w:t>visiting</w:t>
      </w:r>
      <w:r>
        <w:rPr>
          <w:spacing w:val="-4"/>
        </w:rPr>
        <w:t> </w:t>
      </w:r>
      <w:r>
        <w:rPr/>
        <w:t>Curaçao</w:t>
      </w:r>
      <w:r>
        <w:rPr>
          <w:spacing w:val="-4"/>
        </w:rPr>
        <w:t> </w:t>
      </w:r>
      <w:r>
        <w:rPr/>
        <w:t>have</w:t>
      </w:r>
      <w:r>
        <w:rPr>
          <w:spacing w:val="-3"/>
        </w:rPr>
        <w:t> </w:t>
      </w:r>
      <w:r>
        <w:rPr/>
        <w:t>a</w:t>
      </w:r>
      <w:r>
        <w:rPr>
          <w:spacing w:val="-4"/>
        </w:rPr>
        <w:t> </w:t>
      </w:r>
      <w:r>
        <w:rPr/>
        <w:t>perceived</w:t>
      </w:r>
      <w:r>
        <w:rPr>
          <w:spacing w:val="-4"/>
        </w:rPr>
        <w:t> </w:t>
      </w:r>
      <w:r>
        <w:rPr/>
        <w:t>risk</w:t>
      </w:r>
      <w:r>
        <w:rPr>
          <w:spacing w:val="-4"/>
        </w:rPr>
        <w:t> </w:t>
      </w:r>
      <w:r>
        <w:rPr/>
        <w:t>in</w:t>
      </w:r>
      <w:r>
        <w:rPr>
          <w:spacing w:val="-4"/>
        </w:rPr>
        <w:t> </w:t>
      </w:r>
      <w:r>
        <w:rPr/>
        <w:t>dealing</w:t>
      </w:r>
      <w:r>
        <w:rPr>
          <w:spacing w:val="-3"/>
        </w:rPr>
        <w:t> </w:t>
      </w:r>
      <w:r>
        <w:rPr/>
        <w:t>with</w:t>
      </w:r>
      <w:r>
        <w:rPr>
          <w:spacing w:val="-3"/>
        </w:rPr>
        <w:t> </w:t>
      </w:r>
      <w:r>
        <w:rPr/>
        <w:t>local</w:t>
      </w:r>
      <w:r>
        <w:rPr>
          <w:spacing w:val="-5"/>
        </w:rPr>
        <w:t> </w:t>
      </w:r>
      <w:r>
        <w:rPr/>
        <w:t>providers/suppliers</w:t>
      </w:r>
      <w:r>
        <w:rPr>
          <w:spacing w:val="-5"/>
        </w:rPr>
        <w:t> </w:t>
      </w:r>
      <w:r>
        <w:rPr/>
        <w:t>and,</w:t>
      </w:r>
      <w:r>
        <w:rPr>
          <w:spacing w:val="-4"/>
        </w:rPr>
        <w:t> </w:t>
      </w:r>
      <w:r>
        <w:rPr/>
        <w:t>therefore,</w:t>
      </w:r>
      <w:r>
        <w:rPr>
          <w:spacing w:val="-4"/>
        </w:rPr>
        <w:t> </w:t>
      </w:r>
      <w:r>
        <w:rPr/>
        <w:t>are</w:t>
      </w:r>
      <w:r>
        <w:rPr>
          <w:spacing w:val="-5"/>
        </w:rPr>
        <w:t> </w:t>
      </w:r>
      <w:r>
        <w:rPr/>
        <w:t>less</w:t>
      </w:r>
      <w:r>
        <w:rPr>
          <w:spacing w:val="-4"/>
        </w:rPr>
        <w:t> </w:t>
      </w:r>
      <w:r>
        <w:rPr/>
        <w:t>likely</w:t>
      </w:r>
      <w:r>
        <w:rPr>
          <w:spacing w:val="-4"/>
        </w:rPr>
        <w:t> </w:t>
      </w:r>
      <w:r>
        <w:rPr/>
        <w:t>to</w:t>
      </w:r>
      <w:r>
        <w:rPr>
          <w:spacing w:val="-4"/>
        </w:rPr>
        <w:t> </w:t>
      </w:r>
      <w:r>
        <w:rPr/>
        <w:t>book </w:t>
      </w:r>
      <w:r>
        <w:rPr/>
        <w:t>with local small</w:t>
      </w:r>
      <w:r>
        <w:rPr>
          <w:spacing w:val="-9"/>
        </w:rPr>
        <w:t> </w:t>
      </w:r>
      <w:r>
        <w:rPr/>
        <w:t>companies.</w:t>
      </w:r>
    </w:p>
    <w:p>
      <w:pPr>
        <w:spacing w:line="240" w:lineRule="auto" w:before="1"/>
        <w:ind w:right="0"/>
        <w:rPr>
          <w:rFonts w:ascii="Calibri" w:hAnsi="Calibri" w:cs="Calibri" w:eastAsia="Calibri" w:hint="default"/>
          <w:sz w:val="20"/>
          <w:szCs w:val="20"/>
        </w:rPr>
      </w:pPr>
    </w:p>
    <w:p>
      <w:pPr>
        <w:pStyle w:val="BodyText"/>
        <w:spacing w:line="240" w:lineRule="auto"/>
        <w:ind w:right="1435"/>
        <w:jc w:val="both"/>
      </w:pPr>
      <w:r>
        <w:rPr/>
        <w:t>The</w:t>
      </w:r>
      <w:r>
        <w:rPr>
          <w:spacing w:val="-12"/>
        </w:rPr>
        <w:t> </w:t>
      </w:r>
      <w:r>
        <w:rPr/>
        <w:t>payment</w:t>
      </w:r>
      <w:r>
        <w:rPr>
          <w:spacing w:val="-11"/>
        </w:rPr>
        <w:t> </w:t>
      </w:r>
      <w:r>
        <w:rPr/>
        <w:t>method</w:t>
      </w:r>
      <w:r>
        <w:rPr>
          <w:spacing w:val="-11"/>
        </w:rPr>
        <w:t> </w:t>
      </w:r>
      <w:r>
        <w:rPr/>
        <w:t>used</w:t>
      </w:r>
      <w:r>
        <w:rPr>
          <w:spacing w:val="-11"/>
        </w:rPr>
        <w:t> </w:t>
      </w:r>
      <w:r>
        <w:rPr/>
        <w:t>by</w:t>
      </w:r>
      <w:r>
        <w:rPr>
          <w:spacing w:val="-14"/>
        </w:rPr>
        <w:t> </w:t>
      </w:r>
      <w:r>
        <w:rPr/>
        <w:t>tourists</w:t>
      </w:r>
      <w:r>
        <w:rPr>
          <w:spacing w:val="-12"/>
        </w:rPr>
        <w:t> </w:t>
      </w:r>
      <w:r>
        <w:rPr/>
        <w:t>is</w:t>
      </w:r>
      <w:r>
        <w:rPr>
          <w:spacing w:val="-13"/>
        </w:rPr>
        <w:t> </w:t>
      </w:r>
      <w:r>
        <w:rPr/>
        <w:t>almost</w:t>
      </w:r>
      <w:r>
        <w:rPr>
          <w:spacing w:val="-11"/>
        </w:rPr>
        <w:t> </w:t>
      </w:r>
      <w:r>
        <w:rPr/>
        <w:t>evenly</w:t>
      </w:r>
      <w:r>
        <w:rPr>
          <w:spacing w:val="-11"/>
        </w:rPr>
        <w:t> </w:t>
      </w:r>
      <w:r>
        <w:rPr/>
        <w:t>distributed</w:t>
      </w:r>
      <w:r>
        <w:rPr>
          <w:spacing w:val="-11"/>
        </w:rPr>
        <w:t> </w:t>
      </w:r>
      <w:r>
        <w:rPr/>
        <w:t>between</w:t>
      </w:r>
      <w:r>
        <w:rPr>
          <w:spacing w:val="-11"/>
        </w:rPr>
        <w:t> </w:t>
      </w:r>
      <w:r>
        <w:rPr/>
        <w:t>credit</w:t>
      </w:r>
      <w:r>
        <w:rPr>
          <w:spacing w:val="-11"/>
        </w:rPr>
        <w:t> </w:t>
      </w:r>
      <w:r>
        <w:rPr/>
        <w:t>cards</w:t>
      </w:r>
      <w:r>
        <w:rPr>
          <w:spacing w:val="-12"/>
        </w:rPr>
        <w:t> </w:t>
      </w:r>
      <w:r>
        <w:rPr/>
        <w:t>and</w:t>
      </w:r>
      <w:r>
        <w:rPr>
          <w:spacing w:val="-11"/>
        </w:rPr>
        <w:t> </w:t>
      </w:r>
      <w:r>
        <w:rPr/>
        <w:t>cash</w:t>
      </w:r>
      <w:r>
        <w:rPr>
          <w:spacing w:val="-11"/>
        </w:rPr>
        <w:t> </w:t>
      </w:r>
      <w:r>
        <w:rPr/>
        <w:t>(49.2%</w:t>
      </w:r>
      <w:r>
        <w:rPr>
          <w:spacing w:val="-12"/>
        </w:rPr>
        <w:t> </w:t>
      </w:r>
      <w:r>
        <w:rPr/>
        <w:t>and</w:t>
      </w:r>
      <w:r>
        <w:rPr>
          <w:spacing w:val="-11"/>
        </w:rPr>
        <w:t> </w:t>
      </w:r>
      <w:r>
        <w:rPr/>
        <w:t>41.4%). </w:t>
      </w:r>
      <w:r>
        <w:rPr/>
        <w:t>The large proportion of cash in buying these services, especially lodging, requires closer scrutiny because of the potential effects on economic growth. Often, cash is hoarded and is not put in the economy immediately, thereby potentially</w:t>
      </w:r>
      <w:r>
        <w:rPr>
          <w:spacing w:val="-11"/>
        </w:rPr>
        <w:t> </w:t>
      </w:r>
      <w:r>
        <w:rPr/>
        <w:t>affecting</w:t>
      </w:r>
      <w:r>
        <w:rPr>
          <w:spacing w:val="-12"/>
        </w:rPr>
        <w:t> </w:t>
      </w:r>
      <w:r>
        <w:rPr/>
        <w:t>the</w:t>
      </w:r>
      <w:r>
        <w:rPr>
          <w:spacing w:val="-12"/>
        </w:rPr>
        <w:t> </w:t>
      </w:r>
      <w:r>
        <w:rPr/>
        <w:t>level</w:t>
      </w:r>
      <w:r>
        <w:rPr>
          <w:spacing w:val="-9"/>
        </w:rPr>
        <w:t> </w:t>
      </w:r>
      <w:r>
        <w:rPr/>
        <w:t>of</w:t>
      </w:r>
      <w:r>
        <w:rPr>
          <w:spacing w:val="-12"/>
        </w:rPr>
        <w:t> </w:t>
      </w:r>
      <w:r>
        <w:rPr/>
        <w:t>economic</w:t>
      </w:r>
      <w:r>
        <w:rPr>
          <w:spacing w:val="-12"/>
        </w:rPr>
        <w:t> </w:t>
      </w:r>
      <w:r>
        <w:rPr/>
        <w:t>growth.</w:t>
      </w:r>
      <w:r>
        <w:rPr>
          <w:spacing w:val="27"/>
        </w:rPr>
        <w:t> </w:t>
      </w:r>
      <w:r>
        <w:rPr/>
        <w:t>Table</w:t>
      </w:r>
      <w:r>
        <w:rPr>
          <w:spacing w:val="-12"/>
        </w:rPr>
        <w:t> </w:t>
      </w:r>
      <w:r>
        <w:rPr/>
        <w:t>28</w:t>
      </w:r>
      <w:r>
        <w:rPr>
          <w:spacing w:val="-9"/>
        </w:rPr>
        <w:t> </w:t>
      </w:r>
      <w:r>
        <w:rPr/>
        <w:t>provides</w:t>
      </w:r>
      <w:r>
        <w:rPr>
          <w:spacing w:val="-13"/>
        </w:rPr>
        <w:t> </w:t>
      </w:r>
      <w:r>
        <w:rPr/>
        <w:t>an</w:t>
      </w:r>
      <w:r>
        <w:rPr>
          <w:spacing w:val="-10"/>
        </w:rPr>
        <w:t> </w:t>
      </w:r>
      <w:r>
        <w:rPr/>
        <w:t>overview</w:t>
      </w:r>
      <w:r>
        <w:rPr>
          <w:spacing w:val="-12"/>
        </w:rPr>
        <w:t> </w:t>
      </w:r>
      <w:r>
        <w:rPr/>
        <w:t>of</w:t>
      </w:r>
      <w:r>
        <w:rPr>
          <w:spacing w:val="-12"/>
        </w:rPr>
        <w:t> </w:t>
      </w:r>
      <w:r>
        <w:rPr/>
        <w:t>booking</w:t>
      </w:r>
      <w:r>
        <w:rPr>
          <w:spacing w:val="-12"/>
        </w:rPr>
        <w:t> </w:t>
      </w:r>
      <w:r>
        <w:rPr/>
        <w:t>and</w:t>
      </w:r>
      <w:r>
        <w:rPr>
          <w:spacing w:val="-11"/>
        </w:rPr>
        <w:t> </w:t>
      </w:r>
      <w:r>
        <w:rPr/>
        <w:t>payment</w:t>
      </w:r>
      <w:r>
        <w:rPr>
          <w:spacing w:val="-11"/>
        </w:rPr>
        <w:t> </w:t>
      </w:r>
      <w:r>
        <w:rPr/>
        <w:t>methods.</w:t>
      </w:r>
    </w:p>
    <w:p>
      <w:pPr>
        <w:spacing w:line="240" w:lineRule="auto" w:before="11"/>
        <w:ind w:right="0"/>
        <w:rPr>
          <w:rFonts w:ascii="Calibri" w:hAnsi="Calibri" w:cs="Calibri" w:eastAsia="Calibri" w:hint="default"/>
          <w:sz w:val="19"/>
          <w:szCs w:val="19"/>
        </w:rPr>
      </w:pPr>
    </w:p>
    <w:p>
      <w:pPr>
        <w:pStyle w:val="BodyText"/>
        <w:spacing w:line="240" w:lineRule="auto"/>
        <w:ind w:right="1438"/>
        <w:jc w:val="both"/>
      </w:pPr>
      <w:r>
        <w:rPr/>
        <w:t>Unlike </w:t>
      </w:r>
      <w:r>
        <w:rPr>
          <w:rFonts w:ascii="Calibri" w:hAnsi="Calibri" w:cs="Calibri" w:eastAsia="Calibri" w:hint="default"/>
        </w:rPr>
        <w:t>the case of the tourists’ planning behaviors, age seems to play a significant role in terms of buying behavior. </w:t>
      </w:r>
      <w:r>
        <w:rPr/>
        <w:t>For example, Generation Y seems more likely to wait for last moment booking. One out of four tourists (26.4%) made</w:t>
      </w:r>
      <w:r>
        <w:rPr>
          <w:spacing w:val="-4"/>
        </w:rPr>
        <w:t> </w:t>
      </w:r>
      <w:r>
        <w:rPr/>
        <w:t>their</w:t>
      </w:r>
      <w:r>
        <w:rPr>
          <w:spacing w:val="-4"/>
        </w:rPr>
        <w:t> </w:t>
      </w:r>
      <w:r>
        <w:rPr/>
        <w:t>reservation</w:t>
      </w:r>
      <w:r>
        <w:rPr>
          <w:spacing w:val="-3"/>
        </w:rPr>
        <w:t> </w:t>
      </w:r>
      <w:r>
        <w:rPr/>
        <w:t>less</w:t>
      </w:r>
      <w:r>
        <w:rPr>
          <w:spacing w:val="-5"/>
        </w:rPr>
        <w:t> </w:t>
      </w:r>
      <w:r>
        <w:rPr/>
        <w:t>than</w:t>
      </w:r>
      <w:r>
        <w:rPr>
          <w:spacing w:val="1"/>
        </w:rPr>
        <w:t> </w:t>
      </w:r>
      <w:r>
        <w:rPr/>
        <w:t>one</w:t>
      </w:r>
      <w:r>
        <w:rPr>
          <w:spacing w:val="-4"/>
        </w:rPr>
        <w:t> </w:t>
      </w:r>
      <w:r>
        <w:rPr/>
        <w:t>month</w:t>
      </w:r>
      <w:r>
        <w:rPr>
          <w:spacing w:val="-5"/>
        </w:rPr>
        <w:t> </w:t>
      </w:r>
      <w:r>
        <w:rPr/>
        <w:t>prior</w:t>
      </w:r>
      <w:r>
        <w:rPr>
          <w:spacing w:val="-6"/>
        </w:rPr>
        <w:t> </w:t>
      </w:r>
      <w:r>
        <w:rPr/>
        <w:t>to</w:t>
      </w:r>
      <w:r>
        <w:rPr>
          <w:spacing w:val="-3"/>
        </w:rPr>
        <w:t> </w:t>
      </w:r>
      <w:r>
        <w:rPr/>
        <w:t>their</w:t>
      </w:r>
      <w:r>
        <w:rPr>
          <w:spacing w:val="-4"/>
        </w:rPr>
        <w:t> </w:t>
      </w:r>
      <w:r>
        <w:rPr/>
        <w:t>trip,</w:t>
      </w:r>
      <w:r>
        <w:rPr>
          <w:spacing w:val="-3"/>
        </w:rPr>
        <w:t> </w:t>
      </w:r>
      <w:r>
        <w:rPr/>
        <w:t>compared</w:t>
      </w:r>
      <w:r>
        <w:rPr>
          <w:spacing w:val="-3"/>
        </w:rPr>
        <w:t> </w:t>
      </w:r>
      <w:r>
        <w:rPr/>
        <w:t>to</w:t>
      </w:r>
      <w:r>
        <w:rPr>
          <w:spacing w:val="-5"/>
        </w:rPr>
        <w:t> </w:t>
      </w:r>
      <w:r>
        <w:rPr/>
        <w:t>the</w:t>
      </w:r>
      <w:r>
        <w:rPr>
          <w:spacing w:val="-4"/>
        </w:rPr>
        <w:t> </w:t>
      </w:r>
      <w:r>
        <w:rPr/>
        <w:t>Boomers</w:t>
      </w:r>
      <w:r>
        <w:rPr>
          <w:spacing w:val="-5"/>
        </w:rPr>
        <w:t> </w:t>
      </w:r>
      <w:r>
        <w:rPr/>
        <w:t>generation.</w:t>
      </w:r>
      <w:r>
        <w:rPr>
          <w:spacing w:val="3"/>
        </w:rPr>
        <w:t> </w:t>
      </w:r>
      <w:r>
        <w:rPr/>
        <w:t>Only</w:t>
      </w:r>
      <w:r>
        <w:rPr>
          <w:spacing w:val="-3"/>
        </w:rPr>
        <w:t> </w:t>
      </w:r>
      <w:r>
        <w:rPr/>
        <w:t>17.6%</w:t>
      </w:r>
      <w:r>
        <w:rPr>
          <w:spacing w:val="-4"/>
        </w:rPr>
        <w:t> </w:t>
      </w:r>
      <w:r>
        <w:rPr/>
        <w:t>of</w:t>
      </w:r>
    </w:p>
    <w:p>
      <w:pPr>
        <w:spacing w:line="240" w:lineRule="auto" w:before="0"/>
        <w:ind w:right="0"/>
        <w:rPr>
          <w:rFonts w:ascii="Calibri" w:hAnsi="Calibri" w:cs="Calibri" w:eastAsia="Calibri" w:hint="default"/>
          <w:sz w:val="20"/>
          <w:szCs w:val="20"/>
        </w:rPr>
      </w:pPr>
    </w:p>
    <w:p>
      <w:pPr>
        <w:spacing w:line="240" w:lineRule="auto" w:before="1" w:after="0"/>
        <w:ind w:right="0"/>
        <w:rPr>
          <w:rFonts w:ascii="Calibri" w:hAnsi="Calibri" w:cs="Calibri" w:eastAsia="Calibri" w:hint="default"/>
          <w:sz w:val="19"/>
          <w:szCs w:val="19"/>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line="242" w:lineRule="auto" w:before="91"/>
        <w:ind w:left="1440" w:right="1514" w:firstLine="0"/>
        <w:jc w:val="left"/>
        <w:rPr>
          <w:rFonts w:ascii="Calibri" w:hAnsi="Calibri" w:cs="Calibri" w:eastAsia="Calibri" w:hint="default"/>
          <w:sz w:val="16"/>
          <w:szCs w:val="16"/>
        </w:rPr>
      </w:pPr>
      <w:r>
        <w:rPr>
          <w:rFonts w:ascii="Calibri" w:hAnsi="Calibri"/>
          <w:position w:val="5"/>
          <w:sz w:val="12"/>
        </w:rPr>
        <w:t>53 </w:t>
      </w:r>
      <w:r>
        <w:rPr>
          <w:rFonts w:ascii="Calibri" w:hAnsi="Calibri"/>
          <w:sz w:val="16"/>
        </w:rPr>
        <w:t>The CTB website seems to increase in popularity over time. Compared to 2015, only 4% of tourists consulted the website in 2008. See Croes, </w:t>
      </w:r>
      <w:r>
        <w:rPr>
          <w:rFonts w:ascii="Calibri" w:hAnsi="Calibri"/>
          <w:sz w:val="16"/>
        </w:rPr>
        <w:t>R., Rivera, M. and Semrad, K. (2010). Curaçao Tourism Economic Impact 2007-2008, prepared for the Curaçao Tourist Board, DPITS, Orlando, September</w:t>
      </w:r>
      <w:r>
        <w:rPr>
          <w:rFonts w:ascii="Calibri" w:hAnsi="Calibri"/>
          <w:spacing w:val="-4"/>
          <w:sz w:val="16"/>
        </w:rPr>
        <w:t> </w:t>
      </w:r>
      <w:r>
        <w:rPr>
          <w:rFonts w:ascii="Calibri" w:hAnsi="Calibri"/>
          <w:sz w:val="16"/>
        </w:rPr>
        <w:t>15.</w:t>
      </w:r>
    </w:p>
    <w:p>
      <w:pPr>
        <w:spacing w:after="0" w:line="242"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5"/>
        <w:jc w:val="left"/>
      </w:pPr>
      <w:r>
        <w:rPr/>
        <w:t>the latter booked less than one month prior to their visit to the island. Almost 70% of repeat tourists planned their visits</w:t>
      </w:r>
      <w:r>
        <w:rPr>
          <w:spacing w:val="-4"/>
        </w:rPr>
        <w:t> </w:t>
      </w:r>
      <w:r>
        <w:rPr/>
        <w:t>more</w:t>
      </w:r>
      <w:r>
        <w:rPr>
          <w:spacing w:val="-3"/>
        </w:rPr>
        <w:t> </w:t>
      </w:r>
      <w:r>
        <w:rPr/>
        <w:t>than</w:t>
      </w:r>
      <w:r>
        <w:rPr>
          <w:spacing w:val="-1"/>
        </w:rPr>
        <w:t> </w:t>
      </w:r>
      <w:r>
        <w:rPr/>
        <w:t>6</w:t>
      </w:r>
      <w:r>
        <w:rPr>
          <w:spacing w:val="-2"/>
        </w:rPr>
        <w:t> </w:t>
      </w:r>
      <w:r>
        <w:rPr/>
        <w:t>months</w:t>
      </w:r>
      <w:r>
        <w:rPr>
          <w:spacing w:val="-4"/>
        </w:rPr>
        <w:t> </w:t>
      </w:r>
      <w:r>
        <w:rPr/>
        <w:t>in</w:t>
      </w:r>
      <w:r>
        <w:rPr>
          <w:spacing w:val="-2"/>
        </w:rPr>
        <w:t> </w:t>
      </w:r>
      <w:r>
        <w:rPr/>
        <w:t>advance</w:t>
      </w:r>
      <w:r>
        <w:rPr>
          <w:spacing w:val="-4"/>
        </w:rPr>
        <w:t> </w:t>
      </w:r>
      <w:r>
        <w:rPr/>
        <w:t>to</w:t>
      </w:r>
      <w:r>
        <w:rPr>
          <w:spacing w:val="-2"/>
        </w:rPr>
        <w:t> </w:t>
      </w:r>
      <w:r>
        <w:rPr/>
        <w:t>their</w:t>
      </w:r>
      <w:r>
        <w:rPr>
          <w:spacing w:val="-3"/>
        </w:rPr>
        <w:t> </w:t>
      </w:r>
      <w:r>
        <w:rPr/>
        <w:t>arrival</w:t>
      </w:r>
      <w:r>
        <w:rPr>
          <w:spacing w:val="-2"/>
        </w:rPr>
        <w:t> </w:t>
      </w:r>
      <w:r>
        <w:rPr>
          <w:spacing w:val="2"/>
        </w:rPr>
        <w:t>on</w:t>
      </w:r>
      <w:r>
        <w:rPr>
          <w:spacing w:val="-2"/>
        </w:rPr>
        <w:t> </w:t>
      </w:r>
      <w:r>
        <w:rPr/>
        <w:t>the</w:t>
      </w:r>
      <w:r>
        <w:rPr>
          <w:spacing w:val="-3"/>
        </w:rPr>
        <w:t> </w:t>
      </w:r>
      <w:r>
        <w:rPr/>
        <w:t>island,</w:t>
      </w:r>
      <w:r>
        <w:rPr>
          <w:spacing w:val="-1"/>
        </w:rPr>
        <w:t> </w:t>
      </w:r>
      <w:r>
        <w:rPr/>
        <w:t>compared</w:t>
      </w:r>
      <w:r>
        <w:rPr>
          <w:spacing w:val="-2"/>
        </w:rPr>
        <w:t> </w:t>
      </w:r>
      <w:r>
        <w:rPr/>
        <w:t>to</w:t>
      </w:r>
      <w:r>
        <w:rPr>
          <w:spacing w:val="-2"/>
        </w:rPr>
        <w:t> </w:t>
      </w:r>
      <w:r>
        <w:rPr/>
        <w:t>18%</w:t>
      </w:r>
      <w:r>
        <w:rPr>
          <w:spacing w:val="-3"/>
        </w:rPr>
        <w:t> </w:t>
      </w:r>
      <w:r>
        <w:rPr/>
        <w:t>of</w:t>
      </w:r>
      <w:r>
        <w:rPr>
          <w:spacing w:val="-1"/>
        </w:rPr>
        <w:t> </w:t>
      </w:r>
      <w:r>
        <w:rPr/>
        <w:t>first-timers.</w:t>
      </w:r>
    </w:p>
    <w:p>
      <w:pPr>
        <w:spacing w:line="240" w:lineRule="auto" w:before="11"/>
        <w:ind w:right="0"/>
        <w:rPr>
          <w:rFonts w:ascii="Calibri" w:hAnsi="Calibri" w:cs="Calibri" w:eastAsia="Calibri" w:hint="default"/>
          <w:sz w:val="19"/>
          <w:szCs w:val="19"/>
        </w:rPr>
      </w:pPr>
    </w:p>
    <w:p>
      <w:pPr>
        <w:pStyle w:val="Heading9"/>
        <w:tabs>
          <w:tab w:pos="4236" w:val="left" w:leader="none"/>
          <w:tab w:pos="10523" w:val="left" w:leader="none"/>
        </w:tabs>
        <w:spacing w:line="240" w:lineRule="auto" w:after="51"/>
        <w:ind w:left="1718" w:right="0"/>
        <w:jc w:val="left"/>
        <w:rPr>
          <w:b w:val="0"/>
          <w:bCs w:val="0"/>
        </w:rPr>
      </w:pPr>
      <w:bookmarkStart w:name="_bookmark102" w:id="103"/>
      <w:bookmarkEnd w:id="103"/>
      <w:r>
        <w:rPr>
          <w:b w:val="0"/>
        </w:rPr>
      </w:r>
      <w:r>
        <w:rPr>
          <w:w w:val="99"/>
        </w:rPr>
      </w:r>
      <w:r>
        <w:rPr>
          <w:w w:val="99"/>
          <w:u w:val="single" w:color="000000"/>
        </w:rPr>
        <w:t> </w:t>
      </w:r>
      <w:r>
        <w:rPr>
          <w:u w:val="single" w:color="000000"/>
        </w:rPr>
        <w:tab/>
        <w:t>Table 28:  Reservation and payment</w:t>
      </w:r>
      <w:r>
        <w:rPr>
          <w:spacing w:val="-10"/>
          <w:u w:val="single" w:color="000000"/>
        </w:rPr>
        <w:t> </w:t>
      </w:r>
      <w:r>
        <w:rPr>
          <w:u w:val="single" w:color="000000"/>
        </w:rPr>
        <w:t>methods</w:t>
        <w:tab/>
      </w:r>
      <w:r>
        <w:rPr/>
      </w:r>
      <w:r>
        <w:rPr>
          <w:b w:val="0"/>
        </w:rPr>
      </w:r>
    </w:p>
    <w:tbl>
      <w:tblPr>
        <w:tblW w:w="0" w:type="auto"/>
        <w:jc w:val="left"/>
        <w:tblInd w:w="1718" w:type="dxa"/>
        <w:tblLayout w:type="fixed"/>
        <w:tblCellMar>
          <w:top w:w="0" w:type="dxa"/>
          <w:left w:w="0" w:type="dxa"/>
          <w:bottom w:w="0" w:type="dxa"/>
          <w:right w:w="0" w:type="dxa"/>
        </w:tblCellMar>
        <w:tblLook w:val="01E0"/>
      </w:tblPr>
      <w:tblGrid>
        <w:gridCol w:w="5087"/>
        <w:gridCol w:w="3718"/>
      </w:tblGrid>
      <w:tr>
        <w:trPr>
          <w:trHeight w:val="209" w:hRule="exact"/>
        </w:trPr>
        <w:tc>
          <w:tcPr>
            <w:tcW w:w="5087" w:type="dxa"/>
            <w:tcBorders>
              <w:top w:val="nil" w:sz="6" w:space="0" w:color="auto"/>
              <w:left w:val="nil" w:sz="6" w:space="0" w:color="auto"/>
              <w:bottom w:val="single" w:sz="4" w:space="0" w:color="000000"/>
              <w:right w:val="nil" w:sz="6" w:space="0" w:color="auto"/>
            </w:tcBorders>
          </w:tcPr>
          <w:p>
            <w:pPr>
              <w:pStyle w:val="TableParagraph"/>
              <w:spacing w:line="203" w:lineRule="exact"/>
              <w:ind w:left="107" w:right="0"/>
              <w:jc w:val="left"/>
              <w:rPr>
                <w:rFonts w:ascii="Calibri" w:hAnsi="Calibri" w:cs="Calibri" w:eastAsia="Calibri" w:hint="default"/>
                <w:sz w:val="20"/>
                <w:szCs w:val="20"/>
              </w:rPr>
            </w:pPr>
            <w:r>
              <w:rPr>
                <w:rFonts w:ascii="Calibri"/>
                <w:b/>
                <w:sz w:val="20"/>
              </w:rPr>
              <w:t>Lodging Distribution</w:t>
            </w:r>
            <w:r>
              <w:rPr>
                <w:rFonts w:ascii="Calibri"/>
                <w:b/>
                <w:spacing w:val="-11"/>
                <w:sz w:val="20"/>
              </w:rPr>
              <w:t> </w:t>
            </w:r>
            <w:r>
              <w:rPr>
                <w:rFonts w:ascii="Calibri"/>
                <w:b/>
                <w:sz w:val="20"/>
              </w:rPr>
              <w:t>Channel</w:t>
            </w:r>
            <w:r>
              <w:rPr>
                <w:rFonts w:ascii="Calibri"/>
                <w:sz w:val="20"/>
              </w:rPr>
            </w:r>
          </w:p>
        </w:tc>
        <w:tc>
          <w:tcPr>
            <w:tcW w:w="3718" w:type="dxa"/>
            <w:tcBorders>
              <w:top w:val="nil" w:sz="6" w:space="0" w:color="auto"/>
              <w:left w:val="nil" w:sz="6" w:space="0" w:color="auto"/>
              <w:bottom w:val="single" w:sz="4" w:space="0" w:color="000000"/>
              <w:right w:val="nil" w:sz="6" w:space="0" w:color="auto"/>
            </w:tcBorders>
          </w:tcPr>
          <w:p>
            <w:pPr>
              <w:pStyle w:val="TableParagraph"/>
              <w:spacing w:line="203" w:lineRule="exact"/>
              <w:ind w:right="824"/>
              <w:jc w:val="right"/>
              <w:rPr>
                <w:rFonts w:ascii="Calibri" w:hAnsi="Calibri" w:cs="Calibri" w:eastAsia="Calibri" w:hint="default"/>
                <w:sz w:val="20"/>
                <w:szCs w:val="20"/>
              </w:rPr>
            </w:pPr>
            <w:r>
              <w:rPr>
                <w:rFonts w:ascii="Calibri"/>
                <w:b/>
                <w:w w:val="95"/>
                <w:sz w:val="20"/>
              </w:rPr>
              <w:t>%</w:t>
            </w:r>
            <w:r>
              <w:rPr>
                <w:rFonts w:ascii="Calibri"/>
                <w:sz w:val="20"/>
              </w:rPr>
            </w:r>
          </w:p>
        </w:tc>
      </w:tr>
      <w:tr>
        <w:trPr>
          <w:trHeight w:val="267" w:hRule="exact"/>
        </w:trPr>
        <w:tc>
          <w:tcPr>
            <w:tcW w:w="5087" w:type="dxa"/>
            <w:tcBorders>
              <w:top w:val="single" w:sz="4" w:space="0" w:color="000000"/>
              <w:left w:val="nil" w:sz="6" w:space="0" w:color="auto"/>
              <w:bottom w:val="nil" w:sz="6" w:space="0" w:color="auto"/>
              <w:right w:val="nil" w:sz="6" w:space="0" w:color="auto"/>
            </w:tcBorders>
          </w:tcPr>
          <w:p>
            <w:pPr>
              <w:pStyle w:val="TableParagraph"/>
              <w:spacing w:line="243" w:lineRule="exact"/>
              <w:ind w:left="107" w:right="0"/>
              <w:jc w:val="left"/>
              <w:rPr>
                <w:rFonts w:ascii="Calibri" w:hAnsi="Calibri" w:cs="Calibri" w:eastAsia="Calibri" w:hint="default"/>
                <w:sz w:val="20"/>
                <w:szCs w:val="20"/>
              </w:rPr>
            </w:pPr>
            <w:r>
              <w:rPr>
                <w:rFonts w:ascii="Calibri"/>
                <w:sz w:val="20"/>
              </w:rPr>
              <w:t>Travel</w:t>
            </w:r>
            <w:r>
              <w:rPr>
                <w:rFonts w:ascii="Calibri"/>
                <w:spacing w:val="-8"/>
                <w:sz w:val="20"/>
              </w:rPr>
              <w:t> </w:t>
            </w:r>
            <w:r>
              <w:rPr>
                <w:rFonts w:ascii="Calibri"/>
                <w:sz w:val="20"/>
              </w:rPr>
              <w:t>agent</w:t>
            </w:r>
          </w:p>
        </w:tc>
        <w:tc>
          <w:tcPr>
            <w:tcW w:w="3718" w:type="dxa"/>
            <w:tcBorders>
              <w:top w:val="single" w:sz="4" w:space="0" w:color="000000"/>
              <w:left w:val="nil" w:sz="6" w:space="0" w:color="auto"/>
              <w:bottom w:val="nil" w:sz="6" w:space="0" w:color="auto"/>
              <w:right w:val="nil" w:sz="6" w:space="0" w:color="auto"/>
            </w:tcBorders>
          </w:tcPr>
          <w:p>
            <w:pPr>
              <w:pStyle w:val="TableParagraph"/>
              <w:spacing w:line="243" w:lineRule="exact"/>
              <w:ind w:right="599"/>
              <w:jc w:val="right"/>
              <w:rPr>
                <w:rFonts w:ascii="Calibri" w:hAnsi="Calibri" w:cs="Calibri" w:eastAsia="Calibri" w:hint="default"/>
                <w:sz w:val="20"/>
                <w:szCs w:val="20"/>
              </w:rPr>
            </w:pPr>
            <w:r>
              <w:rPr>
                <w:rFonts w:ascii="Calibri"/>
                <w:w w:val="95"/>
                <w:sz w:val="20"/>
              </w:rPr>
              <w:t>29.95%</w:t>
            </w:r>
            <w:r>
              <w:rPr>
                <w:rFonts w:ascii="Calibri"/>
                <w:sz w:val="20"/>
              </w:rPr>
            </w:r>
          </w:p>
        </w:tc>
      </w:tr>
      <w:tr>
        <w:trPr>
          <w:trHeight w:val="244" w:hRule="exact"/>
        </w:trPr>
        <w:tc>
          <w:tcPr>
            <w:tcW w:w="5087"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Internet (e.g.</w:t>
            </w:r>
            <w:r>
              <w:rPr>
                <w:rFonts w:ascii="Calibri"/>
                <w:spacing w:val="-14"/>
                <w:sz w:val="20"/>
              </w:rPr>
              <w:t> </w:t>
            </w:r>
            <w:r>
              <w:rPr>
                <w:rFonts w:ascii="Calibri"/>
                <w:sz w:val="20"/>
              </w:rPr>
              <w:t>Travelocity.com)</w:t>
            </w:r>
          </w:p>
        </w:tc>
        <w:tc>
          <w:tcPr>
            <w:tcW w:w="3718" w:type="dxa"/>
            <w:tcBorders>
              <w:top w:val="nil" w:sz="6" w:space="0" w:color="auto"/>
              <w:left w:val="nil" w:sz="6" w:space="0" w:color="auto"/>
              <w:bottom w:val="nil" w:sz="6" w:space="0" w:color="auto"/>
              <w:right w:val="nil" w:sz="6" w:space="0" w:color="auto"/>
            </w:tcBorders>
          </w:tcPr>
          <w:p>
            <w:pPr>
              <w:pStyle w:val="TableParagraph"/>
              <w:spacing w:line="226" w:lineRule="exact"/>
              <w:ind w:right="599"/>
              <w:jc w:val="right"/>
              <w:rPr>
                <w:rFonts w:ascii="Calibri" w:hAnsi="Calibri" w:cs="Calibri" w:eastAsia="Calibri" w:hint="default"/>
                <w:sz w:val="20"/>
                <w:szCs w:val="20"/>
              </w:rPr>
            </w:pPr>
            <w:r>
              <w:rPr>
                <w:rFonts w:ascii="Calibri"/>
                <w:w w:val="95"/>
                <w:sz w:val="20"/>
              </w:rPr>
              <w:t>28.97%</w:t>
            </w:r>
            <w:r>
              <w:rPr>
                <w:rFonts w:ascii="Calibri"/>
                <w:sz w:val="20"/>
              </w:rPr>
            </w:r>
          </w:p>
        </w:tc>
      </w:tr>
      <w:tr>
        <w:trPr>
          <w:trHeight w:val="244" w:hRule="exact"/>
        </w:trPr>
        <w:tc>
          <w:tcPr>
            <w:tcW w:w="5087" w:type="dxa"/>
            <w:tcBorders>
              <w:top w:val="nil" w:sz="6" w:space="0" w:color="auto"/>
              <w:left w:val="nil" w:sz="6" w:space="0" w:color="auto"/>
              <w:bottom w:val="nil" w:sz="6" w:space="0" w:color="auto"/>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sz w:val="20"/>
              </w:rPr>
              <w:t>Hotel</w:t>
            </w:r>
            <w:r>
              <w:rPr>
                <w:rFonts w:ascii="Calibri"/>
                <w:spacing w:val="-6"/>
                <w:sz w:val="20"/>
              </w:rPr>
              <w:t> </w:t>
            </w:r>
            <w:r>
              <w:rPr>
                <w:rFonts w:ascii="Calibri"/>
                <w:sz w:val="20"/>
              </w:rPr>
              <w:t>website</w:t>
            </w:r>
          </w:p>
        </w:tc>
        <w:tc>
          <w:tcPr>
            <w:tcW w:w="3718" w:type="dxa"/>
            <w:tcBorders>
              <w:top w:val="nil" w:sz="6" w:space="0" w:color="auto"/>
              <w:left w:val="nil" w:sz="6" w:space="0" w:color="auto"/>
              <w:bottom w:val="nil" w:sz="6" w:space="0" w:color="auto"/>
              <w:right w:val="nil" w:sz="6" w:space="0" w:color="auto"/>
            </w:tcBorders>
          </w:tcPr>
          <w:p>
            <w:pPr>
              <w:pStyle w:val="TableParagraph"/>
              <w:spacing w:line="225" w:lineRule="exact"/>
              <w:ind w:right="599"/>
              <w:jc w:val="right"/>
              <w:rPr>
                <w:rFonts w:ascii="Calibri" w:hAnsi="Calibri" w:cs="Calibri" w:eastAsia="Calibri" w:hint="default"/>
                <w:sz w:val="20"/>
                <w:szCs w:val="20"/>
              </w:rPr>
            </w:pPr>
            <w:r>
              <w:rPr>
                <w:rFonts w:ascii="Calibri"/>
                <w:w w:val="95"/>
                <w:sz w:val="20"/>
              </w:rPr>
              <w:t>18.02%</w:t>
            </w:r>
            <w:r>
              <w:rPr>
                <w:rFonts w:ascii="Calibri"/>
                <w:sz w:val="20"/>
              </w:rPr>
            </w:r>
          </w:p>
        </w:tc>
      </w:tr>
      <w:tr>
        <w:trPr>
          <w:trHeight w:val="245" w:hRule="exact"/>
        </w:trPr>
        <w:tc>
          <w:tcPr>
            <w:tcW w:w="5087"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Hotel telephone</w:t>
            </w:r>
            <w:r>
              <w:rPr>
                <w:rFonts w:ascii="Calibri"/>
                <w:spacing w:val="-11"/>
                <w:sz w:val="20"/>
              </w:rPr>
              <w:t> </w:t>
            </w:r>
            <w:r>
              <w:rPr>
                <w:rFonts w:ascii="Calibri"/>
                <w:sz w:val="20"/>
              </w:rPr>
              <w:t>reservation</w:t>
            </w:r>
          </w:p>
        </w:tc>
        <w:tc>
          <w:tcPr>
            <w:tcW w:w="3718" w:type="dxa"/>
            <w:tcBorders>
              <w:top w:val="nil" w:sz="6" w:space="0" w:color="auto"/>
              <w:left w:val="nil" w:sz="6" w:space="0" w:color="auto"/>
              <w:bottom w:val="nil" w:sz="6" w:space="0" w:color="auto"/>
              <w:right w:val="nil" w:sz="6" w:space="0" w:color="auto"/>
            </w:tcBorders>
          </w:tcPr>
          <w:p>
            <w:pPr>
              <w:pStyle w:val="TableParagraph"/>
              <w:spacing w:line="226" w:lineRule="exact"/>
              <w:ind w:right="599"/>
              <w:jc w:val="right"/>
              <w:rPr>
                <w:rFonts w:ascii="Calibri" w:hAnsi="Calibri" w:cs="Calibri" w:eastAsia="Calibri" w:hint="default"/>
                <w:sz w:val="20"/>
                <w:szCs w:val="20"/>
              </w:rPr>
            </w:pPr>
            <w:r>
              <w:rPr>
                <w:rFonts w:ascii="Calibri"/>
                <w:w w:val="95"/>
                <w:sz w:val="20"/>
              </w:rPr>
              <w:t>14.27%</w:t>
            </w:r>
            <w:r>
              <w:rPr>
                <w:rFonts w:ascii="Calibri"/>
                <w:sz w:val="20"/>
              </w:rPr>
            </w:r>
          </w:p>
        </w:tc>
      </w:tr>
      <w:tr>
        <w:trPr>
          <w:trHeight w:val="245" w:hRule="exact"/>
        </w:trPr>
        <w:tc>
          <w:tcPr>
            <w:tcW w:w="5087"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Apartment rental</w:t>
            </w:r>
            <w:r>
              <w:rPr>
                <w:rFonts w:ascii="Calibri"/>
                <w:spacing w:val="-12"/>
                <w:sz w:val="20"/>
              </w:rPr>
              <w:t> </w:t>
            </w:r>
            <w:r>
              <w:rPr>
                <w:rFonts w:ascii="Calibri"/>
                <w:sz w:val="20"/>
              </w:rPr>
              <w:t>company</w:t>
            </w:r>
          </w:p>
        </w:tc>
        <w:tc>
          <w:tcPr>
            <w:tcW w:w="3718" w:type="dxa"/>
            <w:tcBorders>
              <w:top w:val="nil" w:sz="6" w:space="0" w:color="auto"/>
              <w:left w:val="nil" w:sz="6" w:space="0" w:color="auto"/>
              <w:bottom w:val="nil" w:sz="6" w:space="0" w:color="auto"/>
              <w:right w:val="nil" w:sz="6" w:space="0" w:color="auto"/>
            </w:tcBorders>
          </w:tcPr>
          <w:p>
            <w:pPr>
              <w:pStyle w:val="TableParagraph"/>
              <w:spacing w:line="226" w:lineRule="exact"/>
              <w:ind w:right="604"/>
              <w:jc w:val="right"/>
              <w:rPr>
                <w:rFonts w:ascii="Calibri" w:hAnsi="Calibri" w:cs="Calibri" w:eastAsia="Calibri" w:hint="default"/>
                <w:sz w:val="20"/>
                <w:szCs w:val="20"/>
              </w:rPr>
            </w:pPr>
            <w:r>
              <w:rPr>
                <w:rFonts w:ascii="Calibri"/>
                <w:spacing w:val="-1"/>
                <w:sz w:val="20"/>
              </w:rPr>
              <w:t>7.38%</w:t>
            </w:r>
          </w:p>
        </w:tc>
      </w:tr>
      <w:tr>
        <w:trPr>
          <w:trHeight w:val="230" w:hRule="exact"/>
        </w:trPr>
        <w:tc>
          <w:tcPr>
            <w:tcW w:w="5087" w:type="dxa"/>
            <w:tcBorders>
              <w:top w:val="nil" w:sz="6" w:space="0" w:color="auto"/>
              <w:left w:val="nil" w:sz="6" w:space="0" w:color="auto"/>
              <w:bottom w:val="single" w:sz="4" w:space="0" w:color="000000"/>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Airbnb.com</w:t>
            </w:r>
          </w:p>
        </w:tc>
        <w:tc>
          <w:tcPr>
            <w:tcW w:w="3718" w:type="dxa"/>
            <w:tcBorders>
              <w:top w:val="nil" w:sz="6" w:space="0" w:color="auto"/>
              <w:left w:val="nil" w:sz="6" w:space="0" w:color="auto"/>
              <w:bottom w:val="single" w:sz="4" w:space="0" w:color="000000"/>
              <w:right w:val="nil" w:sz="6" w:space="0" w:color="auto"/>
            </w:tcBorders>
          </w:tcPr>
          <w:p>
            <w:pPr>
              <w:pStyle w:val="TableParagraph"/>
              <w:spacing w:line="226" w:lineRule="exact"/>
              <w:ind w:right="604"/>
              <w:jc w:val="right"/>
              <w:rPr>
                <w:rFonts w:ascii="Calibri" w:hAnsi="Calibri" w:cs="Calibri" w:eastAsia="Calibri" w:hint="default"/>
                <w:sz w:val="20"/>
                <w:szCs w:val="20"/>
              </w:rPr>
            </w:pPr>
            <w:r>
              <w:rPr>
                <w:rFonts w:ascii="Calibri"/>
                <w:spacing w:val="-1"/>
                <w:sz w:val="20"/>
              </w:rPr>
              <w:t>1.41%</w:t>
            </w:r>
          </w:p>
        </w:tc>
      </w:tr>
      <w:tr>
        <w:trPr>
          <w:trHeight w:val="254" w:hRule="exact"/>
        </w:trPr>
        <w:tc>
          <w:tcPr>
            <w:tcW w:w="5087" w:type="dxa"/>
            <w:tcBorders>
              <w:top w:val="single" w:sz="4" w:space="0" w:color="000000"/>
              <w:left w:val="nil" w:sz="6" w:space="0" w:color="auto"/>
              <w:bottom w:val="single" w:sz="4" w:space="0" w:color="000000"/>
              <w:right w:val="nil" w:sz="6" w:space="0" w:color="auto"/>
            </w:tcBorders>
          </w:tcPr>
          <w:p>
            <w:pPr>
              <w:pStyle w:val="TableParagraph"/>
              <w:spacing w:line="243" w:lineRule="exact"/>
              <w:ind w:left="107" w:right="0"/>
              <w:jc w:val="left"/>
              <w:rPr>
                <w:rFonts w:ascii="Calibri" w:hAnsi="Calibri" w:cs="Calibri" w:eastAsia="Calibri" w:hint="default"/>
                <w:sz w:val="20"/>
                <w:szCs w:val="20"/>
              </w:rPr>
            </w:pPr>
            <w:r>
              <w:rPr>
                <w:rFonts w:ascii="Calibri"/>
                <w:b/>
                <w:sz w:val="20"/>
              </w:rPr>
              <w:t>Flight Distribution</w:t>
            </w:r>
            <w:r>
              <w:rPr>
                <w:rFonts w:ascii="Calibri"/>
                <w:b/>
                <w:spacing w:val="-12"/>
                <w:sz w:val="20"/>
              </w:rPr>
              <w:t> </w:t>
            </w:r>
            <w:r>
              <w:rPr>
                <w:rFonts w:ascii="Calibri"/>
                <w:b/>
                <w:sz w:val="20"/>
              </w:rPr>
              <w:t>Channel</w:t>
            </w:r>
            <w:r>
              <w:rPr>
                <w:rFonts w:ascii="Calibri"/>
                <w:sz w:val="20"/>
              </w:rPr>
            </w:r>
          </w:p>
        </w:tc>
        <w:tc>
          <w:tcPr>
            <w:tcW w:w="3718" w:type="dxa"/>
            <w:tcBorders>
              <w:top w:val="single" w:sz="4" w:space="0" w:color="000000"/>
              <w:left w:val="nil" w:sz="6" w:space="0" w:color="auto"/>
              <w:bottom w:val="single" w:sz="4" w:space="0" w:color="000000"/>
              <w:right w:val="nil" w:sz="6" w:space="0" w:color="auto"/>
            </w:tcBorders>
          </w:tcPr>
          <w:p>
            <w:pPr>
              <w:pStyle w:val="TableParagraph"/>
              <w:spacing w:line="243" w:lineRule="exact"/>
              <w:ind w:right="803"/>
              <w:jc w:val="right"/>
              <w:rPr>
                <w:rFonts w:ascii="Calibri" w:hAnsi="Calibri" w:cs="Calibri" w:eastAsia="Calibri" w:hint="default"/>
                <w:sz w:val="20"/>
                <w:szCs w:val="20"/>
              </w:rPr>
            </w:pPr>
            <w:r>
              <w:rPr>
                <w:rFonts w:ascii="Calibri"/>
                <w:b/>
                <w:w w:val="95"/>
                <w:sz w:val="20"/>
              </w:rPr>
              <w:t>%</w:t>
            </w:r>
            <w:r>
              <w:rPr>
                <w:rFonts w:ascii="Calibri"/>
                <w:sz w:val="20"/>
              </w:rPr>
            </w:r>
          </w:p>
        </w:tc>
      </w:tr>
      <w:tr>
        <w:trPr>
          <w:trHeight w:val="267" w:hRule="exact"/>
        </w:trPr>
        <w:tc>
          <w:tcPr>
            <w:tcW w:w="5087" w:type="dxa"/>
            <w:tcBorders>
              <w:top w:val="single" w:sz="4" w:space="0" w:color="000000"/>
              <w:left w:val="nil" w:sz="6" w:space="0" w:color="auto"/>
              <w:bottom w:val="nil" w:sz="6" w:space="0" w:color="auto"/>
              <w:right w:val="nil" w:sz="6" w:space="0" w:color="auto"/>
            </w:tcBorders>
          </w:tcPr>
          <w:p>
            <w:pPr>
              <w:pStyle w:val="TableParagraph"/>
              <w:spacing w:line="243" w:lineRule="exact"/>
              <w:ind w:left="107" w:right="0"/>
              <w:jc w:val="left"/>
              <w:rPr>
                <w:rFonts w:ascii="Calibri" w:hAnsi="Calibri" w:cs="Calibri" w:eastAsia="Calibri" w:hint="default"/>
                <w:sz w:val="20"/>
                <w:szCs w:val="20"/>
              </w:rPr>
            </w:pPr>
            <w:r>
              <w:rPr>
                <w:rFonts w:ascii="Calibri"/>
                <w:sz w:val="20"/>
              </w:rPr>
              <w:t>Travel</w:t>
            </w:r>
            <w:r>
              <w:rPr>
                <w:rFonts w:ascii="Calibri"/>
                <w:spacing w:val="-8"/>
                <w:sz w:val="20"/>
              </w:rPr>
              <w:t> </w:t>
            </w:r>
            <w:r>
              <w:rPr>
                <w:rFonts w:ascii="Calibri"/>
                <w:sz w:val="20"/>
              </w:rPr>
              <w:t>agent</w:t>
            </w:r>
          </w:p>
        </w:tc>
        <w:tc>
          <w:tcPr>
            <w:tcW w:w="3718" w:type="dxa"/>
            <w:tcBorders>
              <w:top w:val="single" w:sz="4" w:space="0" w:color="000000"/>
              <w:left w:val="nil" w:sz="6" w:space="0" w:color="auto"/>
              <w:bottom w:val="nil" w:sz="6" w:space="0" w:color="auto"/>
              <w:right w:val="nil" w:sz="6" w:space="0" w:color="auto"/>
            </w:tcBorders>
          </w:tcPr>
          <w:p>
            <w:pPr>
              <w:pStyle w:val="TableParagraph"/>
              <w:spacing w:line="243" w:lineRule="exact"/>
              <w:ind w:right="599"/>
              <w:jc w:val="right"/>
              <w:rPr>
                <w:rFonts w:ascii="Calibri" w:hAnsi="Calibri" w:cs="Calibri" w:eastAsia="Calibri" w:hint="default"/>
                <w:sz w:val="20"/>
                <w:szCs w:val="20"/>
              </w:rPr>
            </w:pPr>
            <w:r>
              <w:rPr>
                <w:rFonts w:ascii="Calibri"/>
                <w:w w:val="95"/>
                <w:sz w:val="20"/>
              </w:rPr>
              <w:t>46.31%</w:t>
            </w:r>
            <w:r>
              <w:rPr>
                <w:rFonts w:ascii="Calibri"/>
                <w:sz w:val="20"/>
              </w:rPr>
            </w:r>
          </w:p>
        </w:tc>
      </w:tr>
      <w:tr>
        <w:trPr>
          <w:trHeight w:val="245" w:hRule="exact"/>
        </w:trPr>
        <w:tc>
          <w:tcPr>
            <w:tcW w:w="5087"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Airline</w:t>
            </w:r>
            <w:r>
              <w:rPr>
                <w:rFonts w:ascii="Calibri"/>
                <w:spacing w:val="-5"/>
                <w:sz w:val="20"/>
              </w:rPr>
              <w:t> </w:t>
            </w:r>
            <w:r>
              <w:rPr>
                <w:rFonts w:ascii="Calibri"/>
                <w:sz w:val="20"/>
              </w:rPr>
              <w:t>website</w:t>
            </w:r>
          </w:p>
        </w:tc>
        <w:tc>
          <w:tcPr>
            <w:tcW w:w="3718" w:type="dxa"/>
            <w:tcBorders>
              <w:top w:val="nil" w:sz="6" w:space="0" w:color="auto"/>
              <w:left w:val="nil" w:sz="6" w:space="0" w:color="auto"/>
              <w:bottom w:val="nil" w:sz="6" w:space="0" w:color="auto"/>
              <w:right w:val="nil" w:sz="6" w:space="0" w:color="auto"/>
            </w:tcBorders>
          </w:tcPr>
          <w:p>
            <w:pPr>
              <w:pStyle w:val="TableParagraph"/>
              <w:spacing w:line="226" w:lineRule="exact"/>
              <w:ind w:right="599"/>
              <w:jc w:val="right"/>
              <w:rPr>
                <w:rFonts w:ascii="Calibri" w:hAnsi="Calibri" w:cs="Calibri" w:eastAsia="Calibri" w:hint="default"/>
                <w:sz w:val="20"/>
                <w:szCs w:val="20"/>
              </w:rPr>
            </w:pPr>
            <w:r>
              <w:rPr>
                <w:rFonts w:ascii="Calibri"/>
                <w:w w:val="95"/>
                <w:sz w:val="20"/>
              </w:rPr>
              <w:t>27.63%</w:t>
            </w:r>
            <w:r>
              <w:rPr>
                <w:rFonts w:ascii="Calibri"/>
                <w:sz w:val="20"/>
              </w:rPr>
            </w:r>
          </w:p>
        </w:tc>
      </w:tr>
      <w:tr>
        <w:trPr>
          <w:trHeight w:val="245" w:hRule="exact"/>
        </w:trPr>
        <w:tc>
          <w:tcPr>
            <w:tcW w:w="5087"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Internet (e.g.</w:t>
            </w:r>
            <w:r>
              <w:rPr>
                <w:rFonts w:ascii="Calibri"/>
                <w:spacing w:val="-14"/>
                <w:sz w:val="20"/>
              </w:rPr>
              <w:t> </w:t>
            </w:r>
            <w:r>
              <w:rPr>
                <w:rFonts w:ascii="Calibri"/>
                <w:sz w:val="20"/>
              </w:rPr>
              <w:t>Travelocity.com)</w:t>
            </w:r>
          </w:p>
        </w:tc>
        <w:tc>
          <w:tcPr>
            <w:tcW w:w="3718" w:type="dxa"/>
            <w:tcBorders>
              <w:top w:val="nil" w:sz="6" w:space="0" w:color="auto"/>
              <w:left w:val="nil" w:sz="6" w:space="0" w:color="auto"/>
              <w:bottom w:val="nil" w:sz="6" w:space="0" w:color="auto"/>
              <w:right w:val="nil" w:sz="6" w:space="0" w:color="auto"/>
            </w:tcBorders>
          </w:tcPr>
          <w:p>
            <w:pPr>
              <w:pStyle w:val="TableParagraph"/>
              <w:spacing w:line="226" w:lineRule="exact"/>
              <w:ind w:right="599"/>
              <w:jc w:val="right"/>
              <w:rPr>
                <w:rFonts w:ascii="Calibri" w:hAnsi="Calibri" w:cs="Calibri" w:eastAsia="Calibri" w:hint="default"/>
                <w:sz w:val="20"/>
                <w:szCs w:val="20"/>
              </w:rPr>
            </w:pPr>
            <w:r>
              <w:rPr>
                <w:rFonts w:ascii="Calibri"/>
                <w:w w:val="95"/>
                <w:sz w:val="20"/>
              </w:rPr>
              <w:t>16.58%</w:t>
            </w:r>
            <w:r>
              <w:rPr>
                <w:rFonts w:ascii="Calibri"/>
                <w:sz w:val="20"/>
              </w:rPr>
            </w:r>
          </w:p>
        </w:tc>
      </w:tr>
      <w:tr>
        <w:trPr>
          <w:trHeight w:val="244" w:hRule="exact"/>
        </w:trPr>
        <w:tc>
          <w:tcPr>
            <w:tcW w:w="5087"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Airline telephone</w:t>
            </w:r>
            <w:r>
              <w:rPr>
                <w:rFonts w:ascii="Calibri"/>
                <w:spacing w:val="-14"/>
                <w:sz w:val="20"/>
              </w:rPr>
              <w:t> </w:t>
            </w:r>
            <w:r>
              <w:rPr>
                <w:rFonts w:ascii="Calibri"/>
                <w:sz w:val="20"/>
              </w:rPr>
              <w:t>reservations</w:t>
            </w:r>
          </w:p>
        </w:tc>
        <w:tc>
          <w:tcPr>
            <w:tcW w:w="3718" w:type="dxa"/>
            <w:tcBorders>
              <w:top w:val="nil" w:sz="6" w:space="0" w:color="auto"/>
              <w:left w:val="nil" w:sz="6" w:space="0" w:color="auto"/>
              <w:bottom w:val="nil" w:sz="6" w:space="0" w:color="auto"/>
              <w:right w:val="nil" w:sz="6" w:space="0" w:color="auto"/>
            </w:tcBorders>
          </w:tcPr>
          <w:p>
            <w:pPr>
              <w:pStyle w:val="TableParagraph"/>
              <w:spacing w:line="226" w:lineRule="exact"/>
              <w:ind w:right="604"/>
              <w:jc w:val="right"/>
              <w:rPr>
                <w:rFonts w:ascii="Calibri" w:hAnsi="Calibri" w:cs="Calibri" w:eastAsia="Calibri" w:hint="default"/>
                <w:sz w:val="20"/>
                <w:szCs w:val="20"/>
              </w:rPr>
            </w:pPr>
            <w:r>
              <w:rPr>
                <w:rFonts w:ascii="Calibri"/>
                <w:spacing w:val="-1"/>
                <w:sz w:val="20"/>
              </w:rPr>
              <w:t>5.24%</w:t>
            </w:r>
          </w:p>
        </w:tc>
      </w:tr>
      <w:tr>
        <w:trPr>
          <w:trHeight w:val="231" w:hRule="exact"/>
        </w:trPr>
        <w:tc>
          <w:tcPr>
            <w:tcW w:w="5087" w:type="dxa"/>
            <w:tcBorders>
              <w:top w:val="nil" w:sz="6" w:space="0" w:color="auto"/>
              <w:left w:val="nil" w:sz="6" w:space="0" w:color="auto"/>
              <w:bottom w:val="single" w:sz="4" w:space="0" w:color="000000"/>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sz w:val="20"/>
              </w:rPr>
              <w:t>Other</w:t>
            </w:r>
          </w:p>
        </w:tc>
        <w:tc>
          <w:tcPr>
            <w:tcW w:w="3718" w:type="dxa"/>
            <w:tcBorders>
              <w:top w:val="nil" w:sz="6" w:space="0" w:color="auto"/>
              <w:left w:val="nil" w:sz="6" w:space="0" w:color="auto"/>
              <w:bottom w:val="single" w:sz="4" w:space="0" w:color="000000"/>
              <w:right w:val="nil" w:sz="6" w:space="0" w:color="auto"/>
            </w:tcBorders>
          </w:tcPr>
          <w:p>
            <w:pPr>
              <w:pStyle w:val="TableParagraph"/>
              <w:spacing w:line="225" w:lineRule="exact"/>
              <w:ind w:right="604"/>
              <w:jc w:val="right"/>
              <w:rPr>
                <w:rFonts w:ascii="Calibri" w:hAnsi="Calibri" w:cs="Calibri" w:eastAsia="Calibri" w:hint="default"/>
                <w:sz w:val="20"/>
                <w:szCs w:val="20"/>
              </w:rPr>
            </w:pPr>
            <w:r>
              <w:rPr>
                <w:rFonts w:ascii="Calibri"/>
                <w:spacing w:val="-1"/>
                <w:sz w:val="20"/>
              </w:rPr>
              <w:t>4.25%</w:t>
            </w:r>
          </w:p>
        </w:tc>
      </w:tr>
      <w:tr>
        <w:trPr>
          <w:trHeight w:val="254" w:hRule="exact"/>
        </w:trPr>
        <w:tc>
          <w:tcPr>
            <w:tcW w:w="5087" w:type="dxa"/>
            <w:tcBorders>
              <w:top w:val="single" w:sz="4" w:space="0" w:color="000000"/>
              <w:left w:val="nil" w:sz="6" w:space="0" w:color="auto"/>
              <w:bottom w:val="single" w:sz="4" w:space="0" w:color="000000"/>
              <w:right w:val="nil" w:sz="6" w:space="0" w:color="auto"/>
            </w:tcBorders>
          </w:tcPr>
          <w:p>
            <w:pPr>
              <w:pStyle w:val="TableParagraph"/>
              <w:spacing w:line="243" w:lineRule="exact"/>
              <w:ind w:left="107" w:right="0"/>
              <w:jc w:val="left"/>
              <w:rPr>
                <w:rFonts w:ascii="Calibri" w:hAnsi="Calibri" w:cs="Calibri" w:eastAsia="Calibri" w:hint="default"/>
                <w:sz w:val="20"/>
                <w:szCs w:val="20"/>
              </w:rPr>
            </w:pPr>
            <w:r>
              <w:rPr>
                <w:rFonts w:ascii="Calibri"/>
                <w:b/>
                <w:sz w:val="20"/>
              </w:rPr>
              <w:t>Payment</w:t>
            </w:r>
            <w:r>
              <w:rPr>
                <w:rFonts w:ascii="Calibri"/>
                <w:b/>
                <w:spacing w:val="-7"/>
                <w:sz w:val="20"/>
              </w:rPr>
              <w:t> </w:t>
            </w:r>
            <w:r>
              <w:rPr>
                <w:rFonts w:ascii="Calibri"/>
                <w:b/>
                <w:sz w:val="20"/>
              </w:rPr>
              <w:t>Method</w:t>
            </w:r>
            <w:r>
              <w:rPr>
                <w:rFonts w:ascii="Calibri"/>
                <w:sz w:val="20"/>
              </w:rPr>
            </w:r>
          </w:p>
        </w:tc>
        <w:tc>
          <w:tcPr>
            <w:tcW w:w="3718" w:type="dxa"/>
            <w:tcBorders>
              <w:top w:val="single" w:sz="4" w:space="0" w:color="000000"/>
              <w:left w:val="nil" w:sz="6" w:space="0" w:color="auto"/>
              <w:bottom w:val="single" w:sz="4" w:space="0" w:color="000000"/>
              <w:right w:val="nil" w:sz="6" w:space="0" w:color="auto"/>
            </w:tcBorders>
          </w:tcPr>
          <w:p>
            <w:pPr>
              <w:pStyle w:val="TableParagraph"/>
              <w:spacing w:line="243" w:lineRule="exact"/>
              <w:ind w:right="803"/>
              <w:jc w:val="right"/>
              <w:rPr>
                <w:rFonts w:ascii="Calibri" w:hAnsi="Calibri" w:cs="Calibri" w:eastAsia="Calibri" w:hint="default"/>
                <w:sz w:val="20"/>
                <w:szCs w:val="20"/>
              </w:rPr>
            </w:pPr>
            <w:r>
              <w:rPr>
                <w:rFonts w:ascii="Calibri"/>
                <w:b/>
                <w:w w:val="95"/>
                <w:sz w:val="20"/>
              </w:rPr>
              <w:t>%</w:t>
            </w:r>
            <w:r>
              <w:rPr>
                <w:rFonts w:ascii="Calibri"/>
                <w:sz w:val="20"/>
              </w:rPr>
            </w:r>
          </w:p>
        </w:tc>
      </w:tr>
      <w:tr>
        <w:trPr>
          <w:trHeight w:val="267" w:hRule="exact"/>
        </w:trPr>
        <w:tc>
          <w:tcPr>
            <w:tcW w:w="5087" w:type="dxa"/>
            <w:tcBorders>
              <w:top w:val="single" w:sz="4" w:space="0" w:color="000000"/>
              <w:left w:val="nil" w:sz="6" w:space="0" w:color="auto"/>
              <w:bottom w:val="nil" w:sz="6" w:space="0" w:color="auto"/>
              <w:right w:val="nil" w:sz="6" w:space="0" w:color="auto"/>
            </w:tcBorders>
          </w:tcPr>
          <w:p>
            <w:pPr>
              <w:pStyle w:val="TableParagraph"/>
              <w:spacing w:line="243" w:lineRule="exact"/>
              <w:ind w:left="107" w:right="0"/>
              <w:jc w:val="left"/>
              <w:rPr>
                <w:rFonts w:ascii="Calibri" w:hAnsi="Calibri" w:cs="Calibri" w:eastAsia="Calibri" w:hint="default"/>
                <w:sz w:val="20"/>
                <w:szCs w:val="20"/>
              </w:rPr>
            </w:pPr>
            <w:r>
              <w:rPr>
                <w:rFonts w:ascii="Calibri"/>
                <w:sz w:val="20"/>
              </w:rPr>
              <w:t>Credit</w:t>
            </w:r>
            <w:r>
              <w:rPr>
                <w:rFonts w:ascii="Calibri"/>
                <w:spacing w:val="-10"/>
                <w:sz w:val="20"/>
              </w:rPr>
              <w:t> </w:t>
            </w:r>
            <w:r>
              <w:rPr>
                <w:rFonts w:ascii="Calibri"/>
                <w:sz w:val="20"/>
              </w:rPr>
              <w:t>Card</w:t>
            </w:r>
          </w:p>
        </w:tc>
        <w:tc>
          <w:tcPr>
            <w:tcW w:w="3718" w:type="dxa"/>
            <w:tcBorders>
              <w:top w:val="single" w:sz="4" w:space="0" w:color="000000"/>
              <w:left w:val="nil" w:sz="6" w:space="0" w:color="auto"/>
              <w:bottom w:val="nil" w:sz="6" w:space="0" w:color="auto"/>
              <w:right w:val="nil" w:sz="6" w:space="0" w:color="auto"/>
            </w:tcBorders>
          </w:tcPr>
          <w:p>
            <w:pPr>
              <w:pStyle w:val="TableParagraph"/>
              <w:spacing w:line="243" w:lineRule="exact"/>
              <w:ind w:right="599"/>
              <w:jc w:val="right"/>
              <w:rPr>
                <w:rFonts w:ascii="Calibri" w:hAnsi="Calibri" w:cs="Calibri" w:eastAsia="Calibri" w:hint="default"/>
                <w:sz w:val="20"/>
                <w:szCs w:val="20"/>
              </w:rPr>
            </w:pPr>
            <w:r>
              <w:rPr>
                <w:rFonts w:ascii="Calibri"/>
                <w:w w:val="95"/>
                <w:sz w:val="20"/>
              </w:rPr>
              <w:t>49.20%</w:t>
            </w:r>
            <w:r>
              <w:rPr>
                <w:rFonts w:ascii="Calibri"/>
                <w:sz w:val="20"/>
              </w:rPr>
            </w:r>
          </w:p>
        </w:tc>
      </w:tr>
      <w:tr>
        <w:trPr>
          <w:trHeight w:val="245" w:hRule="exact"/>
        </w:trPr>
        <w:tc>
          <w:tcPr>
            <w:tcW w:w="5087"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Cash</w:t>
            </w:r>
          </w:p>
        </w:tc>
        <w:tc>
          <w:tcPr>
            <w:tcW w:w="3718" w:type="dxa"/>
            <w:tcBorders>
              <w:top w:val="nil" w:sz="6" w:space="0" w:color="auto"/>
              <w:left w:val="nil" w:sz="6" w:space="0" w:color="auto"/>
              <w:bottom w:val="nil" w:sz="6" w:space="0" w:color="auto"/>
              <w:right w:val="nil" w:sz="6" w:space="0" w:color="auto"/>
            </w:tcBorders>
          </w:tcPr>
          <w:p>
            <w:pPr>
              <w:pStyle w:val="TableParagraph"/>
              <w:spacing w:line="226" w:lineRule="exact"/>
              <w:ind w:right="599"/>
              <w:jc w:val="right"/>
              <w:rPr>
                <w:rFonts w:ascii="Calibri" w:hAnsi="Calibri" w:cs="Calibri" w:eastAsia="Calibri" w:hint="default"/>
                <w:sz w:val="20"/>
                <w:szCs w:val="20"/>
              </w:rPr>
            </w:pPr>
            <w:r>
              <w:rPr>
                <w:rFonts w:ascii="Calibri"/>
                <w:w w:val="95"/>
                <w:sz w:val="20"/>
              </w:rPr>
              <w:t>41.40%</w:t>
            </w:r>
            <w:r>
              <w:rPr>
                <w:rFonts w:ascii="Calibri"/>
                <w:sz w:val="20"/>
              </w:rPr>
            </w:r>
          </w:p>
        </w:tc>
      </w:tr>
      <w:tr>
        <w:trPr>
          <w:trHeight w:val="244" w:hRule="exact"/>
        </w:trPr>
        <w:tc>
          <w:tcPr>
            <w:tcW w:w="5087"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Debit</w:t>
            </w:r>
            <w:r>
              <w:rPr>
                <w:rFonts w:ascii="Calibri"/>
                <w:spacing w:val="-10"/>
                <w:sz w:val="20"/>
              </w:rPr>
              <w:t> </w:t>
            </w:r>
            <w:r>
              <w:rPr>
                <w:rFonts w:ascii="Calibri"/>
                <w:sz w:val="20"/>
              </w:rPr>
              <w:t>Card</w:t>
            </w:r>
          </w:p>
        </w:tc>
        <w:tc>
          <w:tcPr>
            <w:tcW w:w="3718" w:type="dxa"/>
            <w:tcBorders>
              <w:top w:val="nil" w:sz="6" w:space="0" w:color="auto"/>
              <w:left w:val="nil" w:sz="6" w:space="0" w:color="auto"/>
              <w:bottom w:val="nil" w:sz="6" w:space="0" w:color="auto"/>
              <w:right w:val="nil" w:sz="6" w:space="0" w:color="auto"/>
            </w:tcBorders>
          </w:tcPr>
          <w:p>
            <w:pPr>
              <w:pStyle w:val="TableParagraph"/>
              <w:spacing w:line="226" w:lineRule="exact"/>
              <w:ind w:right="604"/>
              <w:jc w:val="right"/>
              <w:rPr>
                <w:rFonts w:ascii="Calibri" w:hAnsi="Calibri" w:cs="Calibri" w:eastAsia="Calibri" w:hint="default"/>
                <w:sz w:val="20"/>
                <w:szCs w:val="20"/>
              </w:rPr>
            </w:pPr>
            <w:r>
              <w:rPr>
                <w:rFonts w:ascii="Calibri"/>
                <w:spacing w:val="-1"/>
                <w:sz w:val="20"/>
              </w:rPr>
              <w:t>6.90%</w:t>
            </w:r>
          </w:p>
        </w:tc>
      </w:tr>
      <w:tr>
        <w:trPr>
          <w:trHeight w:val="231" w:hRule="exact"/>
        </w:trPr>
        <w:tc>
          <w:tcPr>
            <w:tcW w:w="5087" w:type="dxa"/>
            <w:tcBorders>
              <w:top w:val="nil" w:sz="6" w:space="0" w:color="auto"/>
              <w:left w:val="nil" w:sz="6" w:space="0" w:color="auto"/>
              <w:bottom w:val="single" w:sz="4" w:space="0" w:color="000000"/>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sz w:val="20"/>
              </w:rPr>
              <w:t>Other</w:t>
            </w:r>
          </w:p>
        </w:tc>
        <w:tc>
          <w:tcPr>
            <w:tcW w:w="3718" w:type="dxa"/>
            <w:tcBorders>
              <w:top w:val="nil" w:sz="6" w:space="0" w:color="auto"/>
              <w:left w:val="nil" w:sz="6" w:space="0" w:color="auto"/>
              <w:bottom w:val="single" w:sz="4" w:space="0" w:color="000000"/>
              <w:right w:val="nil" w:sz="6" w:space="0" w:color="auto"/>
            </w:tcBorders>
          </w:tcPr>
          <w:p>
            <w:pPr>
              <w:pStyle w:val="TableParagraph"/>
              <w:spacing w:line="225" w:lineRule="exact"/>
              <w:ind w:right="604"/>
              <w:jc w:val="right"/>
              <w:rPr>
                <w:rFonts w:ascii="Calibri" w:hAnsi="Calibri" w:cs="Calibri" w:eastAsia="Calibri" w:hint="default"/>
                <w:sz w:val="20"/>
                <w:szCs w:val="20"/>
              </w:rPr>
            </w:pPr>
            <w:r>
              <w:rPr>
                <w:rFonts w:ascii="Calibri"/>
                <w:spacing w:val="-1"/>
                <w:sz w:val="20"/>
              </w:rPr>
              <w:t>2.50%</w:t>
            </w:r>
          </w:p>
        </w:tc>
      </w:tr>
    </w:tbl>
    <w:p>
      <w:pPr>
        <w:spacing w:line="240" w:lineRule="auto" w:before="12" w:after="0"/>
        <w:ind w:right="0"/>
        <w:rPr>
          <w:rFonts w:ascii="Calibri" w:hAnsi="Calibri" w:cs="Calibri" w:eastAsia="Calibri" w:hint="default"/>
          <w:b/>
          <w:bCs/>
          <w:sz w:val="19"/>
          <w:szCs w:val="19"/>
        </w:rPr>
      </w:pPr>
    </w:p>
    <w:p>
      <w:pPr>
        <w:spacing w:line="240" w:lineRule="auto"/>
        <w:ind w:left="3151"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762177" cy="2226564"/>
            <wp:effectExtent l="0" t="0" r="0" b="0"/>
            <wp:docPr id="53" name="image29.png" descr=""/>
            <wp:cNvGraphicFramePr>
              <a:graphicFrameLocks noChangeAspect="1"/>
            </wp:cNvGraphicFramePr>
            <a:graphic>
              <a:graphicData uri="http://schemas.openxmlformats.org/drawingml/2006/picture">
                <pic:pic>
                  <pic:nvPicPr>
                    <pic:cNvPr id="54" name="image29.png"/>
                    <pic:cNvPicPr/>
                  </pic:nvPicPr>
                  <pic:blipFill>
                    <a:blip r:embed="rId53" cstate="print"/>
                    <a:stretch>
                      <a:fillRect/>
                    </a:stretch>
                  </pic:blipFill>
                  <pic:spPr>
                    <a:xfrm>
                      <a:off x="0" y="0"/>
                      <a:ext cx="3762177" cy="2226564"/>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5"/>
        <w:ind w:right="26"/>
        <w:jc w:val="center"/>
        <w:rPr>
          <w:b w:val="0"/>
          <w:bCs w:val="0"/>
        </w:rPr>
      </w:pPr>
      <w:bookmarkStart w:name="_bookmark103" w:id="104"/>
      <w:bookmarkEnd w:id="104"/>
      <w:r>
        <w:rPr>
          <w:b w:val="0"/>
        </w:rPr>
      </w:r>
      <w:r>
        <w:rPr/>
        <w:t>Figure 25:  Booking behavior of Curaçao</w:t>
      </w:r>
      <w:r>
        <w:rPr>
          <w:spacing w:val="-19"/>
        </w:rPr>
        <w:t> </w:t>
      </w:r>
      <w:r>
        <w:rPr/>
        <w:t>tourists</w:t>
      </w:r>
      <w:r>
        <w:rPr>
          <w:b w:val="0"/>
        </w:rPr>
      </w:r>
    </w:p>
    <w:p>
      <w:pPr>
        <w:spacing w:line="240" w:lineRule="auto" w:before="1"/>
        <w:ind w:right="0"/>
        <w:rPr>
          <w:rFonts w:ascii="Calibri" w:hAnsi="Calibri" w:cs="Calibri" w:eastAsia="Calibri" w:hint="default"/>
          <w:b/>
          <w:bCs/>
          <w:sz w:val="20"/>
          <w:szCs w:val="20"/>
        </w:rPr>
      </w:pPr>
    </w:p>
    <w:p>
      <w:pPr>
        <w:pStyle w:val="BodyText"/>
        <w:spacing w:line="240" w:lineRule="auto"/>
        <w:ind w:right="1444"/>
        <w:jc w:val="both"/>
      </w:pPr>
      <w:r>
        <w:rPr/>
        <w:t>Overall, the search and booking behaviors pose two challenges, especially for the local hotels. Searching for information</w:t>
      </w:r>
      <w:r>
        <w:rPr>
          <w:spacing w:val="-5"/>
        </w:rPr>
        <w:t> </w:t>
      </w:r>
      <w:r>
        <w:rPr/>
        <w:t>about</w:t>
      </w:r>
      <w:r>
        <w:rPr>
          <w:spacing w:val="-5"/>
        </w:rPr>
        <w:t> </w:t>
      </w:r>
      <w:r>
        <w:rPr/>
        <w:t>the</w:t>
      </w:r>
      <w:r>
        <w:rPr>
          <w:spacing w:val="-6"/>
        </w:rPr>
        <w:t> </w:t>
      </w:r>
      <w:r>
        <w:rPr/>
        <w:t>destination</w:t>
      </w:r>
      <w:r>
        <w:rPr>
          <w:spacing w:val="-5"/>
        </w:rPr>
        <w:t> </w:t>
      </w:r>
      <w:r>
        <w:rPr/>
        <w:t>began</w:t>
      </w:r>
      <w:r>
        <w:rPr>
          <w:spacing w:val="-4"/>
        </w:rPr>
        <w:t> </w:t>
      </w:r>
      <w:r>
        <w:rPr/>
        <w:t>at</w:t>
      </w:r>
      <w:r>
        <w:rPr>
          <w:spacing w:val="-5"/>
        </w:rPr>
        <w:t> </w:t>
      </w:r>
      <w:r>
        <w:rPr/>
        <w:t>a</w:t>
      </w:r>
      <w:r>
        <w:rPr>
          <w:spacing w:val="-5"/>
        </w:rPr>
        <w:t> </w:t>
      </w:r>
      <w:r>
        <w:rPr/>
        <w:t>relatively</w:t>
      </w:r>
      <w:r>
        <w:rPr>
          <w:spacing w:val="-3"/>
        </w:rPr>
        <w:t> </w:t>
      </w:r>
      <w:r>
        <w:rPr/>
        <w:t>early</w:t>
      </w:r>
      <w:r>
        <w:rPr>
          <w:spacing w:val="-4"/>
        </w:rPr>
        <w:t> </w:t>
      </w:r>
      <w:r>
        <w:rPr/>
        <w:t>stage</w:t>
      </w:r>
      <w:r>
        <w:rPr>
          <w:spacing w:val="-6"/>
        </w:rPr>
        <w:t> </w:t>
      </w:r>
      <w:r>
        <w:rPr/>
        <w:t>of</w:t>
      </w:r>
      <w:r>
        <w:rPr>
          <w:spacing w:val="-6"/>
        </w:rPr>
        <w:t> </w:t>
      </w:r>
      <w:r>
        <w:rPr/>
        <w:t>their</w:t>
      </w:r>
      <w:r>
        <w:rPr>
          <w:spacing w:val="-6"/>
        </w:rPr>
        <w:t> </w:t>
      </w:r>
      <w:r>
        <w:rPr/>
        <w:t>vacation</w:t>
      </w:r>
      <w:r>
        <w:rPr>
          <w:spacing w:val="-5"/>
        </w:rPr>
        <w:t> </w:t>
      </w:r>
      <w:r>
        <w:rPr/>
        <w:t>planning</w:t>
      </w:r>
      <w:r>
        <w:rPr>
          <w:spacing w:val="-6"/>
        </w:rPr>
        <w:t> </w:t>
      </w:r>
      <w:r>
        <w:rPr/>
        <w:t>(more</w:t>
      </w:r>
      <w:r>
        <w:rPr>
          <w:spacing w:val="-6"/>
        </w:rPr>
        <w:t> </w:t>
      </w:r>
      <w:r>
        <w:rPr/>
        <w:t>than</w:t>
      </w:r>
      <w:r>
        <w:rPr>
          <w:spacing w:val="-4"/>
        </w:rPr>
        <w:t> </w:t>
      </w:r>
      <w:r>
        <w:rPr/>
        <w:t>6</w:t>
      </w:r>
      <w:r>
        <w:rPr>
          <w:spacing w:val="-6"/>
        </w:rPr>
        <w:t> </w:t>
      </w:r>
      <w:r>
        <w:rPr/>
        <w:t>months), </w:t>
      </w:r>
      <w:r>
        <w:rPr/>
        <w:t>but the booking in general only occurred within months 1-3, indicating that booking is slower than the search. Typically,</w:t>
      </w:r>
      <w:r>
        <w:rPr>
          <w:spacing w:val="-4"/>
        </w:rPr>
        <w:t> </w:t>
      </w:r>
      <w:r>
        <w:rPr/>
        <w:t>it</w:t>
      </w:r>
      <w:r>
        <w:rPr>
          <w:spacing w:val="-4"/>
        </w:rPr>
        <w:t> </w:t>
      </w:r>
      <w:r>
        <w:rPr/>
        <w:t>is</w:t>
      </w:r>
      <w:r>
        <w:rPr>
          <w:spacing w:val="-6"/>
        </w:rPr>
        <w:t> </w:t>
      </w:r>
      <w:r>
        <w:rPr/>
        <w:t>preferred</w:t>
      </w:r>
      <w:r>
        <w:rPr>
          <w:spacing w:val="-4"/>
        </w:rPr>
        <w:t> </w:t>
      </w:r>
      <w:r>
        <w:rPr/>
        <w:t>to</w:t>
      </w:r>
      <w:r>
        <w:rPr>
          <w:spacing w:val="-2"/>
        </w:rPr>
        <w:t> </w:t>
      </w:r>
      <w:r>
        <w:rPr/>
        <w:t>have</w:t>
      </w:r>
      <w:r>
        <w:rPr>
          <w:spacing w:val="-5"/>
        </w:rPr>
        <w:t> </w:t>
      </w:r>
      <w:r>
        <w:rPr/>
        <w:t>bookings</w:t>
      </w:r>
      <w:r>
        <w:rPr>
          <w:spacing w:val="-6"/>
        </w:rPr>
        <w:t> </w:t>
      </w:r>
      <w:r>
        <w:rPr/>
        <w:t>closer</w:t>
      </w:r>
      <w:r>
        <w:rPr>
          <w:spacing w:val="-4"/>
        </w:rPr>
        <w:t> </w:t>
      </w:r>
      <w:r>
        <w:rPr/>
        <w:t>to</w:t>
      </w:r>
      <w:r>
        <w:rPr>
          <w:spacing w:val="-4"/>
        </w:rPr>
        <w:t> </w:t>
      </w:r>
      <w:r>
        <w:rPr/>
        <w:t>the</w:t>
      </w:r>
      <w:r>
        <w:rPr>
          <w:spacing w:val="-5"/>
        </w:rPr>
        <w:t> </w:t>
      </w:r>
      <w:r>
        <w:rPr/>
        <w:t>search</w:t>
      </w:r>
      <w:r>
        <w:rPr>
          <w:spacing w:val="-4"/>
        </w:rPr>
        <w:t> </w:t>
      </w:r>
      <w:r>
        <w:rPr/>
        <w:t>time;</w:t>
      </w:r>
      <w:r>
        <w:rPr>
          <w:spacing w:val="-5"/>
        </w:rPr>
        <w:t> </w:t>
      </w:r>
      <w:r>
        <w:rPr/>
        <w:t>because</w:t>
      </w:r>
      <w:r>
        <w:rPr>
          <w:spacing w:val="-5"/>
        </w:rPr>
        <w:t> </w:t>
      </w:r>
      <w:r>
        <w:rPr/>
        <w:t>the</w:t>
      </w:r>
      <w:r>
        <w:rPr>
          <w:spacing w:val="-5"/>
        </w:rPr>
        <w:t> </w:t>
      </w:r>
      <w:r>
        <w:rPr/>
        <w:t>longer</w:t>
      </w:r>
      <w:r>
        <w:rPr>
          <w:spacing w:val="-4"/>
        </w:rPr>
        <w:t> </w:t>
      </w:r>
      <w:r>
        <w:rPr/>
        <w:t>the</w:t>
      </w:r>
      <w:r>
        <w:rPr>
          <w:spacing w:val="-5"/>
        </w:rPr>
        <w:t> </w:t>
      </w:r>
      <w:r>
        <w:rPr/>
        <w:t>booking</w:t>
      </w:r>
      <w:r>
        <w:rPr>
          <w:spacing w:val="-5"/>
        </w:rPr>
        <w:t> </w:t>
      </w:r>
      <w:r>
        <w:rPr/>
        <w:t>advance</w:t>
      </w:r>
      <w:r>
        <w:rPr>
          <w:spacing w:val="-5"/>
        </w:rPr>
        <w:t> </w:t>
      </w:r>
      <w:r>
        <w:rPr/>
        <w:t>time</w:t>
      </w:r>
      <w:r>
        <w:rPr>
          <w:spacing w:val="-6"/>
        </w:rPr>
        <w:t> </w:t>
      </w:r>
      <w:r>
        <w:rPr/>
        <w:t>is, </w:t>
      </w:r>
      <w:r>
        <w:rPr/>
        <w:t>the</w:t>
      </w:r>
      <w:r>
        <w:rPr>
          <w:spacing w:val="-5"/>
        </w:rPr>
        <w:t> </w:t>
      </w:r>
      <w:r>
        <w:rPr/>
        <w:t>greater</w:t>
      </w:r>
      <w:r>
        <w:rPr>
          <w:spacing w:val="-4"/>
        </w:rPr>
        <w:t> </w:t>
      </w:r>
      <w:r>
        <w:rPr/>
        <w:t>the</w:t>
      </w:r>
      <w:r>
        <w:rPr>
          <w:spacing w:val="-5"/>
        </w:rPr>
        <w:t> </w:t>
      </w:r>
      <w:r>
        <w:rPr/>
        <w:t>uncertainty</w:t>
      </w:r>
      <w:r>
        <w:rPr>
          <w:spacing w:val="-3"/>
        </w:rPr>
        <w:t> </w:t>
      </w:r>
      <w:r>
        <w:rPr/>
        <w:t>for</w:t>
      </w:r>
      <w:r>
        <w:rPr>
          <w:spacing w:val="-4"/>
        </w:rPr>
        <w:t> </w:t>
      </w:r>
      <w:r>
        <w:rPr/>
        <w:t>hotel</w:t>
      </w:r>
      <w:r>
        <w:rPr>
          <w:spacing w:val="-5"/>
        </w:rPr>
        <w:t> </w:t>
      </w:r>
      <w:r>
        <w:rPr/>
        <w:t>managers</w:t>
      </w:r>
      <w:r>
        <w:rPr>
          <w:spacing w:val="-5"/>
        </w:rPr>
        <w:t> </w:t>
      </w:r>
      <w:r>
        <w:rPr/>
        <w:t>in</w:t>
      </w:r>
      <w:r>
        <w:rPr>
          <w:spacing w:val="-4"/>
        </w:rPr>
        <w:t> </w:t>
      </w:r>
      <w:r>
        <w:rPr/>
        <w:t>terms</w:t>
      </w:r>
      <w:r>
        <w:rPr>
          <w:spacing w:val="-5"/>
        </w:rPr>
        <w:t> </w:t>
      </w:r>
      <w:r>
        <w:rPr/>
        <w:t>of</w:t>
      </w:r>
      <w:r>
        <w:rPr>
          <w:spacing w:val="-5"/>
        </w:rPr>
        <w:t> </w:t>
      </w:r>
      <w:r>
        <w:rPr/>
        <w:t>realizing</w:t>
      </w:r>
      <w:r>
        <w:rPr>
          <w:spacing w:val="-5"/>
        </w:rPr>
        <w:t> </w:t>
      </w:r>
      <w:r>
        <w:rPr/>
        <w:t>their</w:t>
      </w:r>
      <w:r>
        <w:rPr>
          <w:spacing w:val="-5"/>
        </w:rPr>
        <w:t> </w:t>
      </w:r>
      <w:r>
        <w:rPr/>
        <w:t>price</w:t>
      </w:r>
      <w:r>
        <w:rPr>
          <w:spacing w:val="-5"/>
        </w:rPr>
        <w:t> </w:t>
      </w:r>
      <w:r>
        <w:rPr/>
        <w:t>points</w:t>
      </w:r>
      <w:r>
        <w:rPr>
          <w:spacing w:val="-3"/>
        </w:rPr>
        <w:t> </w:t>
      </w:r>
      <w:r>
        <w:rPr/>
        <w:t>without</w:t>
      </w:r>
      <w:r>
        <w:rPr>
          <w:spacing w:val="-4"/>
        </w:rPr>
        <w:t> </w:t>
      </w:r>
      <w:r>
        <w:rPr/>
        <w:t>running</w:t>
      </w:r>
      <w:r>
        <w:rPr>
          <w:spacing w:val="-5"/>
        </w:rPr>
        <w:t> </w:t>
      </w:r>
      <w:r>
        <w:rPr/>
        <w:t>the</w:t>
      </w:r>
      <w:r>
        <w:rPr>
          <w:spacing w:val="-5"/>
        </w:rPr>
        <w:t> </w:t>
      </w:r>
      <w:r>
        <w:rPr/>
        <w:t>danger</w:t>
      </w:r>
      <w:r>
        <w:rPr>
          <w:spacing w:val="-4"/>
        </w:rPr>
        <w:t> </w:t>
      </w:r>
      <w:r>
        <w:rPr/>
        <w:t>of </w:t>
      </w:r>
      <w:r>
        <w:rPr/>
        <w:t>engaging in discounting</w:t>
      </w:r>
      <w:r>
        <w:rPr>
          <w:spacing w:val="-14"/>
        </w:rPr>
        <w:t> </w:t>
      </w:r>
      <w:r>
        <w:rPr/>
        <w:t>behavior.</w:t>
      </w:r>
    </w:p>
    <w:p>
      <w:pPr>
        <w:spacing w:line="240" w:lineRule="auto" w:before="1"/>
        <w:ind w:right="0"/>
        <w:rPr>
          <w:rFonts w:ascii="Calibri" w:hAnsi="Calibri" w:cs="Calibri" w:eastAsia="Calibri" w:hint="default"/>
          <w:sz w:val="20"/>
          <w:szCs w:val="20"/>
        </w:rPr>
      </w:pPr>
    </w:p>
    <w:p>
      <w:pPr>
        <w:pStyle w:val="BodyText"/>
        <w:spacing w:line="240" w:lineRule="auto"/>
        <w:ind w:right="1444"/>
        <w:jc w:val="both"/>
      </w:pPr>
      <w:r>
        <w:rPr/>
        <w:t>The other challenge is that nearly one out of four tourists (23.7%) buy less than one month prior to their visit to Curaçao. The data suggest that this group is predominantly from Venezuela. With low occupancy rate levels on the island, this last minute buy could trigger unnecessary price squabbles among the local hotels, thereby negatively impacting their RevPAR. Figure 25 below exhibits the booking behavior of the Curaçao</w:t>
      </w:r>
      <w:r>
        <w:rPr>
          <w:spacing w:val="4"/>
        </w:rPr>
        <w:t> </w:t>
      </w:r>
      <w:r>
        <w:rPr/>
        <w:t>tourists.</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24"/>
          <w:szCs w:val="24"/>
        </w:rPr>
      </w:pPr>
    </w:p>
    <w:p>
      <w:pPr>
        <w:pStyle w:val="Heading2"/>
        <w:spacing w:line="240" w:lineRule="auto"/>
        <w:ind w:right="0"/>
        <w:jc w:val="both"/>
        <w:rPr>
          <w:b w:val="0"/>
          <w:bCs w:val="0"/>
        </w:rPr>
      </w:pPr>
      <w:bookmarkStart w:name="_bookmark104" w:id="105"/>
      <w:bookmarkEnd w:id="105"/>
      <w:r>
        <w:rPr>
          <w:b w:val="0"/>
        </w:rPr>
      </w:r>
      <w:r>
        <w:rPr/>
        <w:t>Activities enjoyed while at the</w:t>
      </w:r>
      <w:r>
        <w:rPr>
          <w:spacing w:val="-22"/>
        </w:rPr>
        <w:t> </w:t>
      </w:r>
      <w:r>
        <w:rPr/>
        <w:t>destination</w:t>
      </w:r>
      <w:r>
        <w:rPr>
          <w:b w:val="0"/>
        </w:rPr>
      </w:r>
    </w:p>
    <w:p>
      <w:pPr>
        <w:pStyle w:val="BodyText"/>
        <w:spacing w:line="240" w:lineRule="auto" w:before="191"/>
        <w:ind w:right="1436"/>
        <w:jc w:val="both"/>
      </w:pPr>
      <w:r>
        <w:rPr/>
        <w:t>The</w:t>
      </w:r>
      <w:r>
        <w:rPr>
          <w:spacing w:val="-12"/>
        </w:rPr>
        <w:t> </w:t>
      </w:r>
      <w:r>
        <w:rPr/>
        <w:t>average</w:t>
      </w:r>
      <w:r>
        <w:rPr>
          <w:spacing w:val="-12"/>
        </w:rPr>
        <w:t> </w:t>
      </w:r>
      <w:r>
        <w:rPr/>
        <w:t>tourists'</w:t>
      </w:r>
      <w:r>
        <w:rPr>
          <w:spacing w:val="-10"/>
        </w:rPr>
        <w:t> </w:t>
      </w:r>
      <w:r>
        <w:rPr/>
        <w:t>length</w:t>
      </w:r>
      <w:r>
        <w:rPr>
          <w:spacing w:val="-11"/>
        </w:rPr>
        <w:t> </w:t>
      </w:r>
      <w:r>
        <w:rPr/>
        <w:t>of</w:t>
      </w:r>
      <w:r>
        <w:rPr>
          <w:spacing w:val="-10"/>
        </w:rPr>
        <w:t> </w:t>
      </w:r>
      <w:r>
        <w:rPr/>
        <w:t>stay</w:t>
      </w:r>
      <w:r>
        <w:rPr>
          <w:spacing w:val="-8"/>
        </w:rPr>
        <w:t> </w:t>
      </w:r>
      <w:r>
        <w:rPr/>
        <w:t>exceeded</w:t>
      </w:r>
      <w:r>
        <w:rPr>
          <w:spacing w:val="-11"/>
        </w:rPr>
        <w:t> </w:t>
      </w:r>
      <w:r>
        <w:rPr/>
        <w:t>9</w:t>
      </w:r>
      <w:r>
        <w:rPr>
          <w:spacing w:val="-11"/>
        </w:rPr>
        <w:t> </w:t>
      </w:r>
      <w:r>
        <w:rPr/>
        <w:t>nights.</w:t>
      </w:r>
      <w:r>
        <w:rPr>
          <w:spacing w:val="26"/>
        </w:rPr>
        <w:t> </w:t>
      </w:r>
      <w:r>
        <w:rPr/>
        <w:t>A</w:t>
      </w:r>
      <w:r>
        <w:rPr>
          <w:spacing w:val="-12"/>
        </w:rPr>
        <w:t> </w:t>
      </w:r>
      <w:r>
        <w:rPr/>
        <w:t>little</w:t>
      </w:r>
      <w:r>
        <w:rPr>
          <w:spacing w:val="-12"/>
        </w:rPr>
        <w:t> </w:t>
      </w:r>
      <w:r>
        <w:rPr/>
        <w:t>more</w:t>
      </w:r>
      <w:r>
        <w:rPr>
          <w:spacing w:val="-12"/>
        </w:rPr>
        <w:t> </w:t>
      </w:r>
      <w:r>
        <w:rPr/>
        <w:t>than</w:t>
      </w:r>
      <w:r>
        <w:rPr>
          <w:spacing w:val="-10"/>
        </w:rPr>
        <w:t> </w:t>
      </w:r>
      <w:r>
        <w:rPr/>
        <w:t>half</w:t>
      </w:r>
      <w:r>
        <w:rPr>
          <w:spacing w:val="-12"/>
        </w:rPr>
        <w:t> </w:t>
      </w:r>
      <w:r>
        <w:rPr/>
        <w:t>of</w:t>
      </w:r>
      <w:r>
        <w:rPr>
          <w:spacing w:val="-12"/>
        </w:rPr>
        <w:t> </w:t>
      </w:r>
      <w:r>
        <w:rPr/>
        <w:t>tourists</w:t>
      </w:r>
      <w:r>
        <w:rPr>
          <w:spacing w:val="-10"/>
        </w:rPr>
        <w:t> </w:t>
      </w:r>
      <w:r>
        <w:rPr/>
        <w:t>stayed</w:t>
      </w:r>
      <w:r>
        <w:rPr>
          <w:spacing w:val="-11"/>
        </w:rPr>
        <w:t> </w:t>
      </w:r>
      <w:r>
        <w:rPr/>
        <w:t>in</w:t>
      </w:r>
      <w:r>
        <w:rPr>
          <w:spacing w:val="-11"/>
        </w:rPr>
        <w:t> </w:t>
      </w:r>
      <w:r>
        <w:rPr/>
        <w:t>hotels,</w:t>
      </w:r>
      <w:r>
        <w:rPr>
          <w:spacing w:val="-9"/>
        </w:rPr>
        <w:t> </w:t>
      </w:r>
      <w:r>
        <w:rPr/>
        <w:t>while</w:t>
      </w:r>
      <w:r>
        <w:rPr>
          <w:spacing w:val="-11"/>
        </w:rPr>
        <w:t> </w:t>
      </w:r>
      <w:r>
        <w:rPr/>
        <w:t>about </w:t>
      </w:r>
      <w:r>
        <w:rPr/>
        <w:t>the same amount of tourist visiting the island ate in a restaurant during their seven-day stay in Curaçao. The travel size of the groups arriving to Curaçao is approximately 2.5</w:t>
      </w:r>
      <w:r>
        <w:rPr>
          <w:spacing w:val="-24"/>
        </w:rPr>
        <w:t> </w:t>
      </w:r>
      <w:r>
        <w:rPr/>
        <w:t>persons.</w:t>
      </w:r>
    </w:p>
    <w:p>
      <w:pPr>
        <w:pStyle w:val="BodyText"/>
        <w:spacing w:line="240" w:lineRule="auto"/>
        <w:ind w:right="1436"/>
        <w:jc w:val="both"/>
      </w:pPr>
      <w:r>
        <w:rPr/>
        <w:t>The mobility of the tourist around the island is limited with the most popular attractions, by far, consisting of the downtown</w:t>
      </w:r>
      <w:r>
        <w:rPr>
          <w:spacing w:val="-9"/>
        </w:rPr>
        <w:t> </w:t>
      </w:r>
      <w:r>
        <w:rPr/>
        <w:t>area</w:t>
      </w:r>
      <w:r>
        <w:rPr>
          <w:spacing w:val="-9"/>
        </w:rPr>
        <w:t> </w:t>
      </w:r>
      <w:r>
        <w:rPr/>
        <w:t>and</w:t>
      </w:r>
      <w:r>
        <w:rPr>
          <w:spacing w:val="-9"/>
        </w:rPr>
        <w:t> </w:t>
      </w:r>
      <w:r>
        <w:rPr/>
        <w:t>the</w:t>
      </w:r>
      <w:r>
        <w:rPr>
          <w:spacing w:val="-8"/>
        </w:rPr>
        <w:t> </w:t>
      </w:r>
      <w:r>
        <w:rPr/>
        <w:t>beaches.</w:t>
      </w:r>
      <w:r>
        <w:rPr>
          <w:spacing w:val="-6"/>
        </w:rPr>
        <w:t> </w:t>
      </w:r>
      <w:r>
        <w:rPr/>
        <w:t>Not</w:t>
      </w:r>
      <w:r>
        <w:rPr>
          <w:spacing w:val="-6"/>
        </w:rPr>
        <w:t> </w:t>
      </w:r>
      <w:r>
        <w:rPr/>
        <w:t>engaging</w:t>
      </w:r>
      <w:r>
        <w:rPr>
          <w:spacing w:val="-9"/>
        </w:rPr>
        <w:t> </w:t>
      </w:r>
      <w:r>
        <w:rPr/>
        <w:t>in</w:t>
      </w:r>
      <w:r>
        <w:rPr>
          <w:spacing w:val="-9"/>
        </w:rPr>
        <w:t> </w:t>
      </w:r>
      <w:r>
        <w:rPr/>
        <w:t>other</w:t>
      </w:r>
      <w:r>
        <w:rPr>
          <w:spacing w:val="-9"/>
        </w:rPr>
        <w:t> </w:t>
      </w:r>
      <w:r>
        <w:rPr/>
        <w:t>types</w:t>
      </w:r>
      <w:r>
        <w:rPr>
          <w:spacing w:val="-10"/>
        </w:rPr>
        <w:t> </w:t>
      </w:r>
      <w:r>
        <w:rPr/>
        <w:t>of</w:t>
      </w:r>
      <w:r>
        <w:rPr>
          <w:spacing w:val="-10"/>
        </w:rPr>
        <w:t> </w:t>
      </w:r>
      <w:r>
        <w:rPr/>
        <w:t>activities</w:t>
      </w:r>
      <w:r>
        <w:rPr>
          <w:spacing w:val="-8"/>
        </w:rPr>
        <w:t> </w:t>
      </w:r>
      <w:r>
        <w:rPr/>
        <w:t>could</w:t>
      </w:r>
      <w:r>
        <w:rPr>
          <w:spacing w:val="-9"/>
        </w:rPr>
        <w:t> </w:t>
      </w:r>
      <w:r>
        <w:rPr/>
        <w:t>be</w:t>
      </w:r>
      <w:r>
        <w:rPr>
          <w:spacing w:val="-10"/>
        </w:rPr>
        <w:t> </w:t>
      </w:r>
      <w:r>
        <w:rPr/>
        <w:t>an</w:t>
      </w:r>
      <w:r>
        <w:rPr>
          <w:spacing w:val="-8"/>
        </w:rPr>
        <w:t> </w:t>
      </w:r>
      <w:r>
        <w:rPr/>
        <w:t>indication</w:t>
      </w:r>
      <w:r>
        <w:rPr>
          <w:spacing w:val="-8"/>
        </w:rPr>
        <w:t> </w:t>
      </w:r>
      <w:r>
        <w:rPr/>
        <w:t>of</w:t>
      </w:r>
      <w:r>
        <w:rPr>
          <w:spacing w:val="-10"/>
        </w:rPr>
        <w:t> </w:t>
      </w:r>
      <w:r>
        <w:rPr/>
        <w:t>either</w:t>
      </w:r>
      <w:r>
        <w:rPr>
          <w:spacing w:val="-9"/>
        </w:rPr>
        <w:t> </w:t>
      </w:r>
      <w:r>
        <w:rPr/>
        <w:t>a</w:t>
      </w:r>
      <w:r>
        <w:rPr>
          <w:spacing w:val="-9"/>
        </w:rPr>
        <w:t> </w:t>
      </w:r>
      <w:r>
        <w:rPr/>
        <w:t>low</w:t>
      </w:r>
      <w:r>
        <w:rPr>
          <w:spacing w:val="-10"/>
        </w:rPr>
        <w:t> </w:t>
      </w:r>
      <w:r>
        <w:rPr/>
        <w:t>level </w:t>
      </w:r>
      <w:r>
        <w:rPr/>
        <w:t>of tourist awareness of the existence of attractions on the island, the lack of appeal of those attractions, or deficiencies in the packaging of the attractions. Regardless of the reason, the result appears to be a low level of tourist interest/appreciation for Curaçao's heritage</w:t>
      </w:r>
      <w:r>
        <w:rPr>
          <w:spacing w:val="-21"/>
        </w:rPr>
        <w:t> </w:t>
      </w:r>
      <w:r>
        <w:rPr/>
        <w:t>assets.</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rFonts w:ascii="Calibri" w:hAnsi="Calibri" w:cs="Calibri" w:eastAsia="Calibri" w:hint="default"/>
        </w:rPr>
        <w:t>Tourists’ life in </w:t>
      </w:r>
      <w:r>
        <w:rPr/>
        <w:t>Curaçao is tied to beaches, entertainment, cultural and shopping activities. Outdoor activities are a distant fourth after these three main activities.</w:t>
      </w:r>
      <w:r>
        <w:rPr>
          <w:position w:val="5"/>
          <w:sz w:val="12"/>
          <w:szCs w:val="12"/>
        </w:rPr>
        <w:t>54 </w:t>
      </w:r>
      <w:r>
        <w:rPr/>
        <w:t>Beaches and water activities as well as entertainment, cultural, </w:t>
      </w:r>
      <w:r>
        <w:rPr/>
        <w:t>and shopping activities are almost evenly distributed with beaches ranking at the top of the activities. Nearly eight out</w:t>
      </w:r>
      <w:r>
        <w:rPr>
          <w:spacing w:val="-10"/>
        </w:rPr>
        <w:t> </w:t>
      </w:r>
      <w:r>
        <w:rPr/>
        <w:t>of</w:t>
      </w:r>
      <w:r>
        <w:rPr>
          <w:spacing w:val="-11"/>
        </w:rPr>
        <w:t> </w:t>
      </w:r>
      <w:r>
        <w:rPr/>
        <w:t>ten</w:t>
      </w:r>
      <w:r>
        <w:rPr>
          <w:spacing w:val="-10"/>
        </w:rPr>
        <w:t> </w:t>
      </w:r>
      <w:r>
        <w:rPr/>
        <w:t>(77.7%)</w:t>
      </w:r>
      <w:r>
        <w:rPr>
          <w:spacing w:val="-11"/>
        </w:rPr>
        <w:t> </w:t>
      </w:r>
      <w:r>
        <w:rPr/>
        <w:t>visited</w:t>
      </w:r>
      <w:r>
        <w:rPr>
          <w:spacing w:val="-10"/>
        </w:rPr>
        <w:t> </w:t>
      </w:r>
      <w:r>
        <w:rPr/>
        <w:t>the</w:t>
      </w:r>
      <w:r>
        <w:rPr>
          <w:spacing w:val="-11"/>
        </w:rPr>
        <w:t> </w:t>
      </w:r>
      <w:r>
        <w:rPr/>
        <w:t>beaches</w:t>
      </w:r>
      <w:r>
        <w:rPr>
          <w:spacing w:val="-11"/>
        </w:rPr>
        <w:t> </w:t>
      </w:r>
      <w:r>
        <w:rPr/>
        <w:t>as</w:t>
      </w:r>
      <w:r>
        <w:rPr>
          <w:spacing w:val="-11"/>
        </w:rPr>
        <w:t> </w:t>
      </w:r>
      <w:r>
        <w:rPr/>
        <w:t>well</w:t>
      </w:r>
      <w:r>
        <w:rPr>
          <w:spacing w:val="-11"/>
        </w:rPr>
        <w:t> </w:t>
      </w:r>
      <w:r>
        <w:rPr/>
        <w:t>as</w:t>
      </w:r>
      <w:r>
        <w:rPr>
          <w:spacing w:val="-9"/>
        </w:rPr>
        <w:t> </w:t>
      </w:r>
      <w:r>
        <w:rPr/>
        <w:t>the</w:t>
      </w:r>
      <w:r>
        <w:rPr>
          <w:spacing w:val="-11"/>
        </w:rPr>
        <w:t> </w:t>
      </w:r>
      <w:r>
        <w:rPr/>
        <w:t>downtown</w:t>
      </w:r>
      <w:r>
        <w:rPr>
          <w:spacing w:val="-10"/>
        </w:rPr>
        <w:t> </w:t>
      </w:r>
      <w:r>
        <w:rPr/>
        <w:t>area</w:t>
      </w:r>
      <w:r>
        <w:rPr>
          <w:spacing w:val="-9"/>
        </w:rPr>
        <w:t> </w:t>
      </w:r>
      <w:r>
        <w:rPr/>
        <w:t>(77.2%).</w:t>
      </w:r>
      <w:r>
        <w:rPr>
          <w:spacing w:val="26"/>
        </w:rPr>
        <w:t> </w:t>
      </w:r>
      <w:r>
        <w:rPr/>
        <w:t>Nearly</w:t>
      </w:r>
      <w:r>
        <w:rPr>
          <w:spacing w:val="-10"/>
        </w:rPr>
        <w:t> </w:t>
      </w:r>
      <w:r>
        <w:rPr/>
        <w:t>three</w:t>
      </w:r>
      <w:r>
        <w:rPr>
          <w:spacing w:val="-11"/>
        </w:rPr>
        <w:t> </w:t>
      </w:r>
      <w:r>
        <w:rPr/>
        <w:t>out</w:t>
      </w:r>
      <w:r>
        <w:rPr>
          <w:spacing w:val="-10"/>
        </w:rPr>
        <w:t> </w:t>
      </w:r>
      <w:r>
        <w:rPr/>
        <w:t>of</w:t>
      </w:r>
      <w:r>
        <w:rPr>
          <w:spacing w:val="-11"/>
        </w:rPr>
        <w:t> </w:t>
      </w:r>
      <w:r>
        <w:rPr/>
        <w:t>four</w:t>
      </w:r>
      <w:r>
        <w:rPr>
          <w:spacing w:val="-13"/>
        </w:rPr>
        <w:t> </w:t>
      </w:r>
      <w:r>
        <w:rPr/>
        <w:t>(73.8%)</w:t>
      </w:r>
      <w:r>
        <w:rPr>
          <w:spacing w:val="-8"/>
        </w:rPr>
        <w:t> </w:t>
      </w:r>
      <w:r>
        <w:rPr/>
        <w:t>visited </w:t>
      </w:r>
      <w:r>
        <w:rPr/>
        <w:t>bars</w:t>
      </w:r>
      <w:r>
        <w:rPr>
          <w:spacing w:val="-5"/>
        </w:rPr>
        <w:t> </w:t>
      </w:r>
      <w:r>
        <w:rPr/>
        <w:t>and</w:t>
      </w:r>
      <w:r>
        <w:rPr>
          <w:spacing w:val="-4"/>
        </w:rPr>
        <w:t> </w:t>
      </w:r>
      <w:r>
        <w:rPr/>
        <w:t>cafés,</w:t>
      </w:r>
      <w:r>
        <w:rPr>
          <w:spacing w:val="-3"/>
        </w:rPr>
        <w:t> </w:t>
      </w:r>
      <w:r>
        <w:rPr/>
        <w:t>indicating</w:t>
      </w:r>
      <w:r>
        <w:rPr>
          <w:spacing w:val="-5"/>
        </w:rPr>
        <w:t> </w:t>
      </w:r>
      <w:r>
        <w:rPr/>
        <w:t>a</w:t>
      </w:r>
      <w:r>
        <w:rPr>
          <w:spacing w:val="-4"/>
        </w:rPr>
        <w:t> </w:t>
      </w:r>
      <w:r>
        <w:rPr/>
        <w:t>strong</w:t>
      </w:r>
      <w:r>
        <w:rPr>
          <w:spacing w:val="-5"/>
        </w:rPr>
        <w:t> </w:t>
      </w:r>
      <w:r>
        <w:rPr/>
        <w:t>tendency</w:t>
      </w:r>
      <w:r>
        <w:rPr>
          <w:spacing w:val="-4"/>
        </w:rPr>
        <w:t> </w:t>
      </w:r>
      <w:r>
        <w:rPr/>
        <w:t>towards</w:t>
      </w:r>
      <w:r>
        <w:rPr>
          <w:spacing w:val="-6"/>
        </w:rPr>
        <w:t> </w:t>
      </w:r>
      <w:r>
        <w:rPr/>
        <w:t>entertainment</w:t>
      </w:r>
      <w:r>
        <w:rPr>
          <w:spacing w:val="-4"/>
        </w:rPr>
        <w:t> </w:t>
      </w:r>
      <w:r>
        <w:rPr/>
        <w:t>activities.</w:t>
      </w:r>
    </w:p>
    <w:p>
      <w:pPr>
        <w:pStyle w:val="BodyText"/>
        <w:spacing w:line="240" w:lineRule="auto"/>
        <w:ind w:right="1437"/>
        <w:jc w:val="both"/>
      </w:pPr>
      <w:r>
        <w:rPr/>
        <w:t>Entertainment has become an important draw in the vacation decision-making process, particularly in the realm of music festivals and events as attested by the growing popularity and prominence of the Curaçao North Sea Jazz Festival.</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t>With</w:t>
      </w:r>
      <w:r>
        <w:rPr>
          <w:spacing w:val="-7"/>
        </w:rPr>
        <w:t> </w:t>
      </w:r>
      <w:r>
        <w:rPr/>
        <w:t>regard</w:t>
      </w:r>
      <w:r>
        <w:rPr>
          <w:spacing w:val="-7"/>
        </w:rPr>
        <w:t> </w:t>
      </w:r>
      <w:r>
        <w:rPr/>
        <w:t>to</w:t>
      </w:r>
      <w:r>
        <w:rPr>
          <w:spacing w:val="-7"/>
        </w:rPr>
        <w:t> </w:t>
      </w:r>
      <w:r>
        <w:rPr/>
        <w:t>cultural</w:t>
      </w:r>
      <w:r>
        <w:rPr>
          <w:spacing w:val="-8"/>
        </w:rPr>
        <w:t> </w:t>
      </w:r>
      <w:r>
        <w:rPr/>
        <w:t>activities,</w:t>
      </w:r>
      <w:r>
        <w:rPr>
          <w:spacing w:val="-7"/>
        </w:rPr>
        <w:t> </w:t>
      </w:r>
      <w:r>
        <w:rPr/>
        <w:t>tourists</w:t>
      </w:r>
      <w:r>
        <w:rPr>
          <w:spacing w:val="-6"/>
        </w:rPr>
        <w:t> </w:t>
      </w:r>
      <w:r>
        <w:rPr/>
        <w:t>seem</w:t>
      </w:r>
      <w:r>
        <w:rPr>
          <w:spacing w:val="-9"/>
        </w:rPr>
        <w:t> </w:t>
      </w:r>
      <w:r>
        <w:rPr/>
        <w:t>to</w:t>
      </w:r>
      <w:r>
        <w:rPr>
          <w:spacing w:val="-7"/>
        </w:rPr>
        <w:t> </w:t>
      </w:r>
      <w:r>
        <w:rPr/>
        <w:t>enjoy</w:t>
      </w:r>
      <w:r>
        <w:rPr>
          <w:spacing w:val="-7"/>
        </w:rPr>
        <w:t> </w:t>
      </w:r>
      <w:r>
        <w:rPr/>
        <w:t>or</w:t>
      </w:r>
      <w:r>
        <w:rPr>
          <w:spacing w:val="-8"/>
        </w:rPr>
        <w:t> </w:t>
      </w:r>
      <w:r>
        <w:rPr/>
        <w:t>seem</w:t>
      </w:r>
      <w:r>
        <w:rPr>
          <w:spacing w:val="-9"/>
        </w:rPr>
        <w:t> </w:t>
      </w:r>
      <w:r>
        <w:rPr/>
        <w:t>interested</w:t>
      </w:r>
      <w:r>
        <w:rPr>
          <w:spacing w:val="-7"/>
        </w:rPr>
        <w:t> </w:t>
      </w:r>
      <w:r>
        <w:rPr/>
        <w:t>in</w:t>
      </w:r>
      <w:r>
        <w:rPr>
          <w:spacing w:val="-7"/>
        </w:rPr>
        <w:t> </w:t>
      </w:r>
      <w:r>
        <w:rPr/>
        <w:t>the</w:t>
      </w:r>
      <w:r>
        <w:rPr>
          <w:spacing w:val="-9"/>
        </w:rPr>
        <w:t> </w:t>
      </w:r>
      <w:r>
        <w:rPr/>
        <w:t>historic</w:t>
      </w:r>
      <w:r>
        <w:rPr>
          <w:spacing w:val="-8"/>
        </w:rPr>
        <w:t> </w:t>
      </w:r>
      <w:r>
        <w:rPr/>
        <w:t>city</w:t>
      </w:r>
      <w:r>
        <w:rPr>
          <w:spacing w:val="-7"/>
        </w:rPr>
        <w:t> </w:t>
      </w:r>
      <w:r>
        <w:rPr/>
        <w:t>core</w:t>
      </w:r>
      <w:r>
        <w:rPr>
          <w:spacing w:val="-8"/>
        </w:rPr>
        <w:t> </w:t>
      </w:r>
      <w:r>
        <w:rPr/>
        <w:t>of</w:t>
      </w:r>
      <w:r>
        <w:rPr>
          <w:spacing w:val="-9"/>
        </w:rPr>
        <w:t> </w:t>
      </w:r>
      <w:r>
        <w:rPr/>
        <w:t>the</w:t>
      </w:r>
      <w:r>
        <w:rPr>
          <w:spacing w:val="-9"/>
        </w:rPr>
        <w:t> </w:t>
      </w:r>
      <w:r>
        <w:rPr/>
        <w:t>downtown </w:t>
      </w:r>
      <w:r>
        <w:rPr/>
        <w:t>area. Harnessing cultural resources and combining these resources with livable activities have proven to be a successful</w:t>
      </w:r>
      <w:r>
        <w:rPr>
          <w:spacing w:val="-6"/>
        </w:rPr>
        <w:t> </w:t>
      </w:r>
      <w:r>
        <w:rPr/>
        <w:t>recipe</w:t>
      </w:r>
      <w:r>
        <w:rPr>
          <w:spacing w:val="-6"/>
        </w:rPr>
        <w:t> </w:t>
      </w:r>
      <w:r>
        <w:rPr/>
        <w:t>to</w:t>
      </w:r>
      <w:r>
        <w:rPr>
          <w:spacing w:val="-5"/>
        </w:rPr>
        <w:t> </w:t>
      </w:r>
      <w:r>
        <w:rPr/>
        <w:t>rebuild</w:t>
      </w:r>
      <w:r>
        <w:rPr>
          <w:spacing w:val="-5"/>
        </w:rPr>
        <w:t> </w:t>
      </w:r>
      <w:r>
        <w:rPr/>
        <w:t>and</w:t>
      </w:r>
      <w:r>
        <w:rPr>
          <w:spacing w:val="-5"/>
        </w:rPr>
        <w:t> </w:t>
      </w:r>
      <w:r>
        <w:rPr/>
        <w:t>reuse</w:t>
      </w:r>
      <w:r>
        <w:rPr>
          <w:spacing w:val="-6"/>
        </w:rPr>
        <w:t> </w:t>
      </w:r>
      <w:r>
        <w:rPr/>
        <w:t>the</w:t>
      </w:r>
      <w:r>
        <w:rPr>
          <w:spacing w:val="-6"/>
        </w:rPr>
        <w:t> </w:t>
      </w:r>
      <w:r>
        <w:rPr/>
        <w:t>area.</w:t>
      </w:r>
      <w:r>
        <w:rPr>
          <w:spacing w:val="36"/>
        </w:rPr>
        <w:t> </w:t>
      </w:r>
      <w:r>
        <w:rPr/>
        <w:t>The</w:t>
      </w:r>
      <w:r>
        <w:rPr>
          <w:spacing w:val="-6"/>
        </w:rPr>
        <w:t> </w:t>
      </w:r>
      <w:r>
        <w:rPr/>
        <w:t>recently</w:t>
      </w:r>
      <w:r>
        <w:rPr>
          <w:spacing w:val="-4"/>
        </w:rPr>
        <w:t> </w:t>
      </w:r>
      <w:r>
        <w:rPr/>
        <w:t>held</w:t>
      </w:r>
      <w:r>
        <w:rPr>
          <w:spacing w:val="-5"/>
        </w:rPr>
        <w:t> </w:t>
      </w:r>
      <w:r>
        <w:rPr/>
        <w:t>BlueSeas</w:t>
      </w:r>
      <w:r>
        <w:rPr>
          <w:spacing w:val="-6"/>
        </w:rPr>
        <w:t> </w:t>
      </w:r>
      <w:r>
        <w:rPr/>
        <w:t>Festival</w:t>
      </w:r>
      <w:r>
        <w:rPr>
          <w:spacing w:val="-5"/>
        </w:rPr>
        <w:t> </w:t>
      </w:r>
      <w:r>
        <w:rPr/>
        <w:t>in</w:t>
      </w:r>
      <w:r>
        <w:rPr>
          <w:spacing w:val="-5"/>
        </w:rPr>
        <w:t> </w:t>
      </w:r>
      <w:r>
        <w:rPr/>
        <w:t>the</w:t>
      </w:r>
      <w:r>
        <w:rPr>
          <w:spacing w:val="-8"/>
        </w:rPr>
        <w:t> </w:t>
      </w:r>
      <w:r>
        <w:rPr/>
        <w:t>Pietermaai</w:t>
      </w:r>
      <w:r>
        <w:rPr>
          <w:spacing w:val="-6"/>
        </w:rPr>
        <w:t> </w:t>
      </w:r>
      <w:r>
        <w:rPr/>
        <w:t>area</w:t>
      </w:r>
      <w:r>
        <w:rPr>
          <w:spacing w:val="-5"/>
        </w:rPr>
        <w:t> </w:t>
      </w:r>
      <w:r>
        <w:rPr/>
        <w:t>attests</w:t>
      </w:r>
      <w:r>
        <w:rPr>
          <w:spacing w:val="-7"/>
        </w:rPr>
        <w:t> </w:t>
      </w:r>
      <w:r>
        <w:rPr/>
        <w:t>to </w:t>
      </w:r>
      <w:r>
        <w:rPr/>
        <w:t>this</w:t>
      </w:r>
      <w:r>
        <w:rPr>
          <w:spacing w:val="-6"/>
        </w:rPr>
        <w:t> </w:t>
      </w:r>
      <w:r>
        <w:rPr/>
        <w:t>opportunity</w:t>
      </w:r>
      <w:r>
        <w:rPr>
          <w:spacing w:val="-3"/>
        </w:rPr>
        <w:t> </w:t>
      </w:r>
      <w:r>
        <w:rPr/>
        <w:t>to</w:t>
      </w:r>
      <w:r>
        <w:rPr>
          <w:spacing w:val="-4"/>
        </w:rPr>
        <w:t> </w:t>
      </w:r>
      <w:r>
        <w:rPr/>
        <w:t>draw</w:t>
      </w:r>
      <w:r>
        <w:rPr>
          <w:spacing w:val="-5"/>
        </w:rPr>
        <w:t> </w:t>
      </w:r>
      <w:r>
        <w:rPr/>
        <w:t>tourists</w:t>
      </w:r>
      <w:r>
        <w:rPr>
          <w:spacing w:val="-2"/>
        </w:rPr>
        <w:t> </w:t>
      </w:r>
      <w:r>
        <w:rPr/>
        <w:t>and</w:t>
      </w:r>
      <w:r>
        <w:rPr>
          <w:spacing w:val="-4"/>
        </w:rPr>
        <w:t> </w:t>
      </w:r>
      <w:r>
        <w:rPr/>
        <w:t>the</w:t>
      </w:r>
      <w:r>
        <w:rPr>
          <w:spacing w:val="-3"/>
        </w:rPr>
        <w:t> </w:t>
      </w:r>
      <w:r>
        <w:rPr/>
        <w:t>local</w:t>
      </w:r>
      <w:r>
        <w:rPr>
          <w:spacing w:val="-5"/>
        </w:rPr>
        <w:t> </w:t>
      </w:r>
      <w:r>
        <w:rPr/>
        <w:t>population</w:t>
      </w:r>
      <w:r>
        <w:rPr>
          <w:spacing w:val="-4"/>
        </w:rPr>
        <w:t> </w:t>
      </w:r>
      <w:r>
        <w:rPr/>
        <w:t>by</w:t>
      </w:r>
      <w:r>
        <w:rPr>
          <w:spacing w:val="-1"/>
        </w:rPr>
        <w:t> </w:t>
      </w:r>
      <w:r>
        <w:rPr/>
        <w:t>providing</w:t>
      </w:r>
      <w:r>
        <w:rPr>
          <w:spacing w:val="-5"/>
        </w:rPr>
        <w:t> </w:t>
      </w:r>
      <w:r>
        <w:rPr/>
        <w:t>a</w:t>
      </w:r>
      <w:r>
        <w:rPr>
          <w:spacing w:val="-4"/>
        </w:rPr>
        <w:t> </w:t>
      </w:r>
      <w:r>
        <w:rPr/>
        <w:t>platform</w:t>
      </w:r>
      <w:r>
        <w:rPr>
          <w:spacing w:val="-5"/>
        </w:rPr>
        <w:t> </w:t>
      </w:r>
      <w:r>
        <w:rPr/>
        <w:t>for</w:t>
      </w:r>
      <w:r>
        <w:rPr>
          <w:spacing w:val="-2"/>
        </w:rPr>
        <w:t> </w:t>
      </w:r>
      <w:r>
        <w:rPr/>
        <w:t>an</w:t>
      </w:r>
      <w:r>
        <w:rPr>
          <w:spacing w:val="-3"/>
        </w:rPr>
        <w:t> </w:t>
      </w:r>
      <w:r>
        <w:rPr/>
        <w:t>eclectic</w:t>
      </w:r>
      <w:r>
        <w:rPr>
          <w:spacing w:val="-5"/>
        </w:rPr>
        <w:t> </w:t>
      </w:r>
      <w:r>
        <w:rPr/>
        <w:t>atmosphere</w:t>
      </w:r>
      <w:r>
        <w:rPr>
          <w:spacing w:val="-5"/>
        </w:rPr>
        <w:t> </w:t>
      </w:r>
      <w:r>
        <w:rPr/>
        <w:t>that</w:t>
      </w:r>
      <w:r>
        <w:rPr>
          <w:spacing w:val="-4"/>
        </w:rPr>
        <w:t> </w:t>
      </w:r>
      <w:r>
        <w:rPr/>
        <w:t>is </w:t>
      </w:r>
      <w:r>
        <w:rPr/>
        <w:t>conducive</w:t>
      </w:r>
      <w:r>
        <w:rPr>
          <w:spacing w:val="-12"/>
        </w:rPr>
        <w:t> </w:t>
      </w:r>
      <w:r>
        <w:rPr/>
        <w:t>to</w:t>
      </w:r>
      <w:r>
        <w:rPr>
          <w:spacing w:val="-11"/>
        </w:rPr>
        <w:t> </w:t>
      </w:r>
      <w:r>
        <w:rPr/>
        <w:t>cultural</w:t>
      </w:r>
      <w:r>
        <w:rPr>
          <w:spacing w:val="-12"/>
        </w:rPr>
        <w:t> </w:t>
      </w:r>
      <w:r>
        <w:rPr/>
        <w:t>interaction.</w:t>
      </w:r>
      <w:r>
        <w:rPr>
          <w:spacing w:val="-12"/>
        </w:rPr>
        <w:t> </w:t>
      </w:r>
      <w:r>
        <w:rPr/>
        <w:t>Events,</w:t>
      </w:r>
      <w:r>
        <w:rPr>
          <w:spacing w:val="-11"/>
        </w:rPr>
        <w:t> </w:t>
      </w:r>
      <w:r>
        <w:rPr/>
        <w:t>such</w:t>
      </w:r>
      <w:r>
        <w:rPr>
          <w:spacing w:val="-11"/>
        </w:rPr>
        <w:t> </w:t>
      </w:r>
      <w:r>
        <w:rPr/>
        <w:t>as</w:t>
      </w:r>
      <w:r>
        <w:rPr>
          <w:spacing w:val="-13"/>
        </w:rPr>
        <w:t> </w:t>
      </w:r>
      <w:r>
        <w:rPr/>
        <w:t>music</w:t>
      </w:r>
      <w:r>
        <w:rPr>
          <w:spacing w:val="-10"/>
        </w:rPr>
        <w:t> </w:t>
      </w:r>
      <w:r>
        <w:rPr/>
        <w:t>concerts</w:t>
      </w:r>
      <w:r>
        <w:rPr>
          <w:spacing w:val="-12"/>
        </w:rPr>
        <w:t> </w:t>
      </w:r>
      <w:r>
        <w:rPr/>
        <w:t>and</w:t>
      </w:r>
      <w:r>
        <w:rPr>
          <w:spacing w:val="-11"/>
        </w:rPr>
        <w:t> </w:t>
      </w:r>
      <w:r>
        <w:rPr/>
        <w:t>festivals</w:t>
      </w:r>
      <w:r>
        <w:rPr>
          <w:spacing w:val="-10"/>
        </w:rPr>
        <w:t> </w:t>
      </w:r>
      <w:r>
        <w:rPr/>
        <w:t>follow</w:t>
      </w:r>
      <w:r>
        <w:rPr>
          <w:spacing w:val="-12"/>
        </w:rPr>
        <w:t> </w:t>
      </w:r>
      <w:r>
        <w:rPr/>
        <w:t>nightclubbing,</w:t>
      </w:r>
      <w:r>
        <w:rPr>
          <w:spacing w:val="-9"/>
        </w:rPr>
        <w:t> </w:t>
      </w:r>
      <w:r>
        <w:rPr/>
        <w:t>which</w:t>
      </w:r>
      <w:r>
        <w:rPr>
          <w:spacing w:val="-12"/>
        </w:rPr>
        <w:t> </w:t>
      </w:r>
      <w:r>
        <w:rPr/>
        <w:t>is</w:t>
      </w:r>
      <w:r>
        <w:rPr>
          <w:spacing w:val="-13"/>
        </w:rPr>
        <w:t> </w:t>
      </w:r>
      <w:r>
        <w:rPr/>
        <w:t>the</w:t>
      </w:r>
      <w:r>
        <w:rPr>
          <w:spacing w:val="-12"/>
        </w:rPr>
        <w:t> </w:t>
      </w:r>
      <w:r>
        <w:rPr/>
        <w:t>most </w:t>
      </w:r>
      <w:r>
        <w:rPr/>
        <w:t>appealing activity while on the</w:t>
      </w:r>
      <w:r>
        <w:rPr>
          <w:spacing w:val="-15"/>
        </w:rPr>
        <w:t> </w:t>
      </w:r>
      <w:r>
        <w:rPr/>
        <w:t>island.</w:t>
      </w:r>
    </w:p>
    <w:p>
      <w:pPr>
        <w:spacing w:line="240" w:lineRule="auto" w:before="11"/>
        <w:ind w:right="0"/>
        <w:rPr>
          <w:rFonts w:ascii="Calibri" w:hAnsi="Calibri" w:cs="Calibri" w:eastAsia="Calibri" w:hint="default"/>
          <w:sz w:val="19"/>
          <w:szCs w:val="19"/>
        </w:rPr>
      </w:pPr>
    </w:p>
    <w:p>
      <w:pPr>
        <w:pStyle w:val="BodyText"/>
        <w:spacing w:line="240" w:lineRule="auto"/>
        <w:ind w:right="1438"/>
        <w:jc w:val="both"/>
      </w:pPr>
      <w:r>
        <w:rPr/>
        <w:t>Tourists also enjoyed water activities while in Curaçao. This is no surprise as Curaçao is considered a SSS product. Besides</w:t>
      </w:r>
      <w:r>
        <w:rPr>
          <w:spacing w:val="-14"/>
        </w:rPr>
        <w:t> </w:t>
      </w:r>
      <w:r>
        <w:rPr/>
        <w:t>beaches,</w:t>
      </w:r>
      <w:r>
        <w:rPr>
          <w:spacing w:val="-15"/>
        </w:rPr>
        <w:t> </w:t>
      </w:r>
      <w:r>
        <w:rPr/>
        <w:t>tourists</w:t>
      </w:r>
      <w:r>
        <w:rPr>
          <w:spacing w:val="-14"/>
        </w:rPr>
        <w:t> </w:t>
      </w:r>
      <w:r>
        <w:rPr/>
        <w:t>were</w:t>
      </w:r>
      <w:r>
        <w:rPr>
          <w:spacing w:val="-16"/>
        </w:rPr>
        <w:t> </w:t>
      </w:r>
      <w:r>
        <w:rPr/>
        <w:t>involved</w:t>
      </w:r>
      <w:r>
        <w:rPr>
          <w:spacing w:val="-12"/>
        </w:rPr>
        <w:t> </w:t>
      </w:r>
      <w:r>
        <w:rPr/>
        <w:t>in</w:t>
      </w:r>
      <w:r>
        <w:rPr>
          <w:spacing w:val="-15"/>
        </w:rPr>
        <w:t> </w:t>
      </w:r>
      <w:r>
        <w:rPr/>
        <w:t>snorkeling</w:t>
      </w:r>
      <w:r>
        <w:rPr>
          <w:spacing w:val="-15"/>
        </w:rPr>
        <w:t> </w:t>
      </w:r>
      <w:r>
        <w:rPr/>
        <w:t>(44.5%),</w:t>
      </w:r>
      <w:r>
        <w:rPr>
          <w:spacing w:val="-15"/>
        </w:rPr>
        <w:t> </w:t>
      </w:r>
      <w:r>
        <w:rPr/>
        <w:t>Sea</w:t>
      </w:r>
      <w:r>
        <w:rPr>
          <w:spacing w:val="-14"/>
        </w:rPr>
        <w:t> </w:t>
      </w:r>
      <w:r>
        <w:rPr/>
        <w:t>Aquarium</w:t>
      </w:r>
      <w:r>
        <w:rPr>
          <w:spacing w:val="-13"/>
        </w:rPr>
        <w:t> </w:t>
      </w:r>
      <w:r>
        <w:rPr/>
        <w:t>(37%),</w:t>
      </w:r>
      <w:r>
        <w:rPr>
          <w:spacing w:val="-15"/>
        </w:rPr>
        <w:t> </w:t>
      </w:r>
      <w:r>
        <w:rPr/>
        <w:t>Dolphin</w:t>
      </w:r>
      <w:r>
        <w:rPr>
          <w:spacing w:val="-15"/>
        </w:rPr>
        <w:t> </w:t>
      </w:r>
      <w:r>
        <w:rPr/>
        <w:t>Academy</w:t>
      </w:r>
      <w:r>
        <w:rPr>
          <w:spacing w:val="-14"/>
        </w:rPr>
        <w:t> </w:t>
      </w:r>
      <w:r>
        <w:rPr/>
        <w:t>(22.6%),</w:t>
      </w:r>
      <w:r>
        <w:rPr>
          <w:spacing w:val="-12"/>
        </w:rPr>
        <w:t> </w:t>
      </w:r>
      <w:r>
        <w:rPr/>
        <w:t>sailing </w:t>
      </w:r>
      <w:r>
        <w:rPr/>
        <w:t>to</w:t>
      </w:r>
      <w:r>
        <w:rPr>
          <w:spacing w:val="-5"/>
        </w:rPr>
        <w:t> </w:t>
      </w:r>
      <w:r>
        <w:rPr/>
        <w:t>Klein</w:t>
      </w:r>
      <w:r>
        <w:rPr>
          <w:spacing w:val="-4"/>
        </w:rPr>
        <w:t> </w:t>
      </w:r>
      <w:r>
        <w:rPr/>
        <w:t>Curaçao</w:t>
      </w:r>
      <w:r>
        <w:rPr>
          <w:spacing w:val="-4"/>
        </w:rPr>
        <w:t> </w:t>
      </w:r>
      <w:r>
        <w:rPr/>
        <w:t>(14.4%),</w:t>
      </w:r>
      <w:r>
        <w:rPr>
          <w:spacing w:val="-5"/>
        </w:rPr>
        <w:t> </w:t>
      </w:r>
      <w:r>
        <w:rPr/>
        <w:t>boating</w:t>
      </w:r>
      <w:r>
        <w:rPr>
          <w:spacing w:val="-6"/>
        </w:rPr>
        <w:t> </w:t>
      </w:r>
      <w:r>
        <w:rPr/>
        <w:t>(13.7%),</w:t>
      </w:r>
      <w:r>
        <w:rPr>
          <w:spacing w:val="-5"/>
        </w:rPr>
        <w:t> </w:t>
      </w:r>
      <w:r>
        <w:rPr/>
        <w:t>and</w:t>
      </w:r>
      <w:r>
        <w:rPr>
          <w:spacing w:val="-5"/>
        </w:rPr>
        <w:t> </w:t>
      </w:r>
      <w:r>
        <w:rPr/>
        <w:t>scuba</w:t>
      </w:r>
      <w:r>
        <w:rPr>
          <w:spacing w:val="-5"/>
        </w:rPr>
        <w:t> </w:t>
      </w:r>
      <w:r>
        <w:rPr/>
        <w:t>diving</w:t>
      </w:r>
      <w:r>
        <w:rPr>
          <w:spacing w:val="-4"/>
        </w:rPr>
        <w:t> </w:t>
      </w:r>
      <w:r>
        <w:rPr/>
        <w:t>(13.2%).</w:t>
      </w:r>
    </w:p>
    <w:p>
      <w:pPr>
        <w:spacing w:line="240" w:lineRule="auto" w:before="11"/>
        <w:ind w:right="0"/>
        <w:rPr>
          <w:rFonts w:ascii="Calibri" w:hAnsi="Calibri" w:cs="Calibri" w:eastAsia="Calibri" w:hint="default"/>
          <w:sz w:val="19"/>
          <w:szCs w:val="19"/>
        </w:rPr>
      </w:pPr>
    </w:p>
    <w:p>
      <w:pPr>
        <w:pStyle w:val="BodyText"/>
        <w:spacing w:line="240" w:lineRule="auto"/>
        <w:ind w:right="1435"/>
        <w:jc w:val="both"/>
      </w:pPr>
      <w:r>
        <w:rPr/>
        <w:t>Tourists mostly visited Hato Caves 39.9%), Christoffel Park (37.5%), the Ostrich Park (27.7%), and the Aloe Farm (19.4%) as part of their land activities. The specific activities that were enjoyed the most by tourists in the order of desired activities are: guided wildlife tours, viewing decks, rock climbing, bird watching biking, exercise trails, art exhibits, and meditation stations. Forty-six percent of those visiting parks were between 25 and 44 years old. One out of three park visitors</w:t>
      </w:r>
      <w:r>
        <w:rPr>
          <w:spacing w:val="-32"/>
        </w:rPr>
        <w:t> </w:t>
      </w:r>
      <w:r>
        <w:rPr/>
        <w:t>were from the Netherlands, while only 17% were from the United States.</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t>Tourists</w:t>
      </w:r>
      <w:r>
        <w:rPr>
          <w:spacing w:val="-5"/>
        </w:rPr>
        <w:t> </w:t>
      </w:r>
      <w:r>
        <w:rPr/>
        <w:t>seem</w:t>
      </w:r>
      <w:r>
        <w:rPr>
          <w:spacing w:val="-5"/>
        </w:rPr>
        <w:t> </w:t>
      </w:r>
      <w:r>
        <w:rPr/>
        <w:t>to</w:t>
      </w:r>
      <w:r>
        <w:rPr>
          <w:spacing w:val="-4"/>
        </w:rPr>
        <w:t> </w:t>
      </w:r>
      <w:r>
        <w:rPr/>
        <w:t>roam</w:t>
      </w:r>
      <w:r>
        <w:rPr>
          <w:spacing w:val="-5"/>
        </w:rPr>
        <w:t> </w:t>
      </w:r>
      <w:r>
        <w:rPr/>
        <w:t>the</w:t>
      </w:r>
      <w:r>
        <w:rPr>
          <w:spacing w:val="-5"/>
        </w:rPr>
        <w:t> </w:t>
      </w:r>
      <w:r>
        <w:rPr/>
        <w:t>island</w:t>
      </w:r>
      <w:r>
        <w:rPr>
          <w:spacing w:val="-4"/>
        </w:rPr>
        <w:t> </w:t>
      </w:r>
      <w:r>
        <w:rPr/>
        <w:t>in</w:t>
      </w:r>
      <w:r>
        <w:rPr>
          <w:spacing w:val="-4"/>
        </w:rPr>
        <w:t> </w:t>
      </w:r>
      <w:r>
        <w:rPr/>
        <w:t>search</w:t>
      </w:r>
      <w:r>
        <w:rPr>
          <w:spacing w:val="-4"/>
        </w:rPr>
        <w:t> </w:t>
      </w:r>
      <w:r>
        <w:rPr/>
        <w:t>of</w:t>
      </w:r>
      <w:r>
        <w:rPr>
          <w:spacing w:val="-5"/>
        </w:rPr>
        <w:t> </w:t>
      </w:r>
      <w:r>
        <w:rPr/>
        <w:t>products,</w:t>
      </w:r>
      <w:r>
        <w:rPr>
          <w:spacing w:val="-4"/>
        </w:rPr>
        <w:t> </w:t>
      </w:r>
      <w:r>
        <w:rPr/>
        <w:t>offerings,</w:t>
      </w:r>
      <w:r>
        <w:rPr>
          <w:spacing w:val="-4"/>
        </w:rPr>
        <w:t> </w:t>
      </w:r>
      <w:r>
        <w:rPr/>
        <w:t>and</w:t>
      </w:r>
      <w:r>
        <w:rPr>
          <w:spacing w:val="-4"/>
        </w:rPr>
        <w:t> </w:t>
      </w:r>
      <w:r>
        <w:rPr/>
        <w:t>adventure</w:t>
      </w:r>
      <w:r>
        <w:rPr>
          <w:spacing w:val="-5"/>
        </w:rPr>
        <w:t> </w:t>
      </w:r>
      <w:r>
        <w:rPr/>
        <w:t>as</w:t>
      </w:r>
      <w:r>
        <w:rPr>
          <w:spacing w:val="-5"/>
        </w:rPr>
        <w:t> </w:t>
      </w:r>
      <w:r>
        <w:rPr/>
        <w:t>revealed</w:t>
      </w:r>
      <w:r>
        <w:rPr>
          <w:spacing w:val="-4"/>
        </w:rPr>
        <w:t> </w:t>
      </w:r>
      <w:r>
        <w:rPr/>
        <w:t>in</w:t>
      </w:r>
      <w:r>
        <w:rPr>
          <w:spacing w:val="-4"/>
        </w:rPr>
        <w:t> </w:t>
      </w:r>
      <w:r>
        <w:rPr/>
        <w:t>Table</w:t>
      </w:r>
      <w:r>
        <w:rPr>
          <w:spacing w:val="-3"/>
        </w:rPr>
        <w:t> </w:t>
      </w:r>
      <w:r>
        <w:rPr/>
        <w:t>29.</w:t>
      </w:r>
      <w:r>
        <w:rPr>
          <w:spacing w:val="-4"/>
        </w:rPr>
        <w:t> </w:t>
      </w:r>
      <w:r>
        <w:rPr/>
        <w:t>The</w:t>
      </w:r>
      <w:r>
        <w:rPr>
          <w:spacing w:val="-5"/>
        </w:rPr>
        <w:t> </w:t>
      </w:r>
      <w:r>
        <w:rPr/>
        <w:t>tourist </w:t>
      </w:r>
      <w:r>
        <w:rPr/>
        <w:t>activities reveal the type of product line on the island. However, it seems there is a lack of information promoting </w:t>
      </w:r>
      <w:r>
        <w:rPr>
          <w:rFonts w:ascii="Calibri" w:hAnsi="Calibri" w:cs="Calibri" w:eastAsia="Calibri" w:hint="default"/>
        </w:rPr>
        <w:t>and directing tourists thereby potentially stunting tourists’ spending while at the destination. The low level of </w:t>
      </w:r>
      <w:r>
        <w:rPr/>
        <w:t>spending</w:t>
      </w:r>
      <w:r>
        <w:rPr>
          <w:spacing w:val="-5"/>
        </w:rPr>
        <w:t> </w:t>
      </w:r>
      <w:r>
        <w:rPr/>
        <w:t>on</w:t>
      </w:r>
      <w:r>
        <w:rPr>
          <w:spacing w:val="-4"/>
        </w:rPr>
        <w:t> </w:t>
      </w:r>
      <w:r>
        <w:rPr/>
        <w:t>activities</w:t>
      </w:r>
      <w:r>
        <w:rPr>
          <w:spacing w:val="-5"/>
        </w:rPr>
        <w:t> </w:t>
      </w:r>
      <w:r>
        <w:rPr/>
        <w:t>as</w:t>
      </w:r>
      <w:r>
        <w:rPr>
          <w:spacing w:val="-5"/>
        </w:rPr>
        <w:t> </w:t>
      </w:r>
      <w:r>
        <w:rPr/>
        <w:t>well</w:t>
      </w:r>
      <w:r>
        <w:rPr>
          <w:spacing w:val="-3"/>
        </w:rPr>
        <w:t> </w:t>
      </w:r>
      <w:r>
        <w:rPr/>
        <w:t>as</w:t>
      </w:r>
      <w:r>
        <w:rPr>
          <w:spacing w:val="-5"/>
        </w:rPr>
        <w:t> </w:t>
      </w:r>
      <w:r>
        <w:rPr/>
        <w:t>the</w:t>
      </w:r>
      <w:r>
        <w:rPr>
          <w:spacing w:val="-5"/>
        </w:rPr>
        <w:t> </w:t>
      </w:r>
      <w:r>
        <w:rPr/>
        <w:t>feeling</w:t>
      </w:r>
      <w:r>
        <w:rPr>
          <w:spacing w:val="-4"/>
        </w:rPr>
        <w:t> </w:t>
      </w:r>
      <w:r>
        <w:rPr/>
        <w:t>of</w:t>
      </w:r>
      <w:r>
        <w:rPr>
          <w:spacing w:val="-5"/>
        </w:rPr>
        <w:t> </w:t>
      </w:r>
      <w:r>
        <w:rPr/>
        <w:t>boredom</w:t>
      </w:r>
      <w:r>
        <w:rPr>
          <w:spacing w:val="-5"/>
        </w:rPr>
        <w:t> </w:t>
      </w:r>
      <w:r>
        <w:rPr/>
        <w:t>the</w:t>
      </w:r>
      <w:r>
        <w:rPr>
          <w:spacing w:val="-3"/>
        </w:rPr>
        <w:t> </w:t>
      </w:r>
      <w:r>
        <w:rPr/>
        <w:t>longer tourists</w:t>
      </w:r>
      <w:r>
        <w:rPr>
          <w:spacing w:val="-2"/>
        </w:rPr>
        <w:t> </w:t>
      </w:r>
      <w:r>
        <w:rPr/>
        <w:t>stay</w:t>
      </w:r>
      <w:r>
        <w:rPr>
          <w:spacing w:val="-4"/>
        </w:rPr>
        <w:t> </w:t>
      </w:r>
      <w:r>
        <w:rPr/>
        <w:t>on</w:t>
      </w:r>
      <w:r>
        <w:rPr>
          <w:spacing w:val="-4"/>
        </w:rPr>
        <w:t> </w:t>
      </w:r>
      <w:r>
        <w:rPr/>
        <w:t>the</w:t>
      </w:r>
      <w:r>
        <w:rPr>
          <w:spacing w:val="-5"/>
        </w:rPr>
        <w:t> </w:t>
      </w:r>
      <w:r>
        <w:rPr/>
        <w:t>island</w:t>
      </w:r>
      <w:r>
        <w:rPr>
          <w:spacing w:val="-4"/>
        </w:rPr>
        <w:t> </w:t>
      </w:r>
      <w:r>
        <w:rPr/>
        <w:t>are</w:t>
      </w:r>
      <w:r>
        <w:rPr>
          <w:spacing w:val="-5"/>
        </w:rPr>
        <w:t> </w:t>
      </w:r>
      <w:r>
        <w:rPr/>
        <w:t>clear</w:t>
      </w:r>
      <w:r>
        <w:rPr>
          <w:spacing w:val="-4"/>
        </w:rPr>
        <w:t> </w:t>
      </w:r>
      <w:r>
        <w:rPr/>
        <w:t>indications</w:t>
      </w:r>
      <w:r>
        <w:rPr>
          <w:spacing w:val="-5"/>
        </w:rPr>
        <w:t> </w:t>
      </w:r>
      <w:r>
        <w:rPr/>
        <w:t>of </w:t>
      </w:r>
      <w:r>
        <w:rPr/>
        <w:t>the lack of product</w:t>
      </w:r>
      <w:r>
        <w:rPr>
          <w:spacing w:val="-8"/>
        </w:rPr>
        <w:t> </w:t>
      </w:r>
      <w:r>
        <w:rPr/>
        <w:t>bundling.</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2" w:after="0"/>
        <w:ind w:right="0"/>
        <w:rPr>
          <w:rFonts w:ascii="Calibri" w:hAnsi="Calibri" w:cs="Calibri" w:eastAsia="Calibri" w:hint="default"/>
          <w:sz w:val="25"/>
          <w:szCs w:val="25"/>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pStyle w:val="BodyText"/>
        <w:spacing w:line="240" w:lineRule="auto" w:before="82"/>
        <w:ind w:right="0"/>
        <w:jc w:val="left"/>
      </w:pPr>
      <w:bookmarkStart w:name="_bookmark105" w:id="106"/>
      <w:bookmarkEnd w:id="106"/>
      <w:r>
        <w:rPr/>
      </w:r>
      <w:r>
        <w:rPr>
          <w:position w:val="5"/>
          <w:sz w:val="12"/>
        </w:rPr>
        <w:t>54 </w:t>
      </w:r>
      <w:r>
        <w:rPr/>
        <w:t>See, Perceptions, behaviors &amp; economic impact of tourism in</w:t>
      </w:r>
      <w:r>
        <w:rPr>
          <w:spacing w:val="-6"/>
        </w:rPr>
        <w:t> </w:t>
      </w:r>
      <w:r>
        <w:rPr/>
        <w:t>Curaçao.</w:t>
      </w:r>
    </w:p>
    <w:p>
      <w:pPr>
        <w:spacing w:after="0" w:line="240" w:lineRule="auto"/>
        <w:jc w:val="left"/>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Heading9"/>
        <w:tabs>
          <w:tab w:pos="4320" w:val="left" w:leader="none"/>
          <w:tab w:pos="10633" w:val="left" w:leader="none"/>
        </w:tabs>
        <w:spacing w:line="240" w:lineRule="auto" w:before="59" w:after="51"/>
        <w:ind w:left="1608" w:right="0"/>
        <w:jc w:val="left"/>
        <w:rPr>
          <w:b w:val="0"/>
          <w:bCs w:val="0"/>
        </w:rPr>
      </w:pPr>
      <w:r>
        <w:rPr>
          <w:w w:val="99"/>
        </w:rPr>
      </w:r>
      <w:r>
        <w:rPr>
          <w:w w:val="99"/>
          <w:u w:val="single" w:color="000000"/>
        </w:rPr>
        <w:t> </w:t>
      </w:r>
      <w:r>
        <w:rPr>
          <w:u w:val="single" w:color="000000"/>
        </w:rPr>
        <w:tab/>
        <w:t>Table 29: Activities in</w:t>
      </w:r>
      <w:r>
        <w:rPr>
          <w:spacing w:val="-15"/>
          <w:u w:val="single" w:color="000000"/>
        </w:rPr>
        <w:t> </w:t>
      </w:r>
      <w:r>
        <w:rPr>
          <w:u w:val="single" w:color="000000"/>
        </w:rPr>
        <w:t>Curaçao</w:t>
        <w:tab/>
      </w:r>
      <w:r>
        <w:rPr/>
      </w:r>
      <w:r>
        <w:rPr>
          <w:b w:val="0"/>
        </w:rPr>
      </w:r>
    </w:p>
    <w:tbl>
      <w:tblPr>
        <w:tblW w:w="0" w:type="auto"/>
        <w:jc w:val="left"/>
        <w:tblInd w:w="1608" w:type="dxa"/>
        <w:tblLayout w:type="fixed"/>
        <w:tblCellMar>
          <w:top w:w="0" w:type="dxa"/>
          <w:left w:w="0" w:type="dxa"/>
          <w:bottom w:w="0" w:type="dxa"/>
          <w:right w:w="0" w:type="dxa"/>
        </w:tblCellMar>
        <w:tblLook w:val="01E0"/>
      </w:tblPr>
      <w:tblGrid>
        <w:gridCol w:w="6536"/>
        <w:gridCol w:w="2490"/>
      </w:tblGrid>
      <w:tr>
        <w:trPr>
          <w:trHeight w:val="209" w:hRule="exact"/>
        </w:trPr>
        <w:tc>
          <w:tcPr>
            <w:tcW w:w="6536" w:type="dxa"/>
            <w:tcBorders>
              <w:top w:val="nil" w:sz="6" w:space="0" w:color="auto"/>
              <w:left w:val="nil" w:sz="6" w:space="0" w:color="auto"/>
              <w:bottom w:val="single" w:sz="4" w:space="0" w:color="000000"/>
              <w:right w:val="nil" w:sz="6" w:space="0" w:color="auto"/>
            </w:tcBorders>
          </w:tcPr>
          <w:p>
            <w:pPr>
              <w:pStyle w:val="TableParagraph"/>
              <w:spacing w:line="203" w:lineRule="exact"/>
              <w:ind w:left="3259" w:right="0"/>
              <w:jc w:val="left"/>
              <w:rPr>
                <w:rFonts w:ascii="Calibri" w:hAnsi="Calibri" w:cs="Calibri" w:eastAsia="Calibri" w:hint="default"/>
                <w:sz w:val="20"/>
                <w:szCs w:val="20"/>
              </w:rPr>
            </w:pPr>
            <w:r>
              <w:rPr>
                <w:rFonts w:ascii="Calibri"/>
                <w:b/>
                <w:sz w:val="20"/>
              </w:rPr>
              <w:t>Land</w:t>
            </w:r>
            <w:r>
              <w:rPr>
                <w:rFonts w:ascii="Calibri"/>
                <w:b/>
                <w:spacing w:val="-7"/>
                <w:sz w:val="20"/>
              </w:rPr>
              <w:t> </w:t>
            </w:r>
            <w:r>
              <w:rPr>
                <w:rFonts w:ascii="Calibri"/>
                <w:b/>
                <w:sz w:val="20"/>
              </w:rPr>
              <w:t>Activities</w:t>
            </w:r>
            <w:r>
              <w:rPr>
                <w:rFonts w:ascii="Calibri"/>
                <w:sz w:val="20"/>
              </w:rPr>
            </w:r>
          </w:p>
        </w:tc>
        <w:tc>
          <w:tcPr>
            <w:tcW w:w="2490" w:type="dxa"/>
            <w:tcBorders>
              <w:top w:val="nil" w:sz="6" w:space="0" w:color="auto"/>
              <w:left w:val="nil" w:sz="6" w:space="0" w:color="auto"/>
              <w:bottom w:val="single" w:sz="4" w:space="0" w:color="000000"/>
              <w:right w:val="nil" w:sz="6" w:space="0" w:color="auto"/>
            </w:tcBorders>
          </w:tcPr>
          <w:p>
            <w:pPr>
              <w:pStyle w:val="TableParagraph"/>
              <w:spacing w:line="203" w:lineRule="exact"/>
              <w:ind w:right="572"/>
              <w:jc w:val="right"/>
              <w:rPr>
                <w:rFonts w:ascii="Calibri" w:hAnsi="Calibri" w:cs="Calibri" w:eastAsia="Calibri" w:hint="default"/>
                <w:sz w:val="20"/>
                <w:szCs w:val="20"/>
              </w:rPr>
            </w:pPr>
            <w:r>
              <w:rPr>
                <w:rFonts w:ascii="Calibri"/>
                <w:b/>
                <w:w w:val="95"/>
                <w:sz w:val="20"/>
              </w:rPr>
              <w:t>%</w:t>
            </w:r>
            <w:r>
              <w:rPr>
                <w:rFonts w:ascii="Calibri"/>
                <w:sz w:val="20"/>
              </w:rPr>
            </w:r>
          </w:p>
        </w:tc>
      </w:tr>
      <w:tr>
        <w:trPr>
          <w:trHeight w:val="267" w:hRule="exact"/>
        </w:trPr>
        <w:tc>
          <w:tcPr>
            <w:tcW w:w="6536" w:type="dxa"/>
            <w:tcBorders>
              <w:top w:val="single" w:sz="4" w:space="0" w:color="000000"/>
              <w:left w:val="nil" w:sz="6" w:space="0" w:color="auto"/>
              <w:bottom w:val="nil" w:sz="6" w:space="0" w:color="auto"/>
              <w:right w:val="nil" w:sz="6" w:space="0" w:color="auto"/>
            </w:tcBorders>
          </w:tcPr>
          <w:p>
            <w:pPr>
              <w:pStyle w:val="TableParagraph"/>
              <w:spacing w:line="243" w:lineRule="exact"/>
              <w:ind w:left="107" w:right="0"/>
              <w:jc w:val="left"/>
              <w:rPr>
                <w:rFonts w:ascii="Calibri" w:hAnsi="Calibri" w:cs="Calibri" w:eastAsia="Calibri" w:hint="default"/>
                <w:sz w:val="20"/>
                <w:szCs w:val="20"/>
              </w:rPr>
            </w:pPr>
            <w:r>
              <w:rPr>
                <w:rFonts w:ascii="Calibri"/>
                <w:sz w:val="20"/>
              </w:rPr>
              <w:t>Hato</w:t>
            </w:r>
            <w:r>
              <w:rPr>
                <w:rFonts w:ascii="Calibri"/>
                <w:spacing w:val="-6"/>
                <w:sz w:val="20"/>
              </w:rPr>
              <w:t> </w:t>
            </w:r>
            <w:r>
              <w:rPr>
                <w:rFonts w:ascii="Calibri"/>
                <w:sz w:val="20"/>
              </w:rPr>
              <w:t>Caves</w:t>
            </w:r>
          </w:p>
        </w:tc>
        <w:tc>
          <w:tcPr>
            <w:tcW w:w="2490" w:type="dxa"/>
            <w:tcBorders>
              <w:top w:val="single" w:sz="4" w:space="0" w:color="000000"/>
              <w:left w:val="nil" w:sz="6" w:space="0" w:color="auto"/>
              <w:bottom w:val="nil" w:sz="6" w:space="0" w:color="auto"/>
              <w:right w:val="nil" w:sz="6" w:space="0" w:color="auto"/>
            </w:tcBorders>
          </w:tcPr>
          <w:p>
            <w:pPr>
              <w:pStyle w:val="TableParagraph"/>
              <w:spacing w:line="243" w:lineRule="exact"/>
              <w:ind w:right="470"/>
              <w:jc w:val="right"/>
              <w:rPr>
                <w:rFonts w:ascii="Calibri" w:hAnsi="Calibri" w:cs="Calibri" w:eastAsia="Calibri" w:hint="default"/>
                <w:sz w:val="20"/>
                <w:szCs w:val="20"/>
              </w:rPr>
            </w:pPr>
            <w:r>
              <w:rPr>
                <w:rFonts w:ascii="Calibri"/>
                <w:w w:val="95"/>
                <w:sz w:val="20"/>
              </w:rPr>
              <w:t>39.9</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Others</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470"/>
              <w:jc w:val="right"/>
              <w:rPr>
                <w:rFonts w:ascii="Calibri" w:hAnsi="Calibri" w:cs="Calibri" w:eastAsia="Calibri" w:hint="default"/>
                <w:sz w:val="20"/>
                <w:szCs w:val="20"/>
              </w:rPr>
            </w:pPr>
            <w:r>
              <w:rPr>
                <w:rFonts w:ascii="Calibri"/>
                <w:w w:val="95"/>
                <w:sz w:val="20"/>
              </w:rPr>
              <w:t>37.7</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sz w:val="20"/>
              </w:rPr>
              <w:t>Christoffel</w:t>
            </w:r>
            <w:r>
              <w:rPr>
                <w:rFonts w:ascii="Calibri"/>
                <w:spacing w:val="-11"/>
                <w:sz w:val="20"/>
              </w:rPr>
              <w:t> </w:t>
            </w:r>
            <w:r>
              <w:rPr>
                <w:rFonts w:ascii="Calibri"/>
                <w:sz w:val="20"/>
              </w:rPr>
              <w:t>Park</w:t>
            </w:r>
          </w:p>
        </w:tc>
        <w:tc>
          <w:tcPr>
            <w:tcW w:w="2490" w:type="dxa"/>
            <w:tcBorders>
              <w:top w:val="nil" w:sz="6" w:space="0" w:color="auto"/>
              <w:left w:val="nil" w:sz="6" w:space="0" w:color="auto"/>
              <w:bottom w:val="nil" w:sz="6" w:space="0" w:color="auto"/>
              <w:right w:val="nil" w:sz="6" w:space="0" w:color="auto"/>
            </w:tcBorders>
          </w:tcPr>
          <w:p>
            <w:pPr>
              <w:pStyle w:val="TableParagraph"/>
              <w:spacing w:line="225" w:lineRule="exact"/>
              <w:ind w:right="470"/>
              <w:jc w:val="right"/>
              <w:rPr>
                <w:rFonts w:ascii="Calibri" w:hAnsi="Calibri" w:cs="Calibri" w:eastAsia="Calibri" w:hint="default"/>
                <w:sz w:val="20"/>
                <w:szCs w:val="20"/>
              </w:rPr>
            </w:pPr>
            <w:r>
              <w:rPr>
                <w:rFonts w:ascii="Calibri"/>
                <w:w w:val="95"/>
                <w:sz w:val="20"/>
              </w:rPr>
              <w:t>37.5</w:t>
            </w:r>
            <w:r>
              <w:rPr>
                <w:rFonts w:ascii="Calibri"/>
                <w:sz w:val="20"/>
              </w:rPr>
            </w:r>
          </w:p>
        </w:tc>
      </w:tr>
      <w:tr>
        <w:trPr>
          <w:trHeight w:val="245"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Ostrich</w:t>
            </w:r>
            <w:r>
              <w:rPr>
                <w:rFonts w:ascii="Calibri"/>
                <w:spacing w:val="-5"/>
                <w:sz w:val="20"/>
              </w:rPr>
              <w:t> </w:t>
            </w:r>
            <w:r>
              <w:rPr>
                <w:rFonts w:ascii="Calibri"/>
                <w:sz w:val="20"/>
              </w:rPr>
              <w:t>Farm</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470"/>
              <w:jc w:val="right"/>
              <w:rPr>
                <w:rFonts w:ascii="Calibri" w:hAnsi="Calibri" w:cs="Calibri" w:eastAsia="Calibri" w:hint="default"/>
                <w:sz w:val="20"/>
                <w:szCs w:val="20"/>
              </w:rPr>
            </w:pPr>
            <w:r>
              <w:rPr>
                <w:rFonts w:ascii="Calibri"/>
                <w:w w:val="95"/>
                <w:sz w:val="20"/>
              </w:rPr>
              <w:t>27.7</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Aloe</w:t>
            </w:r>
            <w:r>
              <w:rPr>
                <w:rFonts w:ascii="Calibri"/>
                <w:spacing w:val="-9"/>
                <w:sz w:val="20"/>
              </w:rPr>
              <w:t> </w:t>
            </w:r>
            <w:r>
              <w:rPr>
                <w:rFonts w:ascii="Calibri"/>
                <w:sz w:val="20"/>
              </w:rPr>
              <w:t>Farm</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470"/>
              <w:jc w:val="right"/>
              <w:rPr>
                <w:rFonts w:ascii="Calibri" w:hAnsi="Calibri" w:cs="Calibri" w:eastAsia="Calibri" w:hint="default"/>
                <w:sz w:val="20"/>
                <w:szCs w:val="20"/>
              </w:rPr>
            </w:pPr>
            <w:r>
              <w:rPr>
                <w:rFonts w:ascii="Calibri"/>
                <w:w w:val="95"/>
                <w:sz w:val="20"/>
              </w:rPr>
              <w:t>19.4</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sz w:val="20"/>
              </w:rPr>
              <w:t>Herb</w:t>
            </w:r>
            <w:r>
              <w:rPr>
                <w:rFonts w:ascii="Calibri"/>
                <w:spacing w:val="-5"/>
                <w:sz w:val="20"/>
              </w:rPr>
              <w:t> </w:t>
            </w:r>
            <w:r>
              <w:rPr>
                <w:rFonts w:ascii="Calibri"/>
                <w:sz w:val="20"/>
              </w:rPr>
              <w:t>Garden</w:t>
            </w:r>
          </w:p>
        </w:tc>
        <w:tc>
          <w:tcPr>
            <w:tcW w:w="2490" w:type="dxa"/>
            <w:tcBorders>
              <w:top w:val="nil" w:sz="6" w:space="0" w:color="auto"/>
              <w:left w:val="nil" w:sz="6" w:space="0" w:color="auto"/>
              <w:bottom w:val="nil" w:sz="6" w:space="0" w:color="auto"/>
              <w:right w:val="nil" w:sz="6" w:space="0" w:color="auto"/>
            </w:tcBorders>
          </w:tcPr>
          <w:p>
            <w:pPr>
              <w:pStyle w:val="TableParagraph"/>
              <w:spacing w:line="225" w:lineRule="exact"/>
              <w:ind w:right="470"/>
              <w:jc w:val="right"/>
              <w:rPr>
                <w:rFonts w:ascii="Calibri" w:hAnsi="Calibri" w:cs="Calibri" w:eastAsia="Calibri" w:hint="default"/>
                <w:sz w:val="20"/>
                <w:szCs w:val="20"/>
              </w:rPr>
            </w:pPr>
            <w:r>
              <w:rPr>
                <w:rFonts w:ascii="Calibri"/>
                <w:w w:val="95"/>
                <w:sz w:val="20"/>
              </w:rPr>
              <w:t>10.3</w:t>
            </w:r>
            <w:r>
              <w:rPr>
                <w:rFonts w:ascii="Calibri"/>
                <w:sz w:val="20"/>
              </w:rPr>
            </w:r>
          </w:p>
        </w:tc>
      </w:tr>
      <w:tr>
        <w:trPr>
          <w:trHeight w:val="245"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ATV Quad</w:t>
            </w:r>
            <w:r>
              <w:rPr>
                <w:rFonts w:ascii="Calibri"/>
                <w:spacing w:val="-9"/>
                <w:sz w:val="20"/>
              </w:rPr>
              <w:t> </w:t>
            </w:r>
            <w:r>
              <w:rPr>
                <w:rFonts w:ascii="Calibri"/>
                <w:sz w:val="20"/>
              </w:rPr>
              <w:t>Tour</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520"/>
              <w:jc w:val="right"/>
              <w:rPr>
                <w:rFonts w:ascii="Calibri" w:hAnsi="Calibri" w:cs="Calibri" w:eastAsia="Calibri" w:hint="default"/>
                <w:sz w:val="20"/>
                <w:szCs w:val="20"/>
              </w:rPr>
            </w:pPr>
            <w:r>
              <w:rPr>
                <w:rFonts w:ascii="Calibri"/>
                <w:w w:val="95"/>
                <w:sz w:val="20"/>
              </w:rPr>
              <w:t>8.9</w:t>
            </w:r>
            <w:r>
              <w:rPr>
                <w:rFonts w:ascii="Calibri"/>
                <w:sz w:val="20"/>
              </w:rPr>
            </w:r>
          </w:p>
        </w:tc>
      </w:tr>
      <w:tr>
        <w:trPr>
          <w:trHeight w:val="245"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Butterfly</w:t>
            </w:r>
            <w:r>
              <w:rPr>
                <w:rFonts w:ascii="Calibri"/>
                <w:spacing w:val="-8"/>
                <w:sz w:val="20"/>
              </w:rPr>
              <w:t> </w:t>
            </w:r>
            <w:r>
              <w:rPr>
                <w:rFonts w:ascii="Calibri"/>
                <w:sz w:val="20"/>
              </w:rPr>
              <w:t>Farm</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520"/>
              <w:jc w:val="right"/>
              <w:rPr>
                <w:rFonts w:ascii="Calibri" w:hAnsi="Calibri" w:cs="Calibri" w:eastAsia="Calibri" w:hint="default"/>
                <w:sz w:val="20"/>
                <w:szCs w:val="20"/>
              </w:rPr>
            </w:pPr>
            <w:r>
              <w:rPr>
                <w:rFonts w:ascii="Calibri"/>
                <w:w w:val="95"/>
                <w:sz w:val="20"/>
              </w:rPr>
              <w:t>6.9</w:t>
            </w:r>
            <w:r>
              <w:rPr>
                <w:rFonts w:ascii="Calibri"/>
                <w:sz w:val="20"/>
              </w:rPr>
            </w:r>
          </w:p>
        </w:tc>
      </w:tr>
      <w:tr>
        <w:trPr>
          <w:trHeight w:val="283" w:hRule="exact"/>
        </w:trPr>
        <w:tc>
          <w:tcPr>
            <w:tcW w:w="6536" w:type="dxa"/>
            <w:tcBorders>
              <w:top w:val="nil" w:sz="6" w:space="0" w:color="auto"/>
              <w:left w:val="nil" w:sz="6" w:space="0" w:color="auto"/>
              <w:bottom w:val="single" w:sz="4" w:space="0" w:color="000000"/>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Parrot</w:t>
            </w:r>
            <w:r>
              <w:rPr>
                <w:rFonts w:ascii="Calibri"/>
                <w:spacing w:val="-7"/>
                <w:sz w:val="20"/>
              </w:rPr>
              <w:t> </w:t>
            </w:r>
            <w:r>
              <w:rPr>
                <w:rFonts w:ascii="Calibri"/>
                <w:sz w:val="20"/>
              </w:rPr>
              <w:t>Paradise</w:t>
            </w:r>
          </w:p>
        </w:tc>
        <w:tc>
          <w:tcPr>
            <w:tcW w:w="2490" w:type="dxa"/>
            <w:tcBorders>
              <w:top w:val="nil" w:sz="6" w:space="0" w:color="auto"/>
              <w:left w:val="nil" w:sz="6" w:space="0" w:color="auto"/>
              <w:bottom w:val="single" w:sz="4" w:space="0" w:color="000000"/>
              <w:right w:val="nil" w:sz="6" w:space="0" w:color="auto"/>
            </w:tcBorders>
          </w:tcPr>
          <w:p>
            <w:pPr>
              <w:pStyle w:val="TableParagraph"/>
              <w:spacing w:line="240" w:lineRule="auto" w:before="5"/>
              <w:ind w:right="521"/>
              <w:jc w:val="right"/>
              <w:rPr>
                <w:rFonts w:ascii="Calibri" w:hAnsi="Calibri" w:cs="Calibri" w:eastAsia="Calibri" w:hint="default"/>
                <w:sz w:val="20"/>
                <w:szCs w:val="20"/>
              </w:rPr>
            </w:pPr>
            <w:r>
              <w:rPr>
                <w:rFonts w:ascii="Calibri"/>
                <w:spacing w:val="-1"/>
                <w:sz w:val="20"/>
              </w:rPr>
              <w:t>4.8</w:t>
            </w:r>
          </w:p>
        </w:tc>
      </w:tr>
      <w:tr>
        <w:trPr>
          <w:trHeight w:val="252" w:hRule="exact"/>
        </w:trPr>
        <w:tc>
          <w:tcPr>
            <w:tcW w:w="6536" w:type="dxa"/>
            <w:tcBorders>
              <w:top w:val="single" w:sz="4" w:space="0" w:color="000000"/>
              <w:left w:val="nil" w:sz="6" w:space="0" w:color="auto"/>
              <w:bottom w:val="single" w:sz="4" w:space="0" w:color="000000"/>
              <w:right w:val="nil" w:sz="6" w:space="0" w:color="auto"/>
            </w:tcBorders>
          </w:tcPr>
          <w:p>
            <w:pPr>
              <w:pStyle w:val="TableParagraph"/>
              <w:spacing w:line="243" w:lineRule="exact"/>
              <w:ind w:left="3199" w:right="0"/>
              <w:jc w:val="left"/>
              <w:rPr>
                <w:rFonts w:ascii="Calibri" w:hAnsi="Calibri" w:cs="Calibri" w:eastAsia="Calibri" w:hint="default"/>
                <w:sz w:val="20"/>
                <w:szCs w:val="20"/>
              </w:rPr>
            </w:pPr>
            <w:r>
              <w:rPr>
                <w:rFonts w:ascii="Calibri"/>
                <w:b/>
                <w:sz w:val="20"/>
              </w:rPr>
              <w:t>Water</w:t>
            </w:r>
            <w:r>
              <w:rPr>
                <w:rFonts w:ascii="Calibri"/>
                <w:b/>
                <w:spacing w:val="-9"/>
                <w:sz w:val="20"/>
              </w:rPr>
              <w:t> </w:t>
            </w:r>
            <w:r>
              <w:rPr>
                <w:rFonts w:ascii="Calibri"/>
                <w:b/>
                <w:sz w:val="20"/>
              </w:rPr>
              <w:t>Activities</w:t>
            </w:r>
            <w:r>
              <w:rPr>
                <w:rFonts w:ascii="Calibri"/>
                <w:sz w:val="20"/>
              </w:rPr>
            </w:r>
          </w:p>
        </w:tc>
        <w:tc>
          <w:tcPr>
            <w:tcW w:w="2490" w:type="dxa"/>
            <w:tcBorders>
              <w:top w:val="single" w:sz="4" w:space="0" w:color="000000"/>
              <w:left w:val="nil" w:sz="6" w:space="0" w:color="auto"/>
              <w:bottom w:val="single" w:sz="4" w:space="0" w:color="000000"/>
              <w:right w:val="nil" w:sz="6" w:space="0" w:color="auto"/>
            </w:tcBorders>
          </w:tcPr>
          <w:p>
            <w:pPr>
              <w:pStyle w:val="TableParagraph"/>
              <w:spacing w:line="243" w:lineRule="exact"/>
              <w:ind w:right="572"/>
              <w:jc w:val="right"/>
              <w:rPr>
                <w:rFonts w:ascii="Calibri" w:hAnsi="Calibri" w:cs="Calibri" w:eastAsia="Calibri" w:hint="default"/>
                <w:sz w:val="20"/>
                <w:szCs w:val="20"/>
              </w:rPr>
            </w:pPr>
            <w:r>
              <w:rPr>
                <w:rFonts w:ascii="Calibri"/>
                <w:b/>
                <w:w w:val="95"/>
                <w:sz w:val="20"/>
              </w:rPr>
              <w:t>%</w:t>
            </w:r>
            <w:r>
              <w:rPr>
                <w:rFonts w:ascii="Calibri"/>
                <w:sz w:val="20"/>
              </w:rPr>
            </w:r>
          </w:p>
        </w:tc>
      </w:tr>
      <w:tr>
        <w:trPr>
          <w:trHeight w:val="268" w:hRule="exact"/>
        </w:trPr>
        <w:tc>
          <w:tcPr>
            <w:tcW w:w="6536"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107" w:right="0"/>
              <w:jc w:val="left"/>
              <w:rPr>
                <w:rFonts w:ascii="Calibri" w:hAnsi="Calibri" w:cs="Calibri" w:eastAsia="Calibri" w:hint="default"/>
                <w:sz w:val="20"/>
                <w:szCs w:val="20"/>
              </w:rPr>
            </w:pPr>
            <w:r>
              <w:rPr>
                <w:rFonts w:ascii="Calibri"/>
                <w:sz w:val="20"/>
              </w:rPr>
              <w:t>Beaches</w:t>
            </w:r>
          </w:p>
        </w:tc>
        <w:tc>
          <w:tcPr>
            <w:tcW w:w="2490"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470"/>
              <w:jc w:val="right"/>
              <w:rPr>
                <w:rFonts w:ascii="Calibri" w:hAnsi="Calibri" w:cs="Calibri" w:eastAsia="Calibri" w:hint="default"/>
                <w:sz w:val="20"/>
                <w:szCs w:val="20"/>
              </w:rPr>
            </w:pPr>
            <w:r>
              <w:rPr>
                <w:rFonts w:ascii="Calibri"/>
                <w:w w:val="95"/>
                <w:sz w:val="20"/>
              </w:rPr>
              <w:t>77.7</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sz w:val="20"/>
              </w:rPr>
              <w:t>Snorkeling</w:t>
            </w:r>
          </w:p>
        </w:tc>
        <w:tc>
          <w:tcPr>
            <w:tcW w:w="2490" w:type="dxa"/>
            <w:tcBorders>
              <w:top w:val="nil" w:sz="6" w:space="0" w:color="auto"/>
              <w:left w:val="nil" w:sz="6" w:space="0" w:color="auto"/>
              <w:bottom w:val="nil" w:sz="6" w:space="0" w:color="auto"/>
              <w:right w:val="nil" w:sz="6" w:space="0" w:color="auto"/>
            </w:tcBorders>
          </w:tcPr>
          <w:p>
            <w:pPr>
              <w:pStyle w:val="TableParagraph"/>
              <w:spacing w:line="225" w:lineRule="exact"/>
              <w:ind w:right="470"/>
              <w:jc w:val="right"/>
              <w:rPr>
                <w:rFonts w:ascii="Calibri" w:hAnsi="Calibri" w:cs="Calibri" w:eastAsia="Calibri" w:hint="default"/>
                <w:sz w:val="20"/>
                <w:szCs w:val="20"/>
              </w:rPr>
            </w:pPr>
            <w:r>
              <w:rPr>
                <w:rFonts w:ascii="Calibri"/>
                <w:w w:val="95"/>
                <w:sz w:val="20"/>
              </w:rPr>
              <w:t>44.5</w:t>
            </w:r>
            <w:r>
              <w:rPr>
                <w:rFonts w:ascii="Calibri"/>
                <w:sz w:val="20"/>
              </w:rPr>
            </w:r>
          </w:p>
        </w:tc>
      </w:tr>
      <w:tr>
        <w:trPr>
          <w:trHeight w:val="245"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Sea</w:t>
            </w:r>
            <w:r>
              <w:rPr>
                <w:rFonts w:ascii="Calibri"/>
                <w:spacing w:val="-7"/>
                <w:sz w:val="20"/>
              </w:rPr>
              <w:t> </w:t>
            </w:r>
            <w:r>
              <w:rPr>
                <w:rFonts w:ascii="Calibri"/>
                <w:sz w:val="20"/>
              </w:rPr>
              <w:t>Aquarium</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470"/>
              <w:jc w:val="right"/>
              <w:rPr>
                <w:rFonts w:ascii="Calibri" w:hAnsi="Calibri" w:cs="Calibri" w:eastAsia="Calibri" w:hint="default"/>
                <w:sz w:val="20"/>
                <w:szCs w:val="20"/>
              </w:rPr>
            </w:pPr>
            <w:r>
              <w:rPr>
                <w:rFonts w:ascii="Calibri"/>
                <w:w w:val="95"/>
                <w:sz w:val="20"/>
              </w:rPr>
              <w:t>37.0</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Dolphin</w:t>
            </w:r>
            <w:r>
              <w:rPr>
                <w:rFonts w:ascii="Calibri"/>
                <w:spacing w:val="-10"/>
                <w:sz w:val="20"/>
              </w:rPr>
              <w:t> </w:t>
            </w:r>
            <w:r>
              <w:rPr>
                <w:rFonts w:ascii="Calibri"/>
                <w:sz w:val="20"/>
              </w:rPr>
              <w:t>Academy</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470"/>
              <w:jc w:val="right"/>
              <w:rPr>
                <w:rFonts w:ascii="Calibri" w:hAnsi="Calibri" w:cs="Calibri" w:eastAsia="Calibri" w:hint="default"/>
                <w:sz w:val="20"/>
                <w:szCs w:val="20"/>
              </w:rPr>
            </w:pPr>
            <w:r>
              <w:rPr>
                <w:rFonts w:ascii="Calibri"/>
                <w:w w:val="95"/>
                <w:sz w:val="20"/>
              </w:rPr>
              <w:t>22.6</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hAnsi="Calibri"/>
                <w:sz w:val="20"/>
              </w:rPr>
              <w:t>Sailing to Klein</w:t>
            </w:r>
            <w:r>
              <w:rPr>
                <w:rFonts w:ascii="Calibri" w:hAnsi="Calibri"/>
                <w:spacing w:val="-13"/>
                <w:sz w:val="20"/>
              </w:rPr>
              <w:t> </w:t>
            </w:r>
            <w:r>
              <w:rPr>
                <w:rFonts w:ascii="Calibri" w:hAnsi="Calibri"/>
                <w:sz w:val="20"/>
              </w:rPr>
              <w:t>Curaçao</w:t>
            </w:r>
          </w:p>
        </w:tc>
        <w:tc>
          <w:tcPr>
            <w:tcW w:w="2490" w:type="dxa"/>
            <w:tcBorders>
              <w:top w:val="nil" w:sz="6" w:space="0" w:color="auto"/>
              <w:left w:val="nil" w:sz="6" w:space="0" w:color="auto"/>
              <w:bottom w:val="nil" w:sz="6" w:space="0" w:color="auto"/>
              <w:right w:val="nil" w:sz="6" w:space="0" w:color="auto"/>
            </w:tcBorders>
          </w:tcPr>
          <w:p>
            <w:pPr>
              <w:pStyle w:val="TableParagraph"/>
              <w:spacing w:line="225" w:lineRule="exact"/>
              <w:ind w:right="470"/>
              <w:jc w:val="right"/>
              <w:rPr>
                <w:rFonts w:ascii="Calibri" w:hAnsi="Calibri" w:cs="Calibri" w:eastAsia="Calibri" w:hint="default"/>
                <w:sz w:val="20"/>
                <w:szCs w:val="20"/>
              </w:rPr>
            </w:pPr>
            <w:r>
              <w:rPr>
                <w:rFonts w:ascii="Calibri"/>
                <w:w w:val="95"/>
                <w:sz w:val="20"/>
              </w:rPr>
              <w:t>14.4</w:t>
            </w:r>
            <w:r>
              <w:rPr>
                <w:rFonts w:ascii="Calibri"/>
                <w:sz w:val="20"/>
              </w:rPr>
            </w:r>
          </w:p>
        </w:tc>
      </w:tr>
      <w:tr>
        <w:trPr>
          <w:trHeight w:val="245"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Boating</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470"/>
              <w:jc w:val="right"/>
              <w:rPr>
                <w:rFonts w:ascii="Calibri" w:hAnsi="Calibri" w:cs="Calibri" w:eastAsia="Calibri" w:hint="default"/>
                <w:sz w:val="20"/>
                <w:szCs w:val="20"/>
              </w:rPr>
            </w:pPr>
            <w:r>
              <w:rPr>
                <w:rFonts w:ascii="Calibri"/>
                <w:w w:val="95"/>
                <w:sz w:val="20"/>
              </w:rPr>
              <w:t>13.7</w:t>
            </w:r>
            <w:r>
              <w:rPr>
                <w:rFonts w:ascii="Calibri"/>
                <w:sz w:val="20"/>
              </w:rPr>
            </w:r>
          </w:p>
        </w:tc>
      </w:tr>
      <w:tr>
        <w:trPr>
          <w:trHeight w:val="245"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Scuba</w:t>
            </w:r>
            <w:r>
              <w:rPr>
                <w:rFonts w:ascii="Calibri"/>
                <w:spacing w:val="-8"/>
                <w:sz w:val="20"/>
              </w:rPr>
              <w:t> </w:t>
            </w:r>
            <w:r>
              <w:rPr>
                <w:rFonts w:ascii="Calibri"/>
                <w:sz w:val="20"/>
              </w:rPr>
              <w:t>Diving</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470"/>
              <w:jc w:val="right"/>
              <w:rPr>
                <w:rFonts w:ascii="Calibri" w:hAnsi="Calibri" w:cs="Calibri" w:eastAsia="Calibri" w:hint="default"/>
                <w:sz w:val="20"/>
                <w:szCs w:val="20"/>
              </w:rPr>
            </w:pPr>
            <w:r>
              <w:rPr>
                <w:rFonts w:ascii="Calibri"/>
                <w:w w:val="95"/>
                <w:sz w:val="20"/>
              </w:rPr>
              <w:t>13.2</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Others</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520"/>
              <w:jc w:val="right"/>
              <w:rPr>
                <w:rFonts w:ascii="Calibri" w:hAnsi="Calibri" w:cs="Calibri" w:eastAsia="Calibri" w:hint="default"/>
                <w:sz w:val="20"/>
                <w:szCs w:val="20"/>
              </w:rPr>
            </w:pPr>
            <w:r>
              <w:rPr>
                <w:rFonts w:ascii="Calibri"/>
                <w:w w:val="95"/>
                <w:sz w:val="20"/>
              </w:rPr>
              <w:t>7.6</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sz w:val="20"/>
              </w:rPr>
              <w:t>Kayaking</w:t>
            </w:r>
          </w:p>
        </w:tc>
        <w:tc>
          <w:tcPr>
            <w:tcW w:w="2490" w:type="dxa"/>
            <w:tcBorders>
              <w:top w:val="nil" w:sz="6" w:space="0" w:color="auto"/>
              <w:left w:val="nil" w:sz="6" w:space="0" w:color="auto"/>
              <w:bottom w:val="nil" w:sz="6" w:space="0" w:color="auto"/>
              <w:right w:val="nil" w:sz="6" w:space="0" w:color="auto"/>
            </w:tcBorders>
          </w:tcPr>
          <w:p>
            <w:pPr>
              <w:pStyle w:val="TableParagraph"/>
              <w:spacing w:line="225" w:lineRule="exact"/>
              <w:ind w:right="520"/>
              <w:jc w:val="right"/>
              <w:rPr>
                <w:rFonts w:ascii="Calibri" w:hAnsi="Calibri" w:cs="Calibri" w:eastAsia="Calibri" w:hint="default"/>
                <w:sz w:val="20"/>
                <w:szCs w:val="20"/>
              </w:rPr>
            </w:pPr>
            <w:r>
              <w:rPr>
                <w:rFonts w:ascii="Calibri"/>
                <w:w w:val="95"/>
                <w:sz w:val="20"/>
              </w:rPr>
              <w:t>4.6</w:t>
            </w:r>
            <w:r>
              <w:rPr>
                <w:rFonts w:ascii="Calibri"/>
                <w:sz w:val="20"/>
              </w:rPr>
            </w:r>
          </w:p>
        </w:tc>
      </w:tr>
      <w:tr>
        <w:trPr>
          <w:trHeight w:val="245"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Water Ski /Jet</w:t>
            </w:r>
            <w:r>
              <w:rPr>
                <w:rFonts w:ascii="Calibri"/>
                <w:spacing w:val="-10"/>
                <w:sz w:val="20"/>
              </w:rPr>
              <w:t> </w:t>
            </w:r>
            <w:r>
              <w:rPr>
                <w:rFonts w:ascii="Calibri"/>
                <w:sz w:val="20"/>
              </w:rPr>
              <w:t>Ski</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520"/>
              <w:jc w:val="right"/>
              <w:rPr>
                <w:rFonts w:ascii="Calibri" w:hAnsi="Calibri" w:cs="Calibri" w:eastAsia="Calibri" w:hint="default"/>
                <w:sz w:val="20"/>
                <w:szCs w:val="20"/>
              </w:rPr>
            </w:pPr>
            <w:r>
              <w:rPr>
                <w:rFonts w:ascii="Calibri"/>
                <w:w w:val="95"/>
                <w:sz w:val="20"/>
              </w:rPr>
              <w:t>3.2</w:t>
            </w:r>
            <w:r>
              <w:rPr>
                <w:rFonts w:ascii="Calibri"/>
                <w:sz w:val="20"/>
              </w:rPr>
            </w:r>
          </w:p>
        </w:tc>
      </w:tr>
      <w:tr>
        <w:trPr>
          <w:trHeight w:val="245"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Deep Sea</w:t>
            </w:r>
            <w:r>
              <w:rPr>
                <w:rFonts w:ascii="Calibri"/>
                <w:spacing w:val="-11"/>
                <w:sz w:val="20"/>
              </w:rPr>
              <w:t> </w:t>
            </w:r>
            <w:r>
              <w:rPr>
                <w:rFonts w:ascii="Calibri"/>
                <w:sz w:val="20"/>
              </w:rPr>
              <w:t>Fishing</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520"/>
              <w:jc w:val="right"/>
              <w:rPr>
                <w:rFonts w:ascii="Calibri" w:hAnsi="Calibri" w:cs="Calibri" w:eastAsia="Calibri" w:hint="default"/>
                <w:sz w:val="20"/>
                <w:szCs w:val="20"/>
              </w:rPr>
            </w:pPr>
            <w:r>
              <w:rPr>
                <w:rFonts w:ascii="Calibri"/>
                <w:w w:val="95"/>
                <w:sz w:val="20"/>
              </w:rPr>
              <w:t>2.5</w:t>
            </w:r>
            <w:r>
              <w:rPr>
                <w:rFonts w:ascii="Calibri"/>
                <w:sz w:val="20"/>
              </w:rPr>
            </w:r>
          </w:p>
        </w:tc>
      </w:tr>
      <w:tr>
        <w:trPr>
          <w:trHeight w:val="230" w:hRule="exact"/>
        </w:trPr>
        <w:tc>
          <w:tcPr>
            <w:tcW w:w="6536" w:type="dxa"/>
            <w:tcBorders>
              <w:top w:val="nil" w:sz="6" w:space="0" w:color="auto"/>
              <w:left w:val="nil" w:sz="6" w:space="0" w:color="auto"/>
              <w:bottom w:val="single" w:sz="4" w:space="0" w:color="000000"/>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Kite</w:t>
            </w:r>
            <w:r>
              <w:rPr>
                <w:rFonts w:ascii="Calibri"/>
                <w:spacing w:val="-8"/>
                <w:sz w:val="20"/>
              </w:rPr>
              <w:t> </w:t>
            </w:r>
            <w:r>
              <w:rPr>
                <w:rFonts w:ascii="Calibri"/>
                <w:sz w:val="20"/>
              </w:rPr>
              <w:t>Surfing</w:t>
            </w:r>
          </w:p>
        </w:tc>
        <w:tc>
          <w:tcPr>
            <w:tcW w:w="2490" w:type="dxa"/>
            <w:tcBorders>
              <w:top w:val="nil" w:sz="6" w:space="0" w:color="auto"/>
              <w:left w:val="nil" w:sz="6" w:space="0" w:color="auto"/>
              <w:bottom w:val="single" w:sz="4" w:space="0" w:color="000000"/>
              <w:right w:val="nil" w:sz="6" w:space="0" w:color="auto"/>
            </w:tcBorders>
          </w:tcPr>
          <w:p>
            <w:pPr>
              <w:pStyle w:val="TableParagraph"/>
              <w:spacing w:line="226" w:lineRule="exact"/>
              <w:ind w:right="520"/>
              <w:jc w:val="right"/>
              <w:rPr>
                <w:rFonts w:ascii="Calibri" w:hAnsi="Calibri" w:cs="Calibri" w:eastAsia="Calibri" w:hint="default"/>
                <w:sz w:val="20"/>
                <w:szCs w:val="20"/>
              </w:rPr>
            </w:pPr>
            <w:r>
              <w:rPr>
                <w:rFonts w:ascii="Calibri"/>
                <w:w w:val="95"/>
                <w:sz w:val="20"/>
              </w:rPr>
              <w:t>1.1</w:t>
            </w:r>
            <w:r>
              <w:rPr>
                <w:rFonts w:ascii="Calibri"/>
                <w:sz w:val="20"/>
              </w:rPr>
            </w:r>
          </w:p>
        </w:tc>
      </w:tr>
      <w:tr>
        <w:trPr>
          <w:trHeight w:val="254" w:hRule="exact"/>
        </w:trPr>
        <w:tc>
          <w:tcPr>
            <w:tcW w:w="6536" w:type="dxa"/>
            <w:tcBorders>
              <w:top w:val="single" w:sz="4" w:space="0" w:color="000000"/>
              <w:left w:val="nil" w:sz="6" w:space="0" w:color="auto"/>
              <w:bottom w:val="single" w:sz="4" w:space="0" w:color="000000"/>
              <w:right w:val="nil" w:sz="6" w:space="0" w:color="auto"/>
            </w:tcBorders>
          </w:tcPr>
          <w:p>
            <w:pPr>
              <w:pStyle w:val="TableParagraph"/>
              <w:spacing w:line="243" w:lineRule="exact"/>
              <w:ind w:left="2854" w:right="0"/>
              <w:jc w:val="left"/>
              <w:rPr>
                <w:rFonts w:ascii="Calibri" w:hAnsi="Calibri" w:cs="Calibri" w:eastAsia="Calibri" w:hint="default"/>
                <w:sz w:val="20"/>
                <w:szCs w:val="20"/>
              </w:rPr>
            </w:pPr>
            <w:r>
              <w:rPr>
                <w:rFonts w:ascii="Calibri"/>
                <w:b/>
                <w:sz w:val="20"/>
              </w:rPr>
              <w:t>Entertainment</w:t>
            </w:r>
            <w:r>
              <w:rPr>
                <w:rFonts w:ascii="Calibri"/>
                <w:b/>
                <w:spacing w:val="-14"/>
                <w:sz w:val="20"/>
              </w:rPr>
              <w:t> </w:t>
            </w:r>
            <w:r>
              <w:rPr>
                <w:rFonts w:ascii="Calibri"/>
                <w:b/>
                <w:sz w:val="20"/>
              </w:rPr>
              <w:t>Activities</w:t>
            </w:r>
            <w:r>
              <w:rPr>
                <w:rFonts w:ascii="Calibri"/>
                <w:sz w:val="20"/>
              </w:rPr>
            </w:r>
          </w:p>
        </w:tc>
        <w:tc>
          <w:tcPr>
            <w:tcW w:w="2490" w:type="dxa"/>
            <w:tcBorders>
              <w:top w:val="single" w:sz="4" w:space="0" w:color="000000"/>
              <w:left w:val="nil" w:sz="6" w:space="0" w:color="auto"/>
              <w:bottom w:val="single" w:sz="4" w:space="0" w:color="000000"/>
              <w:right w:val="nil" w:sz="6" w:space="0" w:color="auto"/>
            </w:tcBorders>
          </w:tcPr>
          <w:p>
            <w:pPr>
              <w:pStyle w:val="TableParagraph"/>
              <w:spacing w:line="243" w:lineRule="exact"/>
              <w:ind w:right="572"/>
              <w:jc w:val="right"/>
              <w:rPr>
                <w:rFonts w:ascii="Calibri" w:hAnsi="Calibri" w:cs="Calibri" w:eastAsia="Calibri" w:hint="default"/>
                <w:sz w:val="20"/>
                <w:szCs w:val="20"/>
              </w:rPr>
            </w:pPr>
            <w:r>
              <w:rPr>
                <w:rFonts w:ascii="Calibri"/>
                <w:b/>
                <w:w w:val="95"/>
                <w:sz w:val="20"/>
              </w:rPr>
              <w:t>%</w:t>
            </w:r>
            <w:r>
              <w:rPr>
                <w:rFonts w:ascii="Calibri"/>
                <w:sz w:val="20"/>
              </w:rPr>
            </w:r>
          </w:p>
        </w:tc>
      </w:tr>
      <w:tr>
        <w:trPr>
          <w:trHeight w:val="267" w:hRule="exact"/>
        </w:trPr>
        <w:tc>
          <w:tcPr>
            <w:tcW w:w="6536" w:type="dxa"/>
            <w:tcBorders>
              <w:top w:val="single" w:sz="4" w:space="0" w:color="000000"/>
              <w:left w:val="nil" w:sz="6" w:space="0" w:color="auto"/>
              <w:bottom w:val="nil" w:sz="6" w:space="0" w:color="auto"/>
              <w:right w:val="nil" w:sz="6" w:space="0" w:color="auto"/>
            </w:tcBorders>
          </w:tcPr>
          <w:p>
            <w:pPr>
              <w:pStyle w:val="TableParagraph"/>
              <w:spacing w:line="243" w:lineRule="exact"/>
              <w:ind w:left="107" w:right="0"/>
              <w:jc w:val="left"/>
              <w:rPr>
                <w:rFonts w:ascii="Calibri" w:hAnsi="Calibri" w:cs="Calibri" w:eastAsia="Calibri" w:hint="default"/>
                <w:sz w:val="20"/>
                <w:szCs w:val="20"/>
              </w:rPr>
            </w:pPr>
            <w:r>
              <w:rPr>
                <w:rFonts w:ascii="Calibri"/>
                <w:sz w:val="20"/>
              </w:rPr>
              <w:t>Bars and</w:t>
            </w:r>
            <w:r>
              <w:rPr>
                <w:rFonts w:ascii="Calibri"/>
                <w:spacing w:val="-5"/>
                <w:sz w:val="20"/>
              </w:rPr>
              <w:t> </w:t>
            </w:r>
            <w:r>
              <w:rPr>
                <w:rFonts w:ascii="Calibri"/>
                <w:sz w:val="20"/>
              </w:rPr>
              <w:t>Cafe's</w:t>
            </w:r>
          </w:p>
        </w:tc>
        <w:tc>
          <w:tcPr>
            <w:tcW w:w="2490" w:type="dxa"/>
            <w:tcBorders>
              <w:top w:val="single" w:sz="4" w:space="0" w:color="000000"/>
              <w:left w:val="nil" w:sz="6" w:space="0" w:color="auto"/>
              <w:bottom w:val="nil" w:sz="6" w:space="0" w:color="auto"/>
              <w:right w:val="nil" w:sz="6" w:space="0" w:color="auto"/>
            </w:tcBorders>
          </w:tcPr>
          <w:p>
            <w:pPr>
              <w:pStyle w:val="TableParagraph"/>
              <w:spacing w:line="243" w:lineRule="exact"/>
              <w:ind w:right="470"/>
              <w:jc w:val="right"/>
              <w:rPr>
                <w:rFonts w:ascii="Calibri" w:hAnsi="Calibri" w:cs="Calibri" w:eastAsia="Calibri" w:hint="default"/>
                <w:sz w:val="20"/>
                <w:szCs w:val="20"/>
              </w:rPr>
            </w:pPr>
            <w:r>
              <w:rPr>
                <w:rFonts w:ascii="Calibri"/>
                <w:w w:val="95"/>
                <w:sz w:val="20"/>
              </w:rPr>
              <w:t>73.8</w:t>
            </w:r>
            <w:r>
              <w:rPr>
                <w:rFonts w:ascii="Calibri"/>
                <w:sz w:val="20"/>
              </w:rPr>
            </w:r>
          </w:p>
        </w:tc>
      </w:tr>
      <w:tr>
        <w:trPr>
          <w:trHeight w:val="245"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Nightclub/Dancing</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470"/>
              <w:jc w:val="right"/>
              <w:rPr>
                <w:rFonts w:ascii="Calibri" w:hAnsi="Calibri" w:cs="Calibri" w:eastAsia="Calibri" w:hint="default"/>
                <w:sz w:val="20"/>
                <w:szCs w:val="20"/>
              </w:rPr>
            </w:pPr>
            <w:r>
              <w:rPr>
                <w:rFonts w:ascii="Calibri"/>
                <w:w w:val="95"/>
                <w:sz w:val="20"/>
              </w:rPr>
              <w:t>25.6</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Music/Concert/Festival</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470"/>
              <w:jc w:val="right"/>
              <w:rPr>
                <w:rFonts w:ascii="Calibri" w:hAnsi="Calibri" w:cs="Calibri" w:eastAsia="Calibri" w:hint="default"/>
                <w:sz w:val="20"/>
                <w:szCs w:val="20"/>
              </w:rPr>
            </w:pPr>
            <w:r>
              <w:rPr>
                <w:rFonts w:ascii="Calibri"/>
                <w:w w:val="95"/>
                <w:sz w:val="20"/>
              </w:rPr>
              <w:t>23.7</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sz w:val="20"/>
              </w:rPr>
              <w:t>Others</w:t>
            </w:r>
          </w:p>
        </w:tc>
        <w:tc>
          <w:tcPr>
            <w:tcW w:w="2490" w:type="dxa"/>
            <w:tcBorders>
              <w:top w:val="nil" w:sz="6" w:space="0" w:color="auto"/>
              <w:left w:val="nil" w:sz="6" w:space="0" w:color="auto"/>
              <w:bottom w:val="nil" w:sz="6" w:space="0" w:color="auto"/>
              <w:right w:val="nil" w:sz="6" w:space="0" w:color="auto"/>
            </w:tcBorders>
          </w:tcPr>
          <w:p>
            <w:pPr>
              <w:pStyle w:val="TableParagraph"/>
              <w:spacing w:line="225" w:lineRule="exact"/>
              <w:ind w:right="470"/>
              <w:jc w:val="right"/>
              <w:rPr>
                <w:rFonts w:ascii="Calibri" w:hAnsi="Calibri" w:cs="Calibri" w:eastAsia="Calibri" w:hint="default"/>
                <w:sz w:val="20"/>
                <w:szCs w:val="20"/>
              </w:rPr>
            </w:pPr>
            <w:r>
              <w:rPr>
                <w:rFonts w:ascii="Calibri"/>
                <w:w w:val="95"/>
                <w:sz w:val="20"/>
              </w:rPr>
              <w:t>11.8</w:t>
            </w:r>
            <w:r>
              <w:rPr>
                <w:rFonts w:ascii="Calibri"/>
                <w:sz w:val="20"/>
              </w:rPr>
            </w:r>
          </w:p>
        </w:tc>
      </w:tr>
      <w:tr>
        <w:trPr>
          <w:trHeight w:val="245"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Folkloric/Cultural</w:t>
            </w:r>
            <w:r>
              <w:rPr>
                <w:rFonts w:ascii="Calibri"/>
                <w:spacing w:val="-12"/>
                <w:sz w:val="20"/>
              </w:rPr>
              <w:t> </w:t>
            </w:r>
            <w:r>
              <w:rPr>
                <w:rFonts w:ascii="Calibri"/>
                <w:sz w:val="20"/>
              </w:rPr>
              <w:t>Show</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520"/>
              <w:jc w:val="right"/>
              <w:rPr>
                <w:rFonts w:ascii="Calibri" w:hAnsi="Calibri" w:cs="Calibri" w:eastAsia="Calibri" w:hint="default"/>
                <w:sz w:val="20"/>
                <w:szCs w:val="20"/>
              </w:rPr>
            </w:pPr>
            <w:r>
              <w:rPr>
                <w:rFonts w:ascii="Calibri"/>
                <w:w w:val="95"/>
                <w:sz w:val="20"/>
              </w:rPr>
              <w:t>9.9</w:t>
            </w:r>
            <w:r>
              <w:rPr>
                <w:rFonts w:ascii="Calibri"/>
                <w:sz w:val="20"/>
              </w:rPr>
            </w:r>
          </w:p>
        </w:tc>
      </w:tr>
      <w:tr>
        <w:trPr>
          <w:trHeight w:val="232" w:hRule="exact"/>
        </w:trPr>
        <w:tc>
          <w:tcPr>
            <w:tcW w:w="6536" w:type="dxa"/>
            <w:tcBorders>
              <w:top w:val="nil" w:sz="6" w:space="0" w:color="auto"/>
              <w:left w:val="nil" w:sz="6" w:space="0" w:color="auto"/>
              <w:bottom w:val="single" w:sz="4" w:space="0" w:color="000000"/>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Carnival</w:t>
            </w:r>
          </w:p>
        </w:tc>
        <w:tc>
          <w:tcPr>
            <w:tcW w:w="2490" w:type="dxa"/>
            <w:tcBorders>
              <w:top w:val="nil" w:sz="6" w:space="0" w:color="auto"/>
              <w:left w:val="nil" w:sz="6" w:space="0" w:color="auto"/>
              <w:bottom w:val="single" w:sz="4" w:space="0" w:color="000000"/>
              <w:right w:val="nil" w:sz="6" w:space="0" w:color="auto"/>
            </w:tcBorders>
          </w:tcPr>
          <w:p>
            <w:pPr>
              <w:pStyle w:val="TableParagraph"/>
              <w:spacing w:line="226" w:lineRule="exact"/>
              <w:ind w:right="520"/>
              <w:jc w:val="right"/>
              <w:rPr>
                <w:rFonts w:ascii="Calibri" w:hAnsi="Calibri" w:cs="Calibri" w:eastAsia="Calibri" w:hint="default"/>
                <w:sz w:val="20"/>
                <w:szCs w:val="20"/>
              </w:rPr>
            </w:pPr>
            <w:r>
              <w:rPr>
                <w:rFonts w:ascii="Calibri"/>
                <w:w w:val="95"/>
                <w:sz w:val="20"/>
              </w:rPr>
              <w:t>7.2</w:t>
            </w:r>
            <w:r>
              <w:rPr>
                <w:rFonts w:ascii="Calibri"/>
                <w:sz w:val="20"/>
              </w:rPr>
            </w:r>
          </w:p>
        </w:tc>
      </w:tr>
      <w:tr>
        <w:trPr>
          <w:trHeight w:val="254" w:hRule="exact"/>
        </w:trPr>
        <w:tc>
          <w:tcPr>
            <w:tcW w:w="6536" w:type="dxa"/>
            <w:tcBorders>
              <w:top w:val="single" w:sz="4" w:space="0" w:color="000000"/>
              <w:left w:val="nil" w:sz="6" w:space="0" w:color="auto"/>
              <w:bottom w:val="single" w:sz="4" w:space="0" w:color="000000"/>
              <w:right w:val="nil" w:sz="6" w:space="0" w:color="auto"/>
            </w:tcBorders>
          </w:tcPr>
          <w:p>
            <w:pPr>
              <w:pStyle w:val="TableParagraph"/>
              <w:spacing w:line="243" w:lineRule="exact"/>
              <w:ind w:left="3130" w:right="0"/>
              <w:jc w:val="left"/>
              <w:rPr>
                <w:rFonts w:ascii="Calibri" w:hAnsi="Calibri" w:cs="Calibri" w:eastAsia="Calibri" w:hint="default"/>
                <w:sz w:val="20"/>
                <w:szCs w:val="20"/>
              </w:rPr>
            </w:pPr>
            <w:r>
              <w:rPr>
                <w:rFonts w:ascii="Calibri"/>
                <w:b/>
                <w:sz w:val="20"/>
              </w:rPr>
              <w:t>Cultural</w:t>
            </w:r>
            <w:r>
              <w:rPr>
                <w:rFonts w:ascii="Calibri"/>
                <w:b/>
                <w:spacing w:val="-8"/>
                <w:sz w:val="20"/>
              </w:rPr>
              <w:t> </w:t>
            </w:r>
            <w:r>
              <w:rPr>
                <w:rFonts w:ascii="Calibri"/>
                <w:b/>
                <w:sz w:val="20"/>
              </w:rPr>
              <w:t>Activities</w:t>
            </w:r>
            <w:r>
              <w:rPr>
                <w:rFonts w:ascii="Calibri"/>
                <w:sz w:val="20"/>
              </w:rPr>
            </w:r>
          </w:p>
        </w:tc>
        <w:tc>
          <w:tcPr>
            <w:tcW w:w="2490" w:type="dxa"/>
            <w:tcBorders>
              <w:top w:val="single" w:sz="4" w:space="0" w:color="000000"/>
              <w:left w:val="nil" w:sz="6" w:space="0" w:color="auto"/>
              <w:bottom w:val="single" w:sz="4" w:space="0" w:color="000000"/>
              <w:right w:val="nil" w:sz="6" w:space="0" w:color="auto"/>
            </w:tcBorders>
          </w:tcPr>
          <w:p>
            <w:pPr>
              <w:pStyle w:val="TableParagraph"/>
              <w:spacing w:line="243" w:lineRule="exact"/>
              <w:ind w:right="572"/>
              <w:jc w:val="right"/>
              <w:rPr>
                <w:rFonts w:ascii="Calibri" w:hAnsi="Calibri" w:cs="Calibri" w:eastAsia="Calibri" w:hint="default"/>
                <w:sz w:val="20"/>
                <w:szCs w:val="20"/>
              </w:rPr>
            </w:pPr>
            <w:r>
              <w:rPr>
                <w:rFonts w:ascii="Calibri"/>
                <w:b/>
                <w:w w:val="95"/>
                <w:sz w:val="20"/>
              </w:rPr>
              <w:t>%</w:t>
            </w:r>
            <w:r>
              <w:rPr>
                <w:rFonts w:ascii="Calibri"/>
                <w:sz w:val="20"/>
              </w:rPr>
            </w:r>
          </w:p>
        </w:tc>
      </w:tr>
      <w:tr>
        <w:trPr>
          <w:trHeight w:val="266" w:hRule="exact"/>
        </w:trPr>
        <w:tc>
          <w:tcPr>
            <w:tcW w:w="6536" w:type="dxa"/>
            <w:tcBorders>
              <w:top w:val="single" w:sz="4" w:space="0" w:color="000000"/>
              <w:left w:val="nil" w:sz="6" w:space="0" w:color="auto"/>
              <w:bottom w:val="nil" w:sz="6" w:space="0" w:color="auto"/>
              <w:right w:val="nil" w:sz="6" w:space="0" w:color="auto"/>
            </w:tcBorders>
          </w:tcPr>
          <w:p>
            <w:pPr>
              <w:pStyle w:val="TableParagraph"/>
              <w:spacing w:line="243" w:lineRule="exact"/>
              <w:ind w:left="107" w:right="0"/>
              <w:jc w:val="left"/>
              <w:rPr>
                <w:rFonts w:ascii="Calibri" w:hAnsi="Calibri" w:cs="Calibri" w:eastAsia="Calibri" w:hint="default"/>
                <w:sz w:val="20"/>
                <w:szCs w:val="20"/>
              </w:rPr>
            </w:pPr>
            <w:r>
              <w:rPr>
                <w:rFonts w:ascii="Calibri"/>
                <w:sz w:val="20"/>
              </w:rPr>
              <w:t>Downtown</w:t>
            </w:r>
            <w:r>
              <w:rPr>
                <w:rFonts w:ascii="Calibri"/>
                <w:spacing w:val="-10"/>
                <w:sz w:val="20"/>
              </w:rPr>
              <w:t> </w:t>
            </w:r>
            <w:r>
              <w:rPr>
                <w:rFonts w:ascii="Calibri"/>
                <w:sz w:val="20"/>
              </w:rPr>
              <w:t>Area</w:t>
            </w:r>
          </w:p>
        </w:tc>
        <w:tc>
          <w:tcPr>
            <w:tcW w:w="2490" w:type="dxa"/>
            <w:tcBorders>
              <w:top w:val="single" w:sz="4" w:space="0" w:color="000000"/>
              <w:left w:val="nil" w:sz="6" w:space="0" w:color="auto"/>
              <w:bottom w:val="nil" w:sz="6" w:space="0" w:color="auto"/>
              <w:right w:val="nil" w:sz="6" w:space="0" w:color="auto"/>
            </w:tcBorders>
          </w:tcPr>
          <w:p>
            <w:pPr>
              <w:pStyle w:val="TableParagraph"/>
              <w:spacing w:line="243" w:lineRule="exact"/>
              <w:ind w:right="470"/>
              <w:jc w:val="right"/>
              <w:rPr>
                <w:rFonts w:ascii="Calibri" w:hAnsi="Calibri" w:cs="Calibri" w:eastAsia="Calibri" w:hint="default"/>
                <w:sz w:val="20"/>
                <w:szCs w:val="20"/>
              </w:rPr>
            </w:pPr>
            <w:r>
              <w:rPr>
                <w:rFonts w:ascii="Calibri"/>
                <w:w w:val="95"/>
                <w:sz w:val="20"/>
              </w:rPr>
              <w:t>77.2</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sz w:val="20"/>
              </w:rPr>
              <w:t>Kura Hulanda</w:t>
            </w:r>
            <w:r>
              <w:rPr>
                <w:rFonts w:ascii="Calibri"/>
                <w:spacing w:val="-8"/>
                <w:sz w:val="20"/>
              </w:rPr>
              <w:t> </w:t>
            </w:r>
            <w:r>
              <w:rPr>
                <w:rFonts w:ascii="Calibri"/>
                <w:sz w:val="20"/>
              </w:rPr>
              <w:t>Museum</w:t>
            </w:r>
          </w:p>
        </w:tc>
        <w:tc>
          <w:tcPr>
            <w:tcW w:w="2490" w:type="dxa"/>
            <w:tcBorders>
              <w:top w:val="nil" w:sz="6" w:space="0" w:color="auto"/>
              <w:left w:val="nil" w:sz="6" w:space="0" w:color="auto"/>
              <w:bottom w:val="nil" w:sz="6" w:space="0" w:color="auto"/>
              <w:right w:val="nil" w:sz="6" w:space="0" w:color="auto"/>
            </w:tcBorders>
          </w:tcPr>
          <w:p>
            <w:pPr>
              <w:pStyle w:val="TableParagraph"/>
              <w:spacing w:line="225" w:lineRule="exact"/>
              <w:ind w:right="470"/>
              <w:jc w:val="right"/>
              <w:rPr>
                <w:rFonts w:ascii="Calibri" w:hAnsi="Calibri" w:cs="Calibri" w:eastAsia="Calibri" w:hint="default"/>
                <w:sz w:val="20"/>
                <w:szCs w:val="20"/>
              </w:rPr>
            </w:pPr>
            <w:r>
              <w:rPr>
                <w:rFonts w:ascii="Calibri"/>
                <w:w w:val="95"/>
                <w:sz w:val="20"/>
              </w:rPr>
              <w:t>22.3</w:t>
            </w:r>
            <w:r>
              <w:rPr>
                <w:rFonts w:ascii="Calibri"/>
                <w:sz w:val="20"/>
              </w:rPr>
            </w:r>
          </w:p>
        </w:tc>
      </w:tr>
      <w:tr>
        <w:trPr>
          <w:trHeight w:val="245"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Fort</w:t>
            </w:r>
            <w:r>
              <w:rPr>
                <w:rFonts w:ascii="Calibri"/>
                <w:spacing w:val="-8"/>
                <w:sz w:val="20"/>
              </w:rPr>
              <w:t> </w:t>
            </w:r>
            <w:r>
              <w:rPr>
                <w:rFonts w:ascii="Calibri"/>
                <w:sz w:val="20"/>
              </w:rPr>
              <w:t>Nassau</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470"/>
              <w:jc w:val="right"/>
              <w:rPr>
                <w:rFonts w:ascii="Calibri" w:hAnsi="Calibri" w:cs="Calibri" w:eastAsia="Calibri" w:hint="default"/>
                <w:sz w:val="20"/>
                <w:szCs w:val="20"/>
              </w:rPr>
            </w:pPr>
            <w:r>
              <w:rPr>
                <w:rFonts w:ascii="Calibri"/>
                <w:w w:val="95"/>
                <w:sz w:val="20"/>
              </w:rPr>
              <w:t>21.7</w:t>
            </w:r>
            <w:r>
              <w:rPr>
                <w:rFonts w:ascii="Calibri"/>
                <w:sz w:val="20"/>
              </w:rPr>
            </w:r>
          </w:p>
        </w:tc>
      </w:tr>
      <w:tr>
        <w:trPr>
          <w:trHeight w:val="245"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Fort</w:t>
            </w:r>
            <w:r>
              <w:rPr>
                <w:rFonts w:ascii="Calibri"/>
                <w:spacing w:val="-10"/>
                <w:sz w:val="20"/>
              </w:rPr>
              <w:t> </w:t>
            </w:r>
            <w:r>
              <w:rPr>
                <w:rFonts w:ascii="Calibri"/>
                <w:sz w:val="20"/>
              </w:rPr>
              <w:t>Amsterdam</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470"/>
              <w:jc w:val="right"/>
              <w:rPr>
                <w:rFonts w:ascii="Calibri" w:hAnsi="Calibri" w:cs="Calibri" w:eastAsia="Calibri" w:hint="default"/>
                <w:sz w:val="20"/>
                <w:szCs w:val="20"/>
              </w:rPr>
            </w:pPr>
            <w:r>
              <w:rPr>
                <w:rFonts w:ascii="Calibri"/>
                <w:w w:val="95"/>
                <w:sz w:val="20"/>
              </w:rPr>
              <w:t>19.5</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Maritime</w:t>
            </w:r>
            <w:r>
              <w:rPr>
                <w:rFonts w:ascii="Calibri"/>
                <w:spacing w:val="-5"/>
                <w:sz w:val="20"/>
              </w:rPr>
              <w:t> </w:t>
            </w:r>
            <w:r>
              <w:rPr>
                <w:rFonts w:ascii="Calibri"/>
                <w:sz w:val="20"/>
              </w:rPr>
              <w:t>Museum</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470"/>
              <w:jc w:val="right"/>
              <w:rPr>
                <w:rFonts w:ascii="Calibri" w:hAnsi="Calibri" w:cs="Calibri" w:eastAsia="Calibri" w:hint="default"/>
                <w:sz w:val="20"/>
                <w:szCs w:val="20"/>
              </w:rPr>
            </w:pPr>
            <w:r>
              <w:rPr>
                <w:rFonts w:ascii="Calibri"/>
                <w:w w:val="95"/>
                <w:sz w:val="20"/>
              </w:rPr>
              <w:t>16.9</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hAnsi="Calibri"/>
                <w:sz w:val="20"/>
              </w:rPr>
              <w:t>Curaçao</w:t>
            </w:r>
            <w:r>
              <w:rPr>
                <w:rFonts w:ascii="Calibri" w:hAnsi="Calibri"/>
                <w:spacing w:val="-7"/>
                <w:sz w:val="20"/>
              </w:rPr>
              <w:t> </w:t>
            </w:r>
            <w:r>
              <w:rPr>
                <w:rFonts w:ascii="Calibri" w:hAnsi="Calibri"/>
                <w:sz w:val="20"/>
              </w:rPr>
              <w:t>Museum</w:t>
            </w:r>
          </w:p>
        </w:tc>
        <w:tc>
          <w:tcPr>
            <w:tcW w:w="2490" w:type="dxa"/>
            <w:tcBorders>
              <w:top w:val="nil" w:sz="6" w:space="0" w:color="auto"/>
              <w:left w:val="nil" w:sz="6" w:space="0" w:color="auto"/>
              <w:bottom w:val="nil" w:sz="6" w:space="0" w:color="auto"/>
              <w:right w:val="nil" w:sz="6" w:space="0" w:color="auto"/>
            </w:tcBorders>
          </w:tcPr>
          <w:p>
            <w:pPr>
              <w:pStyle w:val="TableParagraph"/>
              <w:spacing w:line="225" w:lineRule="exact"/>
              <w:ind w:right="470"/>
              <w:jc w:val="right"/>
              <w:rPr>
                <w:rFonts w:ascii="Calibri" w:hAnsi="Calibri" w:cs="Calibri" w:eastAsia="Calibri" w:hint="default"/>
                <w:sz w:val="20"/>
                <w:szCs w:val="20"/>
              </w:rPr>
            </w:pPr>
            <w:r>
              <w:rPr>
                <w:rFonts w:ascii="Calibri"/>
                <w:w w:val="95"/>
                <w:sz w:val="20"/>
              </w:rPr>
              <w:t>16.4</w:t>
            </w:r>
            <w:r>
              <w:rPr>
                <w:rFonts w:ascii="Calibri"/>
                <w:sz w:val="20"/>
              </w:rPr>
            </w:r>
          </w:p>
        </w:tc>
      </w:tr>
      <w:tr>
        <w:trPr>
          <w:trHeight w:val="245"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Landhuis</w:t>
            </w:r>
            <w:r>
              <w:rPr>
                <w:rFonts w:ascii="Calibri"/>
                <w:spacing w:val="-11"/>
                <w:sz w:val="20"/>
              </w:rPr>
              <w:t> </w:t>
            </w:r>
            <w:r>
              <w:rPr>
                <w:rFonts w:ascii="Calibri"/>
                <w:sz w:val="20"/>
              </w:rPr>
              <w:t>Kenepa</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470"/>
              <w:jc w:val="right"/>
              <w:rPr>
                <w:rFonts w:ascii="Calibri" w:hAnsi="Calibri" w:cs="Calibri" w:eastAsia="Calibri" w:hint="default"/>
                <w:sz w:val="20"/>
                <w:szCs w:val="20"/>
              </w:rPr>
            </w:pPr>
            <w:r>
              <w:rPr>
                <w:rFonts w:ascii="Calibri"/>
                <w:w w:val="95"/>
                <w:sz w:val="20"/>
              </w:rPr>
              <w:t>16.0</w:t>
            </w:r>
            <w:r>
              <w:rPr>
                <w:rFonts w:ascii="Calibri"/>
                <w:sz w:val="20"/>
              </w:rPr>
            </w:r>
          </w:p>
        </w:tc>
      </w:tr>
      <w:tr>
        <w:trPr>
          <w:trHeight w:val="245"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Landhuis</w:t>
            </w:r>
            <w:r>
              <w:rPr>
                <w:rFonts w:ascii="Calibri"/>
                <w:spacing w:val="-11"/>
                <w:sz w:val="20"/>
              </w:rPr>
              <w:t> </w:t>
            </w:r>
            <w:r>
              <w:rPr>
                <w:rFonts w:ascii="Calibri"/>
                <w:sz w:val="20"/>
              </w:rPr>
              <w:t>Brievengat</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470"/>
              <w:jc w:val="right"/>
              <w:rPr>
                <w:rFonts w:ascii="Calibri" w:hAnsi="Calibri" w:cs="Calibri" w:eastAsia="Calibri" w:hint="default"/>
                <w:sz w:val="20"/>
                <w:szCs w:val="20"/>
              </w:rPr>
            </w:pPr>
            <w:r>
              <w:rPr>
                <w:rFonts w:ascii="Calibri"/>
                <w:w w:val="95"/>
                <w:sz w:val="20"/>
              </w:rPr>
              <w:t>11.1</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Others</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470"/>
              <w:jc w:val="right"/>
              <w:rPr>
                <w:rFonts w:ascii="Calibri" w:hAnsi="Calibri" w:cs="Calibri" w:eastAsia="Calibri" w:hint="default"/>
                <w:sz w:val="20"/>
                <w:szCs w:val="20"/>
              </w:rPr>
            </w:pPr>
            <w:r>
              <w:rPr>
                <w:rFonts w:ascii="Calibri"/>
                <w:w w:val="95"/>
                <w:sz w:val="20"/>
              </w:rPr>
              <w:t>10.1</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sz w:val="20"/>
              </w:rPr>
              <w:t>Jewish Cultural</w:t>
            </w:r>
            <w:r>
              <w:rPr>
                <w:rFonts w:ascii="Calibri"/>
                <w:spacing w:val="-13"/>
                <w:sz w:val="20"/>
              </w:rPr>
              <w:t> </w:t>
            </w:r>
            <w:r>
              <w:rPr>
                <w:rFonts w:ascii="Calibri"/>
                <w:sz w:val="20"/>
              </w:rPr>
              <w:t>Museum</w:t>
            </w:r>
          </w:p>
        </w:tc>
        <w:tc>
          <w:tcPr>
            <w:tcW w:w="2490" w:type="dxa"/>
            <w:tcBorders>
              <w:top w:val="nil" w:sz="6" w:space="0" w:color="auto"/>
              <w:left w:val="nil" w:sz="6" w:space="0" w:color="auto"/>
              <w:bottom w:val="nil" w:sz="6" w:space="0" w:color="auto"/>
              <w:right w:val="nil" w:sz="6" w:space="0" w:color="auto"/>
            </w:tcBorders>
          </w:tcPr>
          <w:p>
            <w:pPr>
              <w:pStyle w:val="TableParagraph"/>
              <w:spacing w:line="225" w:lineRule="exact"/>
              <w:ind w:right="520"/>
              <w:jc w:val="right"/>
              <w:rPr>
                <w:rFonts w:ascii="Calibri" w:hAnsi="Calibri" w:cs="Calibri" w:eastAsia="Calibri" w:hint="default"/>
                <w:sz w:val="20"/>
                <w:szCs w:val="20"/>
              </w:rPr>
            </w:pPr>
            <w:r>
              <w:rPr>
                <w:rFonts w:ascii="Calibri"/>
                <w:w w:val="95"/>
                <w:sz w:val="20"/>
              </w:rPr>
              <w:t>9.3</w:t>
            </w:r>
            <w:r>
              <w:rPr>
                <w:rFonts w:ascii="Calibri"/>
                <w:sz w:val="20"/>
              </w:rPr>
            </w:r>
          </w:p>
        </w:tc>
      </w:tr>
      <w:tr>
        <w:trPr>
          <w:trHeight w:val="245"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Landhuis</w:t>
            </w:r>
            <w:r>
              <w:rPr>
                <w:rFonts w:ascii="Calibri"/>
                <w:spacing w:val="-12"/>
                <w:sz w:val="20"/>
              </w:rPr>
              <w:t> </w:t>
            </w:r>
            <w:r>
              <w:rPr>
                <w:rFonts w:ascii="Calibri"/>
                <w:sz w:val="20"/>
              </w:rPr>
              <w:t>Bloemhof</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520"/>
              <w:jc w:val="right"/>
              <w:rPr>
                <w:rFonts w:ascii="Calibri" w:hAnsi="Calibri" w:cs="Calibri" w:eastAsia="Calibri" w:hint="default"/>
                <w:sz w:val="20"/>
                <w:szCs w:val="20"/>
              </w:rPr>
            </w:pPr>
            <w:r>
              <w:rPr>
                <w:rFonts w:ascii="Calibri"/>
                <w:w w:val="95"/>
                <w:sz w:val="20"/>
              </w:rPr>
              <w:t>6.0</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Postal</w:t>
            </w:r>
            <w:r>
              <w:rPr>
                <w:rFonts w:ascii="Calibri"/>
                <w:spacing w:val="-6"/>
                <w:sz w:val="20"/>
              </w:rPr>
              <w:t> </w:t>
            </w:r>
            <w:r>
              <w:rPr>
                <w:rFonts w:ascii="Calibri"/>
                <w:sz w:val="20"/>
              </w:rPr>
              <w:t>Museum</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520"/>
              <w:jc w:val="right"/>
              <w:rPr>
                <w:rFonts w:ascii="Calibri" w:hAnsi="Calibri" w:cs="Calibri" w:eastAsia="Calibri" w:hint="default"/>
                <w:sz w:val="20"/>
                <w:szCs w:val="20"/>
              </w:rPr>
            </w:pPr>
            <w:r>
              <w:rPr>
                <w:rFonts w:ascii="Calibri"/>
                <w:w w:val="95"/>
                <w:sz w:val="20"/>
              </w:rPr>
              <w:t>5.1</w:t>
            </w:r>
            <w:r>
              <w:rPr>
                <w:rFonts w:ascii="Calibri"/>
                <w:sz w:val="20"/>
              </w:rPr>
            </w:r>
          </w:p>
        </w:tc>
      </w:tr>
      <w:tr>
        <w:trPr>
          <w:trHeight w:val="244"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5" w:lineRule="exact"/>
              <w:ind w:left="107" w:right="0"/>
              <w:jc w:val="left"/>
              <w:rPr>
                <w:rFonts w:ascii="Calibri" w:hAnsi="Calibri" w:cs="Calibri" w:eastAsia="Calibri" w:hint="default"/>
                <w:sz w:val="20"/>
                <w:szCs w:val="20"/>
              </w:rPr>
            </w:pPr>
            <w:r>
              <w:rPr>
                <w:rFonts w:ascii="Calibri"/>
                <w:sz w:val="20"/>
              </w:rPr>
              <w:t>Fort Church</w:t>
            </w:r>
            <w:r>
              <w:rPr>
                <w:rFonts w:ascii="Calibri"/>
                <w:spacing w:val="-13"/>
                <w:sz w:val="20"/>
              </w:rPr>
              <w:t> </w:t>
            </w:r>
            <w:r>
              <w:rPr>
                <w:rFonts w:ascii="Calibri"/>
                <w:sz w:val="20"/>
              </w:rPr>
              <w:t>Museum</w:t>
            </w:r>
          </w:p>
        </w:tc>
        <w:tc>
          <w:tcPr>
            <w:tcW w:w="2490" w:type="dxa"/>
            <w:tcBorders>
              <w:top w:val="nil" w:sz="6" w:space="0" w:color="auto"/>
              <w:left w:val="nil" w:sz="6" w:space="0" w:color="auto"/>
              <w:bottom w:val="nil" w:sz="6" w:space="0" w:color="auto"/>
              <w:right w:val="nil" w:sz="6" w:space="0" w:color="auto"/>
            </w:tcBorders>
          </w:tcPr>
          <w:p>
            <w:pPr>
              <w:pStyle w:val="TableParagraph"/>
              <w:spacing w:line="225" w:lineRule="exact"/>
              <w:ind w:right="520"/>
              <w:jc w:val="right"/>
              <w:rPr>
                <w:rFonts w:ascii="Calibri" w:hAnsi="Calibri" w:cs="Calibri" w:eastAsia="Calibri" w:hint="default"/>
                <w:sz w:val="20"/>
                <w:szCs w:val="20"/>
              </w:rPr>
            </w:pPr>
            <w:r>
              <w:rPr>
                <w:rFonts w:ascii="Calibri"/>
                <w:w w:val="95"/>
                <w:sz w:val="20"/>
              </w:rPr>
              <w:t>4.8</w:t>
            </w:r>
            <w:r>
              <w:rPr>
                <w:rFonts w:ascii="Calibri"/>
                <w:sz w:val="20"/>
              </w:rPr>
            </w:r>
          </w:p>
        </w:tc>
      </w:tr>
      <w:tr>
        <w:trPr>
          <w:trHeight w:val="245" w:hRule="exact"/>
        </w:trPr>
        <w:tc>
          <w:tcPr>
            <w:tcW w:w="6536" w:type="dxa"/>
            <w:tcBorders>
              <w:top w:val="nil" w:sz="6" w:space="0" w:color="auto"/>
              <w:left w:val="nil" w:sz="6" w:space="0" w:color="auto"/>
              <w:bottom w:val="nil" w:sz="6" w:space="0" w:color="auto"/>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Tele</w:t>
            </w:r>
            <w:r>
              <w:rPr>
                <w:rFonts w:ascii="Calibri"/>
                <w:spacing w:val="-7"/>
                <w:sz w:val="20"/>
              </w:rPr>
              <w:t> </w:t>
            </w:r>
            <w:r>
              <w:rPr>
                <w:rFonts w:ascii="Calibri"/>
                <w:sz w:val="20"/>
              </w:rPr>
              <w:t>Museum</w:t>
            </w:r>
          </w:p>
        </w:tc>
        <w:tc>
          <w:tcPr>
            <w:tcW w:w="2490" w:type="dxa"/>
            <w:tcBorders>
              <w:top w:val="nil" w:sz="6" w:space="0" w:color="auto"/>
              <w:left w:val="nil" w:sz="6" w:space="0" w:color="auto"/>
              <w:bottom w:val="nil" w:sz="6" w:space="0" w:color="auto"/>
              <w:right w:val="nil" w:sz="6" w:space="0" w:color="auto"/>
            </w:tcBorders>
          </w:tcPr>
          <w:p>
            <w:pPr>
              <w:pStyle w:val="TableParagraph"/>
              <w:spacing w:line="226" w:lineRule="exact"/>
              <w:ind w:right="520"/>
              <w:jc w:val="right"/>
              <w:rPr>
                <w:rFonts w:ascii="Calibri" w:hAnsi="Calibri" w:cs="Calibri" w:eastAsia="Calibri" w:hint="default"/>
                <w:sz w:val="20"/>
                <w:szCs w:val="20"/>
              </w:rPr>
            </w:pPr>
            <w:r>
              <w:rPr>
                <w:rFonts w:ascii="Calibri"/>
                <w:w w:val="95"/>
                <w:sz w:val="20"/>
              </w:rPr>
              <w:t>4.4</w:t>
            </w:r>
            <w:r>
              <w:rPr>
                <w:rFonts w:ascii="Calibri"/>
                <w:sz w:val="20"/>
              </w:rPr>
            </w:r>
          </w:p>
        </w:tc>
      </w:tr>
      <w:tr>
        <w:trPr>
          <w:trHeight w:val="232" w:hRule="exact"/>
        </w:trPr>
        <w:tc>
          <w:tcPr>
            <w:tcW w:w="6536" w:type="dxa"/>
            <w:tcBorders>
              <w:top w:val="nil" w:sz="6" w:space="0" w:color="auto"/>
              <w:left w:val="nil" w:sz="6" w:space="0" w:color="auto"/>
              <w:bottom w:val="single" w:sz="4" w:space="0" w:color="000000"/>
              <w:right w:val="nil" w:sz="6" w:space="0" w:color="auto"/>
            </w:tcBorders>
          </w:tcPr>
          <w:p>
            <w:pPr>
              <w:pStyle w:val="TableParagraph"/>
              <w:spacing w:line="226" w:lineRule="exact"/>
              <w:ind w:left="107" w:right="0"/>
              <w:jc w:val="left"/>
              <w:rPr>
                <w:rFonts w:ascii="Calibri" w:hAnsi="Calibri" w:cs="Calibri" w:eastAsia="Calibri" w:hint="default"/>
                <w:sz w:val="20"/>
                <w:szCs w:val="20"/>
              </w:rPr>
            </w:pPr>
            <w:r>
              <w:rPr>
                <w:rFonts w:ascii="Calibri"/>
                <w:sz w:val="20"/>
              </w:rPr>
              <w:t>Landhuis Rooi</w:t>
            </w:r>
            <w:r>
              <w:rPr>
                <w:rFonts w:ascii="Calibri"/>
                <w:spacing w:val="-14"/>
                <w:sz w:val="20"/>
              </w:rPr>
              <w:t> </w:t>
            </w:r>
            <w:r>
              <w:rPr>
                <w:rFonts w:ascii="Calibri"/>
                <w:sz w:val="20"/>
              </w:rPr>
              <w:t>Catootje</w:t>
            </w:r>
          </w:p>
        </w:tc>
        <w:tc>
          <w:tcPr>
            <w:tcW w:w="2490" w:type="dxa"/>
            <w:tcBorders>
              <w:top w:val="nil" w:sz="6" w:space="0" w:color="auto"/>
              <w:left w:val="nil" w:sz="6" w:space="0" w:color="auto"/>
              <w:bottom w:val="single" w:sz="4" w:space="0" w:color="000000"/>
              <w:right w:val="nil" w:sz="6" w:space="0" w:color="auto"/>
            </w:tcBorders>
          </w:tcPr>
          <w:p>
            <w:pPr>
              <w:pStyle w:val="TableParagraph"/>
              <w:spacing w:line="226" w:lineRule="exact"/>
              <w:ind w:right="520"/>
              <w:jc w:val="right"/>
              <w:rPr>
                <w:rFonts w:ascii="Calibri" w:hAnsi="Calibri" w:cs="Calibri" w:eastAsia="Calibri" w:hint="default"/>
                <w:sz w:val="20"/>
                <w:szCs w:val="20"/>
              </w:rPr>
            </w:pPr>
            <w:r>
              <w:rPr>
                <w:rFonts w:ascii="Calibri"/>
                <w:w w:val="95"/>
                <w:sz w:val="20"/>
              </w:rPr>
              <w:t>3.6</w:t>
            </w:r>
            <w:r>
              <w:rPr>
                <w:rFonts w:ascii="Calibri"/>
                <w:sz w:val="20"/>
              </w:rPr>
            </w:r>
          </w:p>
        </w:tc>
      </w:tr>
    </w:tbl>
    <w:p>
      <w:pPr>
        <w:spacing w:after="0" w:line="226" w:lineRule="exact"/>
        <w:jc w:val="right"/>
        <w:rPr>
          <w:rFonts w:ascii="Calibri" w:hAnsi="Calibri" w:cs="Calibri" w:eastAsia="Calibri" w:hint="default"/>
          <w:sz w:val="20"/>
          <w:szCs w:val="20"/>
        </w:rPr>
        <w:sectPr>
          <w:pgSz w:w="12240" w:h="15840"/>
          <w:pgMar w:header="0" w:footer="533" w:top="840" w:bottom="720" w:left="0" w:right="0"/>
        </w:sectPr>
      </w:pPr>
    </w:p>
    <w:p>
      <w:pPr>
        <w:spacing w:line="240" w:lineRule="auto" w:before="0"/>
        <w:ind w:right="0"/>
        <w:rPr>
          <w:rFonts w:ascii="Calibri" w:hAnsi="Calibri" w:cs="Calibri" w:eastAsia="Calibri" w:hint="default"/>
          <w:b/>
          <w:bCs/>
          <w:sz w:val="20"/>
          <w:szCs w:val="20"/>
        </w:rPr>
      </w:pPr>
    </w:p>
    <w:p>
      <w:pPr>
        <w:spacing w:line="240" w:lineRule="auto" w:before="1"/>
        <w:ind w:right="0"/>
        <w:rPr>
          <w:rFonts w:ascii="Calibri" w:hAnsi="Calibri" w:cs="Calibri" w:eastAsia="Calibri" w:hint="default"/>
          <w:b/>
          <w:bCs/>
          <w:sz w:val="23"/>
          <w:szCs w:val="23"/>
        </w:rPr>
      </w:pPr>
    </w:p>
    <w:p>
      <w:pPr>
        <w:pStyle w:val="BodyText"/>
        <w:spacing w:line="240" w:lineRule="auto" w:before="59"/>
        <w:ind w:right="1438"/>
        <w:jc w:val="both"/>
      </w:pPr>
      <w:r>
        <w:rPr/>
        <w:t>Tourists visiting Curaçao displayed different food consumption patterns. The DPITS investigated the time and place of</w:t>
      </w:r>
      <w:r>
        <w:rPr>
          <w:spacing w:val="-9"/>
        </w:rPr>
        <w:t> </w:t>
      </w:r>
      <w:r>
        <w:rPr/>
        <w:t>food</w:t>
      </w:r>
      <w:r>
        <w:rPr>
          <w:spacing w:val="-7"/>
        </w:rPr>
        <w:t> </w:t>
      </w:r>
      <w:r>
        <w:rPr/>
        <w:t>consumption</w:t>
      </w:r>
      <w:r>
        <w:rPr>
          <w:spacing w:val="-7"/>
        </w:rPr>
        <w:t> </w:t>
      </w:r>
      <w:r>
        <w:rPr/>
        <w:t>of</w:t>
      </w:r>
      <w:r>
        <w:rPr>
          <w:spacing w:val="-9"/>
        </w:rPr>
        <w:t> </w:t>
      </w:r>
      <w:r>
        <w:rPr/>
        <w:t>the</w:t>
      </w:r>
      <w:r>
        <w:rPr>
          <w:spacing w:val="-9"/>
        </w:rPr>
        <w:t> </w:t>
      </w:r>
      <w:r>
        <w:rPr/>
        <w:t>tourists.</w:t>
      </w:r>
      <w:r>
        <w:rPr>
          <w:spacing w:val="-4"/>
        </w:rPr>
        <w:t> </w:t>
      </w:r>
      <w:r>
        <w:rPr/>
        <w:t>Figure</w:t>
      </w:r>
      <w:r>
        <w:rPr>
          <w:spacing w:val="-8"/>
        </w:rPr>
        <w:t> </w:t>
      </w:r>
      <w:r>
        <w:rPr/>
        <w:t>26</w:t>
      </w:r>
      <w:r>
        <w:rPr>
          <w:spacing w:val="-8"/>
        </w:rPr>
        <w:t> </w:t>
      </w:r>
      <w:r>
        <w:rPr/>
        <w:t>reveals</w:t>
      </w:r>
      <w:r>
        <w:rPr>
          <w:spacing w:val="-9"/>
        </w:rPr>
        <w:t> </w:t>
      </w:r>
      <w:r>
        <w:rPr/>
        <w:t>three</w:t>
      </w:r>
      <w:r>
        <w:rPr>
          <w:spacing w:val="-6"/>
        </w:rPr>
        <w:t> </w:t>
      </w:r>
      <w:r>
        <w:rPr/>
        <w:t>interesting</w:t>
      </w:r>
      <w:r>
        <w:rPr>
          <w:spacing w:val="-8"/>
        </w:rPr>
        <w:t> </w:t>
      </w:r>
      <w:r>
        <w:rPr/>
        <w:t>consumption</w:t>
      </w:r>
      <w:r>
        <w:rPr>
          <w:spacing w:val="-7"/>
        </w:rPr>
        <w:t> </w:t>
      </w:r>
      <w:r>
        <w:rPr/>
        <w:t>patterns:</w:t>
      </w:r>
      <w:r>
        <w:rPr>
          <w:spacing w:val="-8"/>
        </w:rPr>
        <w:t> </w:t>
      </w:r>
      <w:r>
        <w:rPr/>
        <w:t>those</w:t>
      </w:r>
      <w:r>
        <w:rPr>
          <w:spacing w:val="-9"/>
        </w:rPr>
        <w:t> </w:t>
      </w:r>
      <w:r>
        <w:rPr/>
        <w:t>preparing</w:t>
      </w:r>
      <w:r>
        <w:rPr>
          <w:spacing w:val="-8"/>
        </w:rPr>
        <w:t> </w:t>
      </w:r>
      <w:r>
        <w:rPr/>
        <w:t>their </w:t>
      </w:r>
      <w:r>
        <w:rPr/>
        <w:t>own meals, those eating in their hotels, and those eating in restaurants. With regards to the consumption of breakfast, the majority of people (65%) eat breakfast in hotels, 18% eat breakfast in restaurants, and 17% prepare their own breakfast. With regards to lunch consumption, </w:t>
      </w:r>
      <w:r>
        <w:rPr>
          <w:spacing w:val="3"/>
        </w:rPr>
        <w:t>it </w:t>
      </w:r>
      <w:r>
        <w:rPr/>
        <w:t>is observed that tourists venture outside of their hotels </w:t>
      </w:r>
      <w:r>
        <w:rPr/>
        <w:t>where the majority (65%) consume lunch in restaurants and 34% eat lunch in hotels. As for dinner consumption, almost three out four tourists eat dinner at restaurants whereas only 1 out of 4 tourists eat in dinner in the hotel. The data reveals that as the day progresses, tourists seem to become more adventurous and explore the various gastronomic offerings on the</w:t>
      </w:r>
      <w:r>
        <w:rPr>
          <w:spacing w:val="-13"/>
        </w:rPr>
        <w:t> </w:t>
      </w:r>
      <w:r>
        <w:rPr/>
        <w:t>island.</w:t>
      </w:r>
    </w:p>
    <w:p>
      <w:pPr>
        <w:spacing w:line="240" w:lineRule="auto"/>
        <w:ind w:left="3705"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059299" cy="1929383"/>
            <wp:effectExtent l="0" t="0" r="0" b="0"/>
            <wp:docPr id="55" name="image30.png" descr=""/>
            <wp:cNvGraphicFramePr>
              <a:graphicFrameLocks noChangeAspect="1"/>
            </wp:cNvGraphicFramePr>
            <a:graphic>
              <a:graphicData uri="http://schemas.openxmlformats.org/drawingml/2006/picture">
                <pic:pic>
                  <pic:nvPicPr>
                    <pic:cNvPr id="56" name="image30.png"/>
                    <pic:cNvPicPr/>
                  </pic:nvPicPr>
                  <pic:blipFill>
                    <a:blip r:embed="rId54" cstate="print"/>
                    <a:stretch>
                      <a:fillRect/>
                    </a:stretch>
                  </pic:blipFill>
                  <pic:spPr>
                    <a:xfrm>
                      <a:off x="0" y="0"/>
                      <a:ext cx="3059299" cy="1929383"/>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2"/>
        <w:ind w:left="27" w:right="26"/>
        <w:jc w:val="center"/>
        <w:rPr>
          <w:b w:val="0"/>
          <w:bCs w:val="0"/>
        </w:rPr>
      </w:pPr>
      <w:bookmarkStart w:name="_bookmark106" w:id="107"/>
      <w:bookmarkEnd w:id="107"/>
      <w:r>
        <w:rPr>
          <w:b w:val="0"/>
        </w:rPr>
      </w:r>
      <w:r>
        <w:rPr/>
        <w:t>Figure 26:  Food consumption</w:t>
      </w:r>
      <w:r>
        <w:rPr>
          <w:spacing w:val="-16"/>
        </w:rPr>
        <w:t> </w:t>
      </w:r>
      <w:r>
        <w:rPr/>
        <w:t>patterns</w:t>
      </w:r>
      <w:r>
        <w:rPr>
          <w:b w:val="0"/>
        </w:rPr>
      </w:r>
    </w:p>
    <w:p>
      <w:pPr>
        <w:pStyle w:val="BodyText"/>
        <w:spacing w:line="259" w:lineRule="auto"/>
        <w:ind w:right="1436"/>
        <w:jc w:val="both"/>
      </w:pPr>
      <w:r>
        <w:rPr/>
        <w:t>The three main source markets are as follows: The Netherlands (35%), Venezuela (27%), and USA (13%). Together, these three markets account for 65% of total arrivals to Curaçao. Tourists from the Netherlands stay longer (13.89 nights) than tourists from the other two countries (6.78 and 7.08</w:t>
      </w:r>
      <w:r>
        <w:rPr>
          <w:spacing w:val="-23"/>
        </w:rPr>
        <w:t> </w:t>
      </w:r>
      <w:r>
        <w:rPr/>
        <w:t>nights).</w:t>
      </w:r>
    </w:p>
    <w:p>
      <w:pPr>
        <w:spacing w:line="240" w:lineRule="auto" w:before="6"/>
        <w:ind w:right="0"/>
        <w:rPr>
          <w:rFonts w:ascii="Calibri" w:hAnsi="Calibri" w:cs="Calibri" w:eastAsia="Calibri" w:hint="default"/>
          <w:sz w:val="21"/>
          <w:szCs w:val="21"/>
        </w:rPr>
      </w:pPr>
    </w:p>
    <w:p>
      <w:pPr>
        <w:pStyle w:val="BodyText"/>
        <w:spacing w:line="259" w:lineRule="auto"/>
        <w:ind w:right="1437"/>
        <w:jc w:val="both"/>
      </w:pPr>
      <w:r>
        <w:rPr/>
        <w:t>Canada,</w:t>
      </w:r>
      <w:r>
        <w:rPr>
          <w:spacing w:val="-9"/>
        </w:rPr>
        <w:t> </w:t>
      </w:r>
      <w:r>
        <w:rPr/>
        <w:t>Colombia</w:t>
      </w:r>
      <w:r>
        <w:rPr>
          <w:spacing w:val="-10"/>
        </w:rPr>
        <w:t> </w:t>
      </w:r>
      <w:r>
        <w:rPr/>
        <w:t>and</w:t>
      </w:r>
      <w:r>
        <w:rPr>
          <w:spacing w:val="-10"/>
        </w:rPr>
        <w:t> </w:t>
      </w:r>
      <w:r>
        <w:rPr/>
        <w:t>Brazil</w:t>
      </w:r>
      <w:r>
        <w:rPr>
          <w:spacing w:val="-9"/>
        </w:rPr>
        <w:t> </w:t>
      </w:r>
      <w:r>
        <w:rPr/>
        <w:t>should</w:t>
      </w:r>
      <w:r>
        <w:rPr>
          <w:spacing w:val="-10"/>
        </w:rPr>
        <w:t> </w:t>
      </w:r>
      <w:r>
        <w:rPr/>
        <w:t>be</w:t>
      </w:r>
      <w:r>
        <w:rPr>
          <w:spacing w:val="-11"/>
        </w:rPr>
        <w:t> </w:t>
      </w:r>
      <w:r>
        <w:rPr/>
        <w:t>kept</w:t>
      </w:r>
      <w:r>
        <w:rPr>
          <w:spacing w:val="-8"/>
        </w:rPr>
        <w:t> </w:t>
      </w:r>
      <w:r>
        <w:rPr/>
        <w:t>in</w:t>
      </w:r>
      <w:r>
        <w:rPr>
          <w:spacing w:val="-10"/>
        </w:rPr>
        <w:t> </w:t>
      </w:r>
      <w:r>
        <w:rPr/>
        <w:t>consideration</w:t>
      </w:r>
      <w:r>
        <w:rPr>
          <w:spacing w:val="-10"/>
        </w:rPr>
        <w:t> </w:t>
      </w:r>
      <w:r>
        <w:rPr/>
        <w:t>as</w:t>
      </w:r>
      <w:r>
        <w:rPr>
          <w:spacing w:val="-11"/>
        </w:rPr>
        <w:t> </w:t>
      </w:r>
      <w:r>
        <w:rPr/>
        <w:t>they</w:t>
      </w:r>
      <w:r>
        <w:rPr>
          <w:spacing w:val="-9"/>
        </w:rPr>
        <w:t> </w:t>
      </w:r>
      <w:r>
        <w:rPr/>
        <w:t>appear</w:t>
      </w:r>
      <w:r>
        <w:rPr>
          <w:spacing w:val="-10"/>
        </w:rPr>
        <w:t> </w:t>
      </w:r>
      <w:r>
        <w:rPr/>
        <w:t>to</w:t>
      </w:r>
      <w:r>
        <w:rPr>
          <w:spacing w:val="-10"/>
        </w:rPr>
        <w:t> </w:t>
      </w:r>
      <w:r>
        <w:rPr/>
        <w:t>be</w:t>
      </w:r>
      <w:r>
        <w:rPr>
          <w:spacing w:val="-8"/>
        </w:rPr>
        <w:t> </w:t>
      </w:r>
      <w:r>
        <w:rPr/>
        <w:t>emerging</w:t>
      </w:r>
      <w:r>
        <w:rPr>
          <w:spacing w:val="-10"/>
        </w:rPr>
        <w:t> </w:t>
      </w:r>
      <w:r>
        <w:rPr/>
        <w:t>complementary</w:t>
      </w:r>
      <w:r>
        <w:rPr>
          <w:spacing w:val="-9"/>
        </w:rPr>
        <w:t> </w:t>
      </w:r>
      <w:r>
        <w:rPr/>
        <w:t>markets </w:t>
      </w:r>
      <w:r>
        <w:rPr/>
        <w:t>(see Table 30). Colombia is a market to promote, especially after the abolition of the visa requirement on July 1, 2015. The elimination of the visa requirement will certainly boost demand from Colombia to Curaçao.</w:t>
      </w:r>
      <w:r>
        <w:rPr>
          <w:position w:val="5"/>
          <w:sz w:val="12"/>
        </w:rPr>
        <w:t>55 </w:t>
      </w:r>
      <w:r>
        <w:rPr/>
        <w:t>Preliminary </w:t>
      </w:r>
      <w:r>
        <w:rPr/>
        <w:t>market</w:t>
      </w:r>
      <w:r>
        <w:rPr>
          <w:spacing w:val="-3"/>
        </w:rPr>
        <w:t> </w:t>
      </w:r>
      <w:r>
        <w:rPr/>
        <w:t>numbers</w:t>
      </w:r>
      <w:r>
        <w:rPr>
          <w:spacing w:val="-5"/>
        </w:rPr>
        <w:t> </w:t>
      </w:r>
      <w:r>
        <w:rPr/>
        <w:t>already</w:t>
      </w:r>
      <w:r>
        <w:rPr>
          <w:spacing w:val="-3"/>
        </w:rPr>
        <w:t> </w:t>
      </w:r>
      <w:r>
        <w:rPr/>
        <w:t>indicate</w:t>
      </w:r>
      <w:r>
        <w:rPr>
          <w:spacing w:val="-4"/>
        </w:rPr>
        <w:t> </w:t>
      </w:r>
      <w:r>
        <w:rPr/>
        <w:t>that</w:t>
      </w:r>
      <w:r>
        <w:rPr>
          <w:spacing w:val="-3"/>
        </w:rPr>
        <w:t> </w:t>
      </w:r>
      <w:r>
        <w:rPr/>
        <w:t>demand</w:t>
      </w:r>
      <w:r>
        <w:rPr>
          <w:spacing w:val="-3"/>
        </w:rPr>
        <w:t> </w:t>
      </w:r>
      <w:r>
        <w:rPr/>
        <w:t>from</w:t>
      </w:r>
      <w:r>
        <w:rPr>
          <w:spacing w:val="-3"/>
        </w:rPr>
        <w:t> </w:t>
      </w:r>
      <w:r>
        <w:rPr/>
        <w:t>Colombia</w:t>
      </w:r>
      <w:r>
        <w:rPr>
          <w:spacing w:val="-3"/>
        </w:rPr>
        <w:t> </w:t>
      </w:r>
      <w:r>
        <w:rPr/>
        <w:t>to</w:t>
      </w:r>
      <w:r>
        <w:rPr>
          <w:spacing w:val="-3"/>
        </w:rPr>
        <w:t> </w:t>
      </w:r>
      <w:r>
        <w:rPr/>
        <w:t>the</w:t>
      </w:r>
      <w:r>
        <w:rPr>
          <w:spacing w:val="-4"/>
        </w:rPr>
        <w:t> </w:t>
      </w:r>
      <w:r>
        <w:rPr/>
        <w:t>destination</w:t>
      </w:r>
      <w:r>
        <w:rPr>
          <w:spacing w:val="-3"/>
        </w:rPr>
        <w:t> </w:t>
      </w:r>
      <w:r>
        <w:rPr/>
        <w:t>has</w:t>
      </w:r>
      <w:r>
        <w:rPr>
          <w:spacing w:val="-4"/>
        </w:rPr>
        <w:t> </w:t>
      </w:r>
      <w:r>
        <w:rPr/>
        <w:t>increased.</w:t>
      </w:r>
    </w:p>
    <w:p>
      <w:pPr>
        <w:spacing w:line="240" w:lineRule="auto" w:before="6"/>
        <w:ind w:right="0"/>
        <w:rPr>
          <w:rFonts w:ascii="Calibri" w:hAnsi="Calibri" w:cs="Calibri" w:eastAsia="Calibri" w:hint="default"/>
          <w:sz w:val="21"/>
          <w:szCs w:val="21"/>
        </w:rPr>
      </w:pPr>
    </w:p>
    <w:p>
      <w:pPr>
        <w:pStyle w:val="Heading9"/>
        <w:tabs>
          <w:tab w:pos="4911" w:val="left" w:leader="none"/>
          <w:tab w:pos="10748" w:val="left" w:leader="none"/>
        </w:tabs>
        <w:spacing w:line="240" w:lineRule="auto"/>
        <w:ind w:left="1490" w:right="0"/>
        <w:jc w:val="both"/>
        <w:rPr>
          <w:b w:val="0"/>
          <w:bCs w:val="0"/>
        </w:rPr>
      </w:pPr>
      <w:bookmarkStart w:name="_bookmark107" w:id="108"/>
      <w:bookmarkEnd w:id="108"/>
      <w:r>
        <w:rPr>
          <w:b w:val="0"/>
        </w:rPr>
      </w:r>
      <w:r>
        <w:rPr>
          <w:w w:val="99"/>
        </w:rPr>
      </w:r>
      <w:r>
        <w:rPr>
          <w:w w:val="99"/>
          <w:u w:val="single" w:color="000000"/>
        </w:rPr>
        <w:t> </w:t>
      </w:r>
      <w:r>
        <w:rPr>
          <w:u w:val="single" w:color="000000"/>
        </w:rPr>
        <w:tab/>
        <w:t>Table 30:  Arrivals by</w:t>
      </w:r>
      <w:r>
        <w:rPr>
          <w:spacing w:val="-13"/>
          <w:u w:val="single" w:color="000000"/>
        </w:rPr>
        <w:t> </w:t>
      </w:r>
      <w:r>
        <w:rPr>
          <w:u w:val="single" w:color="000000"/>
        </w:rPr>
        <w:t>country</w:t>
        <w:tab/>
      </w:r>
      <w:r>
        <w:rPr/>
      </w:r>
      <w:r>
        <w:rPr>
          <w:b w:val="0"/>
        </w:rPr>
      </w:r>
    </w:p>
    <w:p>
      <w:pPr>
        <w:spacing w:line="240" w:lineRule="auto" w:before="9"/>
        <w:ind w:right="0"/>
        <w:rPr>
          <w:rFonts w:ascii="Calibri" w:hAnsi="Calibri" w:cs="Calibri" w:eastAsia="Calibri" w:hint="default"/>
          <w:b/>
          <w:bCs/>
          <w:sz w:val="7"/>
          <w:szCs w:val="7"/>
        </w:rPr>
      </w:pPr>
    </w:p>
    <w:tbl>
      <w:tblPr>
        <w:tblW w:w="0" w:type="auto"/>
        <w:jc w:val="left"/>
        <w:tblInd w:w="1490" w:type="dxa"/>
        <w:tblLayout w:type="fixed"/>
        <w:tblCellMar>
          <w:top w:w="0" w:type="dxa"/>
          <w:left w:w="0" w:type="dxa"/>
          <w:bottom w:w="0" w:type="dxa"/>
          <w:right w:w="0" w:type="dxa"/>
        </w:tblCellMar>
        <w:tblLook w:val="01E0"/>
      </w:tblPr>
      <w:tblGrid>
        <w:gridCol w:w="4108"/>
        <w:gridCol w:w="5150"/>
      </w:tblGrid>
      <w:tr>
        <w:trPr>
          <w:trHeight w:val="207" w:hRule="exact"/>
        </w:trPr>
        <w:tc>
          <w:tcPr>
            <w:tcW w:w="4108" w:type="dxa"/>
            <w:tcBorders>
              <w:top w:val="nil" w:sz="6" w:space="0" w:color="auto"/>
              <w:left w:val="nil" w:sz="6" w:space="0" w:color="auto"/>
              <w:bottom w:val="single" w:sz="4" w:space="0" w:color="000000"/>
              <w:right w:val="nil" w:sz="6" w:space="0" w:color="auto"/>
            </w:tcBorders>
          </w:tcPr>
          <w:p>
            <w:pPr>
              <w:pStyle w:val="TableParagraph"/>
              <w:spacing w:line="203" w:lineRule="exact"/>
              <w:ind w:left="108" w:right="0"/>
              <w:jc w:val="left"/>
              <w:rPr>
                <w:rFonts w:ascii="Calibri" w:hAnsi="Calibri" w:cs="Calibri" w:eastAsia="Calibri" w:hint="default"/>
                <w:sz w:val="20"/>
                <w:szCs w:val="20"/>
              </w:rPr>
            </w:pPr>
            <w:r>
              <w:rPr>
                <w:rFonts w:ascii="Calibri"/>
                <w:b/>
                <w:sz w:val="20"/>
              </w:rPr>
              <w:t>Country</w:t>
            </w:r>
            <w:r>
              <w:rPr>
                <w:rFonts w:ascii="Calibri"/>
                <w:sz w:val="20"/>
              </w:rPr>
            </w:r>
          </w:p>
        </w:tc>
        <w:tc>
          <w:tcPr>
            <w:tcW w:w="5150" w:type="dxa"/>
            <w:tcBorders>
              <w:top w:val="nil" w:sz="6" w:space="0" w:color="auto"/>
              <w:left w:val="nil" w:sz="6" w:space="0" w:color="auto"/>
              <w:bottom w:val="single" w:sz="4" w:space="0" w:color="000000"/>
              <w:right w:val="nil" w:sz="6" w:space="0" w:color="auto"/>
            </w:tcBorders>
          </w:tcPr>
          <w:p>
            <w:pPr>
              <w:pStyle w:val="TableParagraph"/>
              <w:spacing w:line="203" w:lineRule="exact"/>
              <w:ind w:left="2656" w:right="0"/>
              <w:jc w:val="left"/>
              <w:rPr>
                <w:rFonts w:ascii="Calibri" w:hAnsi="Calibri" w:cs="Calibri" w:eastAsia="Calibri" w:hint="default"/>
                <w:sz w:val="20"/>
                <w:szCs w:val="20"/>
              </w:rPr>
            </w:pPr>
            <w:r>
              <w:rPr>
                <w:rFonts w:ascii="Calibri"/>
                <w:b/>
                <w:sz w:val="20"/>
              </w:rPr>
              <w:t>Frequency</w:t>
            </w:r>
            <w:r>
              <w:rPr>
                <w:rFonts w:ascii="Calibri"/>
                <w:sz w:val="20"/>
              </w:rPr>
            </w:r>
          </w:p>
        </w:tc>
      </w:tr>
      <w:tr>
        <w:trPr>
          <w:trHeight w:val="331" w:hRule="exact"/>
        </w:trPr>
        <w:tc>
          <w:tcPr>
            <w:tcW w:w="4108" w:type="dxa"/>
            <w:tcBorders>
              <w:top w:val="single" w:sz="4" w:space="0" w:color="000000"/>
              <w:left w:val="nil" w:sz="6" w:space="0" w:color="auto"/>
              <w:bottom w:val="nil" w:sz="6" w:space="0" w:color="auto"/>
              <w:right w:val="nil" w:sz="6" w:space="0" w:color="auto"/>
            </w:tcBorders>
          </w:tcPr>
          <w:p>
            <w:pPr>
              <w:pStyle w:val="TableParagraph"/>
              <w:spacing w:line="240" w:lineRule="auto" w:before="42"/>
              <w:ind w:left="108" w:right="0"/>
              <w:jc w:val="left"/>
              <w:rPr>
                <w:rFonts w:ascii="Calibri" w:hAnsi="Calibri" w:cs="Calibri" w:eastAsia="Calibri" w:hint="default"/>
                <w:sz w:val="20"/>
                <w:szCs w:val="20"/>
              </w:rPr>
            </w:pPr>
            <w:r>
              <w:rPr>
                <w:rFonts w:ascii="Calibri"/>
                <w:sz w:val="20"/>
              </w:rPr>
              <w:t>The</w:t>
            </w:r>
            <w:r>
              <w:rPr>
                <w:rFonts w:ascii="Calibri"/>
                <w:spacing w:val="-8"/>
                <w:sz w:val="20"/>
              </w:rPr>
              <w:t> </w:t>
            </w:r>
            <w:r>
              <w:rPr>
                <w:rFonts w:ascii="Calibri"/>
                <w:sz w:val="20"/>
              </w:rPr>
              <w:t>Netherlands</w:t>
            </w:r>
          </w:p>
        </w:tc>
        <w:tc>
          <w:tcPr>
            <w:tcW w:w="5150" w:type="dxa"/>
            <w:tcBorders>
              <w:top w:val="single" w:sz="4" w:space="0" w:color="000000"/>
              <w:left w:val="nil" w:sz="6" w:space="0" w:color="auto"/>
              <w:bottom w:val="nil" w:sz="6" w:space="0" w:color="auto"/>
              <w:right w:val="nil" w:sz="6" w:space="0" w:color="auto"/>
            </w:tcBorders>
          </w:tcPr>
          <w:p>
            <w:pPr>
              <w:pStyle w:val="TableParagraph"/>
              <w:spacing w:line="240" w:lineRule="auto" w:before="42"/>
              <w:ind w:right="1240"/>
              <w:jc w:val="right"/>
              <w:rPr>
                <w:rFonts w:ascii="Calibri" w:hAnsi="Calibri" w:cs="Calibri" w:eastAsia="Calibri" w:hint="default"/>
                <w:sz w:val="20"/>
                <w:szCs w:val="20"/>
              </w:rPr>
            </w:pPr>
            <w:r>
              <w:rPr>
                <w:rFonts w:ascii="Calibri"/>
                <w:spacing w:val="-1"/>
                <w:w w:val="95"/>
                <w:sz w:val="20"/>
              </w:rPr>
              <w:t>35%</w:t>
            </w:r>
            <w:r>
              <w:rPr>
                <w:rFonts w:ascii="Calibri"/>
                <w:sz w:val="20"/>
              </w:rPr>
            </w:r>
          </w:p>
        </w:tc>
      </w:tr>
      <w:tr>
        <w:trPr>
          <w:trHeight w:val="286" w:hRule="exact"/>
        </w:trPr>
        <w:tc>
          <w:tcPr>
            <w:tcW w:w="4108" w:type="dxa"/>
            <w:tcBorders>
              <w:top w:val="nil" w:sz="6" w:space="0" w:color="auto"/>
              <w:left w:val="nil" w:sz="6" w:space="0" w:color="auto"/>
              <w:bottom w:val="nil" w:sz="6" w:space="0" w:color="auto"/>
              <w:right w:val="nil" w:sz="6" w:space="0" w:color="auto"/>
            </w:tcBorders>
          </w:tcPr>
          <w:p>
            <w:pPr>
              <w:pStyle w:val="TableParagraph"/>
              <w:spacing w:line="240" w:lineRule="auto" w:before="2"/>
              <w:ind w:left="108" w:right="0"/>
              <w:jc w:val="left"/>
              <w:rPr>
                <w:rFonts w:ascii="Calibri" w:hAnsi="Calibri" w:cs="Calibri" w:eastAsia="Calibri" w:hint="default"/>
                <w:sz w:val="20"/>
                <w:szCs w:val="20"/>
              </w:rPr>
            </w:pPr>
            <w:r>
              <w:rPr>
                <w:rFonts w:ascii="Calibri"/>
                <w:sz w:val="20"/>
              </w:rPr>
              <w:t>Venezuela</w:t>
            </w:r>
          </w:p>
        </w:tc>
        <w:tc>
          <w:tcPr>
            <w:tcW w:w="5150" w:type="dxa"/>
            <w:tcBorders>
              <w:top w:val="nil" w:sz="6" w:space="0" w:color="auto"/>
              <w:left w:val="nil" w:sz="6" w:space="0" w:color="auto"/>
              <w:bottom w:val="nil" w:sz="6" w:space="0" w:color="auto"/>
              <w:right w:val="nil" w:sz="6" w:space="0" w:color="auto"/>
            </w:tcBorders>
          </w:tcPr>
          <w:p>
            <w:pPr>
              <w:pStyle w:val="TableParagraph"/>
              <w:spacing w:line="240" w:lineRule="auto" w:before="2"/>
              <w:ind w:right="1240"/>
              <w:jc w:val="right"/>
              <w:rPr>
                <w:rFonts w:ascii="Calibri" w:hAnsi="Calibri" w:cs="Calibri" w:eastAsia="Calibri" w:hint="default"/>
                <w:sz w:val="20"/>
                <w:szCs w:val="20"/>
              </w:rPr>
            </w:pPr>
            <w:r>
              <w:rPr>
                <w:rFonts w:ascii="Calibri"/>
                <w:spacing w:val="-1"/>
                <w:w w:val="95"/>
                <w:sz w:val="20"/>
              </w:rPr>
              <w:t>27%</w:t>
            </w:r>
            <w:r>
              <w:rPr>
                <w:rFonts w:ascii="Calibri"/>
                <w:sz w:val="20"/>
              </w:rPr>
            </w:r>
          </w:p>
        </w:tc>
      </w:tr>
      <w:tr>
        <w:trPr>
          <w:trHeight w:val="286" w:hRule="exact"/>
        </w:trPr>
        <w:tc>
          <w:tcPr>
            <w:tcW w:w="4108" w:type="dxa"/>
            <w:tcBorders>
              <w:top w:val="nil" w:sz="6" w:space="0" w:color="auto"/>
              <w:left w:val="nil" w:sz="6" w:space="0" w:color="auto"/>
              <w:bottom w:val="nil" w:sz="6" w:space="0" w:color="auto"/>
              <w:right w:val="nil" w:sz="6" w:space="0" w:color="auto"/>
            </w:tcBorders>
          </w:tcPr>
          <w:p>
            <w:pPr>
              <w:pStyle w:val="TableParagraph"/>
              <w:spacing w:line="240" w:lineRule="auto" w:before="2"/>
              <w:ind w:left="108" w:right="0"/>
              <w:jc w:val="left"/>
              <w:rPr>
                <w:rFonts w:ascii="Calibri" w:hAnsi="Calibri" w:cs="Calibri" w:eastAsia="Calibri" w:hint="default"/>
                <w:sz w:val="20"/>
                <w:szCs w:val="20"/>
              </w:rPr>
            </w:pPr>
            <w:r>
              <w:rPr>
                <w:rFonts w:ascii="Calibri"/>
                <w:sz w:val="20"/>
              </w:rPr>
              <w:t>United</w:t>
            </w:r>
            <w:r>
              <w:rPr>
                <w:rFonts w:ascii="Calibri"/>
                <w:spacing w:val="-8"/>
                <w:sz w:val="20"/>
              </w:rPr>
              <w:t> </w:t>
            </w:r>
            <w:r>
              <w:rPr>
                <w:rFonts w:ascii="Calibri"/>
                <w:sz w:val="20"/>
              </w:rPr>
              <w:t>States</w:t>
            </w:r>
          </w:p>
        </w:tc>
        <w:tc>
          <w:tcPr>
            <w:tcW w:w="5150" w:type="dxa"/>
            <w:tcBorders>
              <w:top w:val="nil" w:sz="6" w:space="0" w:color="auto"/>
              <w:left w:val="nil" w:sz="6" w:space="0" w:color="auto"/>
              <w:bottom w:val="nil" w:sz="6" w:space="0" w:color="auto"/>
              <w:right w:val="nil" w:sz="6" w:space="0" w:color="auto"/>
            </w:tcBorders>
          </w:tcPr>
          <w:p>
            <w:pPr>
              <w:pStyle w:val="TableParagraph"/>
              <w:spacing w:line="240" w:lineRule="auto" w:before="2"/>
              <w:ind w:right="1240"/>
              <w:jc w:val="right"/>
              <w:rPr>
                <w:rFonts w:ascii="Calibri" w:hAnsi="Calibri" w:cs="Calibri" w:eastAsia="Calibri" w:hint="default"/>
                <w:sz w:val="20"/>
                <w:szCs w:val="20"/>
              </w:rPr>
            </w:pPr>
            <w:r>
              <w:rPr>
                <w:rFonts w:ascii="Calibri"/>
                <w:spacing w:val="-1"/>
                <w:w w:val="95"/>
                <w:sz w:val="20"/>
              </w:rPr>
              <w:t>13%</w:t>
            </w:r>
            <w:r>
              <w:rPr>
                <w:rFonts w:ascii="Calibri"/>
                <w:sz w:val="20"/>
              </w:rPr>
            </w:r>
          </w:p>
        </w:tc>
      </w:tr>
      <w:tr>
        <w:trPr>
          <w:trHeight w:val="287" w:hRule="exact"/>
        </w:trPr>
        <w:tc>
          <w:tcPr>
            <w:tcW w:w="4108" w:type="dxa"/>
            <w:tcBorders>
              <w:top w:val="nil" w:sz="6" w:space="0" w:color="auto"/>
              <w:left w:val="nil" w:sz="6" w:space="0" w:color="auto"/>
              <w:bottom w:val="nil" w:sz="6" w:space="0" w:color="auto"/>
              <w:right w:val="nil" w:sz="6" w:space="0" w:color="auto"/>
            </w:tcBorders>
          </w:tcPr>
          <w:p>
            <w:pPr>
              <w:pStyle w:val="TableParagraph"/>
              <w:spacing w:line="240" w:lineRule="auto" w:before="2"/>
              <w:ind w:left="108" w:right="0"/>
              <w:jc w:val="left"/>
              <w:rPr>
                <w:rFonts w:ascii="Calibri" w:hAnsi="Calibri" w:cs="Calibri" w:eastAsia="Calibri" w:hint="default"/>
                <w:sz w:val="20"/>
                <w:szCs w:val="20"/>
              </w:rPr>
            </w:pPr>
            <w:r>
              <w:rPr>
                <w:rFonts w:ascii="Calibri"/>
                <w:sz w:val="20"/>
              </w:rPr>
              <w:t>Canada</w:t>
            </w:r>
          </w:p>
        </w:tc>
        <w:tc>
          <w:tcPr>
            <w:tcW w:w="5150" w:type="dxa"/>
            <w:tcBorders>
              <w:top w:val="nil" w:sz="6" w:space="0" w:color="auto"/>
              <w:left w:val="nil" w:sz="6" w:space="0" w:color="auto"/>
              <w:bottom w:val="nil" w:sz="6" w:space="0" w:color="auto"/>
              <w:right w:val="nil" w:sz="6" w:space="0" w:color="auto"/>
            </w:tcBorders>
          </w:tcPr>
          <w:p>
            <w:pPr>
              <w:pStyle w:val="TableParagraph"/>
              <w:spacing w:line="240" w:lineRule="auto" w:before="2"/>
              <w:ind w:right="1245"/>
              <w:jc w:val="right"/>
              <w:rPr>
                <w:rFonts w:ascii="Calibri" w:hAnsi="Calibri" w:cs="Calibri" w:eastAsia="Calibri" w:hint="default"/>
                <w:sz w:val="20"/>
                <w:szCs w:val="20"/>
              </w:rPr>
            </w:pPr>
            <w:r>
              <w:rPr>
                <w:rFonts w:ascii="Calibri"/>
                <w:spacing w:val="-1"/>
                <w:w w:val="95"/>
                <w:sz w:val="20"/>
              </w:rPr>
              <w:t>7%</w:t>
            </w:r>
            <w:r>
              <w:rPr>
                <w:rFonts w:ascii="Calibri"/>
                <w:sz w:val="20"/>
              </w:rPr>
            </w:r>
          </w:p>
        </w:tc>
      </w:tr>
      <w:tr>
        <w:trPr>
          <w:trHeight w:val="287" w:hRule="exact"/>
        </w:trPr>
        <w:tc>
          <w:tcPr>
            <w:tcW w:w="4108" w:type="dxa"/>
            <w:tcBorders>
              <w:top w:val="nil" w:sz="6" w:space="0" w:color="auto"/>
              <w:left w:val="nil" w:sz="6" w:space="0" w:color="auto"/>
              <w:bottom w:val="nil" w:sz="6" w:space="0" w:color="auto"/>
              <w:right w:val="nil" w:sz="6" w:space="0" w:color="auto"/>
            </w:tcBorders>
          </w:tcPr>
          <w:p>
            <w:pPr>
              <w:pStyle w:val="TableParagraph"/>
              <w:spacing w:line="240" w:lineRule="auto" w:before="3"/>
              <w:ind w:left="108" w:right="0"/>
              <w:jc w:val="left"/>
              <w:rPr>
                <w:rFonts w:ascii="Calibri" w:hAnsi="Calibri" w:cs="Calibri" w:eastAsia="Calibri" w:hint="default"/>
                <w:sz w:val="20"/>
                <w:szCs w:val="20"/>
              </w:rPr>
            </w:pPr>
            <w:r>
              <w:rPr>
                <w:rFonts w:ascii="Calibri"/>
                <w:sz w:val="20"/>
              </w:rPr>
              <w:t>Colombia</w:t>
            </w:r>
          </w:p>
        </w:tc>
        <w:tc>
          <w:tcPr>
            <w:tcW w:w="5150" w:type="dxa"/>
            <w:tcBorders>
              <w:top w:val="nil" w:sz="6" w:space="0" w:color="auto"/>
              <w:left w:val="nil" w:sz="6" w:space="0" w:color="auto"/>
              <w:bottom w:val="nil" w:sz="6" w:space="0" w:color="auto"/>
              <w:right w:val="nil" w:sz="6" w:space="0" w:color="auto"/>
            </w:tcBorders>
          </w:tcPr>
          <w:p>
            <w:pPr>
              <w:pStyle w:val="TableParagraph"/>
              <w:spacing w:line="240" w:lineRule="auto" w:before="3"/>
              <w:ind w:right="1245"/>
              <w:jc w:val="right"/>
              <w:rPr>
                <w:rFonts w:ascii="Calibri" w:hAnsi="Calibri" w:cs="Calibri" w:eastAsia="Calibri" w:hint="default"/>
                <w:sz w:val="20"/>
                <w:szCs w:val="20"/>
              </w:rPr>
            </w:pPr>
            <w:r>
              <w:rPr>
                <w:rFonts w:ascii="Calibri"/>
                <w:spacing w:val="-1"/>
                <w:w w:val="95"/>
                <w:sz w:val="20"/>
              </w:rPr>
              <w:t>5%</w:t>
            </w:r>
            <w:r>
              <w:rPr>
                <w:rFonts w:ascii="Calibri"/>
                <w:sz w:val="20"/>
              </w:rPr>
            </w:r>
          </w:p>
        </w:tc>
      </w:tr>
      <w:tr>
        <w:trPr>
          <w:trHeight w:val="286" w:hRule="exact"/>
        </w:trPr>
        <w:tc>
          <w:tcPr>
            <w:tcW w:w="4108" w:type="dxa"/>
            <w:tcBorders>
              <w:top w:val="nil" w:sz="6" w:space="0" w:color="auto"/>
              <w:left w:val="nil" w:sz="6" w:space="0" w:color="auto"/>
              <w:bottom w:val="nil" w:sz="6" w:space="0" w:color="auto"/>
              <w:right w:val="nil" w:sz="6" w:space="0" w:color="auto"/>
            </w:tcBorders>
          </w:tcPr>
          <w:p>
            <w:pPr>
              <w:pStyle w:val="TableParagraph"/>
              <w:spacing w:line="240" w:lineRule="auto" w:before="2"/>
              <w:ind w:left="108" w:right="0"/>
              <w:jc w:val="left"/>
              <w:rPr>
                <w:rFonts w:ascii="Calibri" w:hAnsi="Calibri" w:cs="Calibri" w:eastAsia="Calibri" w:hint="default"/>
                <w:sz w:val="20"/>
                <w:szCs w:val="20"/>
              </w:rPr>
            </w:pPr>
            <w:r>
              <w:rPr>
                <w:rFonts w:ascii="Calibri"/>
                <w:sz w:val="20"/>
              </w:rPr>
              <w:t>Brazil</w:t>
            </w:r>
          </w:p>
        </w:tc>
        <w:tc>
          <w:tcPr>
            <w:tcW w:w="5150" w:type="dxa"/>
            <w:tcBorders>
              <w:top w:val="nil" w:sz="6" w:space="0" w:color="auto"/>
              <w:left w:val="nil" w:sz="6" w:space="0" w:color="auto"/>
              <w:bottom w:val="nil" w:sz="6" w:space="0" w:color="auto"/>
              <w:right w:val="nil" w:sz="6" w:space="0" w:color="auto"/>
            </w:tcBorders>
          </w:tcPr>
          <w:p>
            <w:pPr>
              <w:pStyle w:val="TableParagraph"/>
              <w:spacing w:line="240" w:lineRule="auto" w:before="2"/>
              <w:ind w:right="1245"/>
              <w:jc w:val="right"/>
              <w:rPr>
                <w:rFonts w:ascii="Calibri" w:hAnsi="Calibri" w:cs="Calibri" w:eastAsia="Calibri" w:hint="default"/>
                <w:sz w:val="20"/>
                <w:szCs w:val="20"/>
              </w:rPr>
            </w:pPr>
            <w:r>
              <w:rPr>
                <w:rFonts w:ascii="Calibri"/>
                <w:spacing w:val="-1"/>
                <w:w w:val="95"/>
                <w:sz w:val="20"/>
              </w:rPr>
              <w:t>4%</w:t>
            </w:r>
            <w:r>
              <w:rPr>
                <w:rFonts w:ascii="Calibri"/>
                <w:sz w:val="20"/>
              </w:rPr>
            </w:r>
          </w:p>
        </w:tc>
      </w:tr>
      <w:tr>
        <w:trPr>
          <w:trHeight w:val="253" w:hRule="exact"/>
        </w:trPr>
        <w:tc>
          <w:tcPr>
            <w:tcW w:w="4108" w:type="dxa"/>
            <w:tcBorders>
              <w:top w:val="nil" w:sz="6" w:space="0" w:color="auto"/>
              <w:left w:val="nil" w:sz="6" w:space="0" w:color="auto"/>
              <w:bottom w:val="single" w:sz="4" w:space="0" w:color="000000"/>
              <w:right w:val="nil" w:sz="6" w:space="0" w:color="auto"/>
            </w:tcBorders>
          </w:tcPr>
          <w:p>
            <w:pPr>
              <w:pStyle w:val="TableParagraph"/>
              <w:spacing w:line="240" w:lineRule="auto" w:before="2"/>
              <w:ind w:left="108" w:right="0"/>
              <w:jc w:val="left"/>
              <w:rPr>
                <w:rFonts w:ascii="Calibri" w:hAnsi="Calibri" w:cs="Calibri" w:eastAsia="Calibri" w:hint="default"/>
                <w:sz w:val="20"/>
                <w:szCs w:val="20"/>
              </w:rPr>
            </w:pPr>
            <w:r>
              <w:rPr>
                <w:rFonts w:ascii="Calibri"/>
                <w:sz w:val="20"/>
              </w:rPr>
              <w:t>Other</w:t>
            </w:r>
          </w:p>
        </w:tc>
        <w:tc>
          <w:tcPr>
            <w:tcW w:w="5150" w:type="dxa"/>
            <w:tcBorders>
              <w:top w:val="nil" w:sz="6" w:space="0" w:color="auto"/>
              <w:left w:val="nil" w:sz="6" w:space="0" w:color="auto"/>
              <w:bottom w:val="single" w:sz="4" w:space="0" w:color="000000"/>
              <w:right w:val="nil" w:sz="6" w:space="0" w:color="auto"/>
            </w:tcBorders>
          </w:tcPr>
          <w:p>
            <w:pPr>
              <w:pStyle w:val="TableParagraph"/>
              <w:spacing w:line="240" w:lineRule="auto" w:before="2"/>
              <w:ind w:right="1245"/>
              <w:jc w:val="right"/>
              <w:rPr>
                <w:rFonts w:ascii="Calibri" w:hAnsi="Calibri" w:cs="Calibri" w:eastAsia="Calibri" w:hint="default"/>
                <w:sz w:val="20"/>
                <w:szCs w:val="20"/>
              </w:rPr>
            </w:pPr>
            <w:r>
              <w:rPr>
                <w:rFonts w:ascii="Calibri"/>
                <w:spacing w:val="-1"/>
                <w:w w:val="95"/>
                <w:sz w:val="20"/>
              </w:rPr>
              <w:t>9%</w:t>
            </w:r>
            <w:r>
              <w:rPr>
                <w:rFonts w:ascii="Calibri"/>
                <w:sz w:val="20"/>
              </w:rPr>
            </w:r>
          </w:p>
        </w:tc>
      </w:tr>
    </w:tbl>
    <w:p>
      <w:pPr>
        <w:spacing w:line="240" w:lineRule="auto" w:before="10"/>
        <w:ind w:right="0"/>
        <w:rPr>
          <w:rFonts w:ascii="Calibri" w:hAnsi="Calibri" w:cs="Calibri" w:eastAsia="Calibri" w:hint="default"/>
          <w:b/>
          <w:bCs/>
          <w:sz w:val="21"/>
          <w:szCs w:val="21"/>
        </w:rPr>
      </w:pPr>
    </w:p>
    <w:p>
      <w:pPr>
        <w:pStyle w:val="Heading2"/>
        <w:spacing w:line="240" w:lineRule="auto"/>
        <w:ind w:right="0"/>
        <w:jc w:val="both"/>
        <w:rPr>
          <w:b w:val="0"/>
          <w:bCs w:val="0"/>
        </w:rPr>
      </w:pPr>
      <w:bookmarkStart w:name="_bookmark108" w:id="109"/>
      <w:bookmarkEnd w:id="109"/>
      <w:r>
        <w:rPr>
          <w:b w:val="0"/>
        </w:rPr>
      </w:r>
      <w:r>
        <w:rPr/>
        <w:t>From satisfaction to intention to</w:t>
      </w:r>
      <w:r>
        <w:rPr>
          <w:spacing w:val="-13"/>
        </w:rPr>
        <w:t> </w:t>
      </w:r>
      <w:r>
        <w:rPr/>
        <w:t>return</w:t>
      </w:r>
      <w:r>
        <w:rPr>
          <w:b w:val="0"/>
        </w:rPr>
      </w:r>
    </w:p>
    <w:p>
      <w:pPr>
        <w:pStyle w:val="BodyText"/>
        <w:spacing w:line="259" w:lineRule="auto" w:before="189"/>
        <w:ind w:right="1436"/>
        <w:jc w:val="both"/>
      </w:pPr>
      <w:r>
        <w:rPr>
          <w:rFonts w:ascii="Calibri" w:hAnsi="Calibri" w:cs="Calibri" w:eastAsia="Calibri" w:hint="default"/>
        </w:rPr>
        <w:t>Nearly three out of four tourists indicated that their “Overall satisfaction of the island” was high with their </w:t>
      </w:r>
      <w:r>
        <w:rPr/>
        <w:t>experience</w:t>
      </w:r>
      <w:r>
        <w:rPr>
          <w:spacing w:val="-13"/>
        </w:rPr>
        <w:t> </w:t>
      </w:r>
      <w:r>
        <w:rPr/>
        <w:t>in</w:t>
      </w:r>
      <w:r>
        <w:rPr>
          <w:spacing w:val="-12"/>
        </w:rPr>
        <w:t> </w:t>
      </w:r>
      <w:r>
        <w:rPr/>
        <w:t>Curaçao,</w:t>
      </w:r>
      <w:r>
        <w:rPr>
          <w:spacing w:val="-12"/>
        </w:rPr>
        <w:t> </w:t>
      </w:r>
      <w:r>
        <w:rPr/>
        <w:t>and</w:t>
      </w:r>
      <w:r>
        <w:rPr>
          <w:spacing w:val="-14"/>
        </w:rPr>
        <w:t> </w:t>
      </w:r>
      <w:r>
        <w:rPr/>
        <w:t>nearly</w:t>
      </w:r>
      <w:r>
        <w:rPr>
          <w:spacing w:val="-12"/>
        </w:rPr>
        <w:t> </w:t>
      </w:r>
      <w:r>
        <w:rPr/>
        <w:t>one</w:t>
      </w:r>
      <w:r>
        <w:rPr>
          <w:spacing w:val="-13"/>
        </w:rPr>
        <w:t> </w:t>
      </w:r>
      <w:r>
        <w:rPr/>
        <w:t>out</w:t>
      </w:r>
      <w:r>
        <w:rPr>
          <w:spacing w:val="-15"/>
        </w:rPr>
        <w:t> </w:t>
      </w:r>
      <w:r>
        <w:rPr/>
        <w:t>of</w:t>
      </w:r>
      <w:r>
        <w:rPr>
          <w:spacing w:val="-13"/>
        </w:rPr>
        <w:t> </w:t>
      </w:r>
      <w:r>
        <w:rPr/>
        <w:t>four</w:t>
      </w:r>
      <w:r>
        <w:rPr>
          <w:spacing w:val="-13"/>
        </w:rPr>
        <w:t> </w:t>
      </w:r>
      <w:r>
        <w:rPr/>
        <w:t>reported</w:t>
      </w:r>
      <w:r>
        <w:rPr>
          <w:spacing w:val="-12"/>
        </w:rPr>
        <w:t> </w:t>
      </w:r>
      <w:r>
        <w:rPr/>
        <w:t>being</w:t>
      </w:r>
      <w:r>
        <w:rPr>
          <w:spacing w:val="-13"/>
        </w:rPr>
        <w:t> </w:t>
      </w:r>
      <w:r>
        <w:rPr/>
        <w:t>satisfied</w:t>
      </w:r>
      <w:r>
        <w:rPr>
          <w:spacing w:val="-12"/>
        </w:rPr>
        <w:t> </w:t>
      </w:r>
      <w:r>
        <w:rPr/>
        <w:t>with</w:t>
      </w:r>
      <w:r>
        <w:rPr>
          <w:spacing w:val="-12"/>
        </w:rPr>
        <w:t> </w:t>
      </w:r>
      <w:r>
        <w:rPr/>
        <w:t>their</w:t>
      </w:r>
      <w:r>
        <w:rPr>
          <w:spacing w:val="-13"/>
        </w:rPr>
        <w:t> </w:t>
      </w:r>
      <w:r>
        <w:rPr/>
        <w:t>level</w:t>
      </w:r>
      <w:r>
        <w:rPr>
          <w:spacing w:val="-13"/>
        </w:rPr>
        <w:t> </w:t>
      </w:r>
      <w:r>
        <w:rPr/>
        <w:t>of</w:t>
      </w:r>
      <w:r>
        <w:rPr>
          <w:spacing w:val="-13"/>
        </w:rPr>
        <w:t> </w:t>
      </w:r>
      <w:r>
        <w:rPr/>
        <w:t>experience.</w:t>
      </w:r>
      <w:r>
        <w:rPr>
          <w:spacing w:val="-13"/>
        </w:rPr>
        <w:t> </w:t>
      </w:r>
      <w:r>
        <w:rPr/>
        <w:t>This</w:t>
      </w:r>
      <w:r>
        <w:rPr>
          <w:spacing w:val="-14"/>
        </w:rPr>
        <w:t> </w:t>
      </w:r>
      <w:r>
        <w:rPr/>
        <w:t>equates </w:t>
      </w:r>
      <w:r>
        <w:rPr/>
        <w:t>to a total of nine out of ten persons (97.7%) indicating that they were satisfied with their visit to Curaçao. The</w:t>
      </w:r>
      <w:r>
        <w:rPr>
          <w:spacing w:val="-22"/>
        </w:rPr>
        <w:t> </w:t>
      </w:r>
      <w:r>
        <w:rPr/>
        <w:t>main</w:t>
      </w:r>
    </w:p>
    <w:p>
      <w:pPr>
        <w:spacing w:line="240" w:lineRule="auto" w:before="8"/>
        <w:ind w:right="0"/>
        <w:rPr>
          <w:rFonts w:ascii="Calibri" w:hAnsi="Calibri" w:cs="Calibri" w:eastAsia="Calibri" w:hint="default"/>
          <w:sz w:val="12"/>
          <w:szCs w:val="12"/>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line="242" w:lineRule="auto" w:before="91"/>
        <w:ind w:left="1440" w:right="1435" w:firstLine="0"/>
        <w:jc w:val="left"/>
        <w:rPr>
          <w:rFonts w:ascii="Calibri" w:hAnsi="Calibri" w:cs="Calibri" w:eastAsia="Calibri" w:hint="default"/>
          <w:sz w:val="16"/>
          <w:szCs w:val="16"/>
        </w:rPr>
      </w:pPr>
      <w:r>
        <w:rPr>
          <w:rFonts w:ascii="Calibri" w:hAnsi="Calibri"/>
          <w:position w:val="5"/>
          <w:sz w:val="12"/>
        </w:rPr>
        <w:t>55 </w:t>
      </w:r>
      <w:r>
        <w:rPr>
          <w:rFonts w:ascii="Calibri" w:hAnsi="Calibri"/>
          <w:sz w:val="16"/>
        </w:rPr>
        <w:t>The elasticity of demand due to the visa requirement for Colombian citizens was significant in the case of, for example Aruba, The estimated </w:t>
      </w:r>
      <w:r>
        <w:rPr>
          <w:rFonts w:ascii="Calibri" w:hAnsi="Calibri"/>
          <w:sz w:val="16"/>
        </w:rPr>
        <w:t>impact in 2003 was negative (-0.224) and significant at the 1% level of confidence (See Vanegas, 2009). The suspicion is that a similar negative effect occurred in the case of</w:t>
      </w:r>
      <w:r>
        <w:rPr>
          <w:rFonts w:ascii="Calibri" w:hAnsi="Calibri"/>
          <w:spacing w:val="-13"/>
          <w:sz w:val="16"/>
        </w:rPr>
        <w:t> </w:t>
      </w:r>
      <w:r>
        <w:rPr>
          <w:rFonts w:ascii="Calibri" w:hAnsi="Calibri"/>
          <w:sz w:val="16"/>
        </w:rPr>
        <w:t>Curaçao.</w:t>
      </w:r>
    </w:p>
    <w:p>
      <w:pPr>
        <w:spacing w:after="0" w:line="242"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59" w:lineRule="auto" w:before="59"/>
        <w:ind w:right="1437"/>
        <w:jc w:val="both"/>
      </w:pPr>
      <w:r>
        <w:rPr/>
        <w:t>driver of overall satisfaction is the accommodation sector, followed by restaurants, and entertainment activities as revealed in Table 31. The satisfaction level of the accommodation sector is very high where 97.1% of respondents being satisfied with their experience of the</w:t>
      </w:r>
      <w:r>
        <w:rPr>
          <w:spacing w:val="-25"/>
        </w:rPr>
        <w:t> </w:t>
      </w:r>
      <w:r>
        <w:rPr/>
        <w:t>product.</w:t>
      </w:r>
    </w:p>
    <w:p>
      <w:pPr>
        <w:spacing w:line="240" w:lineRule="auto" w:before="6"/>
        <w:ind w:right="0"/>
        <w:rPr>
          <w:rFonts w:ascii="Calibri" w:hAnsi="Calibri" w:cs="Calibri" w:eastAsia="Calibri" w:hint="default"/>
          <w:sz w:val="21"/>
          <w:szCs w:val="21"/>
        </w:rPr>
      </w:pPr>
    </w:p>
    <w:p>
      <w:pPr>
        <w:pStyle w:val="Heading9"/>
        <w:tabs>
          <w:tab w:pos="4896" w:val="left" w:leader="none"/>
          <w:tab w:pos="10785" w:val="left" w:leader="none"/>
        </w:tabs>
        <w:spacing w:line="240" w:lineRule="auto" w:after="66"/>
        <w:ind w:left="1457" w:right="0"/>
        <w:jc w:val="both"/>
        <w:rPr>
          <w:b w:val="0"/>
          <w:bCs w:val="0"/>
        </w:rPr>
      </w:pPr>
      <w:bookmarkStart w:name="_bookmark109" w:id="110"/>
      <w:bookmarkEnd w:id="110"/>
      <w:r>
        <w:rPr>
          <w:b w:val="0"/>
        </w:rPr>
      </w:r>
      <w:r>
        <w:rPr>
          <w:w w:val="99"/>
        </w:rPr>
      </w:r>
      <w:r>
        <w:rPr>
          <w:w w:val="99"/>
          <w:u w:val="single" w:color="000000"/>
        </w:rPr>
        <w:t> </w:t>
      </w:r>
      <w:r>
        <w:rPr>
          <w:u w:val="single" w:color="000000"/>
        </w:rPr>
        <w:tab/>
        <w:t>Table 31:  Overall</w:t>
      </w:r>
      <w:r>
        <w:rPr>
          <w:spacing w:val="-14"/>
          <w:u w:val="single" w:color="000000"/>
        </w:rPr>
        <w:t> </w:t>
      </w:r>
      <w:r>
        <w:rPr>
          <w:u w:val="single" w:color="000000"/>
        </w:rPr>
        <w:t>satisfaction</w:t>
        <w:tab/>
      </w:r>
      <w:r>
        <w:rPr/>
      </w:r>
      <w:r>
        <w:rPr>
          <w:b w:val="0"/>
        </w:rPr>
      </w:r>
    </w:p>
    <w:tbl>
      <w:tblPr>
        <w:tblW w:w="0" w:type="auto"/>
        <w:jc w:val="left"/>
        <w:tblInd w:w="1457" w:type="dxa"/>
        <w:tblLayout w:type="fixed"/>
        <w:tblCellMar>
          <w:top w:w="0" w:type="dxa"/>
          <w:left w:w="0" w:type="dxa"/>
          <w:bottom w:w="0" w:type="dxa"/>
          <w:right w:w="0" w:type="dxa"/>
        </w:tblCellMar>
        <w:tblLook w:val="01E0"/>
      </w:tblPr>
      <w:tblGrid>
        <w:gridCol w:w="3995"/>
        <w:gridCol w:w="2476"/>
        <w:gridCol w:w="1322"/>
        <w:gridCol w:w="1535"/>
      </w:tblGrid>
      <w:tr>
        <w:trPr>
          <w:trHeight w:val="229" w:hRule="exact"/>
        </w:trPr>
        <w:tc>
          <w:tcPr>
            <w:tcW w:w="3995" w:type="dxa"/>
            <w:tcBorders>
              <w:top w:val="nil" w:sz="6" w:space="0" w:color="auto"/>
              <w:left w:val="nil" w:sz="6" w:space="0" w:color="auto"/>
              <w:bottom w:val="single" w:sz="4" w:space="0" w:color="000000"/>
              <w:right w:val="nil" w:sz="6" w:space="0" w:color="auto"/>
            </w:tcBorders>
          </w:tcPr>
          <w:p>
            <w:pPr>
              <w:pStyle w:val="TableParagraph"/>
              <w:spacing w:line="203" w:lineRule="exact"/>
              <w:ind w:left="333" w:right="0"/>
              <w:jc w:val="left"/>
              <w:rPr>
                <w:rFonts w:ascii="Calibri" w:hAnsi="Calibri" w:cs="Calibri" w:eastAsia="Calibri" w:hint="default"/>
                <w:sz w:val="20"/>
                <w:szCs w:val="20"/>
              </w:rPr>
            </w:pPr>
            <w:r>
              <w:rPr>
                <w:rFonts w:ascii="Calibri"/>
                <w:b/>
                <w:sz w:val="20"/>
              </w:rPr>
              <w:t>Independent</w:t>
            </w:r>
            <w:r>
              <w:rPr>
                <w:rFonts w:ascii="Calibri"/>
                <w:b/>
                <w:spacing w:val="-15"/>
                <w:sz w:val="20"/>
              </w:rPr>
              <w:t> </w:t>
            </w:r>
            <w:r>
              <w:rPr>
                <w:rFonts w:ascii="Calibri"/>
                <w:b/>
                <w:sz w:val="20"/>
              </w:rPr>
              <w:t>Variable</w:t>
            </w:r>
            <w:r>
              <w:rPr>
                <w:rFonts w:ascii="Calibri"/>
                <w:sz w:val="20"/>
              </w:rPr>
            </w:r>
          </w:p>
        </w:tc>
        <w:tc>
          <w:tcPr>
            <w:tcW w:w="2476" w:type="dxa"/>
            <w:tcBorders>
              <w:top w:val="nil" w:sz="6" w:space="0" w:color="auto"/>
              <w:left w:val="nil" w:sz="6" w:space="0" w:color="auto"/>
              <w:bottom w:val="single" w:sz="4" w:space="0" w:color="000000"/>
              <w:right w:val="nil" w:sz="6" w:space="0" w:color="auto"/>
            </w:tcBorders>
          </w:tcPr>
          <w:p>
            <w:pPr>
              <w:pStyle w:val="TableParagraph"/>
              <w:spacing w:line="203" w:lineRule="exact"/>
              <w:ind w:right="337"/>
              <w:jc w:val="right"/>
              <w:rPr>
                <w:rFonts w:ascii="Calibri" w:hAnsi="Calibri" w:cs="Calibri" w:eastAsia="Calibri" w:hint="default"/>
                <w:sz w:val="20"/>
                <w:szCs w:val="20"/>
              </w:rPr>
            </w:pPr>
            <w:r>
              <w:rPr>
                <w:rFonts w:ascii="Calibri"/>
                <w:b/>
                <w:w w:val="95"/>
                <w:sz w:val="20"/>
              </w:rPr>
              <w:t>Mean</w:t>
            </w:r>
            <w:r>
              <w:rPr>
                <w:rFonts w:ascii="Calibri"/>
                <w:sz w:val="20"/>
              </w:rPr>
            </w:r>
          </w:p>
        </w:tc>
        <w:tc>
          <w:tcPr>
            <w:tcW w:w="1322" w:type="dxa"/>
            <w:tcBorders>
              <w:top w:val="nil" w:sz="6" w:space="0" w:color="auto"/>
              <w:left w:val="nil" w:sz="6" w:space="0" w:color="auto"/>
              <w:bottom w:val="single" w:sz="4" w:space="0" w:color="000000"/>
              <w:right w:val="nil" w:sz="6" w:space="0" w:color="auto"/>
            </w:tcBorders>
          </w:tcPr>
          <w:p>
            <w:pPr>
              <w:pStyle w:val="TableParagraph"/>
              <w:spacing w:line="203" w:lineRule="exact"/>
              <w:ind w:right="63"/>
              <w:jc w:val="center"/>
              <w:rPr>
                <w:rFonts w:ascii="Calibri" w:hAnsi="Calibri" w:cs="Calibri" w:eastAsia="Calibri" w:hint="default"/>
                <w:sz w:val="20"/>
                <w:szCs w:val="20"/>
              </w:rPr>
            </w:pPr>
            <w:r>
              <w:rPr>
                <w:rFonts w:ascii="Calibri"/>
                <w:b/>
                <w:sz w:val="20"/>
              </w:rPr>
              <w:t>(SD)</w:t>
            </w:r>
            <w:r>
              <w:rPr>
                <w:rFonts w:ascii="Calibri"/>
                <w:sz w:val="20"/>
              </w:rPr>
            </w:r>
          </w:p>
        </w:tc>
        <w:tc>
          <w:tcPr>
            <w:tcW w:w="1535" w:type="dxa"/>
            <w:tcBorders>
              <w:top w:val="nil" w:sz="6" w:space="0" w:color="auto"/>
              <w:left w:val="nil" w:sz="6" w:space="0" w:color="auto"/>
              <w:bottom w:val="single" w:sz="4" w:space="0" w:color="000000"/>
              <w:right w:val="nil" w:sz="6" w:space="0" w:color="auto"/>
            </w:tcBorders>
          </w:tcPr>
          <w:p>
            <w:pPr>
              <w:pStyle w:val="TableParagraph"/>
              <w:spacing w:line="203" w:lineRule="exact"/>
              <w:ind w:right="561"/>
              <w:jc w:val="right"/>
              <w:rPr>
                <w:rFonts w:ascii="Calibri" w:hAnsi="Calibri" w:cs="Calibri" w:eastAsia="Calibri" w:hint="default"/>
                <w:sz w:val="20"/>
                <w:szCs w:val="20"/>
              </w:rPr>
            </w:pPr>
            <w:r>
              <w:rPr>
                <w:rFonts w:ascii="Calibri" w:hAnsi="Calibri"/>
                <w:b/>
                <w:sz w:val="20"/>
              </w:rPr>
              <w:t>Std.</w:t>
            </w:r>
            <w:r>
              <w:rPr>
                <w:rFonts w:ascii="Calibri" w:hAnsi="Calibri"/>
                <w:b/>
                <w:spacing w:val="-3"/>
                <w:sz w:val="20"/>
              </w:rPr>
              <w:t> </w:t>
            </w:r>
            <w:r>
              <w:rPr>
                <w:rFonts w:ascii="Calibri" w:hAnsi="Calibri"/>
                <w:b/>
                <w:sz w:val="20"/>
              </w:rPr>
              <w:t>β</w:t>
            </w:r>
            <w:r>
              <w:rPr>
                <w:rFonts w:ascii="Calibri" w:hAnsi="Calibri"/>
                <w:sz w:val="20"/>
              </w:rPr>
            </w:r>
          </w:p>
        </w:tc>
      </w:tr>
      <w:tr>
        <w:trPr>
          <w:trHeight w:val="289" w:hRule="exact"/>
        </w:trPr>
        <w:tc>
          <w:tcPr>
            <w:tcW w:w="3995" w:type="dxa"/>
            <w:tcBorders>
              <w:top w:val="single" w:sz="4" w:space="0" w:color="000000"/>
              <w:left w:val="nil" w:sz="6" w:space="0" w:color="auto"/>
              <w:bottom w:val="nil" w:sz="6" w:space="0" w:color="auto"/>
              <w:right w:val="nil" w:sz="6" w:space="0" w:color="auto"/>
            </w:tcBorders>
          </w:tcPr>
          <w:p>
            <w:pPr>
              <w:pStyle w:val="TableParagraph"/>
              <w:spacing w:line="240" w:lineRule="auto" w:before="4"/>
              <w:ind w:left="14" w:right="0"/>
              <w:jc w:val="left"/>
              <w:rPr>
                <w:rFonts w:ascii="Calibri" w:hAnsi="Calibri" w:cs="Calibri" w:eastAsia="Calibri" w:hint="default"/>
                <w:sz w:val="20"/>
                <w:szCs w:val="20"/>
              </w:rPr>
            </w:pPr>
            <w:r>
              <w:rPr>
                <w:rFonts w:ascii="Calibri"/>
                <w:sz w:val="20"/>
              </w:rPr>
              <w:t>Accommodation</w:t>
            </w:r>
            <w:r>
              <w:rPr>
                <w:rFonts w:ascii="Calibri"/>
                <w:spacing w:val="-12"/>
                <w:sz w:val="20"/>
              </w:rPr>
              <w:t> </w:t>
            </w:r>
            <w:r>
              <w:rPr>
                <w:rFonts w:ascii="Calibri"/>
                <w:sz w:val="20"/>
              </w:rPr>
              <w:t>Satisfaction</w:t>
            </w:r>
          </w:p>
        </w:tc>
        <w:tc>
          <w:tcPr>
            <w:tcW w:w="2476" w:type="dxa"/>
            <w:tcBorders>
              <w:top w:val="single" w:sz="4" w:space="0" w:color="000000"/>
              <w:left w:val="nil" w:sz="6" w:space="0" w:color="auto"/>
              <w:bottom w:val="nil" w:sz="6" w:space="0" w:color="auto"/>
              <w:right w:val="nil" w:sz="6" w:space="0" w:color="auto"/>
            </w:tcBorders>
          </w:tcPr>
          <w:p>
            <w:pPr>
              <w:pStyle w:val="TableParagraph"/>
              <w:spacing w:line="240" w:lineRule="auto" w:before="4"/>
              <w:ind w:right="402"/>
              <w:jc w:val="right"/>
              <w:rPr>
                <w:rFonts w:ascii="Calibri" w:hAnsi="Calibri" w:cs="Calibri" w:eastAsia="Calibri" w:hint="default"/>
                <w:sz w:val="20"/>
                <w:szCs w:val="20"/>
              </w:rPr>
            </w:pPr>
            <w:r>
              <w:rPr>
                <w:rFonts w:ascii="Calibri"/>
                <w:w w:val="95"/>
                <w:sz w:val="20"/>
              </w:rPr>
              <w:t>4.95</w:t>
            </w:r>
            <w:r>
              <w:rPr>
                <w:rFonts w:ascii="Calibri"/>
                <w:sz w:val="20"/>
              </w:rPr>
            </w:r>
          </w:p>
        </w:tc>
        <w:tc>
          <w:tcPr>
            <w:tcW w:w="1322" w:type="dxa"/>
            <w:tcBorders>
              <w:top w:val="single" w:sz="4" w:space="0" w:color="000000"/>
              <w:left w:val="nil" w:sz="6" w:space="0" w:color="auto"/>
              <w:bottom w:val="nil" w:sz="6" w:space="0" w:color="auto"/>
              <w:right w:val="nil" w:sz="6" w:space="0" w:color="auto"/>
            </w:tcBorders>
          </w:tcPr>
          <w:p>
            <w:pPr>
              <w:pStyle w:val="TableParagraph"/>
              <w:spacing w:line="240" w:lineRule="auto" w:before="4"/>
              <w:ind w:right="65"/>
              <w:jc w:val="center"/>
              <w:rPr>
                <w:rFonts w:ascii="Calibri" w:hAnsi="Calibri" w:cs="Calibri" w:eastAsia="Calibri" w:hint="default"/>
                <w:sz w:val="20"/>
                <w:szCs w:val="20"/>
              </w:rPr>
            </w:pPr>
            <w:r>
              <w:rPr>
                <w:rFonts w:ascii="Calibri"/>
                <w:sz w:val="20"/>
              </w:rPr>
              <w:t>(1.060)</w:t>
            </w:r>
          </w:p>
        </w:tc>
        <w:tc>
          <w:tcPr>
            <w:tcW w:w="1535" w:type="dxa"/>
            <w:tcBorders>
              <w:top w:val="single" w:sz="4" w:space="0" w:color="000000"/>
              <w:left w:val="nil" w:sz="6" w:space="0" w:color="auto"/>
              <w:bottom w:val="nil" w:sz="6" w:space="0" w:color="auto"/>
              <w:right w:val="nil" w:sz="6" w:space="0" w:color="auto"/>
            </w:tcBorders>
          </w:tcPr>
          <w:p>
            <w:pPr>
              <w:pStyle w:val="TableParagraph"/>
              <w:spacing w:line="240" w:lineRule="auto" w:before="4"/>
              <w:ind w:right="472"/>
              <w:jc w:val="right"/>
              <w:rPr>
                <w:rFonts w:ascii="Calibri" w:hAnsi="Calibri" w:cs="Calibri" w:eastAsia="Calibri" w:hint="default"/>
                <w:sz w:val="20"/>
                <w:szCs w:val="20"/>
              </w:rPr>
            </w:pPr>
            <w:r>
              <w:rPr>
                <w:rFonts w:ascii="Calibri"/>
                <w:w w:val="95"/>
                <w:sz w:val="20"/>
              </w:rPr>
              <w:t>0.276**</w:t>
            </w:r>
            <w:r>
              <w:rPr>
                <w:rFonts w:ascii="Calibri"/>
                <w:sz w:val="20"/>
              </w:rPr>
            </w:r>
          </w:p>
        </w:tc>
      </w:tr>
      <w:tr>
        <w:trPr>
          <w:trHeight w:val="278" w:hRule="exact"/>
        </w:trPr>
        <w:tc>
          <w:tcPr>
            <w:tcW w:w="3995" w:type="dxa"/>
            <w:tcBorders>
              <w:top w:val="nil" w:sz="6" w:space="0" w:color="auto"/>
              <w:left w:val="nil" w:sz="6" w:space="0" w:color="auto"/>
              <w:bottom w:val="nil" w:sz="6" w:space="0" w:color="auto"/>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Restaurant</w:t>
            </w:r>
            <w:r>
              <w:rPr>
                <w:rFonts w:ascii="Calibri"/>
                <w:spacing w:val="-13"/>
                <w:sz w:val="20"/>
              </w:rPr>
              <w:t> </w:t>
            </w:r>
            <w:r>
              <w:rPr>
                <w:rFonts w:ascii="Calibri"/>
                <w:sz w:val="20"/>
              </w:rPr>
              <w:t>Satisfaction</w:t>
            </w:r>
          </w:p>
        </w:tc>
        <w:tc>
          <w:tcPr>
            <w:tcW w:w="2476" w:type="dxa"/>
            <w:tcBorders>
              <w:top w:val="nil" w:sz="6" w:space="0" w:color="auto"/>
              <w:left w:val="nil" w:sz="6" w:space="0" w:color="auto"/>
              <w:bottom w:val="nil" w:sz="6" w:space="0" w:color="auto"/>
              <w:right w:val="nil" w:sz="6" w:space="0" w:color="auto"/>
            </w:tcBorders>
          </w:tcPr>
          <w:p>
            <w:pPr>
              <w:pStyle w:val="TableParagraph"/>
              <w:spacing w:line="243" w:lineRule="exact"/>
              <w:ind w:right="402"/>
              <w:jc w:val="right"/>
              <w:rPr>
                <w:rFonts w:ascii="Calibri" w:hAnsi="Calibri" w:cs="Calibri" w:eastAsia="Calibri" w:hint="default"/>
                <w:sz w:val="20"/>
                <w:szCs w:val="20"/>
              </w:rPr>
            </w:pPr>
            <w:r>
              <w:rPr>
                <w:rFonts w:ascii="Calibri"/>
                <w:w w:val="95"/>
                <w:sz w:val="20"/>
              </w:rPr>
              <w:t>4.74</w:t>
            </w:r>
            <w:r>
              <w:rPr>
                <w:rFonts w:ascii="Calibri"/>
                <w:sz w:val="20"/>
              </w:rPr>
            </w:r>
          </w:p>
        </w:tc>
        <w:tc>
          <w:tcPr>
            <w:tcW w:w="1322" w:type="dxa"/>
            <w:tcBorders>
              <w:top w:val="nil" w:sz="6" w:space="0" w:color="auto"/>
              <w:left w:val="nil" w:sz="6" w:space="0" w:color="auto"/>
              <w:bottom w:val="nil" w:sz="6" w:space="0" w:color="auto"/>
              <w:right w:val="nil" w:sz="6" w:space="0" w:color="auto"/>
            </w:tcBorders>
          </w:tcPr>
          <w:p>
            <w:pPr>
              <w:pStyle w:val="TableParagraph"/>
              <w:spacing w:line="243" w:lineRule="exact"/>
              <w:ind w:right="65"/>
              <w:jc w:val="center"/>
              <w:rPr>
                <w:rFonts w:ascii="Calibri" w:hAnsi="Calibri" w:cs="Calibri" w:eastAsia="Calibri" w:hint="default"/>
                <w:sz w:val="20"/>
                <w:szCs w:val="20"/>
              </w:rPr>
            </w:pPr>
            <w:r>
              <w:rPr>
                <w:rFonts w:ascii="Calibri"/>
                <w:sz w:val="20"/>
              </w:rPr>
              <w:t>(1.002)</w:t>
            </w:r>
          </w:p>
        </w:tc>
        <w:tc>
          <w:tcPr>
            <w:tcW w:w="1535" w:type="dxa"/>
            <w:tcBorders>
              <w:top w:val="nil" w:sz="6" w:space="0" w:color="auto"/>
              <w:left w:val="nil" w:sz="6" w:space="0" w:color="auto"/>
              <w:bottom w:val="nil" w:sz="6" w:space="0" w:color="auto"/>
              <w:right w:val="nil" w:sz="6" w:space="0" w:color="auto"/>
            </w:tcBorders>
          </w:tcPr>
          <w:p>
            <w:pPr>
              <w:pStyle w:val="TableParagraph"/>
              <w:spacing w:line="243" w:lineRule="exact"/>
              <w:ind w:right="472"/>
              <w:jc w:val="right"/>
              <w:rPr>
                <w:rFonts w:ascii="Calibri" w:hAnsi="Calibri" w:cs="Calibri" w:eastAsia="Calibri" w:hint="default"/>
                <w:sz w:val="20"/>
                <w:szCs w:val="20"/>
              </w:rPr>
            </w:pPr>
            <w:r>
              <w:rPr>
                <w:rFonts w:ascii="Calibri"/>
                <w:w w:val="95"/>
                <w:sz w:val="20"/>
              </w:rPr>
              <w:t>0.148**</w:t>
            </w:r>
            <w:r>
              <w:rPr>
                <w:rFonts w:ascii="Calibri"/>
                <w:sz w:val="20"/>
              </w:rPr>
            </w:r>
          </w:p>
        </w:tc>
      </w:tr>
      <w:tr>
        <w:trPr>
          <w:trHeight w:val="278" w:hRule="exact"/>
        </w:trPr>
        <w:tc>
          <w:tcPr>
            <w:tcW w:w="3995" w:type="dxa"/>
            <w:tcBorders>
              <w:top w:val="nil" w:sz="6" w:space="0" w:color="auto"/>
              <w:left w:val="nil" w:sz="6" w:space="0" w:color="auto"/>
              <w:bottom w:val="nil" w:sz="6" w:space="0" w:color="auto"/>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Taxis</w:t>
            </w:r>
            <w:r>
              <w:rPr>
                <w:rFonts w:ascii="Calibri"/>
                <w:spacing w:val="-9"/>
                <w:sz w:val="20"/>
              </w:rPr>
              <w:t> </w:t>
            </w:r>
            <w:r>
              <w:rPr>
                <w:rFonts w:ascii="Calibri"/>
                <w:sz w:val="20"/>
              </w:rPr>
              <w:t>Satisfaction</w:t>
            </w:r>
          </w:p>
        </w:tc>
        <w:tc>
          <w:tcPr>
            <w:tcW w:w="2476" w:type="dxa"/>
            <w:tcBorders>
              <w:top w:val="nil" w:sz="6" w:space="0" w:color="auto"/>
              <w:left w:val="nil" w:sz="6" w:space="0" w:color="auto"/>
              <w:bottom w:val="nil" w:sz="6" w:space="0" w:color="auto"/>
              <w:right w:val="nil" w:sz="6" w:space="0" w:color="auto"/>
            </w:tcBorders>
          </w:tcPr>
          <w:p>
            <w:pPr>
              <w:pStyle w:val="TableParagraph"/>
              <w:spacing w:line="243" w:lineRule="exact"/>
              <w:ind w:right="402"/>
              <w:jc w:val="right"/>
              <w:rPr>
                <w:rFonts w:ascii="Calibri" w:hAnsi="Calibri" w:cs="Calibri" w:eastAsia="Calibri" w:hint="default"/>
                <w:sz w:val="20"/>
                <w:szCs w:val="20"/>
              </w:rPr>
            </w:pPr>
            <w:r>
              <w:rPr>
                <w:rFonts w:ascii="Calibri"/>
                <w:w w:val="95"/>
                <w:sz w:val="20"/>
              </w:rPr>
              <w:t>4.25</w:t>
            </w:r>
            <w:r>
              <w:rPr>
                <w:rFonts w:ascii="Calibri"/>
                <w:sz w:val="20"/>
              </w:rPr>
            </w:r>
          </w:p>
        </w:tc>
        <w:tc>
          <w:tcPr>
            <w:tcW w:w="1322" w:type="dxa"/>
            <w:tcBorders>
              <w:top w:val="nil" w:sz="6" w:space="0" w:color="auto"/>
              <w:left w:val="nil" w:sz="6" w:space="0" w:color="auto"/>
              <w:bottom w:val="nil" w:sz="6" w:space="0" w:color="auto"/>
              <w:right w:val="nil" w:sz="6" w:space="0" w:color="auto"/>
            </w:tcBorders>
          </w:tcPr>
          <w:p>
            <w:pPr>
              <w:pStyle w:val="TableParagraph"/>
              <w:spacing w:line="243" w:lineRule="exact"/>
              <w:ind w:right="65"/>
              <w:jc w:val="center"/>
              <w:rPr>
                <w:rFonts w:ascii="Calibri" w:hAnsi="Calibri" w:cs="Calibri" w:eastAsia="Calibri" w:hint="default"/>
                <w:sz w:val="20"/>
                <w:szCs w:val="20"/>
              </w:rPr>
            </w:pPr>
            <w:r>
              <w:rPr>
                <w:rFonts w:ascii="Calibri"/>
                <w:sz w:val="20"/>
              </w:rPr>
              <w:t>(1.099)</w:t>
            </w:r>
          </w:p>
        </w:tc>
        <w:tc>
          <w:tcPr>
            <w:tcW w:w="1535" w:type="dxa"/>
            <w:tcBorders>
              <w:top w:val="nil" w:sz="6" w:space="0" w:color="auto"/>
              <w:left w:val="nil" w:sz="6" w:space="0" w:color="auto"/>
              <w:bottom w:val="nil" w:sz="6" w:space="0" w:color="auto"/>
              <w:right w:val="nil" w:sz="6" w:space="0" w:color="auto"/>
            </w:tcBorders>
          </w:tcPr>
          <w:p>
            <w:pPr>
              <w:pStyle w:val="TableParagraph"/>
              <w:spacing w:line="243" w:lineRule="exact"/>
              <w:ind w:right="542"/>
              <w:jc w:val="right"/>
              <w:rPr>
                <w:rFonts w:ascii="Calibri" w:hAnsi="Calibri" w:cs="Calibri" w:eastAsia="Calibri" w:hint="default"/>
                <w:sz w:val="20"/>
                <w:szCs w:val="20"/>
              </w:rPr>
            </w:pPr>
            <w:r>
              <w:rPr>
                <w:rFonts w:ascii="Calibri"/>
                <w:w w:val="95"/>
                <w:sz w:val="20"/>
              </w:rPr>
              <w:t>-0.042</w:t>
            </w:r>
            <w:r>
              <w:rPr>
                <w:rFonts w:ascii="Calibri"/>
                <w:sz w:val="20"/>
              </w:rPr>
            </w:r>
          </w:p>
        </w:tc>
      </w:tr>
      <w:tr>
        <w:trPr>
          <w:trHeight w:val="278" w:hRule="exact"/>
        </w:trPr>
        <w:tc>
          <w:tcPr>
            <w:tcW w:w="3995" w:type="dxa"/>
            <w:tcBorders>
              <w:top w:val="nil" w:sz="6" w:space="0" w:color="auto"/>
              <w:left w:val="nil" w:sz="6" w:space="0" w:color="auto"/>
              <w:bottom w:val="nil" w:sz="6" w:space="0" w:color="auto"/>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Entertainment</w:t>
            </w:r>
            <w:r>
              <w:rPr>
                <w:rFonts w:ascii="Calibri"/>
                <w:spacing w:val="-14"/>
                <w:sz w:val="20"/>
              </w:rPr>
              <w:t> </w:t>
            </w:r>
            <w:r>
              <w:rPr>
                <w:rFonts w:ascii="Calibri"/>
                <w:sz w:val="20"/>
              </w:rPr>
              <w:t>Satisfaction</w:t>
            </w:r>
          </w:p>
        </w:tc>
        <w:tc>
          <w:tcPr>
            <w:tcW w:w="2476" w:type="dxa"/>
            <w:tcBorders>
              <w:top w:val="nil" w:sz="6" w:space="0" w:color="auto"/>
              <w:left w:val="nil" w:sz="6" w:space="0" w:color="auto"/>
              <w:bottom w:val="nil" w:sz="6" w:space="0" w:color="auto"/>
              <w:right w:val="nil" w:sz="6" w:space="0" w:color="auto"/>
            </w:tcBorders>
          </w:tcPr>
          <w:p>
            <w:pPr>
              <w:pStyle w:val="TableParagraph"/>
              <w:spacing w:line="243" w:lineRule="exact"/>
              <w:ind w:right="402"/>
              <w:jc w:val="right"/>
              <w:rPr>
                <w:rFonts w:ascii="Calibri" w:hAnsi="Calibri" w:cs="Calibri" w:eastAsia="Calibri" w:hint="default"/>
                <w:sz w:val="20"/>
                <w:szCs w:val="20"/>
              </w:rPr>
            </w:pPr>
            <w:r>
              <w:rPr>
                <w:rFonts w:ascii="Calibri"/>
                <w:w w:val="95"/>
                <w:sz w:val="20"/>
              </w:rPr>
              <w:t>4.52</w:t>
            </w:r>
            <w:r>
              <w:rPr>
                <w:rFonts w:ascii="Calibri"/>
                <w:sz w:val="20"/>
              </w:rPr>
            </w:r>
          </w:p>
        </w:tc>
        <w:tc>
          <w:tcPr>
            <w:tcW w:w="1322" w:type="dxa"/>
            <w:tcBorders>
              <w:top w:val="nil" w:sz="6" w:space="0" w:color="auto"/>
              <w:left w:val="nil" w:sz="6" w:space="0" w:color="auto"/>
              <w:bottom w:val="nil" w:sz="6" w:space="0" w:color="auto"/>
              <w:right w:val="nil" w:sz="6" w:space="0" w:color="auto"/>
            </w:tcBorders>
          </w:tcPr>
          <w:p>
            <w:pPr>
              <w:pStyle w:val="TableParagraph"/>
              <w:spacing w:line="243" w:lineRule="exact"/>
              <w:ind w:right="65"/>
              <w:jc w:val="center"/>
              <w:rPr>
                <w:rFonts w:ascii="Calibri" w:hAnsi="Calibri" w:cs="Calibri" w:eastAsia="Calibri" w:hint="default"/>
                <w:sz w:val="20"/>
                <w:szCs w:val="20"/>
              </w:rPr>
            </w:pPr>
            <w:r>
              <w:rPr>
                <w:rFonts w:ascii="Calibri"/>
                <w:sz w:val="20"/>
              </w:rPr>
              <w:t>(1.058)</w:t>
            </w:r>
          </w:p>
        </w:tc>
        <w:tc>
          <w:tcPr>
            <w:tcW w:w="1535" w:type="dxa"/>
            <w:tcBorders>
              <w:top w:val="nil" w:sz="6" w:space="0" w:color="auto"/>
              <w:left w:val="nil" w:sz="6" w:space="0" w:color="auto"/>
              <w:bottom w:val="nil" w:sz="6" w:space="0" w:color="auto"/>
              <w:right w:val="nil" w:sz="6" w:space="0" w:color="auto"/>
            </w:tcBorders>
          </w:tcPr>
          <w:p>
            <w:pPr>
              <w:pStyle w:val="TableParagraph"/>
              <w:spacing w:line="243" w:lineRule="exact"/>
              <w:ind w:right="472"/>
              <w:jc w:val="right"/>
              <w:rPr>
                <w:rFonts w:ascii="Calibri" w:hAnsi="Calibri" w:cs="Calibri" w:eastAsia="Calibri" w:hint="default"/>
                <w:sz w:val="20"/>
                <w:szCs w:val="20"/>
              </w:rPr>
            </w:pPr>
            <w:r>
              <w:rPr>
                <w:rFonts w:ascii="Calibri"/>
                <w:w w:val="95"/>
                <w:sz w:val="20"/>
              </w:rPr>
              <w:t>0.213**</w:t>
            </w:r>
            <w:r>
              <w:rPr>
                <w:rFonts w:ascii="Calibri"/>
                <w:sz w:val="20"/>
              </w:rPr>
            </w:r>
          </w:p>
        </w:tc>
      </w:tr>
      <w:tr>
        <w:trPr>
          <w:trHeight w:val="278" w:hRule="exact"/>
        </w:trPr>
        <w:tc>
          <w:tcPr>
            <w:tcW w:w="3995" w:type="dxa"/>
            <w:tcBorders>
              <w:top w:val="nil" w:sz="6" w:space="0" w:color="auto"/>
              <w:left w:val="nil" w:sz="6" w:space="0" w:color="auto"/>
              <w:bottom w:val="nil" w:sz="6" w:space="0" w:color="auto"/>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Shopping</w:t>
            </w:r>
            <w:r>
              <w:rPr>
                <w:rFonts w:ascii="Calibri"/>
                <w:spacing w:val="-12"/>
                <w:sz w:val="20"/>
              </w:rPr>
              <w:t> </w:t>
            </w:r>
            <w:r>
              <w:rPr>
                <w:rFonts w:ascii="Calibri"/>
                <w:sz w:val="20"/>
              </w:rPr>
              <w:t>Satisfaction</w:t>
            </w:r>
          </w:p>
        </w:tc>
        <w:tc>
          <w:tcPr>
            <w:tcW w:w="2476" w:type="dxa"/>
            <w:tcBorders>
              <w:top w:val="nil" w:sz="6" w:space="0" w:color="auto"/>
              <w:left w:val="nil" w:sz="6" w:space="0" w:color="auto"/>
              <w:bottom w:val="nil" w:sz="6" w:space="0" w:color="auto"/>
              <w:right w:val="nil" w:sz="6" w:space="0" w:color="auto"/>
            </w:tcBorders>
          </w:tcPr>
          <w:p>
            <w:pPr>
              <w:pStyle w:val="TableParagraph"/>
              <w:spacing w:line="243" w:lineRule="exact"/>
              <w:ind w:right="402"/>
              <w:jc w:val="right"/>
              <w:rPr>
                <w:rFonts w:ascii="Calibri" w:hAnsi="Calibri" w:cs="Calibri" w:eastAsia="Calibri" w:hint="default"/>
                <w:sz w:val="20"/>
                <w:szCs w:val="20"/>
              </w:rPr>
            </w:pPr>
            <w:r>
              <w:rPr>
                <w:rFonts w:ascii="Calibri"/>
                <w:w w:val="95"/>
                <w:sz w:val="20"/>
              </w:rPr>
              <w:t>4.31</w:t>
            </w:r>
            <w:r>
              <w:rPr>
                <w:rFonts w:ascii="Calibri"/>
                <w:sz w:val="20"/>
              </w:rPr>
            </w:r>
          </w:p>
        </w:tc>
        <w:tc>
          <w:tcPr>
            <w:tcW w:w="1322" w:type="dxa"/>
            <w:tcBorders>
              <w:top w:val="nil" w:sz="6" w:space="0" w:color="auto"/>
              <w:left w:val="nil" w:sz="6" w:space="0" w:color="auto"/>
              <w:bottom w:val="nil" w:sz="6" w:space="0" w:color="auto"/>
              <w:right w:val="nil" w:sz="6" w:space="0" w:color="auto"/>
            </w:tcBorders>
          </w:tcPr>
          <w:p>
            <w:pPr>
              <w:pStyle w:val="TableParagraph"/>
              <w:spacing w:line="243" w:lineRule="exact"/>
              <w:ind w:right="65"/>
              <w:jc w:val="center"/>
              <w:rPr>
                <w:rFonts w:ascii="Calibri" w:hAnsi="Calibri" w:cs="Calibri" w:eastAsia="Calibri" w:hint="default"/>
                <w:sz w:val="20"/>
                <w:szCs w:val="20"/>
              </w:rPr>
            </w:pPr>
            <w:r>
              <w:rPr>
                <w:rFonts w:ascii="Calibri"/>
                <w:sz w:val="20"/>
              </w:rPr>
              <w:t>(1.163)</w:t>
            </w:r>
          </w:p>
        </w:tc>
        <w:tc>
          <w:tcPr>
            <w:tcW w:w="1535" w:type="dxa"/>
            <w:tcBorders>
              <w:top w:val="nil" w:sz="6" w:space="0" w:color="auto"/>
              <w:left w:val="nil" w:sz="6" w:space="0" w:color="auto"/>
              <w:bottom w:val="nil" w:sz="6" w:space="0" w:color="auto"/>
              <w:right w:val="nil" w:sz="6" w:space="0" w:color="auto"/>
            </w:tcBorders>
          </w:tcPr>
          <w:p>
            <w:pPr>
              <w:pStyle w:val="TableParagraph"/>
              <w:spacing w:line="243" w:lineRule="exact"/>
              <w:ind w:right="472"/>
              <w:jc w:val="right"/>
              <w:rPr>
                <w:rFonts w:ascii="Calibri" w:hAnsi="Calibri" w:cs="Calibri" w:eastAsia="Calibri" w:hint="default"/>
                <w:sz w:val="20"/>
                <w:szCs w:val="20"/>
              </w:rPr>
            </w:pPr>
            <w:r>
              <w:rPr>
                <w:rFonts w:ascii="Calibri"/>
                <w:w w:val="95"/>
                <w:sz w:val="20"/>
              </w:rPr>
              <w:t>0.166**</w:t>
            </w:r>
            <w:r>
              <w:rPr>
                <w:rFonts w:ascii="Calibri"/>
                <w:sz w:val="20"/>
              </w:rPr>
            </w:r>
          </w:p>
        </w:tc>
      </w:tr>
      <w:tr>
        <w:trPr>
          <w:trHeight w:val="278" w:hRule="exact"/>
        </w:trPr>
        <w:tc>
          <w:tcPr>
            <w:tcW w:w="3995" w:type="dxa"/>
            <w:tcBorders>
              <w:top w:val="nil" w:sz="6" w:space="0" w:color="auto"/>
              <w:left w:val="nil" w:sz="6" w:space="0" w:color="auto"/>
              <w:bottom w:val="nil" w:sz="6" w:space="0" w:color="auto"/>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Rental Car</w:t>
            </w:r>
            <w:r>
              <w:rPr>
                <w:rFonts w:ascii="Calibri"/>
                <w:spacing w:val="-13"/>
                <w:sz w:val="20"/>
              </w:rPr>
              <w:t> </w:t>
            </w:r>
            <w:r>
              <w:rPr>
                <w:rFonts w:ascii="Calibri"/>
                <w:sz w:val="20"/>
              </w:rPr>
              <w:t>Satisfaction</w:t>
            </w:r>
          </w:p>
        </w:tc>
        <w:tc>
          <w:tcPr>
            <w:tcW w:w="2476" w:type="dxa"/>
            <w:tcBorders>
              <w:top w:val="nil" w:sz="6" w:space="0" w:color="auto"/>
              <w:left w:val="nil" w:sz="6" w:space="0" w:color="auto"/>
              <w:bottom w:val="nil" w:sz="6" w:space="0" w:color="auto"/>
              <w:right w:val="nil" w:sz="6" w:space="0" w:color="auto"/>
            </w:tcBorders>
          </w:tcPr>
          <w:p>
            <w:pPr>
              <w:pStyle w:val="TableParagraph"/>
              <w:spacing w:line="243" w:lineRule="exact"/>
              <w:ind w:right="402"/>
              <w:jc w:val="right"/>
              <w:rPr>
                <w:rFonts w:ascii="Calibri" w:hAnsi="Calibri" w:cs="Calibri" w:eastAsia="Calibri" w:hint="default"/>
                <w:sz w:val="20"/>
                <w:szCs w:val="20"/>
              </w:rPr>
            </w:pPr>
            <w:r>
              <w:rPr>
                <w:rFonts w:ascii="Calibri"/>
                <w:w w:val="95"/>
                <w:sz w:val="20"/>
              </w:rPr>
              <w:t>4.40</w:t>
            </w:r>
            <w:r>
              <w:rPr>
                <w:rFonts w:ascii="Calibri"/>
                <w:sz w:val="20"/>
              </w:rPr>
            </w:r>
          </w:p>
        </w:tc>
        <w:tc>
          <w:tcPr>
            <w:tcW w:w="1322" w:type="dxa"/>
            <w:tcBorders>
              <w:top w:val="nil" w:sz="6" w:space="0" w:color="auto"/>
              <w:left w:val="nil" w:sz="6" w:space="0" w:color="auto"/>
              <w:bottom w:val="nil" w:sz="6" w:space="0" w:color="auto"/>
              <w:right w:val="nil" w:sz="6" w:space="0" w:color="auto"/>
            </w:tcBorders>
          </w:tcPr>
          <w:p>
            <w:pPr>
              <w:pStyle w:val="TableParagraph"/>
              <w:spacing w:line="243" w:lineRule="exact"/>
              <w:ind w:right="65"/>
              <w:jc w:val="center"/>
              <w:rPr>
                <w:rFonts w:ascii="Calibri" w:hAnsi="Calibri" w:cs="Calibri" w:eastAsia="Calibri" w:hint="default"/>
                <w:sz w:val="20"/>
                <w:szCs w:val="20"/>
              </w:rPr>
            </w:pPr>
            <w:r>
              <w:rPr>
                <w:rFonts w:ascii="Calibri"/>
                <w:sz w:val="20"/>
              </w:rPr>
              <w:t>(1.120)</w:t>
            </w:r>
          </w:p>
        </w:tc>
        <w:tc>
          <w:tcPr>
            <w:tcW w:w="1535" w:type="dxa"/>
            <w:tcBorders>
              <w:top w:val="nil" w:sz="6" w:space="0" w:color="auto"/>
              <w:left w:val="nil" w:sz="6" w:space="0" w:color="auto"/>
              <w:bottom w:val="nil" w:sz="6" w:space="0" w:color="auto"/>
              <w:right w:val="nil" w:sz="6" w:space="0" w:color="auto"/>
            </w:tcBorders>
          </w:tcPr>
          <w:p>
            <w:pPr>
              <w:pStyle w:val="TableParagraph"/>
              <w:spacing w:line="243" w:lineRule="exact"/>
              <w:ind w:right="472"/>
              <w:jc w:val="right"/>
              <w:rPr>
                <w:rFonts w:ascii="Calibri" w:hAnsi="Calibri" w:cs="Calibri" w:eastAsia="Calibri" w:hint="default"/>
                <w:sz w:val="20"/>
                <w:szCs w:val="20"/>
              </w:rPr>
            </w:pPr>
            <w:r>
              <w:rPr>
                <w:rFonts w:ascii="Calibri"/>
                <w:w w:val="95"/>
                <w:sz w:val="20"/>
              </w:rPr>
              <w:t>0.065**</w:t>
            </w:r>
            <w:r>
              <w:rPr>
                <w:rFonts w:ascii="Calibri"/>
                <w:sz w:val="20"/>
              </w:rPr>
            </w:r>
          </w:p>
        </w:tc>
      </w:tr>
      <w:tr>
        <w:trPr>
          <w:trHeight w:val="268" w:hRule="exact"/>
        </w:trPr>
        <w:tc>
          <w:tcPr>
            <w:tcW w:w="3995" w:type="dxa"/>
            <w:tcBorders>
              <w:top w:val="nil" w:sz="6" w:space="0" w:color="auto"/>
              <w:left w:val="nil" w:sz="6" w:space="0" w:color="auto"/>
              <w:bottom w:val="single" w:sz="4" w:space="0" w:color="000000"/>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Airfare</w:t>
            </w:r>
            <w:r>
              <w:rPr>
                <w:rFonts w:ascii="Calibri"/>
                <w:spacing w:val="-7"/>
                <w:sz w:val="20"/>
              </w:rPr>
              <w:t> </w:t>
            </w:r>
            <w:r>
              <w:rPr>
                <w:rFonts w:ascii="Calibri"/>
                <w:sz w:val="20"/>
              </w:rPr>
              <w:t>Satisfaction</w:t>
            </w:r>
          </w:p>
        </w:tc>
        <w:tc>
          <w:tcPr>
            <w:tcW w:w="2476" w:type="dxa"/>
            <w:tcBorders>
              <w:top w:val="nil" w:sz="6" w:space="0" w:color="auto"/>
              <w:left w:val="nil" w:sz="6" w:space="0" w:color="auto"/>
              <w:bottom w:val="single" w:sz="4" w:space="0" w:color="000000"/>
              <w:right w:val="nil" w:sz="6" w:space="0" w:color="auto"/>
            </w:tcBorders>
          </w:tcPr>
          <w:p>
            <w:pPr>
              <w:pStyle w:val="TableParagraph"/>
              <w:spacing w:line="243" w:lineRule="exact"/>
              <w:ind w:right="402"/>
              <w:jc w:val="right"/>
              <w:rPr>
                <w:rFonts w:ascii="Calibri" w:hAnsi="Calibri" w:cs="Calibri" w:eastAsia="Calibri" w:hint="default"/>
                <w:sz w:val="20"/>
                <w:szCs w:val="20"/>
              </w:rPr>
            </w:pPr>
            <w:r>
              <w:rPr>
                <w:rFonts w:ascii="Calibri"/>
                <w:w w:val="95"/>
                <w:sz w:val="20"/>
              </w:rPr>
              <w:t>4.35</w:t>
            </w:r>
            <w:r>
              <w:rPr>
                <w:rFonts w:ascii="Calibri"/>
                <w:sz w:val="20"/>
              </w:rPr>
            </w:r>
          </w:p>
        </w:tc>
        <w:tc>
          <w:tcPr>
            <w:tcW w:w="1322" w:type="dxa"/>
            <w:tcBorders>
              <w:top w:val="nil" w:sz="6" w:space="0" w:color="auto"/>
              <w:left w:val="nil" w:sz="6" w:space="0" w:color="auto"/>
              <w:bottom w:val="single" w:sz="4" w:space="0" w:color="000000"/>
              <w:right w:val="nil" w:sz="6" w:space="0" w:color="auto"/>
            </w:tcBorders>
          </w:tcPr>
          <w:p>
            <w:pPr>
              <w:pStyle w:val="TableParagraph"/>
              <w:spacing w:line="243" w:lineRule="exact"/>
              <w:ind w:right="65"/>
              <w:jc w:val="center"/>
              <w:rPr>
                <w:rFonts w:ascii="Calibri" w:hAnsi="Calibri" w:cs="Calibri" w:eastAsia="Calibri" w:hint="default"/>
                <w:sz w:val="20"/>
                <w:szCs w:val="20"/>
              </w:rPr>
            </w:pPr>
            <w:r>
              <w:rPr>
                <w:rFonts w:ascii="Calibri"/>
                <w:sz w:val="20"/>
              </w:rPr>
              <w:t>(1.105)</w:t>
            </w:r>
          </w:p>
        </w:tc>
        <w:tc>
          <w:tcPr>
            <w:tcW w:w="1535" w:type="dxa"/>
            <w:tcBorders>
              <w:top w:val="nil" w:sz="6" w:space="0" w:color="auto"/>
              <w:left w:val="nil" w:sz="6" w:space="0" w:color="auto"/>
              <w:bottom w:val="single" w:sz="4" w:space="0" w:color="000000"/>
              <w:right w:val="nil" w:sz="6" w:space="0" w:color="auto"/>
            </w:tcBorders>
          </w:tcPr>
          <w:p>
            <w:pPr>
              <w:pStyle w:val="TableParagraph"/>
              <w:spacing w:line="243" w:lineRule="exact"/>
              <w:ind w:right="472"/>
              <w:jc w:val="right"/>
              <w:rPr>
                <w:rFonts w:ascii="Calibri" w:hAnsi="Calibri" w:cs="Calibri" w:eastAsia="Calibri" w:hint="default"/>
                <w:sz w:val="20"/>
                <w:szCs w:val="20"/>
              </w:rPr>
            </w:pPr>
            <w:r>
              <w:rPr>
                <w:rFonts w:ascii="Calibri"/>
                <w:w w:val="95"/>
                <w:sz w:val="20"/>
              </w:rPr>
              <w:t>0.129**</w:t>
            </w:r>
            <w:r>
              <w:rPr>
                <w:rFonts w:ascii="Calibri"/>
                <w:sz w:val="20"/>
              </w:rPr>
            </w:r>
          </w:p>
        </w:tc>
      </w:tr>
      <w:tr>
        <w:trPr>
          <w:trHeight w:val="250" w:hRule="exact"/>
        </w:trPr>
        <w:tc>
          <w:tcPr>
            <w:tcW w:w="3995"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14" w:right="0"/>
              <w:jc w:val="left"/>
              <w:rPr>
                <w:rFonts w:ascii="Calibri" w:hAnsi="Calibri" w:cs="Calibri" w:eastAsia="Calibri" w:hint="default"/>
                <w:sz w:val="20"/>
                <w:szCs w:val="20"/>
              </w:rPr>
            </w:pPr>
            <w:r>
              <w:rPr>
                <w:rFonts w:ascii="Calibri" w:hAnsi="Calibri"/>
                <w:sz w:val="20"/>
              </w:rPr>
              <w:t>Cronbach's α=0.893; F</w:t>
            </w:r>
            <w:r>
              <w:rPr>
                <w:rFonts w:ascii="Calibri" w:hAnsi="Calibri"/>
                <w:sz w:val="20"/>
              </w:rPr>
              <w:t>-value345.412**;</w:t>
            </w:r>
            <w:r>
              <w:rPr>
                <w:rFonts w:ascii="Calibri" w:hAnsi="Calibri"/>
                <w:spacing w:val="-10"/>
                <w:sz w:val="20"/>
              </w:rPr>
              <w:t> </w:t>
            </w:r>
            <w:r>
              <w:rPr>
                <w:rFonts w:ascii="Calibri" w:hAnsi="Calibri"/>
                <w:sz w:val="20"/>
              </w:rPr>
              <w:t>R</w:t>
            </w:r>
            <w:r>
              <w:rPr>
                <w:rFonts w:ascii="Calibri" w:hAnsi="Calibri"/>
                <w:position w:val="7"/>
                <w:sz w:val="13"/>
              </w:rPr>
              <w:t>2=</w:t>
            </w:r>
            <w:r>
              <w:rPr>
                <w:rFonts w:ascii="Calibri" w:hAnsi="Calibri"/>
                <w:sz w:val="20"/>
              </w:rPr>
              <w:t>0.581</w:t>
            </w:r>
          </w:p>
        </w:tc>
        <w:tc>
          <w:tcPr>
            <w:tcW w:w="2476" w:type="dxa"/>
            <w:tcBorders>
              <w:top w:val="single" w:sz="4" w:space="0" w:color="000000"/>
              <w:left w:val="nil" w:sz="6" w:space="0" w:color="auto"/>
              <w:bottom w:val="nil" w:sz="6" w:space="0" w:color="auto"/>
              <w:right w:val="nil" w:sz="6" w:space="0" w:color="auto"/>
            </w:tcBorders>
          </w:tcPr>
          <w:p>
            <w:pPr/>
          </w:p>
        </w:tc>
        <w:tc>
          <w:tcPr>
            <w:tcW w:w="1322" w:type="dxa"/>
            <w:tcBorders>
              <w:top w:val="single" w:sz="4" w:space="0" w:color="000000"/>
              <w:left w:val="nil" w:sz="6" w:space="0" w:color="auto"/>
              <w:bottom w:val="nil" w:sz="6" w:space="0" w:color="auto"/>
              <w:right w:val="nil" w:sz="6" w:space="0" w:color="auto"/>
            </w:tcBorders>
          </w:tcPr>
          <w:p>
            <w:pPr/>
          </w:p>
        </w:tc>
        <w:tc>
          <w:tcPr>
            <w:tcW w:w="1535" w:type="dxa"/>
            <w:tcBorders>
              <w:top w:val="single" w:sz="4" w:space="0" w:color="000000"/>
              <w:left w:val="nil" w:sz="6" w:space="0" w:color="auto"/>
              <w:bottom w:val="nil" w:sz="6" w:space="0" w:color="auto"/>
              <w:right w:val="nil" w:sz="6" w:space="0" w:color="auto"/>
            </w:tcBorders>
          </w:tcPr>
          <w:p>
            <w:pPr/>
          </w:p>
        </w:tc>
      </w:tr>
    </w:tbl>
    <w:p>
      <w:pPr>
        <w:spacing w:line="240" w:lineRule="auto" w:before="9"/>
        <w:ind w:right="0"/>
        <w:rPr>
          <w:rFonts w:ascii="Calibri" w:hAnsi="Calibri" w:cs="Calibri" w:eastAsia="Calibri" w:hint="default"/>
          <w:b/>
          <w:bCs/>
          <w:sz w:val="18"/>
          <w:szCs w:val="18"/>
        </w:rPr>
      </w:pPr>
    </w:p>
    <w:p>
      <w:pPr>
        <w:pStyle w:val="BodyText"/>
        <w:spacing w:line="259" w:lineRule="auto" w:before="59"/>
        <w:ind w:right="1435"/>
        <w:jc w:val="both"/>
      </w:pPr>
      <w:r>
        <w:rPr/>
        <w:t>First-timers</w:t>
      </w:r>
      <w:r>
        <w:rPr>
          <w:spacing w:val="-6"/>
        </w:rPr>
        <w:t> </w:t>
      </w:r>
      <w:r>
        <w:rPr/>
        <w:t>and</w:t>
      </w:r>
      <w:r>
        <w:rPr>
          <w:spacing w:val="-4"/>
        </w:rPr>
        <w:t> </w:t>
      </w:r>
      <w:r>
        <w:rPr/>
        <w:t>repeat</w:t>
      </w:r>
      <w:r>
        <w:rPr>
          <w:spacing w:val="-4"/>
        </w:rPr>
        <w:t> </w:t>
      </w:r>
      <w:r>
        <w:rPr/>
        <w:t>tourists</w:t>
      </w:r>
      <w:r>
        <w:rPr>
          <w:spacing w:val="-2"/>
        </w:rPr>
        <w:t> </w:t>
      </w:r>
      <w:r>
        <w:rPr/>
        <w:t>had</w:t>
      </w:r>
      <w:r>
        <w:rPr>
          <w:spacing w:val="-3"/>
        </w:rPr>
        <w:t> </w:t>
      </w:r>
      <w:r>
        <w:rPr/>
        <w:t>different</w:t>
      </w:r>
      <w:r>
        <w:rPr>
          <w:spacing w:val="-4"/>
        </w:rPr>
        <w:t> </w:t>
      </w:r>
      <w:r>
        <w:rPr/>
        <w:t>satisfaction</w:t>
      </w:r>
      <w:r>
        <w:rPr>
          <w:spacing w:val="-4"/>
        </w:rPr>
        <w:t> </w:t>
      </w:r>
      <w:r>
        <w:rPr/>
        <w:t>levels</w:t>
      </w:r>
      <w:r>
        <w:rPr>
          <w:spacing w:val="-6"/>
        </w:rPr>
        <w:t> </w:t>
      </w:r>
      <w:r>
        <w:rPr/>
        <w:t>pertaining</w:t>
      </w:r>
      <w:r>
        <w:rPr>
          <w:spacing w:val="-5"/>
        </w:rPr>
        <w:t> </w:t>
      </w:r>
      <w:r>
        <w:rPr/>
        <w:t>to</w:t>
      </w:r>
      <w:r>
        <w:rPr>
          <w:spacing w:val="-4"/>
        </w:rPr>
        <w:t> </w:t>
      </w:r>
      <w:r>
        <w:rPr/>
        <w:t>their</w:t>
      </w:r>
      <w:r>
        <w:rPr>
          <w:spacing w:val="-5"/>
        </w:rPr>
        <w:t> </w:t>
      </w:r>
      <w:r>
        <w:rPr/>
        <w:t>experience</w:t>
      </w:r>
      <w:r>
        <w:rPr>
          <w:spacing w:val="-1"/>
        </w:rPr>
        <w:t> </w:t>
      </w:r>
      <w:r>
        <w:rPr/>
        <w:t>while</w:t>
      </w:r>
      <w:r>
        <w:rPr>
          <w:spacing w:val="-6"/>
        </w:rPr>
        <w:t> </w:t>
      </w:r>
      <w:r>
        <w:rPr/>
        <w:t>in</w:t>
      </w:r>
      <w:r>
        <w:rPr>
          <w:spacing w:val="-2"/>
        </w:rPr>
        <w:t> </w:t>
      </w:r>
      <w:r>
        <w:rPr/>
        <w:t>Curaçao.</w:t>
      </w:r>
      <w:r>
        <w:rPr>
          <w:spacing w:val="-4"/>
        </w:rPr>
        <w:t> </w:t>
      </w:r>
      <w:r>
        <w:rPr/>
        <w:t>The </w:t>
      </w:r>
      <w:r>
        <w:rPr/>
        <w:t>mean satisfaction for repeat visitors (M=5.07, SD=0.969) is significantly (t (1728) = -</w:t>
      </w:r>
      <w:r>
        <w:rPr>
          <w:rFonts w:ascii="Calibri" w:hAnsi="Calibri"/>
        </w:rPr>
        <w:t>3.74, ρ &lt; 0.01) higher </w:t>
      </w:r>
      <w:r>
        <w:rPr/>
        <w:t>than satisfaction of the first-timers (M=4.88, SD=1.004). Moreover, there is no significant relationship between the number of past visits and overall satisfaction levels for repeat tourists. The number of past visits to Curaçao have a positive impact on behavioral intentions</w:t>
      </w:r>
      <w:r>
        <w:rPr>
          <w:spacing w:val="-21"/>
        </w:rPr>
        <w:t> </w:t>
      </w:r>
      <w:r>
        <w:rPr/>
        <w:t>(loyalty).</w:t>
      </w:r>
    </w:p>
    <w:p>
      <w:pPr>
        <w:spacing w:line="240" w:lineRule="auto" w:before="8"/>
        <w:ind w:right="0"/>
        <w:rPr>
          <w:rFonts w:ascii="Calibri" w:hAnsi="Calibri" w:cs="Calibri" w:eastAsia="Calibri" w:hint="default"/>
          <w:sz w:val="21"/>
          <w:szCs w:val="21"/>
        </w:rPr>
      </w:pPr>
    </w:p>
    <w:p>
      <w:pPr>
        <w:spacing w:line="256" w:lineRule="auto" w:before="0"/>
        <w:ind w:left="1440" w:right="1435" w:firstLine="0"/>
        <w:jc w:val="both"/>
        <w:rPr>
          <w:rFonts w:ascii="Calibri" w:hAnsi="Calibri" w:cs="Calibri" w:eastAsia="Calibri" w:hint="default"/>
          <w:sz w:val="20"/>
          <w:szCs w:val="20"/>
        </w:rPr>
      </w:pPr>
      <w:r>
        <w:rPr>
          <w:rFonts w:ascii="Calibri" w:hAnsi="Calibri"/>
          <w:sz w:val="20"/>
        </w:rPr>
        <w:t>There is no significant difference in terms of overall satisfaction scores for repeat visitors (</w:t>
      </w:r>
      <w:r>
        <w:rPr>
          <w:rFonts w:ascii="Calibri" w:hAnsi="Calibri"/>
          <w:i/>
          <w:sz w:val="20"/>
        </w:rPr>
        <w:t>M=4.94, SD=0.1.162</w:t>
      </w:r>
      <w:r>
        <w:rPr>
          <w:rFonts w:ascii="Calibri" w:hAnsi="Calibri"/>
          <w:sz w:val="20"/>
        </w:rPr>
        <w:t>) and first-timers from the USA (</w:t>
      </w:r>
      <w:r>
        <w:rPr>
          <w:rFonts w:ascii="Calibri" w:hAnsi="Calibri"/>
          <w:i/>
          <w:sz w:val="20"/>
        </w:rPr>
        <w:t>M=4.86, SD=1.218</w:t>
      </w:r>
      <w:r>
        <w:rPr>
          <w:rFonts w:ascii="Calibri" w:hAnsi="Calibri"/>
          <w:sz w:val="20"/>
        </w:rPr>
        <w:t>) (</w:t>
      </w:r>
      <w:r>
        <w:rPr>
          <w:rFonts w:ascii="Calibri" w:hAnsi="Calibri"/>
          <w:i/>
          <w:sz w:val="20"/>
        </w:rPr>
        <w:t>t (211) = -</w:t>
      </w:r>
      <w:r>
        <w:rPr>
          <w:rFonts w:ascii="Calibri" w:hAnsi="Calibri"/>
          <w:i/>
          <w:sz w:val="20"/>
        </w:rPr>
        <w:t>0.520, ρ = 0.604</w:t>
      </w:r>
      <w:r>
        <w:rPr>
          <w:rFonts w:ascii="Calibri" w:hAnsi="Calibri"/>
          <w:sz w:val="20"/>
        </w:rPr>
        <w:t>), and repeat visitors (</w:t>
      </w:r>
      <w:r>
        <w:rPr>
          <w:rFonts w:ascii="Calibri" w:hAnsi="Calibri"/>
          <w:i/>
          <w:sz w:val="20"/>
        </w:rPr>
        <w:t>M=4.90, SD=0.962</w:t>
      </w:r>
      <w:r>
        <w:rPr>
          <w:rFonts w:ascii="Calibri" w:hAnsi="Calibri"/>
          <w:sz w:val="20"/>
        </w:rPr>
        <w:t>) and</w:t>
      </w:r>
      <w:r>
        <w:rPr>
          <w:rFonts w:ascii="Calibri" w:hAnsi="Calibri"/>
          <w:spacing w:val="-7"/>
          <w:sz w:val="20"/>
        </w:rPr>
        <w:t> </w:t>
      </w:r>
      <w:r>
        <w:rPr>
          <w:rFonts w:ascii="Calibri" w:hAnsi="Calibri"/>
          <w:sz w:val="20"/>
        </w:rPr>
        <w:t>first-timers</w:t>
      </w:r>
      <w:r>
        <w:rPr>
          <w:rFonts w:ascii="Calibri" w:hAnsi="Calibri"/>
          <w:spacing w:val="-9"/>
          <w:sz w:val="20"/>
        </w:rPr>
        <w:t> </w:t>
      </w:r>
      <w:r>
        <w:rPr>
          <w:rFonts w:ascii="Calibri" w:hAnsi="Calibri"/>
          <w:sz w:val="20"/>
        </w:rPr>
        <w:t>(</w:t>
      </w:r>
      <w:r>
        <w:rPr>
          <w:rFonts w:ascii="Calibri" w:hAnsi="Calibri"/>
          <w:i/>
          <w:sz w:val="20"/>
        </w:rPr>
        <w:t>M=4.85,</w:t>
      </w:r>
      <w:r>
        <w:rPr>
          <w:rFonts w:ascii="Calibri" w:hAnsi="Calibri"/>
          <w:i/>
          <w:spacing w:val="-8"/>
          <w:sz w:val="20"/>
        </w:rPr>
        <w:t> </w:t>
      </w:r>
      <w:r>
        <w:rPr>
          <w:rFonts w:ascii="Calibri" w:hAnsi="Calibri"/>
          <w:i/>
          <w:sz w:val="20"/>
        </w:rPr>
        <w:t>SD=0.908</w:t>
      </w:r>
      <w:r>
        <w:rPr>
          <w:rFonts w:ascii="Calibri" w:hAnsi="Calibri"/>
          <w:sz w:val="20"/>
        </w:rPr>
        <w:t>)</w:t>
      </w:r>
      <w:r>
        <w:rPr>
          <w:rFonts w:ascii="Calibri" w:hAnsi="Calibri"/>
          <w:spacing w:val="-8"/>
          <w:sz w:val="20"/>
        </w:rPr>
        <w:t> </w:t>
      </w:r>
      <w:r>
        <w:rPr>
          <w:rFonts w:ascii="Calibri" w:hAnsi="Calibri"/>
          <w:sz w:val="20"/>
        </w:rPr>
        <w:t>from</w:t>
      </w:r>
      <w:r>
        <w:rPr>
          <w:rFonts w:ascii="Calibri" w:hAnsi="Calibri"/>
          <w:spacing w:val="-8"/>
          <w:sz w:val="20"/>
        </w:rPr>
        <w:t> </w:t>
      </w:r>
      <w:r>
        <w:rPr>
          <w:rFonts w:ascii="Calibri" w:hAnsi="Calibri"/>
          <w:sz w:val="20"/>
        </w:rPr>
        <w:t>other</w:t>
      </w:r>
      <w:r>
        <w:rPr>
          <w:rFonts w:ascii="Calibri" w:hAnsi="Calibri"/>
          <w:spacing w:val="-8"/>
          <w:sz w:val="20"/>
        </w:rPr>
        <w:t> </w:t>
      </w:r>
      <w:r>
        <w:rPr>
          <w:rFonts w:ascii="Calibri" w:hAnsi="Calibri"/>
          <w:sz w:val="20"/>
        </w:rPr>
        <w:t>parts</w:t>
      </w:r>
      <w:r>
        <w:rPr>
          <w:rFonts w:ascii="Calibri" w:hAnsi="Calibri"/>
          <w:spacing w:val="-8"/>
          <w:sz w:val="20"/>
        </w:rPr>
        <w:t> </w:t>
      </w:r>
      <w:r>
        <w:rPr>
          <w:rFonts w:ascii="Calibri" w:hAnsi="Calibri"/>
          <w:sz w:val="20"/>
        </w:rPr>
        <w:t>of</w:t>
      </w:r>
      <w:r>
        <w:rPr>
          <w:rFonts w:ascii="Calibri" w:hAnsi="Calibri"/>
          <w:spacing w:val="-9"/>
          <w:sz w:val="20"/>
        </w:rPr>
        <w:t> </w:t>
      </w:r>
      <w:r>
        <w:rPr>
          <w:rFonts w:ascii="Calibri" w:hAnsi="Calibri"/>
          <w:sz w:val="20"/>
        </w:rPr>
        <w:t>the</w:t>
      </w:r>
      <w:r>
        <w:rPr>
          <w:rFonts w:ascii="Calibri" w:hAnsi="Calibri"/>
          <w:spacing w:val="-12"/>
          <w:sz w:val="20"/>
        </w:rPr>
        <w:t> </w:t>
      </w:r>
      <w:r>
        <w:rPr>
          <w:rFonts w:ascii="Calibri" w:hAnsi="Calibri"/>
          <w:sz w:val="20"/>
        </w:rPr>
        <w:t>world</w:t>
      </w:r>
      <w:r>
        <w:rPr>
          <w:rFonts w:ascii="Calibri" w:hAnsi="Calibri"/>
          <w:spacing w:val="-7"/>
          <w:sz w:val="20"/>
        </w:rPr>
        <w:t> </w:t>
      </w:r>
      <w:r>
        <w:rPr>
          <w:rFonts w:ascii="Calibri" w:hAnsi="Calibri"/>
          <w:sz w:val="20"/>
        </w:rPr>
        <w:t>(</w:t>
      </w:r>
      <w:r>
        <w:rPr>
          <w:rFonts w:ascii="Calibri" w:hAnsi="Calibri"/>
          <w:i/>
          <w:sz w:val="20"/>
        </w:rPr>
        <w:t>t</w:t>
      </w:r>
      <w:r>
        <w:rPr>
          <w:rFonts w:ascii="Calibri" w:hAnsi="Calibri"/>
          <w:i/>
          <w:spacing w:val="-7"/>
          <w:sz w:val="20"/>
        </w:rPr>
        <w:t> </w:t>
      </w:r>
      <w:r>
        <w:rPr>
          <w:rFonts w:ascii="Calibri" w:hAnsi="Calibri"/>
          <w:i/>
          <w:sz w:val="20"/>
        </w:rPr>
        <w:t>(435)</w:t>
      </w:r>
      <w:r>
        <w:rPr>
          <w:rFonts w:ascii="Calibri" w:hAnsi="Calibri"/>
          <w:i/>
          <w:spacing w:val="-9"/>
          <w:sz w:val="20"/>
        </w:rPr>
        <w:t> </w:t>
      </w:r>
      <w:r>
        <w:rPr>
          <w:rFonts w:ascii="Calibri" w:hAnsi="Calibri"/>
          <w:i/>
          <w:sz w:val="20"/>
        </w:rPr>
        <w:t>=</w:t>
      </w:r>
      <w:r>
        <w:rPr>
          <w:rFonts w:ascii="Calibri" w:hAnsi="Calibri"/>
          <w:i/>
          <w:spacing w:val="-9"/>
          <w:sz w:val="20"/>
        </w:rPr>
        <w:t> </w:t>
      </w:r>
      <w:r>
        <w:rPr>
          <w:rFonts w:ascii="Calibri" w:hAnsi="Calibri"/>
          <w:i/>
          <w:sz w:val="20"/>
        </w:rPr>
        <w:t>-</w:t>
      </w:r>
      <w:r>
        <w:rPr>
          <w:rFonts w:ascii="Calibri" w:hAnsi="Calibri"/>
          <w:i/>
          <w:sz w:val="20"/>
        </w:rPr>
        <w:t>0.542,</w:t>
      </w:r>
      <w:r>
        <w:rPr>
          <w:rFonts w:ascii="Calibri" w:hAnsi="Calibri"/>
          <w:i/>
          <w:spacing w:val="-8"/>
          <w:sz w:val="20"/>
        </w:rPr>
        <w:t> </w:t>
      </w:r>
      <w:r>
        <w:rPr>
          <w:rFonts w:ascii="Calibri" w:hAnsi="Calibri"/>
          <w:i/>
          <w:sz w:val="20"/>
        </w:rPr>
        <w:t>ρ</w:t>
      </w:r>
      <w:r>
        <w:rPr>
          <w:rFonts w:ascii="Calibri" w:hAnsi="Calibri"/>
          <w:i/>
          <w:spacing w:val="-8"/>
          <w:sz w:val="20"/>
        </w:rPr>
        <w:t> </w:t>
      </w:r>
      <w:r>
        <w:rPr>
          <w:rFonts w:ascii="Calibri" w:hAnsi="Calibri"/>
          <w:i/>
          <w:sz w:val="20"/>
        </w:rPr>
        <w:t>=</w:t>
      </w:r>
      <w:r>
        <w:rPr>
          <w:rFonts w:ascii="Calibri" w:hAnsi="Calibri"/>
          <w:i/>
          <w:spacing w:val="-9"/>
          <w:sz w:val="20"/>
        </w:rPr>
        <w:t> </w:t>
      </w:r>
      <w:r>
        <w:rPr>
          <w:rFonts w:ascii="Calibri" w:hAnsi="Calibri"/>
          <w:i/>
          <w:sz w:val="20"/>
        </w:rPr>
        <w:t>0.588</w:t>
      </w:r>
      <w:r>
        <w:rPr>
          <w:rFonts w:ascii="Calibri" w:hAnsi="Calibri"/>
          <w:sz w:val="20"/>
        </w:rPr>
        <w:t>).</w:t>
      </w:r>
      <w:r>
        <w:rPr>
          <w:rFonts w:ascii="Calibri" w:hAnsi="Calibri"/>
          <w:spacing w:val="30"/>
          <w:sz w:val="20"/>
        </w:rPr>
        <w:t> </w:t>
      </w:r>
      <w:r>
        <w:rPr>
          <w:rFonts w:ascii="Calibri" w:hAnsi="Calibri"/>
          <w:sz w:val="20"/>
        </w:rPr>
        <w:t>However,</w:t>
      </w:r>
      <w:r>
        <w:rPr>
          <w:rFonts w:ascii="Calibri" w:hAnsi="Calibri"/>
          <w:spacing w:val="-7"/>
          <w:sz w:val="20"/>
        </w:rPr>
        <w:t> </w:t>
      </w:r>
      <w:r>
        <w:rPr>
          <w:rFonts w:ascii="Calibri" w:hAnsi="Calibri"/>
          <w:sz w:val="20"/>
        </w:rPr>
        <w:t>first-timers </w:t>
      </w:r>
      <w:r>
        <w:rPr>
          <w:rFonts w:ascii="Calibri" w:hAnsi="Calibri"/>
          <w:sz w:val="20"/>
        </w:rPr>
        <w:t>(</w:t>
      </w:r>
      <w:r>
        <w:rPr>
          <w:rFonts w:ascii="Calibri" w:hAnsi="Calibri"/>
          <w:i/>
          <w:sz w:val="20"/>
        </w:rPr>
        <w:t>M=4.85, SD=0.888</w:t>
      </w:r>
      <w:r>
        <w:rPr>
          <w:rFonts w:ascii="Calibri" w:hAnsi="Calibri"/>
          <w:sz w:val="20"/>
        </w:rPr>
        <w:t>) from the Netherlands show significantly (</w:t>
      </w:r>
      <w:r>
        <w:rPr>
          <w:rFonts w:ascii="Calibri" w:hAnsi="Calibri"/>
          <w:i/>
          <w:sz w:val="20"/>
        </w:rPr>
        <w:t>t (609) = -</w:t>
      </w:r>
      <w:r>
        <w:rPr>
          <w:rFonts w:ascii="Calibri" w:hAnsi="Calibri"/>
          <w:i/>
          <w:sz w:val="20"/>
        </w:rPr>
        <w:t>2.004, ρ = 0.046</w:t>
      </w:r>
      <w:r>
        <w:rPr>
          <w:rFonts w:ascii="Calibri" w:hAnsi="Calibri"/>
          <w:sz w:val="20"/>
        </w:rPr>
        <w:t>) lower satisfaction scores compared to repeat visitors from the Netherlands (</w:t>
      </w:r>
      <w:r>
        <w:rPr>
          <w:rFonts w:ascii="Calibri" w:hAnsi="Calibri"/>
          <w:i/>
          <w:sz w:val="20"/>
        </w:rPr>
        <w:t>M=5.00,</w:t>
      </w:r>
      <w:r>
        <w:rPr>
          <w:rFonts w:ascii="Calibri" w:hAnsi="Calibri"/>
          <w:i/>
          <w:spacing w:val="-22"/>
          <w:sz w:val="20"/>
        </w:rPr>
        <w:t> </w:t>
      </w:r>
      <w:r>
        <w:rPr>
          <w:rFonts w:ascii="Calibri" w:hAnsi="Calibri"/>
          <w:i/>
          <w:sz w:val="20"/>
        </w:rPr>
        <w:t>SD=0.871</w:t>
      </w:r>
      <w:r>
        <w:rPr>
          <w:rFonts w:ascii="Calibri" w:hAnsi="Calibri"/>
          <w:sz w:val="20"/>
        </w:rPr>
        <w:t>).</w:t>
      </w:r>
    </w:p>
    <w:p>
      <w:pPr>
        <w:spacing w:line="240" w:lineRule="auto" w:before="4"/>
        <w:ind w:right="0"/>
        <w:rPr>
          <w:rFonts w:ascii="Calibri" w:hAnsi="Calibri" w:cs="Calibri" w:eastAsia="Calibri" w:hint="default"/>
          <w:sz w:val="21"/>
          <w:szCs w:val="21"/>
        </w:rPr>
      </w:pPr>
    </w:p>
    <w:p>
      <w:pPr>
        <w:pStyle w:val="BodyText"/>
        <w:spacing w:line="256" w:lineRule="auto"/>
        <w:ind w:right="1436"/>
        <w:jc w:val="both"/>
      </w:pPr>
      <w:r>
        <w:rPr/>
        <w:t>In the case of Venezuela, first-timers (</w:t>
      </w:r>
      <w:r>
        <w:rPr>
          <w:rFonts w:ascii="Calibri" w:hAnsi="Calibri"/>
          <w:i/>
        </w:rPr>
        <w:t>M=4.99, SD=1.121</w:t>
      </w:r>
      <w:r>
        <w:rPr/>
        <w:t>) show significantly (</w:t>
      </w:r>
      <w:r>
        <w:rPr>
          <w:rFonts w:ascii="Calibri" w:hAnsi="Calibri"/>
          <w:i/>
        </w:rPr>
        <w:t>t (467) = -</w:t>
      </w:r>
      <w:r>
        <w:rPr>
          <w:rFonts w:ascii="Calibri" w:hAnsi="Calibri"/>
          <w:i/>
        </w:rPr>
        <w:t>3.038, ρ = 0.003</w:t>
      </w:r>
      <w:r>
        <w:rPr/>
        <w:t>) lower satisfaction</w:t>
      </w:r>
      <w:r>
        <w:rPr>
          <w:spacing w:val="-10"/>
        </w:rPr>
        <w:t> </w:t>
      </w:r>
      <w:r>
        <w:rPr/>
        <w:t>scores</w:t>
      </w:r>
      <w:r>
        <w:rPr>
          <w:spacing w:val="-12"/>
        </w:rPr>
        <w:t> </w:t>
      </w:r>
      <w:r>
        <w:rPr/>
        <w:t>compared</w:t>
      </w:r>
      <w:r>
        <w:rPr>
          <w:spacing w:val="-11"/>
        </w:rPr>
        <w:t> </w:t>
      </w:r>
      <w:r>
        <w:rPr/>
        <w:t>to</w:t>
      </w:r>
      <w:r>
        <w:rPr>
          <w:spacing w:val="-10"/>
        </w:rPr>
        <w:t> </w:t>
      </w:r>
      <w:r>
        <w:rPr/>
        <w:t>Venezuelan</w:t>
      </w:r>
      <w:r>
        <w:rPr>
          <w:spacing w:val="-10"/>
        </w:rPr>
        <w:t> </w:t>
      </w:r>
      <w:r>
        <w:rPr/>
        <w:t>repeat</w:t>
      </w:r>
      <w:r>
        <w:rPr>
          <w:spacing w:val="-8"/>
        </w:rPr>
        <w:t> </w:t>
      </w:r>
      <w:r>
        <w:rPr/>
        <w:t>visitors</w:t>
      </w:r>
      <w:r>
        <w:rPr>
          <w:spacing w:val="-10"/>
        </w:rPr>
        <w:t> </w:t>
      </w:r>
      <w:r>
        <w:rPr/>
        <w:t>(</w:t>
      </w:r>
      <w:r>
        <w:rPr>
          <w:rFonts w:ascii="Calibri" w:hAnsi="Calibri"/>
          <w:i/>
        </w:rPr>
        <w:t>M=5.30,</w:t>
      </w:r>
      <w:r>
        <w:rPr>
          <w:rFonts w:ascii="Calibri" w:hAnsi="Calibri"/>
          <w:i/>
          <w:spacing w:val="-11"/>
        </w:rPr>
        <w:t> </w:t>
      </w:r>
      <w:r>
        <w:rPr>
          <w:rFonts w:ascii="Calibri" w:hAnsi="Calibri"/>
          <w:i/>
        </w:rPr>
        <w:t>SD=0.980</w:t>
      </w:r>
      <w:r>
        <w:rPr/>
        <w:t>).</w:t>
      </w:r>
      <w:r>
        <w:rPr>
          <w:spacing w:val="25"/>
        </w:rPr>
        <w:t> </w:t>
      </w:r>
      <w:r>
        <w:rPr/>
        <w:t>The</w:t>
      </w:r>
      <w:r>
        <w:rPr>
          <w:spacing w:val="-12"/>
        </w:rPr>
        <w:t> </w:t>
      </w:r>
      <w:r>
        <w:rPr/>
        <w:t>take</w:t>
      </w:r>
      <w:r>
        <w:rPr>
          <w:spacing w:val="-9"/>
        </w:rPr>
        <w:t> </w:t>
      </w:r>
      <w:r>
        <w:rPr/>
        <w:t>away</w:t>
      </w:r>
      <w:r>
        <w:rPr>
          <w:spacing w:val="-10"/>
        </w:rPr>
        <w:t> </w:t>
      </w:r>
      <w:r>
        <w:rPr/>
        <w:t>here</w:t>
      </w:r>
      <w:r>
        <w:rPr>
          <w:spacing w:val="-12"/>
        </w:rPr>
        <w:t> </w:t>
      </w:r>
      <w:r>
        <w:rPr/>
        <w:t>is</w:t>
      </w:r>
      <w:r>
        <w:rPr>
          <w:spacing w:val="-13"/>
        </w:rPr>
        <w:t> </w:t>
      </w:r>
      <w:r>
        <w:rPr/>
        <w:t>that,</w:t>
      </w:r>
      <w:r>
        <w:rPr>
          <w:spacing w:val="-11"/>
        </w:rPr>
        <w:t> </w:t>
      </w:r>
      <w:r>
        <w:rPr/>
        <w:t>whether </w:t>
      </w:r>
      <w:r>
        <w:rPr/>
        <w:t>or not they had previously visited Curaçao , American tourists do not have significant differences in terms of their overall satisfaction evaluation of Curaçao. However, both Dutch and Venezuelan first-time tourists have a significantly lower overall satisfaction score of</w:t>
      </w:r>
      <w:r>
        <w:rPr>
          <w:spacing w:val="-15"/>
        </w:rPr>
        <w:t> </w:t>
      </w:r>
      <w:r>
        <w:rPr/>
        <w:t>Curaçao.</w:t>
      </w:r>
    </w:p>
    <w:p>
      <w:pPr>
        <w:spacing w:line="240" w:lineRule="auto" w:before="3"/>
        <w:ind w:right="0"/>
        <w:rPr>
          <w:rFonts w:ascii="Calibri" w:hAnsi="Calibri" w:cs="Calibri" w:eastAsia="Calibri" w:hint="default"/>
          <w:sz w:val="21"/>
          <w:szCs w:val="21"/>
        </w:rPr>
      </w:pPr>
    </w:p>
    <w:p>
      <w:pPr>
        <w:pStyle w:val="BodyText"/>
        <w:spacing w:line="259" w:lineRule="auto"/>
        <w:ind w:right="1434"/>
        <w:jc w:val="both"/>
      </w:pPr>
      <w:r>
        <w:rPr/>
        <w:t>The socioeconomic status is a </w:t>
      </w:r>
      <w:r>
        <w:rPr>
          <w:rFonts w:ascii="Calibri" w:hAnsi="Calibri" w:cs="Calibri" w:eastAsia="Calibri" w:hint="default"/>
        </w:rPr>
        <w:t>latent construct reflected in income level (β=0.13, ρ&lt;0.001) and education d</w:t>
      </w:r>
      <w:r>
        <w:rPr/>
        <w:t>egree </w:t>
      </w:r>
      <w:r>
        <w:rPr>
          <w:rFonts w:ascii="Calibri" w:hAnsi="Calibri" w:cs="Calibri" w:eastAsia="Calibri" w:hint="default"/>
        </w:rPr>
        <w:t>(β=0.11, ρ&lt;0.001) of the visitor. Socioeconomic status shows a negative impact (β=</w:t>
      </w:r>
      <w:r>
        <w:rPr/>
        <w:t>-</w:t>
      </w:r>
      <w:r>
        <w:rPr>
          <w:rFonts w:ascii="Calibri" w:hAnsi="Calibri" w:cs="Calibri" w:eastAsia="Calibri" w:hint="default"/>
        </w:rPr>
        <w:t>0.49, ρ&lt;0.001) on behavioral </w:t>
      </w:r>
      <w:r>
        <w:rPr/>
        <w:t>intentions. This means that people with high socioeconomic status (high income and higher education degrees) are less</w:t>
      </w:r>
      <w:r>
        <w:rPr>
          <w:spacing w:val="-11"/>
        </w:rPr>
        <w:t> </w:t>
      </w:r>
      <w:r>
        <w:rPr/>
        <w:t>likely</w:t>
      </w:r>
      <w:r>
        <w:rPr>
          <w:spacing w:val="-10"/>
        </w:rPr>
        <w:t> </w:t>
      </w:r>
      <w:r>
        <w:rPr/>
        <w:t>to</w:t>
      </w:r>
      <w:r>
        <w:rPr>
          <w:spacing w:val="-10"/>
        </w:rPr>
        <w:t> </w:t>
      </w:r>
      <w:r>
        <w:rPr/>
        <w:t>come</w:t>
      </w:r>
      <w:r>
        <w:rPr>
          <w:spacing w:val="-11"/>
        </w:rPr>
        <w:t> </w:t>
      </w:r>
      <w:r>
        <w:rPr/>
        <w:t>back</w:t>
      </w:r>
      <w:r>
        <w:rPr>
          <w:spacing w:val="-10"/>
        </w:rPr>
        <w:t> </w:t>
      </w:r>
      <w:r>
        <w:rPr/>
        <w:t>to</w:t>
      </w:r>
      <w:r>
        <w:rPr>
          <w:spacing w:val="-11"/>
        </w:rPr>
        <w:t> </w:t>
      </w:r>
      <w:r>
        <w:rPr/>
        <w:t>Curaçao,</w:t>
      </w:r>
      <w:r>
        <w:rPr>
          <w:spacing w:val="-10"/>
        </w:rPr>
        <w:t> </w:t>
      </w:r>
      <w:r>
        <w:rPr/>
        <w:t>or</w:t>
      </w:r>
      <w:r>
        <w:rPr>
          <w:spacing w:val="-10"/>
        </w:rPr>
        <w:t> </w:t>
      </w:r>
      <w:r>
        <w:rPr/>
        <w:t>spread</w:t>
      </w:r>
      <w:r>
        <w:rPr>
          <w:spacing w:val="-11"/>
        </w:rPr>
        <w:t> </w:t>
      </w:r>
      <w:r>
        <w:rPr/>
        <w:t>positive</w:t>
      </w:r>
      <w:r>
        <w:rPr>
          <w:spacing w:val="-11"/>
        </w:rPr>
        <w:t> </w:t>
      </w:r>
      <w:r>
        <w:rPr/>
        <w:t>word-of-mouth</w:t>
      </w:r>
      <w:r>
        <w:rPr>
          <w:spacing w:val="-9"/>
        </w:rPr>
        <w:t> </w:t>
      </w:r>
      <w:r>
        <w:rPr/>
        <w:t>about</w:t>
      </w:r>
      <w:r>
        <w:rPr>
          <w:spacing w:val="-10"/>
        </w:rPr>
        <w:t> </w:t>
      </w:r>
      <w:r>
        <w:rPr/>
        <w:t>it.</w:t>
      </w:r>
      <w:r>
        <w:rPr>
          <w:spacing w:val="-12"/>
        </w:rPr>
        <w:t> </w:t>
      </w:r>
      <w:r>
        <w:rPr/>
        <w:t>Simply,</w:t>
      </w:r>
      <w:r>
        <w:rPr>
          <w:spacing w:val="-10"/>
        </w:rPr>
        <w:t> </w:t>
      </w:r>
      <w:r>
        <w:rPr/>
        <w:t>the</w:t>
      </w:r>
      <w:r>
        <w:rPr>
          <w:spacing w:val="-13"/>
        </w:rPr>
        <w:t> </w:t>
      </w:r>
      <w:r>
        <w:rPr/>
        <w:t>current</w:t>
      </w:r>
      <w:r>
        <w:rPr>
          <w:spacing w:val="-10"/>
        </w:rPr>
        <w:t> </w:t>
      </w:r>
      <w:r>
        <w:rPr/>
        <w:t>brand</w:t>
      </w:r>
      <w:r>
        <w:rPr>
          <w:spacing w:val="-10"/>
        </w:rPr>
        <w:t> </w:t>
      </w:r>
      <w:r>
        <w:rPr/>
        <w:t>image</w:t>
      </w:r>
      <w:r>
        <w:rPr>
          <w:spacing w:val="-10"/>
        </w:rPr>
        <w:t> </w:t>
      </w:r>
      <w:r>
        <w:rPr/>
        <w:t>says, </w:t>
      </w:r>
      <w:r>
        <w:rPr/>
      </w:r>
      <w:r>
        <w:rPr>
          <w:rFonts w:ascii="Calibri" w:hAnsi="Calibri" w:cs="Calibri" w:eastAsia="Calibri" w:hint="default"/>
        </w:rPr>
        <w:t>“</w:t>
      </w:r>
      <w:r>
        <w:rPr/>
        <w:t>Curaçao</w:t>
      </w:r>
      <w:r>
        <w:rPr>
          <w:spacing w:val="-8"/>
        </w:rPr>
        <w:t> </w:t>
      </w:r>
      <w:r>
        <w:rPr/>
        <w:t>is</w:t>
      </w:r>
      <w:r>
        <w:rPr>
          <w:spacing w:val="-11"/>
        </w:rPr>
        <w:t> </w:t>
      </w:r>
      <w:r>
        <w:rPr/>
        <w:t>not</w:t>
      </w:r>
      <w:r>
        <w:rPr>
          <w:spacing w:val="-9"/>
        </w:rPr>
        <w:t> </w:t>
      </w:r>
      <w:r>
        <w:rPr/>
        <w:t>a</w:t>
      </w:r>
      <w:r>
        <w:rPr>
          <w:spacing w:val="-9"/>
        </w:rPr>
        <w:t> </w:t>
      </w:r>
      <w:r>
        <w:rPr/>
        <w:t>place</w:t>
      </w:r>
      <w:r>
        <w:rPr>
          <w:spacing w:val="-8"/>
        </w:rPr>
        <w:t> </w:t>
      </w:r>
      <w:r>
        <w:rPr/>
        <w:t>for</w:t>
      </w:r>
      <w:r>
        <w:rPr>
          <w:spacing w:val="-9"/>
        </w:rPr>
        <w:t> </w:t>
      </w:r>
      <w:r>
        <w:rPr/>
        <w:t>high-class</w:t>
      </w:r>
      <w:r>
        <w:rPr>
          <w:spacing w:val="-10"/>
        </w:rPr>
        <w:t> </w:t>
      </w:r>
      <w:r>
        <w:rPr/>
        <w:t>people</w:t>
      </w:r>
      <w:r>
        <w:rPr>
          <w:spacing w:val="-8"/>
        </w:rPr>
        <w:t> </w:t>
      </w:r>
      <w:r>
        <w:rPr/>
        <w:t>in</w:t>
      </w:r>
      <w:r>
        <w:rPr>
          <w:spacing w:val="-9"/>
        </w:rPr>
        <w:t> </w:t>
      </w:r>
      <w:r>
        <w:rPr/>
        <w:t>the</w:t>
      </w:r>
      <w:r>
        <w:rPr>
          <w:spacing w:val="-10"/>
        </w:rPr>
        <w:t> </w:t>
      </w:r>
      <w:r>
        <w:rPr/>
        <w:t>so</w:t>
      </w:r>
      <w:r>
        <w:rPr>
          <w:rFonts w:ascii="Calibri" w:hAnsi="Calibri" w:cs="Calibri" w:eastAsia="Calibri" w:hint="default"/>
        </w:rPr>
        <w:t>ciety.”</w:t>
      </w:r>
      <w:r>
        <w:rPr>
          <w:rFonts w:ascii="Calibri" w:hAnsi="Calibri" w:cs="Calibri" w:eastAsia="Calibri" w:hint="default"/>
          <w:spacing w:val="23"/>
        </w:rPr>
        <w:t> </w:t>
      </w:r>
      <w:r>
        <w:rPr/>
        <w:t>Similarly,</w:t>
      </w:r>
      <w:r>
        <w:rPr>
          <w:spacing w:val="-9"/>
        </w:rPr>
        <w:t> </w:t>
      </w:r>
      <w:r>
        <w:rPr/>
        <w:t>age</w:t>
      </w:r>
      <w:r>
        <w:rPr>
          <w:spacing w:val="-10"/>
        </w:rPr>
        <w:t> </w:t>
      </w:r>
      <w:r>
        <w:rPr/>
        <w:t>shows</w:t>
      </w:r>
      <w:r>
        <w:rPr>
          <w:spacing w:val="-10"/>
        </w:rPr>
        <w:t> </w:t>
      </w:r>
      <w:r>
        <w:rPr/>
        <w:t>a</w:t>
      </w:r>
      <w:r>
        <w:rPr>
          <w:spacing w:val="-6"/>
        </w:rPr>
        <w:t> </w:t>
      </w:r>
      <w:r>
        <w:rPr>
          <w:rFonts w:ascii="Calibri" w:hAnsi="Calibri" w:cs="Calibri" w:eastAsia="Calibri" w:hint="default"/>
        </w:rPr>
        <w:t>slightly</w:t>
      </w:r>
      <w:r>
        <w:rPr>
          <w:rFonts w:ascii="Calibri" w:hAnsi="Calibri" w:cs="Calibri" w:eastAsia="Calibri" w:hint="default"/>
          <w:spacing w:val="-6"/>
        </w:rPr>
        <w:t> </w:t>
      </w:r>
      <w:r>
        <w:rPr>
          <w:rFonts w:ascii="Calibri" w:hAnsi="Calibri" w:cs="Calibri" w:eastAsia="Calibri" w:hint="default"/>
        </w:rPr>
        <w:t>negative</w:t>
      </w:r>
      <w:r>
        <w:rPr>
          <w:rFonts w:ascii="Calibri" w:hAnsi="Calibri" w:cs="Calibri" w:eastAsia="Calibri" w:hint="default"/>
          <w:spacing w:val="-10"/>
        </w:rPr>
        <w:t> </w:t>
      </w:r>
      <w:r>
        <w:rPr>
          <w:rFonts w:ascii="Calibri" w:hAnsi="Calibri" w:cs="Calibri" w:eastAsia="Calibri" w:hint="default"/>
        </w:rPr>
        <w:t>impact</w:t>
      </w:r>
      <w:r>
        <w:rPr>
          <w:rFonts w:ascii="Calibri" w:hAnsi="Calibri" w:cs="Calibri" w:eastAsia="Calibri" w:hint="default"/>
          <w:spacing w:val="-9"/>
        </w:rPr>
        <w:t> </w:t>
      </w:r>
      <w:r>
        <w:rPr>
          <w:rFonts w:ascii="Calibri" w:hAnsi="Calibri" w:cs="Calibri" w:eastAsia="Calibri" w:hint="default"/>
        </w:rPr>
        <w:t>(β=</w:t>
      </w:r>
      <w:r>
        <w:rPr/>
        <w:t>-0.08, </w:t>
      </w:r>
      <w:r>
        <w:rPr>
          <w:rFonts w:ascii="Calibri" w:hAnsi="Calibri" w:cs="Calibri" w:eastAsia="Calibri" w:hint="default"/>
        </w:rPr>
        <w:t>ρ&lt;0.001) on behaviora</w:t>
      </w:r>
      <w:r>
        <w:rPr/>
        <w:t>l intentions. This is intuitive as older customers have less connection to the social networks in</w:t>
      </w:r>
      <w:r>
        <w:rPr>
          <w:spacing w:val="-2"/>
        </w:rPr>
        <w:t> </w:t>
      </w:r>
      <w:r>
        <w:rPr/>
        <w:t>the</w:t>
      </w:r>
      <w:r>
        <w:rPr>
          <w:spacing w:val="-3"/>
        </w:rPr>
        <w:t> </w:t>
      </w:r>
      <w:r>
        <w:rPr/>
        <w:t>society,</w:t>
      </w:r>
      <w:r>
        <w:rPr>
          <w:spacing w:val="-1"/>
        </w:rPr>
        <w:t> </w:t>
      </w:r>
      <w:r>
        <w:rPr/>
        <w:t>especially</w:t>
      </w:r>
      <w:r>
        <w:rPr>
          <w:spacing w:val="-2"/>
        </w:rPr>
        <w:t> </w:t>
      </w:r>
      <w:r>
        <w:rPr/>
        <w:t>if</w:t>
      </w:r>
      <w:r>
        <w:rPr>
          <w:spacing w:val="-3"/>
        </w:rPr>
        <w:t> </w:t>
      </w:r>
      <w:r>
        <w:rPr/>
        <w:t>they</w:t>
      </w:r>
      <w:r>
        <w:rPr>
          <w:spacing w:val="-2"/>
        </w:rPr>
        <w:t> </w:t>
      </w:r>
      <w:r>
        <w:rPr/>
        <w:t>are</w:t>
      </w:r>
      <w:r>
        <w:rPr>
          <w:spacing w:val="-3"/>
        </w:rPr>
        <w:t> </w:t>
      </w:r>
      <w:r>
        <w:rPr/>
        <w:t>retired;</w:t>
      </w:r>
      <w:r>
        <w:rPr>
          <w:spacing w:val="-3"/>
        </w:rPr>
        <w:t> </w:t>
      </w:r>
      <w:r>
        <w:rPr/>
        <w:t>so, spreading</w:t>
      </w:r>
      <w:r>
        <w:rPr>
          <w:spacing w:val="-3"/>
        </w:rPr>
        <w:t> </w:t>
      </w:r>
      <w:r>
        <w:rPr/>
        <w:t>the</w:t>
      </w:r>
      <w:r>
        <w:rPr>
          <w:spacing w:val="-3"/>
        </w:rPr>
        <w:t> </w:t>
      </w:r>
      <w:r>
        <w:rPr/>
        <w:t>positive</w:t>
      </w:r>
      <w:r>
        <w:rPr>
          <w:spacing w:val="-3"/>
        </w:rPr>
        <w:t> </w:t>
      </w:r>
      <w:r>
        <w:rPr/>
        <w:t>word-of-mouth</w:t>
      </w:r>
      <w:r>
        <w:rPr>
          <w:spacing w:val="-2"/>
        </w:rPr>
        <w:t> </w:t>
      </w:r>
      <w:r>
        <w:rPr/>
        <w:t>is</w:t>
      </w:r>
      <w:r>
        <w:rPr>
          <w:spacing w:val="-3"/>
        </w:rPr>
        <w:t> </w:t>
      </w:r>
      <w:r>
        <w:rPr/>
        <w:t>usually</w:t>
      </w:r>
      <w:r>
        <w:rPr>
          <w:spacing w:val="-1"/>
        </w:rPr>
        <w:t> </w:t>
      </w:r>
      <w:r>
        <w:rPr/>
        <w:t>weak for</w:t>
      </w:r>
      <w:r>
        <w:rPr>
          <w:spacing w:val="-1"/>
        </w:rPr>
        <w:t> </w:t>
      </w:r>
      <w:r>
        <w:rPr/>
        <w:t>elders.</w:t>
      </w:r>
    </w:p>
    <w:p>
      <w:pPr>
        <w:pStyle w:val="BodyText"/>
        <w:spacing w:line="259" w:lineRule="auto" w:before="1"/>
        <w:ind w:right="1436"/>
        <w:jc w:val="both"/>
        <w:rPr>
          <w:rFonts w:ascii="Calibri" w:hAnsi="Calibri" w:cs="Calibri" w:eastAsia="Calibri" w:hint="default"/>
        </w:rPr>
      </w:pPr>
      <w:r>
        <w:rPr/>
        <w:t>The number of nights spent in Curaçao </w:t>
      </w:r>
      <w:r>
        <w:rPr>
          <w:rFonts w:ascii="Calibri" w:hAnsi="Calibri"/>
        </w:rPr>
        <w:t>shows a negative impact (β=</w:t>
      </w:r>
      <w:r>
        <w:rPr/>
        <w:t>-</w:t>
      </w:r>
      <w:r>
        <w:rPr>
          <w:rFonts w:ascii="Calibri" w:hAnsi="Calibri"/>
        </w:rPr>
        <w:t>0.07, ρ&lt;0.01) on behavioral intentions. This </w:t>
      </w:r>
      <w:r>
        <w:rPr/>
        <w:t>finding suggests that the island does not have enough to offer to tourists (or at least tourists think so) for longer stays. They simply seem to get bored the longer they stay on the island.</w:t>
      </w:r>
      <w:r>
        <w:rPr>
          <w:position w:val="5"/>
          <w:sz w:val="12"/>
        </w:rPr>
        <w:t>56 </w:t>
      </w:r>
      <w:r>
        <w:rPr/>
        <w:t>Finally, gender also plays a role in shaping </w:t>
      </w:r>
      <w:r>
        <w:rPr/>
        <w:t>satisfaction levels. M</w:t>
      </w:r>
      <w:r>
        <w:rPr>
          <w:rFonts w:ascii="Calibri" w:hAnsi="Calibri"/>
        </w:rPr>
        <w:t>ales (β=</w:t>
      </w:r>
      <w:r>
        <w:rPr/>
        <w:t>-</w:t>
      </w:r>
      <w:r>
        <w:rPr>
          <w:rFonts w:ascii="Calibri" w:hAnsi="Calibri"/>
        </w:rPr>
        <w:t>0.04, ρ&lt;0.04) are less satisfied compared to</w:t>
      </w:r>
      <w:r>
        <w:rPr>
          <w:rFonts w:ascii="Calibri" w:hAnsi="Calibri"/>
          <w:spacing w:val="-25"/>
        </w:rPr>
        <w:t> </w:t>
      </w:r>
      <w:r>
        <w:rPr>
          <w:rFonts w:ascii="Calibri" w:hAnsi="Calibri"/>
        </w:rPr>
        <w:t>females.</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after="0"/>
        <w:ind w:right="0"/>
        <w:rPr>
          <w:rFonts w:ascii="Calibri" w:hAnsi="Calibri" w:cs="Calibri" w:eastAsia="Calibri" w:hint="default"/>
          <w:sz w:val="22"/>
          <w:szCs w:val="22"/>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7" w:lineRule="auto" w:before="91"/>
        <w:ind w:left="1440" w:right="1435" w:firstLine="0"/>
        <w:jc w:val="left"/>
        <w:rPr>
          <w:rFonts w:ascii="Calibri" w:hAnsi="Calibri" w:cs="Calibri" w:eastAsia="Calibri" w:hint="default"/>
          <w:sz w:val="16"/>
          <w:szCs w:val="16"/>
        </w:rPr>
      </w:pPr>
      <w:r>
        <w:rPr>
          <w:rFonts w:ascii="Calibri"/>
          <w:position w:val="5"/>
          <w:sz w:val="12"/>
        </w:rPr>
        <w:t>56 </w:t>
      </w:r>
      <w:r>
        <w:rPr>
          <w:rFonts w:ascii="Calibri"/>
          <w:sz w:val="16"/>
        </w:rPr>
        <w:t>The typical length of stay in the Caribbean is a one-week stay, according to the Caribbean Tourism Organization (2010). This typical one week </w:t>
      </w:r>
      <w:r>
        <w:rPr>
          <w:rFonts w:ascii="Calibri"/>
          <w:sz w:val="16"/>
        </w:rPr>
        <w:t>stay</w:t>
      </w:r>
      <w:r>
        <w:rPr>
          <w:rFonts w:ascii="Calibri"/>
          <w:spacing w:val="-3"/>
          <w:sz w:val="16"/>
        </w:rPr>
        <w:t> </w:t>
      </w:r>
      <w:r>
        <w:rPr>
          <w:rFonts w:ascii="Calibri"/>
          <w:sz w:val="16"/>
        </w:rPr>
        <w:t>corresponds</w:t>
      </w:r>
      <w:r>
        <w:rPr>
          <w:rFonts w:ascii="Calibri"/>
          <w:spacing w:val="-3"/>
          <w:sz w:val="16"/>
        </w:rPr>
        <w:t> </w:t>
      </w:r>
      <w:r>
        <w:rPr>
          <w:rFonts w:ascii="Calibri"/>
          <w:sz w:val="16"/>
        </w:rPr>
        <w:t>to</w:t>
      </w:r>
      <w:r>
        <w:rPr>
          <w:rFonts w:ascii="Calibri"/>
          <w:spacing w:val="-3"/>
          <w:sz w:val="16"/>
        </w:rPr>
        <w:t> </w:t>
      </w:r>
      <w:r>
        <w:rPr>
          <w:rFonts w:ascii="Calibri"/>
          <w:sz w:val="16"/>
        </w:rPr>
        <w:t>the</w:t>
      </w:r>
      <w:r>
        <w:rPr>
          <w:rFonts w:ascii="Calibri"/>
          <w:spacing w:val="-4"/>
          <w:sz w:val="16"/>
        </w:rPr>
        <w:t> </w:t>
      </w:r>
      <w:r>
        <w:rPr>
          <w:rFonts w:ascii="Calibri"/>
          <w:sz w:val="16"/>
        </w:rPr>
        <w:t>quantity</w:t>
      </w:r>
      <w:r>
        <w:rPr>
          <w:rFonts w:ascii="Calibri"/>
          <w:spacing w:val="-3"/>
          <w:sz w:val="16"/>
        </w:rPr>
        <w:t> </w:t>
      </w:r>
      <w:r>
        <w:rPr>
          <w:rFonts w:ascii="Calibri"/>
          <w:sz w:val="16"/>
        </w:rPr>
        <w:t>and</w:t>
      </w:r>
      <w:r>
        <w:rPr>
          <w:rFonts w:ascii="Calibri"/>
          <w:spacing w:val="1"/>
          <w:sz w:val="16"/>
        </w:rPr>
        <w:t> </w:t>
      </w:r>
      <w:r>
        <w:rPr>
          <w:rFonts w:ascii="Calibri"/>
          <w:sz w:val="16"/>
        </w:rPr>
        <w:t>quality</w:t>
      </w:r>
      <w:r>
        <w:rPr>
          <w:rFonts w:ascii="Calibri"/>
          <w:spacing w:val="-3"/>
          <w:sz w:val="16"/>
        </w:rPr>
        <w:t> </w:t>
      </w:r>
      <w:r>
        <w:rPr>
          <w:rFonts w:ascii="Calibri"/>
          <w:sz w:val="16"/>
        </w:rPr>
        <w:t>of</w:t>
      </w:r>
      <w:r>
        <w:rPr>
          <w:rFonts w:ascii="Calibri"/>
          <w:spacing w:val="-3"/>
          <w:sz w:val="16"/>
        </w:rPr>
        <w:t> </w:t>
      </w:r>
      <w:r>
        <w:rPr>
          <w:rFonts w:ascii="Calibri"/>
          <w:sz w:val="16"/>
        </w:rPr>
        <w:t>tourist</w:t>
      </w:r>
      <w:r>
        <w:rPr>
          <w:rFonts w:ascii="Calibri"/>
          <w:spacing w:val="-4"/>
          <w:sz w:val="16"/>
        </w:rPr>
        <w:t> </w:t>
      </w:r>
      <w:r>
        <w:rPr>
          <w:rFonts w:ascii="Calibri"/>
          <w:sz w:val="16"/>
        </w:rPr>
        <w:t>offerings</w:t>
      </w:r>
      <w:r>
        <w:rPr>
          <w:rFonts w:ascii="Calibri"/>
          <w:spacing w:val="-3"/>
          <w:sz w:val="16"/>
        </w:rPr>
        <w:t> </w:t>
      </w:r>
      <w:r>
        <w:rPr>
          <w:rFonts w:ascii="Calibri"/>
          <w:sz w:val="16"/>
        </w:rPr>
        <w:t>in</w:t>
      </w:r>
      <w:r>
        <w:rPr>
          <w:rFonts w:ascii="Calibri"/>
          <w:spacing w:val="-3"/>
          <w:sz w:val="16"/>
        </w:rPr>
        <w:t> </w:t>
      </w:r>
      <w:r>
        <w:rPr>
          <w:rFonts w:ascii="Calibri"/>
          <w:sz w:val="16"/>
        </w:rPr>
        <w:t>the</w:t>
      </w:r>
      <w:r>
        <w:rPr>
          <w:rFonts w:ascii="Calibri"/>
          <w:spacing w:val="-4"/>
          <w:sz w:val="16"/>
        </w:rPr>
        <w:t> </w:t>
      </w:r>
      <w:r>
        <w:rPr>
          <w:rFonts w:ascii="Calibri"/>
          <w:sz w:val="16"/>
        </w:rPr>
        <w:t>Caribbean.</w:t>
      </w:r>
    </w:p>
    <w:p>
      <w:pPr>
        <w:spacing w:after="0" w:line="247"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59" w:lineRule="auto" w:before="59"/>
        <w:ind w:right="1433"/>
        <w:jc w:val="both"/>
      </w:pPr>
      <w:bookmarkStart w:name="_bookmark111" w:id="111"/>
      <w:bookmarkEnd w:id="111"/>
      <w:r>
        <w:rPr/>
      </w:r>
      <w:r>
        <w:rPr/>
        <w:t>On the other hand, p</w:t>
      </w:r>
      <w:r>
        <w:rPr>
          <w:rFonts w:ascii="Calibri" w:hAnsi="Calibri"/>
        </w:rPr>
        <w:t>ast visit frequency has a positive impact (β=0.22, ρ&lt;0.001) on behavioral intentions. In other </w:t>
      </w:r>
      <w:r>
        <w:rPr/>
        <w:t>words, visitors with more previous visits are more likely to speak positively and return to the island. These are loyal customers who, by word-of-mouth, act as emissaries for Curaçao. Tourists traveling in groups tend to be more satisfied</w:t>
      </w:r>
      <w:r>
        <w:rPr>
          <w:spacing w:val="-10"/>
        </w:rPr>
        <w:t> </w:t>
      </w:r>
      <w:r>
        <w:rPr/>
        <w:t>with</w:t>
      </w:r>
      <w:r>
        <w:rPr>
          <w:spacing w:val="-9"/>
        </w:rPr>
        <w:t> </w:t>
      </w:r>
      <w:r>
        <w:rPr/>
        <w:t>their</w:t>
      </w:r>
      <w:r>
        <w:rPr>
          <w:spacing w:val="-10"/>
        </w:rPr>
        <w:t> </w:t>
      </w:r>
      <w:r>
        <w:rPr/>
        <w:t>experience</w:t>
      </w:r>
      <w:r>
        <w:rPr>
          <w:spacing w:val="-9"/>
        </w:rPr>
        <w:t> </w:t>
      </w:r>
      <w:r>
        <w:rPr/>
        <w:t>compared</w:t>
      </w:r>
      <w:r>
        <w:rPr>
          <w:spacing w:val="-10"/>
        </w:rPr>
        <w:t> </w:t>
      </w:r>
      <w:r>
        <w:rPr/>
        <w:t>to</w:t>
      </w:r>
      <w:r>
        <w:rPr>
          <w:spacing w:val="-10"/>
        </w:rPr>
        <w:t> </w:t>
      </w:r>
      <w:r>
        <w:rPr/>
        <w:t>solo</w:t>
      </w:r>
      <w:r>
        <w:rPr>
          <w:spacing w:val="-10"/>
        </w:rPr>
        <w:t> </w:t>
      </w:r>
      <w:r>
        <w:rPr/>
        <w:t>travelers.</w:t>
      </w:r>
      <w:r>
        <w:rPr>
          <w:spacing w:val="26"/>
        </w:rPr>
        <w:t> </w:t>
      </w:r>
      <w:r>
        <w:rPr/>
        <w:t>In</w:t>
      </w:r>
      <w:r>
        <w:rPr>
          <w:spacing w:val="-10"/>
        </w:rPr>
        <w:t> </w:t>
      </w:r>
      <w:r>
        <w:rPr/>
        <w:t>fact,</w:t>
      </w:r>
      <w:r>
        <w:rPr>
          <w:spacing w:val="-10"/>
        </w:rPr>
        <w:t> </w:t>
      </w:r>
      <w:r>
        <w:rPr/>
        <w:t>their</w:t>
      </w:r>
      <w:r>
        <w:rPr>
          <w:spacing w:val="-7"/>
        </w:rPr>
        <w:t> </w:t>
      </w:r>
      <w:r>
        <w:rPr/>
        <w:t>satisfaction</w:t>
      </w:r>
      <w:r>
        <w:rPr>
          <w:spacing w:val="-9"/>
        </w:rPr>
        <w:t> </w:t>
      </w:r>
      <w:r>
        <w:rPr/>
        <w:t>level</w:t>
      </w:r>
      <w:r>
        <w:rPr>
          <w:spacing w:val="-10"/>
        </w:rPr>
        <w:t> </w:t>
      </w:r>
      <w:r>
        <w:rPr/>
        <w:t>was</w:t>
      </w:r>
      <w:r>
        <w:rPr>
          <w:spacing w:val="-11"/>
        </w:rPr>
        <w:t> </w:t>
      </w:r>
      <w:r>
        <w:rPr/>
        <w:t>positive</w:t>
      </w:r>
      <w:r>
        <w:rPr>
          <w:spacing w:val="-11"/>
        </w:rPr>
        <w:t> </w:t>
      </w:r>
      <w:r>
        <w:rPr/>
        <w:t>and</w:t>
      </w:r>
      <w:r>
        <w:rPr>
          <w:spacing w:val="-10"/>
        </w:rPr>
        <w:t> </w:t>
      </w:r>
      <w:r>
        <w:rPr/>
        <w:t>significant </w:t>
      </w:r>
      <w:r>
        <w:rPr/>
      </w:r>
      <w:r>
        <w:rPr>
          <w:rFonts w:ascii="Calibri" w:hAnsi="Calibri"/>
        </w:rPr>
        <w:t>(β=0.07,</w:t>
      </w:r>
      <w:r>
        <w:rPr>
          <w:rFonts w:ascii="Calibri" w:hAnsi="Calibri"/>
          <w:spacing w:val="-7"/>
        </w:rPr>
        <w:t> </w:t>
      </w:r>
      <w:r>
        <w:rPr>
          <w:rFonts w:ascii="Calibri" w:hAnsi="Calibri"/>
        </w:rPr>
        <w:t>ρ&lt;0.01)</w:t>
      </w:r>
      <w:r>
        <w:rPr/>
        <w:t>.</w:t>
      </w:r>
    </w:p>
    <w:p>
      <w:pPr>
        <w:spacing w:line="240" w:lineRule="auto" w:before="8"/>
        <w:ind w:right="0"/>
        <w:rPr>
          <w:rFonts w:ascii="Calibri" w:hAnsi="Calibri" w:cs="Calibri" w:eastAsia="Calibri" w:hint="default"/>
          <w:sz w:val="21"/>
          <w:szCs w:val="21"/>
        </w:rPr>
      </w:pPr>
    </w:p>
    <w:p>
      <w:pPr>
        <w:pStyle w:val="BodyText"/>
        <w:spacing w:line="259" w:lineRule="auto"/>
        <w:ind w:right="1435"/>
        <w:jc w:val="both"/>
      </w:pPr>
      <w:r>
        <w:rPr/>
        <w:t>The overall perceived quality of the Curaçao experience is driven by the accommodation sector, followed by shopping,</w:t>
      </w:r>
      <w:r>
        <w:rPr>
          <w:spacing w:val="-7"/>
        </w:rPr>
        <w:t> </w:t>
      </w:r>
      <w:r>
        <w:rPr/>
        <w:t>entertainment,</w:t>
      </w:r>
      <w:r>
        <w:rPr>
          <w:spacing w:val="-7"/>
        </w:rPr>
        <w:t> </w:t>
      </w:r>
      <w:r>
        <w:rPr/>
        <w:t>and</w:t>
      </w:r>
      <w:r>
        <w:rPr>
          <w:spacing w:val="-10"/>
        </w:rPr>
        <w:t> </w:t>
      </w:r>
      <w:r>
        <w:rPr/>
        <w:t>airfare</w:t>
      </w:r>
      <w:r>
        <w:rPr>
          <w:spacing w:val="-8"/>
        </w:rPr>
        <w:t> </w:t>
      </w:r>
      <w:r>
        <w:rPr/>
        <w:t>quality.</w:t>
      </w:r>
      <w:r>
        <w:rPr>
          <w:spacing w:val="-8"/>
        </w:rPr>
        <w:t> </w:t>
      </w:r>
      <w:r>
        <w:rPr/>
        <w:t>Restaurant</w:t>
      </w:r>
      <w:r>
        <w:rPr>
          <w:spacing w:val="-7"/>
        </w:rPr>
        <w:t> </w:t>
      </w:r>
      <w:r>
        <w:rPr/>
        <w:t>quality</w:t>
      </w:r>
      <w:r>
        <w:rPr>
          <w:spacing w:val="-7"/>
        </w:rPr>
        <w:t> </w:t>
      </w:r>
      <w:r>
        <w:rPr/>
        <w:t>is</w:t>
      </w:r>
      <w:r>
        <w:rPr>
          <w:spacing w:val="-9"/>
        </w:rPr>
        <w:t> </w:t>
      </w:r>
      <w:r>
        <w:rPr/>
        <w:t>the</w:t>
      </w:r>
      <w:r>
        <w:rPr>
          <w:spacing w:val="-2"/>
        </w:rPr>
        <w:t> </w:t>
      </w:r>
      <w:r>
        <w:rPr/>
        <w:t>second</w:t>
      </w:r>
      <w:r>
        <w:rPr>
          <w:spacing w:val="-7"/>
        </w:rPr>
        <w:t> </w:t>
      </w:r>
      <w:r>
        <w:rPr/>
        <w:t>to</w:t>
      </w:r>
      <w:r>
        <w:rPr>
          <w:spacing w:val="-7"/>
        </w:rPr>
        <w:t> </w:t>
      </w:r>
      <w:r>
        <w:rPr/>
        <w:t>last</w:t>
      </w:r>
      <w:r>
        <w:rPr>
          <w:spacing w:val="-7"/>
        </w:rPr>
        <w:t> </w:t>
      </w:r>
      <w:r>
        <w:rPr/>
        <w:t>item</w:t>
      </w:r>
      <w:r>
        <w:rPr>
          <w:spacing w:val="-7"/>
        </w:rPr>
        <w:t> </w:t>
      </w:r>
      <w:r>
        <w:rPr/>
        <w:t>that</w:t>
      </w:r>
      <w:r>
        <w:rPr>
          <w:spacing w:val="-7"/>
        </w:rPr>
        <w:t> </w:t>
      </w:r>
      <w:r>
        <w:rPr/>
        <w:t>influences</w:t>
      </w:r>
      <w:r>
        <w:rPr>
          <w:spacing w:val="-9"/>
        </w:rPr>
        <w:t> </w:t>
      </w:r>
      <w:r>
        <w:rPr/>
        <w:t>the</w:t>
      </w:r>
      <w:r>
        <w:rPr>
          <w:spacing w:val="-9"/>
        </w:rPr>
        <w:t> </w:t>
      </w:r>
      <w:r>
        <w:rPr/>
        <w:t>overall </w:t>
      </w:r>
      <w:r>
        <w:rPr/>
        <w:t>quality</w:t>
      </w:r>
      <w:r>
        <w:rPr>
          <w:spacing w:val="-8"/>
        </w:rPr>
        <w:t> </w:t>
      </w:r>
      <w:r>
        <w:rPr/>
        <w:t>perception</w:t>
      </w:r>
      <w:r>
        <w:rPr>
          <w:spacing w:val="-9"/>
        </w:rPr>
        <w:t> </w:t>
      </w:r>
      <w:r>
        <w:rPr/>
        <w:t>of</w:t>
      </w:r>
      <w:r>
        <w:rPr>
          <w:spacing w:val="-10"/>
        </w:rPr>
        <w:t> </w:t>
      </w:r>
      <w:r>
        <w:rPr/>
        <w:t>the</w:t>
      </w:r>
      <w:r>
        <w:rPr>
          <w:spacing w:val="-10"/>
        </w:rPr>
        <w:t> </w:t>
      </w:r>
      <w:r>
        <w:rPr/>
        <w:t>island.</w:t>
      </w:r>
      <w:r>
        <w:rPr>
          <w:spacing w:val="-9"/>
        </w:rPr>
        <w:t> </w:t>
      </w:r>
      <w:r>
        <w:rPr/>
        <w:t>Taxis</w:t>
      </w:r>
      <w:r>
        <w:rPr>
          <w:rFonts w:ascii="Calibri" w:hAnsi="Calibri" w:cs="Calibri" w:eastAsia="Calibri" w:hint="default"/>
        </w:rPr>
        <w:t>’</w:t>
      </w:r>
      <w:r>
        <w:rPr>
          <w:rFonts w:ascii="Calibri" w:hAnsi="Calibri" w:cs="Calibri" w:eastAsia="Calibri" w:hint="default"/>
          <w:spacing w:val="-9"/>
        </w:rPr>
        <w:t> </w:t>
      </w:r>
      <w:r>
        <w:rPr/>
        <w:t>quality</w:t>
      </w:r>
      <w:r>
        <w:rPr>
          <w:spacing w:val="-8"/>
        </w:rPr>
        <w:t> </w:t>
      </w:r>
      <w:r>
        <w:rPr/>
        <w:t>(while</w:t>
      </w:r>
      <w:r>
        <w:rPr>
          <w:spacing w:val="-10"/>
        </w:rPr>
        <w:t> </w:t>
      </w:r>
      <w:r>
        <w:rPr/>
        <w:t>not</w:t>
      </w:r>
      <w:r>
        <w:rPr>
          <w:spacing w:val="-9"/>
        </w:rPr>
        <w:t> </w:t>
      </w:r>
      <w:r>
        <w:rPr/>
        <w:t>significant</w:t>
      </w:r>
      <w:r>
        <w:rPr>
          <w:spacing w:val="-9"/>
        </w:rPr>
        <w:t> </w:t>
      </w:r>
      <w:r>
        <w:rPr/>
        <w:t>at</w:t>
      </w:r>
      <w:r>
        <w:rPr>
          <w:spacing w:val="-6"/>
        </w:rPr>
        <w:t> </w:t>
      </w:r>
      <w:r>
        <w:rPr>
          <w:rFonts w:ascii="Calibri" w:hAnsi="Calibri" w:cs="Calibri" w:eastAsia="Calibri" w:hint="default"/>
        </w:rPr>
        <w:t>ρ</w:t>
      </w:r>
      <w:r>
        <w:rPr>
          <w:rFonts w:ascii="Calibri" w:hAnsi="Calibri" w:cs="Calibri" w:eastAsia="Calibri" w:hint="default"/>
          <w:spacing w:val="-10"/>
        </w:rPr>
        <w:t> </w:t>
      </w:r>
      <w:r>
        <w:rPr/>
        <w:t>&gt;0.05)</w:t>
      </w:r>
      <w:r>
        <w:rPr>
          <w:spacing w:val="-10"/>
        </w:rPr>
        <w:t> </w:t>
      </w:r>
      <w:r>
        <w:rPr/>
        <w:t>and</w:t>
      </w:r>
      <w:r>
        <w:rPr>
          <w:spacing w:val="-9"/>
        </w:rPr>
        <w:t> </w:t>
      </w:r>
      <w:r>
        <w:rPr/>
        <w:t>rental</w:t>
      </w:r>
      <w:r>
        <w:rPr>
          <w:spacing w:val="-9"/>
        </w:rPr>
        <w:t> </w:t>
      </w:r>
      <w:r>
        <w:rPr/>
        <w:t>cars</w:t>
      </w:r>
      <w:r>
        <w:rPr>
          <w:spacing w:val="-10"/>
        </w:rPr>
        <w:t> </w:t>
      </w:r>
      <w:r>
        <w:rPr/>
        <w:t>have</w:t>
      </w:r>
      <w:r>
        <w:rPr>
          <w:spacing w:val="-10"/>
        </w:rPr>
        <w:t> </w:t>
      </w:r>
      <w:r>
        <w:rPr/>
        <w:t>the</w:t>
      </w:r>
      <w:r>
        <w:rPr>
          <w:spacing w:val="-10"/>
        </w:rPr>
        <w:t> </w:t>
      </w:r>
      <w:r>
        <w:rPr/>
        <w:t>lowest</w:t>
      </w:r>
      <w:r>
        <w:rPr>
          <w:spacing w:val="-6"/>
        </w:rPr>
        <w:t> </w:t>
      </w:r>
      <w:r>
        <w:rPr/>
        <w:t>scores </w:t>
      </w:r>
      <w:r>
        <w:rPr/>
        <w:t>in influencing quality perception as revealed in Table</w:t>
      </w:r>
      <w:r>
        <w:rPr>
          <w:spacing w:val="-15"/>
        </w:rPr>
        <w:t> </w:t>
      </w:r>
      <w:r>
        <w:rPr/>
        <w:t>32.</w:t>
      </w:r>
    </w:p>
    <w:p>
      <w:pPr>
        <w:pStyle w:val="BodyText"/>
        <w:spacing w:line="259" w:lineRule="auto"/>
        <w:ind w:right="1436"/>
        <w:jc w:val="both"/>
      </w:pPr>
      <w:r>
        <w:rPr/>
        <w:t>Again, socio</w:t>
      </w:r>
      <w:r>
        <w:rPr>
          <w:rFonts w:ascii="Calibri" w:hAnsi="Calibri"/>
        </w:rPr>
        <w:t>economic status shows a very strong negative impact (β=</w:t>
      </w:r>
      <w:r>
        <w:rPr/>
        <w:t>-</w:t>
      </w:r>
      <w:r>
        <w:rPr>
          <w:rFonts w:ascii="Calibri" w:hAnsi="Calibri"/>
        </w:rPr>
        <w:t>0.82, ρ&lt;0.001) on perceived quality. In other </w:t>
      </w:r>
      <w:r>
        <w:rPr/>
        <w:t>words, only those people with high levels of income and education consider the Curaçao tourism product to be of quality. The service problems, infrastructure, and lack of luxury could be one reason for this low perception that others</w:t>
      </w:r>
      <w:r>
        <w:rPr>
          <w:spacing w:val="-6"/>
        </w:rPr>
        <w:t> </w:t>
      </w:r>
      <w:r>
        <w:rPr/>
        <w:t>harbor.</w:t>
      </w:r>
    </w:p>
    <w:p>
      <w:pPr>
        <w:spacing w:line="240" w:lineRule="auto" w:before="9"/>
        <w:ind w:right="0"/>
        <w:rPr>
          <w:rFonts w:ascii="Calibri" w:hAnsi="Calibri" w:cs="Calibri" w:eastAsia="Calibri" w:hint="default"/>
          <w:sz w:val="21"/>
          <w:szCs w:val="21"/>
        </w:rPr>
      </w:pPr>
    </w:p>
    <w:p>
      <w:pPr>
        <w:pStyle w:val="BodyText"/>
        <w:spacing w:line="259" w:lineRule="auto"/>
        <w:ind w:right="1435"/>
        <w:jc w:val="both"/>
      </w:pPr>
      <w:r>
        <w:rPr/>
        <w:t>Age</w:t>
      </w:r>
      <w:r>
        <w:rPr>
          <w:spacing w:val="-6"/>
        </w:rPr>
        <w:t> </w:t>
      </w:r>
      <w:r>
        <w:rPr>
          <w:rFonts w:ascii="Calibri" w:hAnsi="Calibri"/>
        </w:rPr>
        <w:t>also</w:t>
      </w:r>
      <w:r>
        <w:rPr>
          <w:rFonts w:ascii="Calibri" w:hAnsi="Calibri"/>
          <w:spacing w:val="-5"/>
        </w:rPr>
        <w:t> </w:t>
      </w:r>
      <w:r>
        <w:rPr>
          <w:rFonts w:ascii="Calibri" w:hAnsi="Calibri"/>
        </w:rPr>
        <w:t>shows</w:t>
      </w:r>
      <w:r>
        <w:rPr>
          <w:rFonts w:ascii="Calibri" w:hAnsi="Calibri"/>
          <w:spacing w:val="-6"/>
        </w:rPr>
        <w:t> </w:t>
      </w:r>
      <w:r>
        <w:rPr>
          <w:rFonts w:ascii="Calibri" w:hAnsi="Calibri"/>
        </w:rPr>
        <w:t>a</w:t>
      </w:r>
      <w:r>
        <w:rPr>
          <w:rFonts w:ascii="Calibri" w:hAnsi="Calibri"/>
          <w:spacing w:val="-5"/>
        </w:rPr>
        <w:t> </w:t>
      </w:r>
      <w:r>
        <w:rPr>
          <w:rFonts w:ascii="Calibri" w:hAnsi="Calibri"/>
        </w:rPr>
        <w:t>negative</w:t>
      </w:r>
      <w:r>
        <w:rPr>
          <w:rFonts w:ascii="Calibri" w:hAnsi="Calibri"/>
          <w:spacing w:val="-6"/>
        </w:rPr>
        <w:t> </w:t>
      </w:r>
      <w:r>
        <w:rPr>
          <w:rFonts w:ascii="Calibri" w:hAnsi="Calibri"/>
        </w:rPr>
        <w:t>impact</w:t>
      </w:r>
      <w:r>
        <w:rPr>
          <w:rFonts w:ascii="Calibri" w:hAnsi="Calibri"/>
          <w:spacing w:val="-5"/>
        </w:rPr>
        <w:t> </w:t>
      </w:r>
      <w:r>
        <w:rPr>
          <w:rFonts w:ascii="Calibri" w:hAnsi="Calibri"/>
        </w:rPr>
        <w:t>(β=</w:t>
      </w:r>
      <w:r>
        <w:rPr/>
        <w:t>-</w:t>
      </w:r>
      <w:r>
        <w:rPr>
          <w:rFonts w:ascii="Calibri" w:hAnsi="Calibri"/>
        </w:rPr>
        <w:t>0.08,</w:t>
      </w:r>
      <w:r>
        <w:rPr>
          <w:rFonts w:ascii="Calibri" w:hAnsi="Calibri"/>
          <w:spacing w:val="-5"/>
        </w:rPr>
        <w:t> </w:t>
      </w:r>
      <w:r>
        <w:rPr>
          <w:rFonts w:ascii="Calibri" w:hAnsi="Calibri"/>
        </w:rPr>
        <w:t>ρ&lt;0.001)</w:t>
      </w:r>
      <w:r>
        <w:rPr>
          <w:rFonts w:ascii="Calibri" w:hAnsi="Calibri"/>
          <w:spacing w:val="-6"/>
        </w:rPr>
        <w:t> </w:t>
      </w:r>
      <w:r>
        <w:rPr>
          <w:rFonts w:ascii="Calibri" w:hAnsi="Calibri"/>
        </w:rPr>
        <w:t>on</w:t>
      </w:r>
      <w:r>
        <w:rPr>
          <w:rFonts w:ascii="Calibri" w:hAnsi="Calibri"/>
          <w:spacing w:val="-5"/>
        </w:rPr>
        <w:t> </w:t>
      </w:r>
      <w:r>
        <w:rPr>
          <w:rFonts w:ascii="Calibri" w:hAnsi="Calibri"/>
        </w:rPr>
        <w:t>the</w:t>
      </w:r>
      <w:r>
        <w:rPr>
          <w:rFonts w:ascii="Calibri" w:hAnsi="Calibri"/>
          <w:spacing w:val="-6"/>
        </w:rPr>
        <w:t> </w:t>
      </w:r>
      <w:r>
        <w:rPr>
          <w:rFonts w:ascii="Calibri" w:hAnsi="Calibri"/>
        </w:rPr>
        <w:t>quality</w:t>
      </w:r>
      <w:r>
        <w:rPr>
          <w:rFonts w:ascii="Calibri" w:hAnsi="Calibri"/>
          <w:spacing w:val="-7"/>
        </w:rPr>
        <w:t> </w:t>
      </w:r>
      <w:r>
        <w:rPr>
          <w:rFonts w:ascii="Calibri" w:hAnsi="Calibri"/>
        </w:rPr>
        <w:t>perception</w:t>
      </w:r>
      <w:r>
        <w:rPr>
          <w:rFonts w:ascii="Calibri" w:hAnsi="Calibri"/>
          <w:spacing w:val="-5"/>
        </w:rPr>
        <w:t> </w:t>
      </w:r>
      <w:r>
        <w:rPr>
          <w:rFonts w:ascii="Calibri" w:hAnsi="Calibri"/>
        </w:rPr>
        <w:t>of</w:t>
      </w:r>
      <w:r>
        <w:rPr>
          <w:rFonts w:ascii="Calibri" w:hAnsi="Calibri"/>
          <w:spacing w:val="-6"/>
        </w:rPr>
        <w:t> </w:t>
      </w:r>
      <w:r>
        <w:rPr>
          <w:rFonts w:ascii="Calibri" w:hAnsi="Calibri"/>
        </w:rPr>
        <w:t>the</w:t>
      </w:r>
      <w:r>
        <w:rPr>
          <w:rFonts w:ascii="Calibri" w:hAnsi="Calibri"/>
          <w:spacing w:val="-3"/>
        </w:rPr>
        <w:t> </w:t>
      </w:r>
      <w:r>
        <w:rPr/>
        <w:t>tourism</w:t>
      </w:r>
      <w:r>
        <w:rPr>
          <w:spacing w:val="-6"/>
        </w:rPr>
        <w:t> </w:t>
      </w:r>
      <w:r>
        <w:rPr/>
        <w:t>product.</w:t>
      </w:r>
      <w:r>
        <w:rPr>
          <w:spacing w:val="-5"/>
        </w:rPr>
        <w:t> </w:t>
      </w:r>
      <w:r>
        <w:rPr/>
        <w:t>Older</w:t>
      </w:r>
      <w:r>
        <w:rPr>
          <w:spacing w:val="-5"/>
        </w:rPr>
        <w:t> </w:t>
      </w:r>
      <w:r>
        <w:rPr/>
        <w:t>people </w:t>
      </w:r>
      <w:r>
        <w:rPr/>
        <w:t>need</w:t>
      </w:r>
      <w:r>
        <w:rPr>
          <w:spacing w:val="-13"/>
        </w:rPr>
        <w:t> </w:t>
      </w:r>
      <w:r>
        <w:rPr/>
        <w:t>more</w:t>
      </w:r>
      <w:r>
        <w:rPr>
          <w:spacing w:val="-15"/>
        </w:rPr>
        <w:t> </w:t>
      </w:r>
      <w:r>
        <w:rPr/>
        <w:t>comfortable</w:t>
      </w:r>
      <w:r>
        <w:rPr>
          <w:spacing w:val="-15"/>
        </w:rPr>
        <w:t> </w:t>
      </w:r>
      <w:r>
        <w:rPr/>
        <w:t>services,</w:t>
      </w:r>
      <w:r>
        <w:rPr>
          <w:spacing w:val="-11"/>
        </w:rPr>
        <w:t> </w:t>
      </w:r>
      <w:r>
        <w:rPr/>
        <w:t>which</w:t>
      </w:r>
      <w:r>
        <w:rPr>
          <w:spacing w:val="-14"/>
        </w:rPr>
        <w:t> </w:t>
      </w:r>
      <w:r>
        <w:rPr/>
        <w:t>Curaçao</w:t>
      </w:r>
      <w:r>
        <w:rPr>
          <w:spacing w:val="-11"/>
        </w:rPr>
        <w:t> </w:t>
      </w:r>
      <w:r>
        <w:rPr/>
        <w:t>does</w:t>
      </w:r>
      <w:r>
        <w:rPr>
          <w:spacing w:val="-13"/>
        </w:rPr>
        <w:t> </w:t>
      </w:r>
      <w:r>
        <w:rPr/>
        <w:t>not</w:t>
      </w:r>
      <w:r>
        <w:rPr>
          <w:spacing w:val="-14"/>
        </w:rPr>
        <w:t> </w:t>
      </w:r>
      <w:r>
        <w:rPr/>
        <w:t>seem</w:t>
      </w:r>
      <w:r>
        <w:rPr>
          <w:spacing w:val="-15"/>
        </w:rPr>
        <w:t> </w:t>
      </w:r>
      <w:r>
        <w:rPr/>
        <w:t>to</w:t>
      </w:r>
      <w:r>
        <w:rPr>
          <w:spacing w:val="-13"/>
        </w:rPr>
        <w:t> </w:t>
      </w:r>
      <w:r>
        <w:rPr/>
        <w:t>adequately</w:t>
      </w:r>
      <w:r>
        <w:rPr>
          <w:spacing w:val="-13"/>
        </w:rPr>
        <w:t> </w:t>
      </w:r>
      <w:r>
        <w:rPr/>
        <w:t>provide.</w:t>
      </w:r>
      <w:r>
        <w:rPr>
          <w:spacing w:val="18"/>
        </w:rPr>
        <w:t> </w:t>
      </w:r>
      <w:r>
        <w:rPr/>
        <w:t>As</w:t>
      </w:r>
      <w:r>
        <w:rPr>
          <w:spacing w:val="-13"/>
        </w:rPr>
        <w:t> </w:t>
      </w:r>
      <w:r>
        <w:rPr/>
        <w:t>a</w:t>
      </w:r>
      <w:r>
        <w:rPr>
          <w:spacing w:val="-13"/>
        </w:rPr>
        <w:t> </w:t>
      </w:r>
      <w:r>
        <w:rPr/>
        <w:t>result,</w:t>
      </w:r>
      <w:r>
        <w:rPr>
          <w:spacing w:val="-13"/>
        </w:rPr>
        <w:t> </w:t>
      </w:r>
      <w:r>
        <w:rPr/>
        <w:t>age</w:t>
      </w:r>
      <w:r>
        <w:rPr>
          <w:spacing w:val="-15"/>
        </w:rPr>
        <w:t> </w:t>
      </w:r>
      <w:r>
        <w:rPr/>
        <w:t>has</w:t>
      </w:r>
      <w:r>
        <w:rPr>
          <w:spacing w:val="-12"/>
        </w:rPr>
        <w:t> </w:t>
      </w:r>
      <w:r>
        <w:rPr/>
        <w:t>a</w:t>
      </w:r>
      <w:r>
        <w:rPr>
          <w:spacing w:val="-13"/>
        </w:rPr>
        <w:t> </w:t>
      </w:r>
      <w:r>
        <w:rPr/>
        <w:t>negative </w:t>
      </w:r>
      <w:r>
        <w:rPr/>
      </w:r>
      <w:r>
        <w:rPr>
          <w:rFonts w:ascii="Calibri" w:hAnsi="Calibri"/>
        </w:rPr>
        <w:t>impact (β=</w:t>
      </w:r>
      <w:r>
        <w:rPr/>
        <w:t>-</w:t>
      </w:r>
      <w:r>
        <w:rPr>
          <w:rFonts w:ascii="Calibri" w:hAnsi="Calibri"/>
        </w:rPr>
        <w:t>0.06, ρ&lt;0.01) on satisfaction. </w:t>
      </w:r>
      <w:r>
        <w:rPr/>
        <w:t>Finally, the number of nights spent on the island shows a negative impact </w:t>
      </w:r>
      <w:r>
        <w:rPr>
          <w:rFonts w:ascii="Calibri" w:hAnsi="Calibri"/>
        </w:rPr>
        <w:t>(β=</w:t>
      </w:r>
      <w:r>
        <w:rPr/>
        <w:t>-</w:t>
      </w:r>
      <w:r>
        <w:rPr>
          <w:rFonts w:ascii="Calibri" w:hAnsi="Calibri"/>
        </w:rPr>
        <w:t>0.10, ρ&lt;0.001) on the quality perception of </w:t>
      </w:r>
      <w:r>
        <w:rPr/>
        <w:t>the tourism product. The more offerings tourists consume on the island, the more a negative attitude is formed toward the quality of the</w:t>
      </w:r>
      <w:r>
        <w:rPr>
          <w:spacing w:val="-25"/>
        </w:rPr>
        <w:t> </w:t>
      </w:r>
      <w:r>
        <w:rPr/>
        <w:t>consumption.</w:t>
      </w:r>
    </w:p>
    <w:p>
      <w:pPr>
        <w:spacing w:line="240" w:lineRule="auto" w:before="6"/>
        <w:ind w:right="0"/>
        <w:rPr>
          <w:rFonts w:ascii="Calibri" w:hAnsi="Calibri" w:cs="Calibri" w:eastAsia="Calibri" w:hint="default"/>
          <w:sz w:val="21"/>
          <w:szCs w:val="21"/>
        </w:rPr>
      </w:pPr>
    </w:p>
    <w:p>
      <w:pPr>
        <w:pStyle w:val="Heading9"/>
        <w:tabs>
          <w:tab w:pos="5086" w:val="left" w:leader="none"/>
          <w:tab w:pos="10677" w:val="left" w:leader="none"/>
        </w:tabs>
        <w:spacing w:line="240" w:lineRule="auto" w:after="66"/>
        <w:ind w:left="1567" w:right="0"/>
        <w:jc w:val="left"/>
        <w:rPr>
          <w:b w:val="0"/>
          <w:bCs w:val="0"/>
        </w:rPr>
      </w:pPr>
      <w:bookmarkStart w:name="_bookmark110" w:id="112"/>
      <w:bookmarkEnd w:id="112"/>
      <w:r>
        <w:rPr>
          <w:b w:val="0"/>
        </w:rPr>
      </w:r>
      <w:r>
        <w:rPr>
          <w:w w:val="99"/>
        </w:rPr>
      </w:r>
      <w:r>
        <w:rPr>
          <w:w w:val="99"/>
          <w:u w:val="single" w:color="000000"/>
        </w:rPr>
        <w:t> </w:t>
      </w:r>
      <w:r>
        <w:rPr>
          <w:u w:val="single" w:color="000000"/>
        </w:rPr>
        <w:tab/>
        <w:t>Table 32:  Overall</w:t>
      </w:r>
      <w:r>
        <w:rPr>
          <w:spacing w:val="-11"/>
          <w:u w:val="single" w:color="000000"/>
        </w:rPr>
        <w:t> </w:t>
      </w:r>
      <w:r>
        <w:rPr>
          <w:u w:val="single" w:color="000000"/>
        </w:rPr>
        <w:t>quality</w:t>
        <w:tab/>
      </w:r>
      <w:r>
        <w:rPr/>
      </w:r>
      <w:r>
        <w:rPr>
          <w:b w:val="0"/>
        </w:rPr>
      </w:r>
    </w:p>
    <w:tbl>
      <w:tblPr>
        <w:tblW w:w="0" w:type="auto"/>
        <w:jc w:val="left"/>
        <w:tblInd w:w="1567" w:type="dxa"/>
        <w:tblLayout w:type="fixed"/>
        <w:tblCellMar>
          <w:top w:w="0" w:type="dxa"/>
          <w:left w:w="0" w:type="dxa"/>
          <w:bottom w:w="0" w:type="dxa"/>
          <w:right w:w="0" w:type="dxa"/>
        </w:tblCellMar>
        <w:tblLook w:val="01E0"/>
      </w:tblPr>
      <w:tblGrid>
        <w:gridCol w:w="3745"/>
        <w:gridCol w:w="2570"/>
        <w:gridCol w:w="1142"/>
        <w:gridCol w:w="1651"/>
      </w:tblGrid>
      <w:tr>
        <w:trPr>
          <w:trHeight w:val="229" w:hRule="exact"/>
        </w:trPr>
        <w:tc>
          <w:tcPr>
            <w:tcW w:w="3745" w:type="dxa"/>
            <w:tcBorders>
              <w:top w:val="nil" w:sz="6" w:space="0" w:color="auto"/>
              <w:left w:val="nil" w:sz="6" w:space="0" w:color="auto"/>
              <w:bottom w:val="single" w:sz="4" w:space="0" w:color="000000"/>
              <w:right w:val="nil" w:sz="6" w:space="0" w:color="auto"/>
            </w:tcBorders>
          </w:tcPr>
          <w:p>
            <w:pPr>
              <w:pStyle w:val="TableParagraph"/>
              <w:spacing w:line="203" w:lineRule="exact"/>
              <w:ind w:left="151" w:right="0"/>
              <w:jc w:val="left"/>
              <w:rPr>
                <w:rFonts w:ascii="Calibri" w:hAnsi="Calibri" w:cs="Calibri" w:eastAsia="Calibri" w:hint="default"/>
                <w:sz w:val="20"/>
                <w:szCs w:val="20"/>
              </w:rPr>
            </w:pPr>
            <w:r>
              <w:rPr>
                <w:rFonts w:ascii="Calibri"/>
                <w:b/>
                <w:sz w:val="20"/>
              </w:rPr>
              <w:t>Independent</w:t>
            </w:r>
            <w:r>
              <w:rPr>
                <w:rFonts w:ascii="Calibri"/>
                <w:b/>
                <w:spacing w:val="-13"/>
                <w:sz w:val="20"/>
              </w:rPr>
              <w:t> </w:t>
            </w:r>
            <w:r>
              <w:rPr>
                <w:rFonts w:ascii="Calibri"/>
                <w:b/>
                <w:sz w:val="20"/>
              </w:rPr>
              <w:t>Variable</w:t>
            </w:r>
            <w:r>
              <w:rPr>
                <w:rFonts w:ascii="Calibri"/>
                <w:sz w:val="20"/>
              </w:rPr>
            </w:r>
          </w:p>
        </w:tc>
        <w:tc>
          <w:tcPr>
            <w:tcW w:w="2570" w:type="dxa"/>
            <w:tcBorders>
              <w:top w:val="nil" w:sz="6" w:space="0" w:color="auto"/>
              <w:left w:val="nil" w:sz="6" w:space="0" w:color="auto"/>
              <w:bottom w:val="single" w:sz="4" w:space="0" w:color="000000"/>
              <w:right w:val="nil" w:sz="6" w:space="0" w:color="auto"/>
            </w:tcBorders>
          </w:tcPr>
          <w:p>
            <w:pPr>
              <w:pStyle w:val="TableParagraph"/>
              <w:spacing w:line="203" w:lineRule="exact"/>
              <w:ind w:right="323"/>
              <w:jc w:val="right"/>
              <w:rPr>
                <w:rFonts w:ascii="Calibri" w:hAnsi="Calibri" w:cs="Calibri" w:eastAsia="Calibri" w:hint="default"/>
                <w:sz w:val="20"/>
                <w:szCs w:val="20"/>
              </w:rPr>
            </w:pPr>
            <w:r>
              <w:rPr>
                <w:rFonts w:ascii="Calibri"/>
                <w:b/>
                <w:w w:val="95"/>
                <w:sz w:val="20"/>
              </w:rPr>
              <w:t>Mean</w:t>
            </w:r>
            <w:r>
              <w:rPr>
                <w:rFonts w:ascii="Calibri"/>
                <w:sz w:val="20"/>
              </w:rPr>
            </w:r>
          </w:p>
        </w:tc>
        <w:tc>
          <w:tcPr>
            <w:tcW w:w="1142" w:type="dxa"/>
            <w:tcBorders>
              <w:top w:val="nil" w:sz="6" w:space="0" w:color="auto"/>
              <w:left w:val="nil" w:sz="6" w:space="0" w:color="auto"/>
              <w:bottom w:val="single" w:sz="4" w:space="0" w:color="000000"/>
              <w:right w:val="nil" w:sz="6" w:space="0" w:color="auto"/>
            </w:tcBorders>
          </w:tcPr>
          <w:p>
            <w:pPr>
              <w:pStyle w:val="TableParagraph"/>
              <w:spacing w:line="203" w:lineRule="exact"/>
              <w:ind w:left="82" w:right="0"/>
              <w:jc w:val="center"/>
              <w:rPr>
                <w:rFonts w:ascii="Calibri" w:hAnsi="Calibri" w:cs="Calibri" w:eastAsia="Calibri" w:hint="default"/>
                <w:sz w:val="20"/>
                <w:szCs w:val="20"/>
              </w:rPr>
            </w:pPr>
            <w:r>
              <w:rPr>
                <w:rFonts w:ascii="Calibri"/>
                <w:b/>
                <w:sz w:val="20"/>
              </w:rPr>
              <w:t>(SD)</w:t>
            </w:r>
            <w:r>
              <w:rPr>
                <w:rFonts w:ascii="Calibri"/>
                <w:sz w:val="20"/>
              </w:rPr>
            </w:r>
          </w:p>
        </w:tc>
        <w:tc>
          <w:tcPr>
            <w:tcW w:w="1651" w:type="dxa"/>
            <w:tcBorders>
              <w:top w:val="nil" w:sz="6" w:space="0" w:color="auto"/>
              <w:left w:val="nil" w:sz="6" w:space="0" w:color="auto"/>
              <w:bottom w:val="single" w:sz="4" w:space="0" w:color="000000"/>
              <w:right w:val="nil" w:sz="6" w:space="0" w:color="auto"/>
            </w:tcBorders>
          </w:tcPr>
          <w:p>
            <w:pPr>
              <w:pStyle w:val="TableParagraph"/>
              <w:spacing w:line="203" w:lineRule="exact"/>
              <w:ind w:left="629" w:right="0"/>
              <w:jc w:val="left"/>
              <w:rPr>
                <w:rFonts w:ascii="Calibri" w:hAnsi="Calibri" w:cs="Calibri" w:eastAsia="Calibri" w:hint="default"/>
                <w:sz w:val="20"/>
                <w:szCs w:val="20"/>
              </w:rPr>
            </w:pPr>
            <w:r>
              <w:rPr>
                <w:rFonts w:ascii="Calibri" w:hAnsi="Calibri"/>
                <w:b/>
                <w:sz w:val="20"/>
              </w:rPr>
              <w:t>Std.</w:t>
            </w:r>
            <w:r>
              <w:rPr>
                <w:rFonts w:ascii="Calibri" w:hAnsi="Calibri"/>
                <w:b/>
                <w:spacing w:val="-3"/>
                <w:sz w:val="20"/>
              </w:rPr>
              <w:t> </w:t>
            </w:r>
            <w:r>
              <w:rPr>
                <w:rFonts w:ascii="Calibri" w:hAnsi="Calibri"/>
                <w:b/>
                <w:sz w:val="20"/>
              </w:rPr>
              <w:t>β</w:t>
            </w:r>
            <w:r>
              <w:rPr>
                <w:rFonts w:ascii="Calibri" w:hAnsi="Calibri"/>
                <w:sz w:val="20"/>
              </w:rPr>
            </w:r>
          </w:p>
        </w:tc>
      </w:tr>
      <w:tr>
        <w:trPr>
          <w:trHeight w:val="291" w:hRule="exact"/>
        </w:trPr>
        <w:tc>
          <w:tcPr>
            <w:tcW w:w="3745" w:type="dxa"/>
            <w:tcBorders>
              <w:top w:val="single" w:sz="4" w:space="0" w:color="000000"/>
              <w:left w:val="nil" w:sz="6" w:space="0" w:color="auto"/>
              <w:bottom w:val="nil" w:sz="6" w:space="0" w:color="auto"/>
              <w:right w:val="nil" w:sz="6" w:space="0" w:color="auto"/>
            </w:tcBorders>
          </w:tcPr>
          <w:p>
            <w:pPr>
              <w:pStyle w:val="TableParagraph"/>
              <w:spacing w:line="240" w:lineRule="auto" w:before="6"/>
              <w:ind w:left="14" w:right="0"/>
              <w:jc w:val="left"/>
              <w:rPr>
                <w:rFonts w:ascii="Calibri" w:hAnsi="Calibri" w:cs="Calibri" w:eastAsia="Calibri" w:hint="default"/>
                <w:sz w:val="20"/>
                <w:szCs w:val="20"/>
              </w:rPr>
            </w:pPr>
            <w:r>
              <w:rPr>
                <w:rFonts w:ascii="Calibri"/>
                <w:sz w:val="20"/>
              </w:rPr>
              <w:t>Accommodation</w:t>
            </w:r>
            <w:r>
              <w:rPr>
                <w:rFonts w:ascii="Calibri"/>
                <w:spacing w:val="-9"/>
                <w:sz w:val="20"/>
              </w:rPr>
              <w:t> </w:t>
            </w:r>
            <w:r>
              <w:rPr>
                <w:rFonts w:ascii="Calibri"/>
                <w:sz w:val="20"/>
              </w:rPr>
              <w:t>Quality</w:t>
            </w:r>
          </w:p>
        </w:tc>
        <w:tc>
          <w:tcPr>
            <w:tcW w:w="2570" w:type="dxa"/>
            <w:tcBorders>
              <w:top w:val="single" w:sz="4" w:space="0" w:color="000000"/>
              <w:left w:val="nil" w:sz="6" w:space="0" w:color="auto"/>
              <w:bottom w:val="nil" w:sz="6" w:space="0" w:color="auto"/>
              <w:right w:val="nil" w:sz="6" w:space="0" w:color="auto"/>
            </w:tcBorders>
          </w:tcPr>
          <w:p>
            <w:pPr>
              <w:pStyle w:val="TableParagraph"/>
              <w:spacing w:line="240" w:lineRule="auto" w:before="6"/>
              <w:ind w:right="386"/>
              <w:jc w:val="right"/>
              <w:rPr>
                <w:rFonts w:ascii="Calibri" w:hAnsi="Calibri" w:cs="Calibri" w:eastAsia="Calibri" w:hint="default"/>
                <w:sz w:val="20"/>
                <w:szCs w:val="20"/>
              </w:rPr>
            </w:pPr>
            <w:r>
              <w:rPr>
                <w:rFonts w:ascii="Calibri"/>
                <w:w w:val="95"/>
                <w:sz w:val="20"/>
              </w:rPr>
              <w:t>4.73</w:t>
            </w:r>
            <w:r>
              <w:rPr>
                <w:rFonts w:ascii="Calibri"/>
                <w:sz w:val="20"/>
              </w:rPr>
            </w:r>
          </w:p>
        </w:tc>
        <w:tc>
          <w:tcPr>
            <w:tcW w:w="1142" w:type="dxa"/>
            <w:tcBorders>
              <w:top w:val="single" w:sz="4" w:space="0" w:color="000000"/>
              <w:left w:val="nil" w:sz="6" w:space="0" w:color="auto"/>
              <w:bottom w:val="nil" w:sz="6" w:space="0" w:color="auto"/>
              <w:right w:val="nil" w:sz="6" w:space="0" w:color="auto"/>
            </w:tcBorders>
          </w:tcPr>
          <w:p>
            <w:pPr>
              <w:pStyle w:val="TableParagraph"/>
              <w:spacing w:line="240" w:lineRule="auto" w:before="6"/>
              <w:ind w:left="85" w:right="0"/>
              <w:jc w:val="center"/>
              <w:rPr>
                <w:rFonts w:ascii="Calibri" w:hAnsi="Calibri" w:cs="Calibri" w:eastAsia="Calibri" w:hint="default"/>
                <w:sz w:val="20"/>
                <w:szCs w:val="20"/>
              </w:rPr>
            </w:pPr>
            <w:r>
              <w:rPr>
                <w:rFonts w:ascii="Calibri"/>
                <w:sz w:val="20"/>
              </w:rPr>
              <w:t>(0.987)</w:t>
            </w:r>
          </w:p>
        </w:tc>
        <w:tc>
          <w:tcPr>
            <w:tcW w:w="1651" w:type="dxa"/>
            <w:tcBorders>
              <w:top w:val="single" w:sz="4" w:space="0" w:color="000000"/>
              <w:left w:val="nil" w:sz="6" w:space="0" w:color="auto"/>
              <w:bottom w:val="nil" w:sz="6" w:space="0" w:color="auto"/>
              <w:right w:val="nil" w:sz="6" w:space="0" w:color="auto"/>
            </w:tcBorders>
          </w:tcPr>
          <w:p>
            <w:pPr>
              <w:pStyle w:val="TableParagraph"/>
              <w:spacing w:line="240" w:lineRule="auto" w:before="6"/>
              <w:ind w:right="455"/>
              <w:jc w:val="right"/>
              <w:rPr>
                <w:rFonts w:ascii="Calibri" w:hAnsi="Calibri" w:cs="Calibri" w:eastAsia="Calibri" w:hint="default"/>
                <w:sz w:val="20"/>
                <w:szCs w:val="20"/>
              </w:rPr>
            </w:pPr>
            <w:r>
              <w:rPr>
                <w:rFonts w:ascii="Calibri"/>
                <w:w w:val="95"/>
                <w:sz w:val="20"/>
              </w:rPr>
              <w:t>0.230**</w:t>
            </w:r>
            <w:r>
              <w:rPr>
                <w:rFonts w:ascii="Calibri"/>
                <w:sz w:val="20"/>
              </w:rPr>
            </w:r>
          </w:p>
        </w:tc>
      </w:tr>
      <w:tr>
        <w:trPr>
          <w:trHeight w:val="278" w:hRule="exact"/>
        </w:trPr>
        <w:tc>
          <w:tcPr>
            <w:tcW w:w="3745" w:type="dxa"/>
            <w:tcBorders>
              <w:top w:val="nil" w:sz="6" w:space="0" w:color="auto"/>
              <w:left w:val="nil" w:sz="6" w:space="0" w:color="auto"/>
              <w:bottom w:val="nil" w:sz="6" w:space="0" w:color="auto"/>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Restaurant</w:t>
            </w:r>
            <w:r>
              <w:rPr>
                <w:rFonts w:ascii="Calibri"/>
                <w:spacing w:val="-7"/>
                <w:sz w:val="20"/>
              </w:rPr>
              <w:t> </w:t>
            </w:r>
            <w:r>
              <w:rPr>
                <w:rFonts w:ascii="Calibri"/>
                <w:sz w:val="20"/>
              </w:rPr>
              <w:t>Quality</w:t>
            </w:r>
          </w:p>
        </w:tc>
        <w:tc>
          <w:tcPr>
            <w:tcW w:w="2570" w:type="dxa"/>
            <w:tcBorders>
              <w:top w:val="nil" w:sz="6" w:space="0" w:color="auto"/>
              <w:left w:val="nil" w:sz="6" w:space="0" w:color="auto"/>
              <w:bottom w:val="nil" w:sz="6" w:space="0" w:color="auto"/>
              <w:right w:val="nil" w:sz="6" w:space="0" w:color="auto"/>
            </w:tcBorders>
          </w:tcPr>
          <w:p>
            <w:pPr>
              <w:pStyle w:val="TableParagraph"/>
              <w:spacing w:line="243" w:lineRule="exact"/>
              <w:ind w:right="386"/>
              <w:jc w:val="right"/>
              <w:rPr>
                <w:rFonts w:ascii="Calibri" w:hAnsi="Calibri" w:cs="Calibri" w:eastAsia="Calibri" w:hint="default"/>
                <w:sz w:val="20"/>
                <w:szCs w:val="20"/>
              </w:rPr>
            </w:pPr>
            <w:r>
              <w:rPr>
                <w:rFonts w:ascii="Calibri"/>
                <w:w w:val="95"/>
                <w:sz w:val="20"/>
              </w:rPr>
              <w:t>4.61</w:t>
            </w:r>
            <w:r>
              <w:rPr>
                <w:rFonts w:ascii="Calibri"/>
                <w:sz w:val="20"/>
              </w:rPr>
            </w:r>
          </w:p>
        </w:tc>
        <w:tc>
          <w:tcPr>
            <w:tcW w:w="1142" w:type="dxa"/>
            <w:tcBorders>
              <w:top w:val="nil" w:sz="6" w:space="0" w:color="auto"/>
              <w:left w:val="nil" w:sz="6" w:space="0" w:color="auto"/>
              <w:bottom w:val="nil" w:sz="6" w:space="0" w:color="auto"/>
              <w:right w:val="nil" w:sz="6" w:space="0" w:color="auto"/>
            </w:tcBorders>
          </w:tcPr>
          <w:p>
            <w:pPr>
              <w:pStyle w:val="TableParagraph"/>
              <w:spacing w:line="243" w:lineRule="exact"/>
              <w:ind w:left="85" w:right="0"/>
              <w:jc w:val="center"/>
              <w:rPr>
                <w:rFonts w:ascii="Calibri" w:hAnsi="Calibri" w:cs="Calibri" w:eastAsia="Calibri" w:hint="default"/>
                <w:sz w:val="20"/>
                <w:szCs w:val="20"/>
              </w:rPr>
            </w:pPr>
            <w:r>
              <w:rPr>
                <w:rFonts w:ascii="Calibri"/>
                <w:sz w:val="20"/>
              </w:rPr>
              <w:t>(0.942)</w:t>
            </w:r>
          </w:p>
        </w:tc>
        <w:tc>
          <w:tcPr>
            <w:tcW w:w="1651" w:type="dxa"/>
            <w:tcBorders>
              <w:top w:val="nil" w:sz="6" w:space="0" w:color="auto"/>
              <w:left w:val="nil" w:sz="6" w:space="0" w:color="auto"/>
              <w:bottom w:val="nil" w:sz="6" w:space="0" w:color="auto"/>
              <w:right w:val="nil" w:sz="6" w:space="0" w:color="auto"/>
            </w:tcBorders>
          </w:tcPr>
          <w:p>
            <w:pPr>
              <w:pStyle w:val="TableParagraph"/>
              <w:spacing w:line="243" w:lineRule="exact"/>
              <w:ind w:right="455"/>
              <w:jc w:val="right"/>
              <w:rPr>
                <w:rFonts w:ascii="Calibri" w:hAnsi="Calibri" w:cs="Calibri" w:eastAsia="Calibri" w:hint="default"/>
                <w:sz w:val="20"/>
                <w:szCs w:val="20"/>
              </w:rPr>
            </w:pPr>
            <w:r>
              <w:rPr>
                <w:rFonts w:ascii="Calibri"/>
                <w:w w:val="95"/>
                <w:sz w:val="20"/>
              </w:rPr>
              <w:t>0.131**</w:t>
            </w:r>
            <w:r>
              <w:rPr>
                <w:rFonts w:ascii="Calibri"/>
                <w:sz w:val="20"/>
              </w:rPr>
            </w:r>
          </w:p>
        </w:tc>
      </w:tr>
      <w:tr>
        <w:trPr>
          <w:trHeight w:val="279" w:hRule="exact"/>
        </w:trPr>
        <w:tc>
          <w:tcPr>
            <w:tcW w:w="3745" w:type="dxa"/>
            <w:tcBorders>
              <w:top w:val="nil" w:sz="6" w:space="0" w:color="auto"/>
              <w:left w:val="nil" w:sz="6" w:space="0" w:color="auto"/>
              <w:bottom w:val="nil" w:sz="6" w:space="0" w:color="auto"/>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Taxis</w:t>
            </w:r>
            <w:r>
              <w:rPr>
                <w:rFonts w:ascii="Calibri"/>
                <w:spacing w:val="-8"/>
                <w:sz w:val="20"/>
              </w:rPr>
              <w:t> </w:t>
            </w:r>
            <w:r>
              <w:rPr>
                <w:rFonts w:ascii="Calibri"/>
                <w:sz w:val="20"/>
              </w:rPr>
              <w:t>Quality</w:t>
            </w:r>
          </w:p>
        </w:tc>
        <w:tc>
          <w:tcPr>
            <w:tcW w:w="2570" w:type="dxa"/>
            <w:tcBorders>
              <w:top w:val="nil" w:sz="6" w:space="0" w:color="auto"/>
              <w:left w:val="nil" w:sz="6" w:space="0" w:color="auto"/>
              <w:bottom w:val="nil" w:sz="6" w:space="0" w:color="auto"/>
              <w:right w:val="nil" w:sz="6" w:space="0" w:color="auto"/>
            </w:tcBorders>
          </w:tcPr>
          <w:p>
            <w:pPr>
              <w:pStyle w:val="TableParagraph"/>
              <w:spacing w:line="243" w:lineRule="exact"/>
              <w:ind w:right="386"/>
              <w:jc w:val="right"/>
              <w:rPr>
                <w:rFonts w:ascii="Calibri" w:hAnsi="Calibri" w:cs="Calibri" w:eastAsia="Calibri" w:hint="default"/>
                <w:sz w:val="20"/>
                <w:szCs w:val="20"/>
              </w:rPr>
            </w:pPr>
            <w:r>
              <w:rPr>
                <w:rFonts w:ascii="Calibri"/>
                <w:w w:val="95"/>
                <w:sz w:val="20"/>
              </w:rPr>
              <w:t>4.21</w:t>
            </w:r>
            <w:r>
              <w:rPr>
                <w:rFonts w:ascii="Calibri"/>
                <w:sz w:val="20"/>
              </w:rPr>
            </w:r>
          </w:p>
        </w:tc>
        <w:tc>
          <w:tcPr>
            <w:tcW w:w="1142" w:type="dxa"/>
            <w:tcBorders>
              <w:top w:val="nil" w:sz="6" w:space="0" w:color="auto"/>
              <w:left w:val="nil" w:sz="6" w:space="0" w:color="auto"/>
              <w:bottom w:val="nil" w:sz="6" w:space="0" w:color="auto"/>
              <w:right w:val="nil" w:sz="6" w:space="0" w:color="auto"/>
            </w:tcBorders>
          </w:tcPr>
          <w:p>
            <w:pPr>
              <w:pStyle w:val="TableParagraph"/>
              <w:spacing w:line="243" w:lineRule="exact"/>
              <w:ind w:left="85" w:right="0"/>
              <w:jc w:val="center"/>
              <w:rPr>
                <w:rFonts w:ascii="Calibri" w:hAnsi="Calibri" w:cs="Calibri" w:eastAsia="Calibri" w:hint="default"/>
                <w:sz w:val="20"/>
                <w:szCs w:val="20"/>
              </w:rPr>
            </w:pPr>
            <w:r>
              <w:rPr>
                <w:rFonts w:ascii="Calibri"/>
                <w:sz w:val="20"/>
              </w:rPr>
              <w:t>(1.015)</w:t>
            </w:r>
          </w:p>
        </w:tc>
        <w:tc>
          <w:tcPr>
            <w:tcW w:w="1651" w:type="dxa"/>
            <w:tcBorders>
              <w:top w:val="nil" w:sz="6" w:space="0" w:color="auto"/>
              <w:left w:val="nil" w:sz="6" w:space="0" w:color="auto"/>
              <w:bottom w:val="nil" w:sz="6" w:space="0" w:color="auto"/>
              <w:right w:val="nil" w:sz="6" w:space="0" w:color="auto"/>
            </w:tcBorders>
          </w:tcPr>
          <w:p>
            <w:pPr>
              <w:pStyle w:val="TableParagraph"/>
              <w:spacing w:line="243" w:lineRule="exact"/>
              <w:ind w:left="240" w:right="0"/>
              <w:jc w:val="left"/>
              <w:rPr>
                <w:rFonts w:ascii="Calibri" w:hAnsi="Calibri" w:cs="Calibri" w:eastAsia="Calibri" w:hint="default"/>
                <w:sz w:val="20"/>
                <w:szCs w:val="20"/>
              </w:rPr>
            </w:pPr>
            <w:r>
              <w:rPr>
                <w:rFonts w:ascii="Calibri"/>
                <w:sz w:val="20"/>
              </w:rPr>
              <w:t>0.043</w:t>
            </w:r>
          </w:p>
        </w:tc>
      </w:tr>
      <w:tr>
        <w:trPr>
          <w:trHeight w:val="279" w:hRule="exact"/>
        </w:trPr>
        <w:tc>
          <w:tcPr>
            <w:tcW w:w="3745" w:type="dxa"/>
            <w:tcBorders>
              <w:top w:val="nil" w:sz="6" w:space="0" w:color="auto"/>
              <w:left w:val="nil" w:sz="6" w:space="0" w:color="auto"/>
              <w:bottom w:val="nil" w:sz="6" w:space="0" w:color="auto"/>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Entertainment</w:t>
            </w:r>
            <w:r>
              <w:rPr>
                <w:rFonts w:ascii="Calibri"/>
                <w:spacing w:val="-9"/>
                <w:sz w:val="20"/>
              </w:rPr>
              <w:t> </w:t>
            </w:r>
            <w:r>
              <w:rPr>
                <w:rFonts w:ascii="Calibri"/>
                <w:sz w:val="20"/>
              </w:rPr>
              <w:t>Quality</w:t>
            </w:r>
          </w:p>
        </w:tc>
        <w:tc>
          <w:tcPr>
            <w:tcW w:w="2570" w:type="dxa"/>
            <w:tcBorders>
              <w:top w:val="nil" w:sz="6" w:space="0" w:color="auto"/>
              <w:left w:val="nil" w:sz="6" w:space="0" w:color="auto"/>
              <w:bottom w:val="nil" w:sz="6" w:space="0" w:color="auto"/>
              <w:right w:val="nil" w:sz="6" w:space="0" w:color="auto"/>
            </w:tcBorders>
          </w:tcPr>
          <w:p>
            <w:pPr>
              <w:pStyle w:val="TableParagraph"/>
              <w:spacing w:line="243" w:lineRule="exact"/>
              <w:ind w:right="386"/>
              <w:jc w:val="right"/>
              <w:rPr>
                <w:rFonts w:ascii="Calibri" w:hAnsi="Calibri" w:cs="Calibri" w:eastAsia="Calibri" w:hint="default"/>
                <w:sz w:val="20"/>
                <w:szCs w:val="20"/>
              </w:rPr>
            </w:pPr>
            <w:r>
              <w:rPr>
                <w:rFonts w:ascii="Calibri"/>
                <w:w w:val="95"/>
                <w:sz w:val="20"/>
              </w:rPr>
              <w:t>4.45</w:t>
            </w:r>
            <w:r>
              <w:rPr>
                <w:rFonts w:ascii="Calibri"/>
                <w:sz w:val="20"/>
              </w:rPr>
            </w:r>
          </w:p>
        </w:tc>
        <w:tc>
          <w:tcPr>
            <w:tcW w:w="1142" w:type="dxa"/>
            <w:tcBorders>
              <w:top w:val="nil" w:sz="6" w:space="0" w:color="auto"/>
              <w:left w:val="nil" w:sz="6" w:space="0" w:color="auto"/>
              <w:bottom w:val="nil" w:sz="6" w:space="0" w:color="auto"/>
              <w:right w:val="nil" w:sz="6" w:space="0" w:color="auto"/>
            </w:tcBorders>
          </w:tcPr>
          <w:p>
            <w:pPr>
              <w:pStyle w:val="TableParagraph"/>
              <w:spacing w:line="243" w:lineRule="exact"/>
              <w:ind w:left="85" w:right="0"/>
              <w:jc w:val="center"/>
              <w:rPr>
                <w:rFonts w:ascii="Calibri" w:hAnsi="Calibri" w:cs="Calibri" w:eastAsia="Calibri" w:hint="default"/>
                <w:sz w:val="20"/>
                <w:szCs w:val="20"/>
              </w:rPr>
            </w:pPr>
            <w:r>
              <w:rPr>
                <w:rFonts w:ascii="Calibri"/>
                <w:sz w:val="20"/>
              </w:rPr>
              <w:t>(0.988)</w:t>
            </w:r>
          </w:p>
        </w:tc>
        <w:tc>
          <w:tcPr>
            <w:tcW w:w="1651" w:type="dxa"/>
            <w:tcBorders>
              <w:top w:val="nil" w:sz="6" w:space="0" w:color="auto"/>
              <w:left w:val="nil" w:sz="6" w:space="0" w:color="auto"/>
              <w:bottom w:val="nil" w:sz="6" w:space="0" w:color="auto"/>
              <w:right w:val="nil" w:sz="6" w:space="0" w:color="auto"/>
            </w:tcBorders>
          </w:tcPr>
          <w:p>
            <w:pPr>
              <w:pStyle w:val="TableParagraph"/>
              <w:spacing w:line="243" w:lineRule="exact"/>
              <w:ind w:right="455"/>
              <w:jc w:val="right"/>
              <w:rPr>
                <w:rFonts w:ascii="Calibri" w:hAnsi="Calibri" w:cs="Calibri" w:eastAsia="Calibri" w:hint="default"/>
                <w:sz w:val="20"/>
                <w:szCs w:val="20"/>
              </w:rPr>
            </w:pPr>
            <w:r>
              <w:rPr>
                <w:rFonts w:ascii="Calibri"/>
                <w:w w:val="95"/>
                <w:sz w:val="20"/>
              </w:rPr>
              <w:t>0.151**</w:t>
            </w:r>
            <w:r>
              <w:rPr>
                <w:rFonts w:ascii="Calibri"/>
                <w:sz w:val="20"/>
              </w:rPr>
            </w:r>
          </w:p>
        </w:tc>
      </w:tr>
      <w:tr>
        <w:trPr>
          <w:trHeight w:val="278" w:hRule="exact"/>
        </w:trPr>
        <w:tc>
          <w:tcPr>
            <w:tcW w:w="3745" w:type="dxa"/>
            <w:tcBorders>
              <w:top w:val="nil" w:sz="6" w:space="0" w:color="auto"/>
              <w:left w:val="nil" w:sz="6" w:space="0" w:color="auto"/>
              <w:bottom w:val="nil" w:sz="6" w:space="0" w:color="auto"/>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Shopping</w:t>
            </w:r>
            <w:r>
              <w:rPr>
                <w:rFonts w:ascii="Calibri"/>
                <w:spacing w:val="-8"/>
                <w:sz w:val="20"/>
              </w:rPr>
              <w:t> </w:t>
            </w:r>
            <w:r>
              <w:rPr>
                <w:rFonts w:ascii="Calibri"/>
                <w:sz w:val="20"/>
              </w:rPr>
              <w:t>Quality</w:t>
            </w:r>
          </w:p>
        </w:tc>
        <w:tc>
          <w:tcPr>
            <w:tcW w:w="2570" w:type="dxa"/>
            <w:tcBorders>
              <w:top w:val="nil" w:sz="6" w:space="0" w:color="auto"/>
              <w:left w:val="nil" w:sz="6" w:space="0" w:color="auto"/>
              <w:bottom w:val="nil" w:sz="6" w:space="0" w:color="auto"/>
              <w:right w:val="nil" w:sz="6" w:space="0" w:color="auto"/>
            </w:tcBorders>
          </w:tcPr>
          <w:p>
            <w:pPr>
              <w:pStyle w:val="TableParagraph"/>
              <w:spacing w:line="243" w:lineRule="exact"/>
              <w:ind w:right="386"/>
              <w:jc w:val="right"/>
              <w:rPr>
                <w:rFonts w:ascii="Calibri" w:hAnsi="Calibri" w:cs="Calibri" w:eastAsia="Calibri" w:hint="default"/>
                <w:sz w:val="20"/>
                <w:szCs w:val="20"/>
              </w:rPr>
            </w:pPr>
            <w:r>
              <w:rPr>
                <w:rFonts w:ascii="Calibri"/>
                <w:w w:val="95"/>
                <w:sz w:val="20"/>
              </w:rPr>
              <w:t>4.25</w:t>
            </w:r>
            <w:r>
              <w:rPr>
                <w:rFonts w:ascii="Calibri"/>
                <w:sz w:val="20"/>
              </w:rPr>
            </w:r>
          </w:p>
        </w:tc>
        <w:tc>
          <w:tcPr>
            <w:tcW w:w="1142" w:type="dxa"/>
            <w:tcBorders>
              <w:top w:val="nil" w:sz="6" w:space="0" w:color="auto"/>
              <w:left w:val="nil" w:sz="6" w:space="0" w:color="auto"/>
              <w:bottom w:val="nil" w:sz="6" w:space="0" w:color="auto"/>
              <w:right w:val="nil" w:sz="6" w:space="0" w:color="auto"/>
            </w:tcBorders>
          </w:tcPr>
          <w:p>
            <w:pPr>
              <w:pStyle w:val="TableParagraph"/>
              <w:spacing w:line="243" w:lineRule="exact"/>
              <w:ind w:left="85" w:right="0"/>
              <w:jc w:val="center"/>
              <w:rPr>
                <w:rFonts w:ascii="Calibri" w:hAnsi="Calibri" w:cs="Calibri" w:eastAsia="Calibri" w:hint="default"/>
                <w:sz w:val="20"/>
                <w:szCs w:val="20"/>
              </w:rPr>
            </w:pPr>
            <w:r>
              <w:rPr>
                <w:rFonts w:ascii="Calibri"/>
                <w:sz w:val="20"/>
              </w:rPr>
              <w:t>(1.102)</w:t>
            </w:r>
          </w:p>
        </w:tc>
        <w:tc>
          <w:tcPr>
            <w:tcW w:w="1651" w:type="dxa"/>
            <w:tcBorders>
              <w:top w:val="nil" w:sz="6" w:space="0" w:color="auto"/>
              <w:left w:val="nil" w:sz="6" w:space="0" w:color="auto"/>
              <w:bottom w:val="nil" w:sz="6" w:space="0" w:color="auto"/>
              <w:right w:val="nil" w:sz="6" w:space="0" w:color="auto"/>
            </w:tcBorders>
          </w:tcPr>
          <w:p>
            <w:pPr>
              <w:pStyle w:val="TableParagraph"/>
              <w:spacing w:line="243" w:lineRule="exact"/>
              <w:ind w:right="455"/>
              <w:jc w:val="right"/>
              <w:rPr>
                <w:rFonts w:ascii="Calibri" w:hAnsi="Calibri" w:cs="Calibri" w:eastAsia="Calibri" w:hint="default"/>
                <w:sz w:val="20"/>
                <w:szCs w:val="20"/>
              </w:rPr>
            </w:pPr>
            <w:r>
              <w:rPr>
                <w:rFonts w:ascii="Calibri"/>
                <w:w w:val="95"/>
                <w:sz w:val="20"/>
              </w:rPr>
              <w:t>0.158**</w:t>
            </w:r>
            <w:r>
              <w:rPr>
                <w:rFonts w:ascii="Calibri"/>
                <w:sz w:val="20"/>
              </w:rPr>
            </w:r>
          </w:p>
        </w:tc>
      </w:tr>
      <w:tr>
        <w:trPr>
          <w:trHeight w:val="278" w:hRule="exact"/>
        </w:trPr>
        <w:tc>
          <w:tcPr>
            <w:tcW w:w="3745" w:type="dxa"/>
            <w:tcBorders>
              <w:top w:val="nil" w:sz="6" w:space="0" w:color="auto"/>
              <w:left w:val="nil" w:sz="6" w:space="0" w:color="auto"/>
              <w:bottom w:val="nil" w:sz="6" w:space="0" w:color="auto"/>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Rental Car</w:t>
            </w:r>
            <w:r>
              <w:rPr>
                <w:rFonts w:ascii="Calibri"/>
                <w:spacing w:val="-8"/>
                <w:sz w:val="20"/>
              </w:rPr>
              <w:t> </w:t>
            </w:r>
            <w:r>
              <w:rPr>
                <w:rFonts w:ascii="Calibri"/>
                <w:sz w:val="20"/>
              </w:rPr>
              <w:t>Quality</w:t>
            </w:r>
          </w:p>
        </w:tc>
        <w:tc>
          <w:tcPr>
            <w:tcW w:w="2570" w:type="dxa"/>
            <w:tcBorders>
              <w:top w:val="nil" w:sz="6" w:space="0" w:color="auto"/>
              <w:left w:val="nil" w:sz="6" w:space="0" w:color="auto"/>
              <w:bottom w:val="nil" w:sz="6" w:space="0" w:color="auto"/>
              <w:right w:val="nil" w:sz="6" w:space="0" w:color="auto"/>
            </w:tcBorders>
          </w:tcPr>
          <w:p>
            <w:pPr>
              <w:pStyle w:val="TableParagraph"/>
              <w:spacing w:line="243" w:lineRule="exact"/>
              <w:ind w:right="386"/>
              <w:jc w:val="right"/>
              <w:rPr>
                <w:rFonts w:ascii="Calibri" w:hAnsi="Calibri" w:cs="Calibri" w:eastAsia="Calibri" w:hint="default"/>
                <w:sz w:val="20"/>
                <w:szCs w:val="20"/>
              </w:rPr>
            </w:pPr>
            <w:r>
              <w:rPr>
                <w:rFonts w:ascii="Calibri"/>
                <w:w w:val="95"/>
                <w:sz w:val="20"/>
              </w:rPr>
              <w:t>4.34</w:t>
            </w:r>
            <w:r>
              <w:rPr>
                <w:rFonts w:ascii="Calibri"/>
                <w:sz w:val="20"/>
              </w:rPr>
            </w:r>
          </w:p>
        </w:tc>
        <w:tc>
          <w:tcPr>
            <w:tcW w:w="1142" w:type="dxa"/>
            <w:tcBorders>
              <w:top w:val="nil" w:sz="6" w:space="0" w:color="auto"/>
              <w:left w:val="nil" w:sz="6" w:space="0" w:color="auto"/>
              <w:bottom w:val="nil" w:sz="6" w:space="0" w:color="auto"/>
              <w:right w:val="nil" w:sz="6" w:space="0" w:color="auto"/>
            </w:tcBorders>
          </w:tcPr>
          <w:p>
            <w:pPr>
              <w:pStyle w:val="TableParagraph"/>
              <w:spacing w:line="243" w:lineRule="exact"/>
              <w:ind w:left="85" w:right="0"/>
              <w:jc w:val="center"/>
              <w:rPr>
                <w:rFonts w:ascii="Calibri" w:hAnsi="Calibri" w:cs="Calibri" w:eastAsia="Calibri" w:hint="default"/>
                <w:sz w:val="20"/>
                <w:szCs w:val="20"/>
              </w:rPr>
            </w:pPr>
            <w:r>
              <w:rPr>
                <w:rFonts w:ascii="Calibri"/>
                <w:sz w:val="20"/>
              </w:rPr>
              <w:t>(1.050)</w:t>
            </w:r>
          </w:p>
        </w:tc>
        <w:tc>
          <w:tcPr>
            <w:tcW w:w="1651" w:type="dxa"/>
            <w:tcBorders>
              <w:top w:val="nil" w:sz="6" w:space="0" w:color="auto"/>
              <w:left w:val="nil" w:sz="6" w:space="0" w:color="auto"/>
              <w:bottom w:val="nil" w:sz="6" w:space="0" w:color="auto"/>
              <w:right w:val="nil" w:sz="6" w:space="0" w:color="auto"/>
            </w:tcBorders>
          </w:tcPr>
          <w:p>
            <w:pPr>
              <w:pStyle w:val="TableParagraph"/>
              <w:spacing w:line="243" w:lineRule="exact"/>
              <w:ind w:right="455"/>
              <w:jc w:val="right"/>
              <w:rPr>
                <w:rFonts w:ascii="Calibri" w:hAnsi="Calibri" w:cs="Calibri" w:eastAsia="Calibri" w:hint="default"/>
                <w:sz w:val="20"/>
                <w:szCs w:val="20"/>
              </w:rPr>
            </w:pPr>
            <w:r>
              <w:rPr>
                <w:rFonts w:ascii="Calibri"/>
                <w:w w:val="95"/>
                <w:sz w:val="20"/>
              </w:rPr>
              <w:t>0.101**</w:t>
            </w:r>
            <w:r>
              <w:rPr>
                <w:rFonts w:ascii="Calibri"/>
                <w:sz w:val="20"/>
              </w:rPr>
            </w:r>
          </w:p>
        </w:tc>
      </w:tr>
      <w:tr>
        <w:trPr>
          <w:trHeight w:val="266" w:hRule="exact"/>
        </w:trPr>
        <w:tc>
          <w:tcPr>
            <w:tcW w:w="3745" w:type="dxa"/>
            <w:tcBorders>
              <w:top w:val="nil" w:sz="6" w:space="0" w:color="auto"/>
              <w:left w:val="nil" w:sz="6" w:space="0" w:color="auto"/>
              <w:bottom w:val="single" w:sz="4" w:space="0" w:color="000000"/>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Airfare</w:t>
            </w:r>
            <w:r>
              <w:rPr>
                <w:rFonts w:ascii="Calibri"/>
                <w:spacing w:val="-7"/>
                <w:sz w:val="20"/>
              </w:rPr>
              <w:t> </w:t>
            </w:r>
            <w:r>
              <w:rPr>
                <w:rFonts w:ascii="Calibri"/>
                <w:sz w:val="20"/>
              </w:rPr>
              <w:t>Quality</w:t>
            </w:r>
          </w:p>
        </w:tc>
        <w:tc>
          <w:tcPr>
            <w:tcW w:w="2570" w:type="dxa"/>
            <w:tcBorders>
              <w:top w:val="nil" w:sz="6" w:space="0" w:color="auto"/>
              <w:left w:val="nil" w:sz="6" w:space="0" w:color="auto"/>
              <w:bottom w:val="single" w:sz="4" w:space="0" w:color="000000"/>
              <w:right w:val="nil" w:sz="6" w:space="0" w:color="auto"/>
            </w:tcBorders>
          </w:tcPr>
          <w:p>
            <w:pPr>
              <w:pStyle w:val="TableParagraph"/>
              <w:spacing w:line="243" w:lineRule="exact"/>
              <w:ind w:right="386"/>
              <w:jc w:val="right"/>
              <w:rPr>
                <w:rFonts w:ascii="Calibri" w:hAnsi="Calibri" w:cs="Calibri" w:eastAsia="Calibri" w:hint="default"/>
                <w:sz w:val="20"/>
                <w:szCs w:val="20"/>
              </w:rPr>
            </w:pPr>
            <w:r>
              <w:rPr>
                <w:rFonts w:ascii="Calibri"/>
                <w:w w:val="95"/>
                <w:sz w:val="20"/>
              </w:rPr>
              <w:t>4.32</w:t>
            </w:r>
            <w:r>
              <w:rPr>
                <w:rFonts w:ascii="Calibri"/>
                <w:sz w:val="20"/>
              </w:rPr>
            </w:r>
          </w:p>
        </w:tc>
        <w:tc>
          <w:tcPr>
            <w:tcW w:w="1142" w:type="dxa"/>
            <w:tcBorders>
              <w:top w:val="nil" w:sz="6" w:space="0" w:color="auto"/>
              <w:left w:val="nil" w:sz="6" w:space="0" w:color="auto"/>
              <w:bottom w:val="single" w:sz="4" w:space="0" w:color="000000"/>
              <w:right w:val="nil" w:sz="6" w:space="0" w:color="auto"/>
            </w:tcBorders>
          </w:tcPr>
          <w:p>
            <w:pPr>
              <w:pStyle w:val="TableParagraph"/>
              <w:spacing w:line="243" w:lineRule="exact"/>
              <w:ind w:left="85" w:right="0"/>
              <w:jc w:val="center"/>
              <w:rPr>
                <w:rFonts w:ascii="Calibri" w:hAnsi="Calibri" w:cs="Calibri" w:eastAsia="Calibri" w:hint="default"/>
                <w:sz w:val="20"/>
                <w:szCs w:val="20"/>
              </w:rPr>
            </w:pPr>
            <w:r>
              <w:rPr>
                <w:rFonts w:ascii="Calibri"/>
                <w:sz w:val="20"/>
              </w:rPr>
              <w:t>(1.045)</w:t>
            </w:r>
          </w:p>
        </w:tc>
        <w:tc>
          <w:tcPr>
            <w:tcW w:w="1651" w:type="dxa"/>
            <w:tcBorders>
              <w:top w:val="nil" w:sz="6" w:space="0" w:color="auto"/>
              <w:left w:val="nil" w:sz="6" w:space="0" w:color="auto"/>
              <w:bottom w:val="single" w:sz="4" w:space="0" w:color="000000"/>
              <w:right w:val="nil" w:sz="6" w:space="0" w:color="auto"/>
            </w:tcBorders>
          </w:tcPr>
          <w:p>
            <w:pPr>
              <w:pStyle w:val="TableParagraph"/>
              <w:spacing w:line="243" w:lineRule="exact"/>
              <w:ind w:right="455"/>
              <w:jc w:val="right"/>
              <w:rPr>
                <w:rFonts w:ascii="Calibri" w:hAnsi="Calibri" w:cs="Calibri" w:eastAsia="Calibri" w:hint="default"/>
                <w:sz w:val="20"/>
                <w:szCs w:val="20"/>
              </w:rPr>
            </w:pPr>
            <w:r>
              <w:rPr>
                <w:rFonts w:ascii="Calibri"/>
                <w:w w:val="95"/>
                <w:sz w:val="20"/>
              </w:rPr>
              <w:t>0.141**</w:t>
            </w:r>
            <w:r>
              <w:rPr>
                <w:rFonts w:ascii="Calibri"/>
                <w:sz w:val="20"/>
              </w:rPr>
            </w:r>
          </w:p>
        </w:tc>
      </w:tr>
      <w:tr>
        <w:trPr>
          <w:trHeight w:val="251" w:hRule="exact"/>
        </w:trPr>
        <w:tc>
          <w:tcPr>
            <w:tcW w:w="6316" w:type="dxa"/>
            <w:gridSpan w:val="2"/>
            <w:tcBorders>
              <w:top w:val="single" w:sz="4" w:space="0" w:color="000000"/>
              <w:left w:val="nil" w:sz="6" w:space="0" w:color="auto"/>
              <w:bottom w:val="nil" w:sz="6" w:space="0" w:color="auto"/>
              <w:right w:val="nil" w:sz="6" w:space="0" w:color="auto"/>
            </w:tcBorders>
          </w:tcPr>
          <w:p>
            <w:pPr>
              <w:pStyle w:val="TableParagraph"/>
              <w:spacing w:line="240" w:lineRule="auto" w:before="3"/>
              <w:ind w:left="14" w:right="0"/>
              <w:jc w:val="left"/>
              <w:rPr>
                <w:rFonts w:ascii="Calibri" w:hAnsi="Calibri" w:cs="Calibri" w:eastAsia="Calibri" w:hint="default"/>
                <w:sz w:val="20"/>
                <w:szCs w:val="20"/>
              </w:rPr>
            </w:pPr>
            <w:r>
              <w:rPr>
                <w:rFonts w:ascii="Calibri" w:hAnsi="Calibri"/>
                <w:sz w:val="20"/>
              </w:rPr>
              <w:t>Cronbach's α=0.891; F</w:t>
            </w:r>
            <w:r>
              <w:rPr>
                <w:rFonts w:ascii="Calibri" w:hAnsi="Calibri"/>
                <w:sz w:val="20"/>
              </w:rPr>
              <w:t>-value=317.482**;</w:t>
            </w:r>
            <w:r>
              <w:rPr>
                <w:rFonts w:ascii="Calibri" w:hAnsi="Calibri"/>
                <w:spacing w:val="-11"/>
                <w:sz w:val="20"/>
              </w:rPr>
              <w:t> </w:t>
            </w:r>
            <w:r>
              <w:rPr>
                <w:rFonts w:ascii="Calibri" w:hAnsi="Calibri"/>
                <w:sz w:val="20"/>
              </w:rPr>
              <w:t>R</w:t>
            </w:r>
            <w:r>
              <w:rPr>
                <w:rFonts w:ascii="Calibri" w:hAnsi="Calibri"/>
                <w:position w:val="7"/>
                <w:sz w:val="13"/>
              </w:rPr>
              <w:t>2</w:t>
            </w:r>
            <w:r>
              <w:rPr>
                <w:rFonts w:ascii="Calibri" w:hAnsi="Calibri"/>
                <w:sz w:val="20"/>
              </w:rPr>
              <w:t>=0.56</w:t>
            </w:r>
          </w:p>
        </w:tc>
        <w:tc>
          <w:tcPr>
            <w:tcW w:w="1142" w:type="dxa"/>
            <w:tcBorders>
              <w:top w:val="single" w:sz="4" w:space="0" w:color="000000"/>
              <w:left w:val="nil" w:sz="6" w:space="0" w:color="auto"/>
              <w:bottom w:val="nil" w:sz="6" w:space="0" w:color="auto"/>
              <w:right w:val="nil" w:sz="6" w:space="0" w:color="auto"/>
            </w:tcBorders>
          </w:tcPr>
          <w:p>
            <w:pPr/>
          </w:p>
        </w:tc>
        <w:tc>
          <w:tcPr>
            <w:tcW w:w="1651" w:type="dxa"/>
            <w:tcBorders>
              <w:top w:val="single" w:sz="4" w:space="0" w:color="000000"/>
              <w:left w:val="nil" w:sz="6" w:space="0" w:color="auto"/>
              <w:bottom w:val="nil" w:sz="6" w:space="0" w:color="auto"/>
              <w:right w:val="nil" w:sz="6" w:space="0" w:color="auto"/>
            </w:tcBorders>
          </w:tcPr>
          <w:p>
            <w:pPr/>
          </w:p>
        </w:tc>
      </w:tr>
    </w:tbl>
    <w:p>
      <w:pPr>
        <w:spacing w:line="240" w:lineRule="auto" w:before="7"/>
        <w:ind w:right="0"/>
        <w:rPr>
          <w:rFonts w:ascii="Calibri" w:hAnsi="Calibri" w:cs="Calibri" w:eastAsia="Calibri" w:hint="default"/>
          <w:b/>
          <w:bCs/>
          <w:sz w:val="18"/>
          <w:szCs w:val="18"/>
        </w:rPr>
      </w:pPr>
    </w:p>
    <w:p>
      <w:pPr>
        <w:pStyle w:val="BodyText"/>
        <w:spacing w:line="259" w:lineRule="auto" w:before="59"/>
        <w:ind w:right="1435"/>
        <w:jc w:val="both"/>
      </w:pPr>
      <w:r>
        <w:rPr/>
        <w:t>The overall value of the experience of Curaçao is impacted by shopping and accommodations, as well as airfare. While</w:t>
      </w:r>
      <w:r>
        <w:rPr>
          <w:spacing w:val="-13"/>
        </w:rPr>
        <w:t> </w:t>
      </w:r>
      <w:r>
        <w:rPr/>
        <w:t>the</w:t>
      </w:r>
      <w:r>
        <w:rPr>
          <w:spacing w:val="-12"/>
        </w:rPr>
        <w:t> </w:t>
      </w:r>
      <w:r>
        <w:rPr/>
        <w:t>destination</w:t>
      </w:r>
      <w:r>
        <w:rPr>
          <w:spacing w:val="-11"/>
        </w:rPr>
        <w:t> </w:t>
      </w:r>
      <w:r>
        <w:rPr/>
        <w:t>has</w:t>
      </w:r>
      <w:r>
        <w:rPr>
          <w:spacing w:val="-9"/>
        </w:rPr>
        <w:t> </w:t>
      </w:r>
      <w:r>
        <w:rPr/>
        <w:t>control</w:t>
      </w:r>
      <w:r>
        <w:rPr>
          <w:spacing w:val="-12"/>
        </w:rPr>
        <w:t> </w:t>
      </w:r>
      <w:r>
        <w:rPr/>
        <w:t>over</w:t>
      </w:r>
      <w:r>
        <w:rPr>
          <w:spacing w:val="-12"/>
        </w:rPr>
        <w:t> </w:t>
      </w:r>
      <w:r>
        <w:rPr/>
        <w:t>the</w:t>
      </w:r>
      <w:r>
        <w:rPr>
          <w:spacing w:val="-10"/>
        </w:rPr>
        <w:t> </w:t>
      </w:r>
      <w:r>
        <w:rPr/>
        <w:t>first</w:t>
      </w:r>
      <w:r>
        <w:rPr>
          <w:spacing w:val="-11"/>
        </w:rPr>
        <w:t> </w:t>
      </w:r>
      <w:r>
        <w:rPr/>
        <w:t>two</w:t>
      </w:r>
      <w:r>
        <w:rPr>
          <w:spacing w:val="-9"/>
        </w:rPr>
        <w:t> </w:t>
      </w:r>
      <w:r>
        <w:rPr/>
        <w:t>items,</w:t>
      </w:r>
      <w:r>
        <w:rPr>
          <w:spacing w:val="-11"/>
        </w:rPr>
        <w:t> </w:t>
      </w:r>
      <w:r>
        <w:rPr/>
        <w:t>airfare</w:t>
      </w:r>
      <w:r>
        <w:rPr>
          <w:spacing w:val="-12"/>
        </w:rPr>
        <w:t> </w:t>
      </w:r>
      <w:r>
        <w:rPr/>
        <w:t>is</w:t>
      </w:r>
      <w:r>
        <w:rPr>
          <w:spacing w:val="-10"/>
        </w:rPr>
        <w:t> </w:t>
      </w:r>
      <w:r>
        <w:rPr/>
        <w:t>something</w:t>
      </w:r>
      <w:r>
        <w:rPr>
          <w:spacing w:val="-12"/>
        </w:rPr>
        <w:t> </w:t>
      </w:r>
      <w:r>
        <w:rPr/>
        <w:t>beyond</w:t>
      </w:r>
      <w:r>
        <w:rPr>
          <w:spacing w:val="-11"/>
        </w:rPr>
        <w:t> </w:t>
      </w:r>
      <w:r>
        <w:rPr/>
        <w:t>the</w:t>
      </w:r>
      <w:r>
        <w:rPr>
          <w:spacing w:val="-10"/>
        </w:rPr>
        <w:t> </w:t>
      </w:r>
      <w:r>
        <w:rPr/>
        <w:t>control</w:t>
      </w:r>
      <w:r>
        <w:rPr>
          <w:spacing w:val="-12"/>
        </w:rPr>
        <w:t> </w:t>
      </w:r>
      <w:r>
        <w:rPr/>
        <w:t>of</w:t>
      </w:r>
      <w:r>
        <w:rPr>
          <w:spacing w:val="-12"/>
        </w:rPr>
        <w:t> </w:t>
      </w:r>
      <w:r>
        <w:rPr/>
        <w:t>the</w:t>
      </w:r>
      <w:r>
        <w:rPr>
          <w:spacing w:val="-10"/>
        </w:rPr>
        <w:t> </w:t>
      </w:r>
      <w:r>
        <w:rPr/>
        <w:t>destination. </w:t>
      </w:r>
      <w:r>
        <w:rPr/>
        <w:t>The only way to address the item of airfare is by increasing competition through steady increase in demand. Entertainment has a weak influence on value perception, while taxis have no influence on value. Ground transportation on the island does not seem to resonate with the value perception of respondents (Table 33). Taxis received the lowest scores from respondents when defining the image of Curaçao (See Chapter</w:t>
      </w:r>
      <w:r>
        <w:rPr>
          <w:spacing w:val="-30"/>
        </w:rPr>
        <w:t> </w:t>
      </w:r>
      <w:r>
        <w:rPr/>
        <w:t>2).</w:t>
      </w:r>
    </w:p>
    <w:p>
      <w:pPr>
        <w:spacing w:line="240" w:lineRule="auto" w:before="9"/>
        <w:ind w:right="0"/>
        <w:rPr>
          <w:rFonts w:ascii="Calibri" w:hAnsi="Calibri" w:cs="Calibri" w:eastAsia="Calibri" w:hint="default"/>
          <w:sz w:val="21"/>
          <w:szCs w:val="21"/>
        </w:rPr>
      </w:pPr>
    </w:p>
    <w:p>
      <w:pPr>
        <w:pStyle w:val="BodyText"/>
        <w:spacing w:line="259" w:lineRule="auto"/>
        <w:ind w:right="1435"/>
        <w:jc w:val="both"/>
      </w:pPr>
      <w:r>
        <w:rPr/>
        <w:t>Socioeconomic status shows a </w:t>
      </w:r>
      <w:r>
        <w:rPr>
          <w:rFonts w:ascii="Calibri" w:hAnsi="Calibri"/>
        </w:rPr>
        <w:t>very strong negative impact on both perceived value (β=</w:t>
      </w:r>
      <w:r>
        <w:rPr/>
        <w:t>-</w:t>
      </w:r>
      <w:r>
        <w:rPr>
          <w:rFonts w:ascii="Calibri" w:hAnsi="Calibri"/>
        </w:rPr>
        <w:t>0.74, ρ&lt;0.001) and satisfaction (β=</w:t>
      </w:r>
      <w:r>
        <w:rPr/>
        <w:t>-</w:t>
      </w:r>
      <w:r>
        <w:rPr>
          <w:rFonts w:ascii="Calibri" w:hAnsi="Calibri"/>
        </w:rPr>
        <w:t>0.74, ρ&lt;0.001) of the visitors. </w:t>
      </w:r>
      <w:r>
        <w:rPr/>
        <w:t>Similarly, the number of nights spent on the island has a negative </w:t>
      </w:r>
      <w:r>
        <w:rPr>
          <w:rFonts w:ascii="Calibri" w:hAnsi="Calibri"/>
        </w:rPr>
        <w:t>impact (β=</w:t>
      </w:r>
      <w:r>
        <w:rPr/>
        <w:t>-</w:t>
      </w:r>
      <w:r>
        <w:rPr>
          <w:rFonts w:ascii="Calibri" w:hAnsi="Calibri"/>
        </w:rPr>
        <w:t>0.07, ρ&lt;0.01) on pe</w:t>
      </w:r>
      <w:r>
        <w:rPr/>
        <w:t>rceived value of the island. On the other hand, those tourists traveling in groups or accompanied</w:t>
      </w:r>
      <w:r>
        <w:rPr>
          <w:spacing w:val="-2"/>
        </w:rPr>
        <w:t> </w:t>
      </w:r>
      <w:r>
        <w:rPr/>
        <w:t>by</w:t>
      </w:r>
      <w:r>
        <w:rPr>
          <w:spacing w:val="-3"/>
        </w:rPr>
        <w:t> </w:t>
      </w:r>
      <w:r>
        <w:rPr/>
        <w:t>only</w:t>
      </w:r>
      <w:r>
        <w:rPr>
          <w:spacing w:val="-3"/>
        </w:rPr>
        <w:t> </w:t>
      </w:r>
      <w:r>
        <w:rPr/>
        <w:t>a</w:t>
      </w:r>
      <w:r>
        <w:rPr>
          <w:spacing w:val="-3"/>
        </w:rPr>
        <w:t> </w:t>
      </w:r>
      <w:r>
        <w:rPr/>
        <w:t>few</w:t>
      </w:r>
      <w:r>
        <w:rPr>
          <w:spacing w:val="-3"/>
        </w:rPr>
        <w:t> </w:t>
      </w:r>
      <w:r>
        <w:rPr/>
        <w:t>have</w:t>
      </w:r>
      <w:r>
        <w:rPr>
          <w:spacing w:val="-4"/>
        </w:rPr>
        <w:t> </w:t>
      </w:r>
      <w:r>
        <w:rPr/>
        <w:t>a</w:t>
      </w:r>
      <w:r>
        <w:rPr>
          <w:spacing w:val="-3"/>
        </w:rPr>
        <w:t> </w:t>
      </w:r>
      <w:r>
        <w:rPr/>
        <w:t>positive</w:t>
      </w:r>
      <w:r>
        <w:rPr>
          <w:spacing w:val="-2"/>
        </w:rPr>
        <w:t> </w:t>
      </w:r>
      <w:r>
        <w:rPr>
          <w:rFonts w:ascii="Calibri" w:hAnsi="Calibri"/>
        </w:rPr>
        <w:t>perceived value</w:t>
      </w:r>
      <w:r>
        <w:rPr>
          <w:rFonts w:ascii="Calibri" w:hAnsi="Calibri"/>
          <w:spacing w:val="-4"/>
        </w:rPr>
        <w:t> </w:t>
      </w:r>
      <w:r>
        <w:rPr>
          <w:rFonts w:ascii="Calibri" w:hAnsi="Calibri"/>
        </w:rPr>
        <w:t>(β=0.06,</w:t>
      </w:r>
      <w:r>
        <w:rPr>
          <w:rFonts w:ascii="Calibri" w:hAnsi="Calibri"/>
          <w:spacing w:val="-3"/>
        </w:rPr>
        <w:t> </w:t>
      </w:r>
      <w:r>
        <w:rPr>
          <w:rFonts w:ascii="Calibri" w:hAnsi="Calibri"/>
        </w:rPr>
        <w:t>ρ&lt;0.01)</w:t>
      </w:r>
      <w:r>
        <w:rPr>
          <w:rFonts w:ascii="Calibri" w:hAnsi="Calibri"/>
          <w:spacing w:val="-1"/>
        </w:rPr>
        <w:t> </w:t>
      </w:r>
      <w:r>
        <w:rPr/>
        <w:t>of</w:t>
      </w:r>
      <w:r>
        <w:rPr>
          <w:spacing w:val="-4"/>
        </w:rPr>
        <w:t> </w:t>
      </w:r>
      <w:r>
        <w:rPr/>
        <w:t>the</w:t>
      </w:r>
      <w:r>
        <w:rPr>
          <w:spacing w:val="-2"/>
        </w:rPr>
        <w:t> </w:t>
      </w:r>
      <w:r>
        <w:rPr/>
        <w:t>experience</w:t>
      </w:r>
      <w:r>
        <w:rPr>
          <w:spacing w:val="-4"/>
        </w:rPr>
        <w:t> </w:t>
      </w:r>
      <w:r>
        <w:rPr/>
        <w:t>while</w:t>
      </w:r>
      <w:r>
        <w:rPr>
          <w:spacing w:val="-4"/>
        </w:rPr>
        <w:t> </w:t>
      </w:r>
      <w:r>
        <w:rPr/>
        <w:t>in</w:t>
      </w:r>
      <w:r>
        <w:rPr>
          <w:spacing w:val="-2"/>
        </w:rPr>
        <w:t> </w:t>
      </w:r>
      <w:r>
        <w:rPr/>
        <w:t>Curaçao.</w:t>
      </w:r>
    </w:p>
    <w:p>
      <w:pPr>
        <w:spacing w:after="0" w:line="259"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Heading9"/>
        <w:tabs>
          <w:tab w:pos="5148" w:val="left" w:leader="none"/>
          <w:tab w:pos="10585" w:val="left" w:leader="none"/>
        </w:tabs>
        <w:spacing w:line="240" w:lineRule="auto" w:before="59"/>
        <w:ind w:left="1658" w:right="0"/>
        <w:jc w:val="left"/>
        <w:rPr>
          <w:b w:val="0"/>
          <w:bCs w:val="0"/>
        </w:rPr>
      </w:pPr>
      <w:r>
        <w:rPr>
          <w:w w:val="99"/>
        </w:rPr>
      </w:r>
      <w:r>
        <w:rPr>
          <w:w w:val="99"/>
          <w:u w:val="single" w:color="000000"/>
        </w:rPr>
        <w:t> </w:t>
      </w:r>
      <w:r>
        <w:rPr>
          <w:u w:val="single" w:color="000000"/>
        </w:rPr>
        <w:tab/>
        <w:t>Table 33:  Overall</w:t>
      </w:r>
      <w:r>
        <w:rPr>
          <w:spacing w:val="-12"/>
          <w:u w:val="single" w:color="000000"/>
        </w:rPr>
        <w:t> </w:t>
      </w:r>
      <w:r>
        <w:rPr>
          <w:u w:val="single" w:color="000000"/>
        </w:rPr>
        <w:t>value</w:t>
        <w:tab/>
      </w:r>
      <w:r>
        <w:rPr/>
      </w:r>
      <w:r>
        <w:rPr>
          <w:b w:val="0"/>
        </w:rPr>
      </w:r>
    </w:p>
    <w:p>
      <w:pPr>
        <w:spacing w:line="240" w:lineRule="auto" w:before="6"/>
        <w:ind w:right="0"/>
        <w:rPr>
          <w:rFonts w:ascii="Calibri" w:hAnsi="Calibri" w:cs="Calibri" w:eastAsia="Calibri" w:hint="default"/>
          <w:b/>
          <w:bCs/>
          <w:sz w:val="8"/>
          <w:szCs w:val="8"/>
        </w:rPr>
      </w:pPr>
    </w:p>
    <w:tbl>
      <w:tblPr>
        <w:tblW w:w="0" w:type="auto"/>
        <w:jc w:val="left"/>
        <w:tblInd w:w="1658" w:type="dxa"/>
        <w:tblLayout w:type="fixed"/>
        <w:tblCellMar>
          <w:top w:w="0" w:type="dxa"/>
          <w:left w:w="0" w:type="dxa"/>
          <w:bottom w:w="0" w:type="dxa"/>
          <w:right w:w="0" w:type="dxa"/>
        </w:tblCellMar>
        <w:tblLook w:val="01E0"/>
      </w:tblPr>
      <w:tblGrid>
        <w:gridCol w:w="4189"/>
        <w:gridCol w:w="1845"/>
        <w:gridCol w:w="1436"/>
        <w:gridCol w:w="1457"/>
      </w:tblGrid>
      <w:tr>
        <w:trPr>
          <w:trHeight w:val="207" w:hRule="exact"/>
        </w:trPr>
        <w:tc>
          <w:tcPr>
            <w:tcW w:w="4189" w:type="dxa"/>
            <w:tcBorders>
              <w:top w:val="nil" w:sz="6" w:space="0" w:color="auto"/>
              <w:left w:val="nil" w:sz="6" w:space="0" w:color="auto"/>
              <w:bottom w:val="single" w:sz="4" w:space="0" w:color="000000"/>
              <w:right w:val="nil" w:sz="6" w:space="0" w:color="auto"/>
            </w:tcBorders>
          </w:tcPr>
          <w:p>
            <w:pPr>
              <w:pStyle w:val="TableParagraph"/>
              <w:spacing w:line="203" w:lineRule="exact"/>
              <w:ind w:left="1454" w:right="0"/>
              <w:jc w:val="left"/>
              <w:rPr>
                <w:rFonts w:ascii="Calibri" w:hAnsi="Calibri" w:cs="Calibri" w:eastAsia="Calibri" w:hint="default"/>
                <w:sz w:val="20"/>
                <w:szCs w:val="20"/>
              </w:rPr>
            </w:pPr>
            <w:r>
              <w:rPr>
                <w:rFonts w:ascii="Calibri"/>
                <w:b/>
                <w:sz w:val="20"/>
              </w:rPr>
              <w:t>Independent</w:t>
            </w:r>
            <w:r>
              <w:rPr>
                <w:rFonts w:ascii="Calibri"/>
                <w:b/>
                <w:spacing w:val="-11"/>
                <w:sz w:val="20"/>
              </w:rPr>
              <w:t> </w:t>
            </w:r>
            <w:r>
              <w:rPr>
                <w:rFonts w:ascii="Calibri"/>
                <w:b/>
                <w:sz w:val="20"/>
              </w:rPr>
              <w:t>Variable</w:t>
            </w:r>
            <w:r>
              <w:rPr>
                <w:rFonts w:ascii="Calibri"/>
                <w:sz w:val="20"/>
              </w:rPr>
            </w:r>
          </w:p>
        </w:tc>
        <w:tc>
          <w:tcPr>
            <w:tcW w:w="1845" w:type="dxa"/>
            <w:tcBorders>
              <w:top w:val="nil" w:sz="6" w:space="0" w:color="auto"/>
              <w:left w:val="nil" w:sz="6" w:space="0" w:color="auto"/>
              <w:bottom w:val="single" w:sz="4" w:space="0" w:color="000000"/>
              <w:right w:val="nil" w:sz="6" w:space="0" w:color="auto"/>
            </w:tcBorders>
          </w:tcPr>
          <w:p>
            <w:pPr>
              <w:pStyle w:val="TableParagraph"/>
              <w:spacing w:line="203" w:lineRule="exact"/>
              <w:ind w:right="433"/>
              <w:jc w:val="right"/>
              <w:rPr>
                <w:rFonts w:ascii="Calibri" w:hAnsi="Calibri" w:cs="Calibri" w:eastAsia="Calibri" w:hint="default"/>
                <w:sz w:val="20"/>
                <w:szCs w:val="20"/>
              </w:rPr>
            </w:pPr>
            <w:r>
              <w:rPr>
                <w:rFonts w:ascii="Calibri"/>
                <w:b/>
                <w:w w:val="95"/>
                <w:sz w:val="20"/>
              </w:rPr>
              <w:t>Mean</w:t>
            </w:r>
            <w:r>
              <w:rPr>
                <w:rFonts w:ascii="Calibri"/>
                <w:sz w:val="20"/>
              </w:rPr>
            </w:r>
          </w:p>
        </w:tc>
        <w:tc>
          <w:tcPr>
            <w:tcW w:w="1436" w:type="dxa"/>
            <w:tcBorders>
              <w:top w:val="nil" w:sz="6" w:space="0" w:color="auto"/>
              <w:left w:val="nil" w:sz="6" w:space="0" w:color="auto"/>
              <w:bottom w:val="single" w:sz="4" w:space="0" w:color="000000"/>
              <w:right w:val="nil" w:sz="6" w:space="0" w:color="auto"/>
            </w:tcBorders>
          </w:tcPr>
          <w:p>
            <w:pPr>
              <w:pStyle w:val="TableParagraph"/>
              <w:spacing w:line="203" w:lineRule="exact"/>
              <w:ind w:left="12" w:right="0"/>
              <w:jc w:val="center"/>
              <w:rPr>
                <w:rFonts w:ascii="Calibri" w:hAnsi="Calibri" w:cs="Calibri" w:eastAsia="Calibri" w:hint="default"/>
                <w:sz w:val="20"/>
                <w:szCs w:val="20"/>
              </w:rPr>
            </w:pPr>
            <w:r>
              <w:rPr>
                <w:rFonts w:ascii="Calibri"/>
                <w:b/>
                <w:sz w:val="20"/>
              </w:rPr>
              <w:t>(SD)</w:t>
            </w:r>
            <w:r>
              <w:rPr>
                <w:rFonts w:ascii="Calibri"/>
                <w:sz w:val="20"/>
              </w:rPr>
            </w:r>
          </w:p>
        </w:tc>
        <w:tc>
          <w:tcPr>
            <w:tcW w:w="1457" w:type="dxa"/>
            <w:tcBorders>
              <w:top w:val="nil" w:sz="6" w:space="0" w:color="auto"/>
              <w:left w:val="nil" w:sz="6" w:space="0" w:color="auto"/>
              <w:bottom w:val="single" w:sz="4" w:space="0" w:color="000000"/>
              <w:right w:val="nil" w:sz="6" w:space="0" w:color="auto"/>
            </w:tcBorders>
          </w:tcPr>
          <w:p>
            <w:pPr>
              <w:pStyle w:val="TableParagraph"/>
              <w:spacing w:line="203" w:lineRule="exact"/>
              <w:ind w:left="48" w:right="0"/>
              <w:jc w:val="center"/>
              <w:rPr>
                <w:rFonts w:ascii="Calibri" w:hAnsi="Calibri" w:cs="Calibri" w:eastAsia="Calibri" w:hint="default"/>
                <w:sz w:val="20"/>
                <w:szCs w:val="20"/>
              </w:rPr>
            </w:pPr>
            <w:r>
              <w:rPr>
                <w:rFonts w:ascii="Calibri" w:hAnsi="Calibri"/>
                <w:b/>
                <w:sz w:val="20"/>
              </w:rPr>
              <w:t>Std.</w:t>
            </w:r>
            <w:r>
              <w:rPr>
                <w:rFonts w:ascii="Calibri" w:hAnsi="Calibri"/>
                <w:b/>
                <w:spacing w:val="-3"/>
                <w:sz w:val="20"/>
              </w:rPr>
              <w:t> </w:t>
            </w:r>
            <w:r>
              <w:rPr>
                <w:rFonts w:ascii="Calibri" w:hAnsi="Calibri"/>
                <w:b/>
                <w:sz w:val="20"/>
              </w:rPr>
              <w:t>β</w:t>
            </w:r>
            <w:r>
              <w:rPr>
                <w:rFonts w:ascii="Calibri" w:hAnsi="Calibri"/>
                <w:sz w:val="20"/>
              </w:rPr>
            </w:r>
          </w:p>
        </w:tc>
      </w:tr>
      <w:tr>
        <w:trPr>
          <w:trHeight w:val="279" w:hRule="exact"/>
        </w:trPr>
        <w:tc>
          <w:tcPr>
            <w:tcW w:w="4189" w:type="dxa"/>
            <w:tcBorders>
              <w:top w:val="single" w:sz="4" w:space="0" w:color="000000"/>
              <w:left w:val="nil" w:sz="6" w:space="0" w:color="auto"/>
              <w:bottom w:val="nil" w:sz="6" w:space="0" w:color="auto"/>
              <w:right w:val="nil" w:sz="6" w:space="0" w:color="auto"/>
            </w:tcBorders>
          </w:tcPr>
          <w:p>
            <w:pPr>
              <w:pStyle w:val="TableParagraph"/>
              <w:spacing w:line="240" w:lineRule="auto" w:before="4"/>
              <w:ind w:left="14" w:right="0"/>
              <w:jc w:val="left"/>
              <w:rPr>
                <w:rFonts w:ascii="Calibri" w:hAnsi="Calibri" w:cs="Calibri" w:eastAsia="Calibri" w:hint="default"/>
                <w:sz w:val="20"/>
                <w:szCs w:val="20"/>
              </w:rPr>
            </w:pPr>
            <w:r>
              <w:rPr>
                <w:rFonts w:ascii="Calibri"/>
                <w:sz w:val="20"/>
              </w:rPr>
              <w:t>Accommodation</w:t>
            </w:r>
            <w:r>
              <w:rPr>
                <w:rFonts w:ascii="Calibri"/>
                <w:spacing w:val="-10"/>
                <w:sz w:val="20"/>
              </w:rPr>
              <w:t> </w:t>
            </w:r>
            <w:r>
              <w:rPr>
                <w:rFonts w:ascii="Calibri"/>
                <w:sz w:val="20"/>
              </w:rPr>
              <w:t>Value</w:t>
            </w:r>
          </w:p>
        </w:tc>
        <w:tc>
          <w:tcPr>
            <w:tcW w:w="1845" w:type="dxa"/>
            <w:tcBorders>
              <w:top w:val="single" w:sz="4" w:space="0" w:color="000000"/>
              <w:left w:val="nil" w:sz="6" w:space="0" w:color="auto"/>
              <w:bottom w:val="nil" w:sz="6" w:space="0" w:color="auto"/>
              <w:right w:val="nil" w:sz="6" w:space="0" w:color="auto"/>
            </w:tcBorders>
          </w:tcPr>
          <w:p>
            <w:pPr>
              <w:pStyle w:val="TableParagraph"/>
              <w:spacing w:line="240" w:lineRule="auto" w:before="4"/>
              <w:ind w:right="498"/>
              <w:jc w:val="right"/>
              <w:rPr>
                <w:rFonts w:ascii="Calibri" w:hAnsi="Calibri" w:cs="Calibri" w:eastAsia="Calibri" w:hint="default"/>
                <w:sz w:val="20"/>
                <w:szCs w:val="20"/>
              </w:rPr>
            </w:pPr>
            <w:r>
              <w:rPr>
                <w:rFonts w:ascii="Calibri"/>
                <w:w w:val="95"/>
                <w:sz w:val="20"/>
              </w:rPr>
              <w:t>4.51</w:t>
            </w:r>
            <w:r>
              <w:rPr>
                <w:rFonts w:ascii="Calibri"/>
                <w:sz w:val="20"/>
              </w:rPr>
            </w:r>
          </w:p>
        </w:tc>
        <w:tc>
          <w:tcPr>
            <w:tcW w:w="1436" w:type="dxa"/>
            <w:tcBorders>
              <w:top w:val="single" w:sz="4" w:space="0" w:color="000000"/>
              <w:left w:val="nil" w:sz="6" w:space="0" w:color="auto"/>
              <w:bottom w:val="nil" w:sz="6" w:space="0" w:color="auto"/>
              <w:right w:val="nil" w:sz="6" w:space="0" w:color="auto"/>
            </w:tcBorders>
          </w:tcPr>
          <w:p>
            <w:pPr>
              <w:pStyle w:val="TableParagraph"/>
              <w:spacing w:line="240" w:lineRule="auto" w:before="4"/>
              <w:ind w:left="10" w:right="0"/>
              <w:jc w:val="center"/>
              <w:rPr>
                <w:rFonts w:ascii="Calibri" w:hAnsi="Calibri" w:cs="Calibri" w:eastAsia="Calibri" w:hint="default"/>
                <w:sz w:val="20"/>
                <w:szCs w:val="20"/>
              </w:rPr>
            </w:pPr>
            <w:r>
              <w:rPr>
                <w:rFonts w:ascii="Calibri"/>
                <w:sz w:val="20"/>
              </w:rPr>
              <w:t>(0.990)</w:t>
            </w:r>
          </w:p>
        </w:tc>
        <w:tc>
          <w:tcPr>
            <w:tcW w:w="1457" w:type="dxa"/>
            <w:tcBorders>
              <w:top w:val="single" w:sz="4" w:space="0" w:color="000000"/>
              <w:left w:val="nil" w:sz="6" w:space="0" w:color="auto"/>
              <w:bottom w:val="nil" w:sz="6" w:space="0" w:color="auto"/>
              <w:right w:val="nil" w:sz="6" w:space="0" w:color="auto"/>
            </w:tcBorders>
          </w:tcPr>
          <w:p>
            <w:pPr>
              <w:pStyle w:val="TableParagraph"/>
              <w:spacing w:line="240" w:lineRule="auto" w:before="4"/>
              <w:ind w:left="46" w:right="0"/>
              <w:jc w:val="center"/>
              <w:rPr>
                <w:rFonts w:ascii="Calibri" w:hAnsi="Calibri" w:cs="Calibri" w:eastAsia="Calibri" w:hint="default"/>
                <w:sz w:val="20"/>
                <w:szCs w:val="20"/>
              </w:rPr>
            </w:pPr>
            <w:r>
              <w:rPr>
                <w:rFonts w:ascii="Calibri"/>
                <w:sz w:val="20"/>
              </w:rPr>
              <w:t>0.226**</w:t>
            </w:r>
          </w:p>
        </w:tc>
      </w:tr>
      <w:tr>
        <w:trPr>
          <w:trHeight w:val="259" w:hRule="exact"/>
        </w:trPr>
        <w:tc>
          <w:tcPr>
            <w:tcW w:w="4189" w:type="dxa"/>
            <w:tcBorders>
              <w:top w:val="nil" w:sz="6" w:space="0" w:color="auto"/>
              <w:left w:val="nil" w:sz="6" w:space="0" w:color="auto"/>
              <w:bottom w:val="nil" w:sz="6" w:space="0" w:color="auto"/>
              <w:right w:val="nil" w:sz="6" w:space="0" w:color="auto"/>
            </w:tcBorders>
          </w:tcPr>
          <w:p>
            <w:pPr>
              <w:pStyle w:val="TableParagraph"/>
              <w:spacing w:line="233" w:lineRule="exact"/>
              <w:ind w:left="14" w:right="0"/>
              <w:jc w:val="left"/>
              <w:rPr>
                <w:rFonts w:ascii="Calibri" w:hAnsi="Calibri" w:cs="Calibri" w:eastAsia="Calibri" w:hint="default"/>
                <w:sz w:val="20"/>
                <w:szCs w:val="20"/>
              </w:rPr>
            </w:pPr>
            <w:r>
              <w:rPr>
                <w:rFonts w:ascii="Calibri"/>
                <w:sz w:val="20"/>
              </w:rPr>
              <w:t>Restaurant</w:t>
            </w:r>
            <w:r>
              <w:rPr>
                <w:rFonts w:ascii="Calibri"/>
                <w:spacing w:val="-10"/>
                <w:sz w:val="20"/>
              </w:rPr>
              <w:t> </w:t>
            </w:r>
            <w:r>
              <w:rPr>
                <w:rFonts w:ascii="Calibri"/>
                <w:sz w:val="20"/>
              </w:rPr>
              <w:t>Value</w:t>
            </w:r>
          </w:p>
        </w:tc>
        <w:tc>
          <w:tcPr>
            <w:tcW w:w="1845" w:type="dxa"/>
            <w:tcBorders>
              <w:top w:val="nil" w:sz="6" w:space="0" w:color="auto"/>
              <w:left w:val="nil" w:sz="6" w:space="0" w:color="auto"/>
              <w:bottom w:val="nil" w:sz="6" w:space="0" w:color="auto"/>
              <w:right w:val="nil" w:sz="6" w:space="0" w:color="auto"/>
            </w:tcBorders>
          </w:tcPr>
          <w:p>
            <w:pPr>
              <w:pStyle w:val="TableParagraph"/>
              <w:spacing w:line="233" w:lineRule="exact"/>
              <w:ind w:right="498"/>
              <w:jc w:val="right"/>
              <w:rPr>
                <w:rFonts w:ascii="Calibri" w:hAnsi="Calibri" w:cs="Calibri" w:eastAsia="Calibri" w:hint="default"/>
                <w:sz w:val="20"/>
                <w:szCs w:val="20"/>
              </w:rPr>
            </w:pPr>
            <w:r>
              <w:rPr>
                <w:rFonts w:ascii="Calibri"/>
                <w:w w:val="95"/>
                <w:sz w:val="20"/>
              </w:rPr>
              <w:t>4.39</w:t>
            </w:r>
            <w:r>
              <w:rPr>
                <w:rFonts w:ascii="Calibri"/>
                <w:sz w:val="20"/>
              </w:rPr>
            </w:r>
          </w:p>
        </w:tc>
        <w:tc>
          <w:tcPr>
            <w:tcW w:w="1436" w:type="dxa"/>
            <w:tcBorders>
              <w:top w:val="nil" w:sz="6" w:space="0" w:color="auto"/>
              <w:left w:val="nil" w:sz="6" w:space="0" w:color="auto"/>
              <w:bottom w:val="nil" w:sz="6" w:space="0" w:color="auto"/>
              <w:right w:val="nil" w:sz="6" w:space="0" w:color="auto"/>
            </w:tcBorders>
          </w:tcPr>
          <w:p>
            <w:pPr>
              <w:pStyle w:val="TableParagraph"/>
              <w:spacing w:line="233" w:lineRule="exact"/>
              <w:ind w:left="10" w:right="0"/>
              <w:jc w:val="center"/>
              <w:rPr>
                <w:rFonts w:ascii="Calibri" w:hAnsi="Calibri" w:cs="Calibri" w:eastAsia="Calibri" w:hint="default"/>
                <w:sz w:val="20"/>
                <w:szCs w:val="20"/>
              </w:rPr>
            </w:pPr>
            <w:r>
              <w:rPr>
                <w:rFonts w:ascii="Calibri"/>
                <w:sz w:val="20"/>
              </w:rPr>
              <w:t>(0.981)</w:t>
            </w:r>
          </w:p>
        </w:tc>
        <w:tc>
          <w:tcPr>
            <w:tcW w:w="1457" w:type="dxa"/>
            <w:tcBorders>
              <w:top w:val="nil" w:sz="6" w:space="0" w:color="auto"/>
              <w:left w:val="nil" w:sz="6" w:space="0" w:color="auto"/>
              <w:bottom w:val="nil" w:sz="6" w:space="0" w:color="auto"/>
              <w:right w:val="nil" w:sz="6" w:space="0" w:color="auto"/>
            </w:tcBorders>
          </w:tcPr>
          <w:p>
            <w:pPr>
              <w:pStyle w:val="TableParagraph"/>
              <w:spacing w:line="233" w:lineRule="exact"/>
              <w:ind w:left="46" w:right="0"/>
              <w:jc w:val="center"/>
              <w:rPr>
                <w:rFonts w:ascii="Calibri" w:hAnsi="Calibri" w:cs="Calibri" w:eastAsia="Calibri" w:hint="default"/>
                <w:sz w:val="20"/>
                <w:szCs w:val="20"/>
              </w:rPr>
            </w:pPr>
            <w:r>
              <w:rPr>
                <w:rFonts w:ascii="Calibri"/>
                <w:sz w:val="20"/>
              </w:rPr>
              <w:t>0.153**</w:t>
            </w:r>
          </w:p>
        </w:tc>
      </w:tr>
      <w:tr>
        <w:trPr>
          <w:trHeight w:val="259" w:hRule="exact"/>
        </w:trPr>
        <w:tc>
          <w:tcPr>
            <w:tcW w:w="4189" w:type="dxa"/>
            <w:tcBorders>
              <w:top w:val="nil" w:sz="6" w:space="0" w:color="auto"/>
              <w:left w:val="nil" w:sz="6" w:space="0" w:color="auto"/>
              <w:bottom w:val="nil" w:sz="6" w:space="0" w:color="auto"/>
              <w:right w:val="nil" w:sz="6" w:space="0" w:color="auto"/>
            </w:tcBorders>
          </w:tcPr>
          <w:p>
            <w:pPr>
              <w:pStyle w:val="TableParagraph"/>
              <w:spacing w:line="233" w:lineRule="exact"/>
              <w:ind w:left="14" w:right="0"/>
              <w:jc w:val="left"/>
              <w:rPr>
                <w:rFonts w:ascii="Calibri" w:hAnsi="Calibri" w:cs="Calibri" w:eastAsia="Calibri" w:hint="default"/>
                <w:sz w:val="20"/>
                <w:szCs w:val="20"/>
              </w:rPr>
            </w:pPr>
            <w:r>
              <w:rPr>
                <w:rFonts w:ascii="Calibri"/>
                <w:sz w:val="20"/>
              </w:rPr>
              <w:t>Taxis</w:t>
            </w:r>
            <w:r>
              <w:rPr>
                <w:rFonts w:ascii="Calibri"/>
                <w:spacing w:val="-6"/>
                <w:sz w:val="20"/>
              </w:rPr>
              <w:t> </w:t>
            </w:r>
            <w:r>
              <w:rPr>
                <w:rFonts w:ascii="Calibri"/>
                <w:sz w:val="20"/>
              </w:rPr>
              <w:t>Value</w:t>
            </w:r>
          </w:p>
        </w:tc>
        <w:tc>
          <w:tcPr>
            <w:tcW w:w="1845" w:type="dxa"/>
            <w:tcBorders>
              <w:top w:val="nil" w:sz="6" w:space="0" w:color="auto"/>
              <w:left w:val="nil" w:sz="6" w:space="0" w:color="auto"/>
              <w:bottom w:val="nil" w:sz="6" w:space="0" w:color="auto"/>
              <w:right w:val="nil" w:sz="6" w:space="0" w:color="auto"/>
            </w:tcBorders>
          </w:tcPr>
          <w:p>
            <w:pPr>
              <w:pStyle w:val="TableParagraph"/>
              <w:spacing w:line="233" w:lineRule="exact"/>
              <w:ind w:right="498"/>
              <w:jc w:val="right"/>
              <w:rPr>
                <w:rFonts w:ascii="Calibri" w:hAnsi="Calibri" w:cs="Calibri" w:eastAsia="Calibri" w:hint="default"/>
                <w:sz w:val="20"/>
                <w:szCs w:val="20"/>
              </w:rPr>
            </w:pPr>
            <w:r>
              <w:rPr>
                <w:rFonts w:ascii="Calibri"/>
                <w:w w:val="95"/>
                <w:sz w:val="20"/>
              </w:rPr>
              <w:t>4.08</w:t>
            </w:r>
            <w:r>
              <w:rPr>
                <w:rFonts w:ascii="Calibri"/>
                <w:sz w:val="20"/>
              </w:rPr>
            </w:r>
          </w:p>
        </w:tc>
        <w:tc>
          <w:tcPr>
            <w:tcW w:w="1436" w:type="dxa"/>
            <w:tcBorders>
              <w:top w:val="nil" w:sz="6" w:space="0" w:color="auto"/>
              <w:left w:val="nil" w:sz="6" w:space="0" w:color="auto"/>
              <w:bottom w:val="nil" w:sz="6" w:space="0" w:color="auto"/>
              <w:right w:val="nil" w:sz="6" w:space="0" w:color="auto"/>
            </w:tcBorders>
          </w:tcPr>
          <w:p>
            <w:pPr>
              <w:pStyle w:val="TableParagraph"/>
              <w:spacing w:line="233" w:lineRule="exact"/>
              <w:ind w:left="10" w:right="0"/>
              <w:jc w:val="center"/>
              <w:rPr>
                <w:rFonts w:ascii="Calibri" w:hAnsi="Calibri" w:cs="Calibri" w:eastAsia="Calibri" w:hint="default"/>
                <w:sz w:val="20"/>
                <w:szCs w:val="20"/>
              </w:rPr>
            </w:pPr>
            <w:r>
              <w:rPr>
                <w:rFonts w:ascii="Calibri"/>
                <w:sz w:val="20"/>
              </w:rPr>
              <w:t>(1.021)</w:t>
            </w:r>
          </w:p>
        </w:tc>
        <w:tc>
          <w:tcPr>
            <w:tcW w:w="1457" w:type="dxa"/>
            <w:tcBorders>
              <w:top w:val="nil" w:sz="6" w:space="0" w:color="auto"/>
              <w:left w:val="nil" w:sz="6" w:space="0" w:color="auto"/>
              <w:bottom w:val="nil" w:sz="6" w:space="0" w:color="auto"/>
              <w:right w:val="nil" w:sz="6" w:space="0" w:color="auto"/>
            </w:tcBorders>
          </w:tcPr>
          <w:p>
            <w:pPr>
              <w:pStyle w:val="TableParagraph"/>
              <w:spacing w:line="233" w:lineRule="exact"/>
              <w:ind w:left="49" w:right="0"/>
              <w:jc w:val="center"/>
              <w:rPr>
                <w:rFonts w:ascii="Calibri" w:hAnsi="Calibri" w:cs="Calibri" w:eastAsia="Calibri" w:hint="default"/>
                <w:sz w:val="20"/>
                <w:szCs w:val="20"/>
              </w:rPr>
            </w:pPr>
            <w:r>
              <w:rPr>
                <w:rFonts w:ascii="Calibri"/>
                <w:sz w:val="20"/>
              </w:rPr>
              <w:t>0.029</w:t>
            </w:r>
          </w:p>
        </w:tc>
      </w:tr>
      <w:tr>
        <w:trPr>
          <w:trHeight w:val="259" w:hRule="exact"/>
        </w:trPr>
        <w:tc>
          <w:tcPr>
            <w:tcW w:w="4189" w:type="dxa"/>
            <w:tcBorders>
              <w:top w:val="nil" w:sz="6" w:space="0" w:color="auto"/>
              <w:left w:val="nil" w:sz="6" w:space="0" w:color="auto"/>
              <w:bottom w:val="nil" w:sz="6" w:space="0" w:color="auto"/>
              <w:right w:val="nil" w:sz="6" w:space="0" w:color="auto"/>
            </w:tcBorders>
          </w:tcPr>
          <w:p>
            <w:pPr>
              <w:pStyle w:val="TableParagraph"/>
              <w:spacing w:line="233" w:lineRule="exact"/>
              <w:ind w:left="14" w:right="0"/>
              <w:jc w:val="left"/>
              <w:rPr>
                <w:rFonts w:ascii="Calibri" w:hAnsi="Calibri" w:cs="Calibri" w:eastAsia="Calibri" w:hint="default"/>
                <w:sz w:val="20"/>
                <w:szCs w:val="20"/>
              </w:rPr>
            </w:pPr>
            <w:r>
              <w:rPr>
                <w:rFonts w:ascii="Calibri"/>
                <w:sz w:val="20"/>
              </w:rPr>
              <w:t>Entertainment</w:t>
            </w:r>
            <w:r>
              <w:rPr>
                <w:rFonts w:ascii="Calibri"/>
                <w:spacing w:val="-11"/>
                <w:sz w:val="20"/>
              </w:rPr>
              <w:t> </w:t>
            </w:r>
            <w:r>
              <w:rPr>
                <w:rFonts w:ascii="Calibri"/>
                <w:sz w:val="20"/>
              </w:rPr>
              <w:t>Value</w:t>
            </w:r>
          </w:p>
        </w:tc>
        <w:tc>
          <w:tcPr>
            <w:tcW w:w="1845" w:type="dxa"/>
            <w:tcBorders>
              <w:top w:val="nil" w:sz="6" w:space="0" w:color="auto"/>
              <w:left w:val="nil" w:sz="6" w:space="0" w:color="auto"/>
              <w:bottom w:val="nil" w:sz="6" w:space="0" w:color="auto"/>
              <w:right w:val="nil" w:sz="6" w:space="0" w:color="auto"/>
            </w:tcBorders>
          </w:tcPr>
          <w:p>
            <w:pPr>
              <w:pStyle w:val="TableParagraph"/>
              <w:spacing w:line="233" w:lineRule="exact"/>
              <w:ind w:right="498"/>
              <w:jc w:val="right"/>
              <w:rPr>
                <w:rFonts w:ascii="Calibri" w:hAnsi="Calibri" w:cs="Calibri" w:eastAsia="Calibri" w:hint="default"/>
                <w:sz w:val="20"/>
                <w:szCs w:val="20"/>
              </w:rPr>
            </w:pPr>
            <w:r>
              <w:rPr>
                <w:rFonts w:ascii="Calibri"/>
                <w:w w:val="95"/>
                <w:sz w:val="20"/>
              </w:rPr>
              <w:t>4.30</w:t>
            </w:r>
            <w:r>
              <w:rPr>
                <w:rFonts w:ascii="Calibri"/>
                <w:sz w:val="20"/>
              </w:rPr>
            </w:r>
          </w:p>
        </w:tc>
        <w:tc>
          <w:tcPr>
            <w:tcW w:w="1436" w:type="dxa"/>
            <w:tcBorders>
              <w:top w:val="nil" w:sz="6" w:space="0" w:color="auto"/>
              <w:left w:val="nil" w:sz="6" w:space="0" w:color="auto"/>
              <w:bottom w:val="nil" w:sz="6" w:space="0" w:color="auto"/>
              <w:right w:val="nil" w:sz="6" w:space="0" w:color="auto"/>
            </w:tcBorders>
          </w:tcPr>
          <w:p>
            <w:pPr>
              <w:pStyle w:val="TableParagraph"/>
              <w:spacing w:line="233" w:lineRule="exact"/>
              <w:ind w:left="10" w:right="0"/>
              <w:jc w:val="center"/>
              <w:rPr>
                <w:rFonts w:ascii="Calibri" w:hAnsi="Calibri" w:cs="Calibri" w:eastAsia="Calibri" w:hint="default"/>
                <w:sz w:val="20"/>
                <w:szCs w:val="20"/>
              </w:rPr>
            </w:pPr>
            <w:r>
              <w:rPr>
                <w:rFonts w:ascii="Calibri"/>
                <w:sz w:val="20"/>
              </w:rPr>
              <w:t>(0.961)</w:t>
            </w:r>
          </w:p>
        </w:tc>
        <w:tc>
          <w:tcPr>
            <w:tcW w:w="1457" w:type="dxa"/>
            <w:tcBorders>
              <w:top w:val="nil" w:sz="6" w:space="0" w:color="auto"/>
              <w:left w:val="nil" w:sz="6" w:space="0" w:color="auto"/>
              <w:bottom w:val="nil" w:sz="6" w:space="0" w:color="auto"/>
              <w:right w:val="nil" w:sz="6" w:space="0" w:color="auto"/>
            </w:tcBorders>
          </w:tcPr>
          <w:p>
            <w:pPr>
              <w:pStyle w:val="TableParagraph"/>
              <w:spacing w:line="233" w:lineRule="exact"/>
              <w:ind w:left="46" w:right="0"/>
              <w:jc w:val="center"/>
              <w:rPr>
                <w:rFonts w:ascii="Calibri" w:hAnsi="Calibri" w:cs="Calibri" w:eastAsia="Calibri" w:hint="default"/>
                <w:sz w:val="20"/>
                <w:szCs w:val="20"/>
              </w:rPr>
            </w:pPr>
            <w:r>
              <w:rPr>
                <w:rFonts w:ascii="Calibri"/>
                <w:sz w:val="20"/>
              </w:rPr>
              <w:t>0.075**</w:t>
            </w:r>
          </w:p>
        </w:tc>
      </w:tr>
      <w:tr>
        <w:trPr>
          <w:trHeight w:val="259" w:hRule="exact"/>
        </w:trPr>
        <w:tc>
          <w:tcPr>
            <w:tcW w:w="4189" w:type="dxa"/>
            <w:tcBorders>
              <w:top w:val="nil" w:sz="6" w:space="0" w:color="auto"/>
              <w:left w:val="nil" w:sz="6" w:space="0" w:color="auto"/>
              <w:bottom w:val="nil" w:sz="6" w:space="0" w:color="auto"/>
              <w:right w:val="nil" w:sz="6" w:space="0" w:color="auto"/>
            </w:tcBorders>
          </w:tcPr>
          <w:p>
            <w:pPr>
              <w:pStyle w:val="TableParagraph"/>
              <w:spacing w:line="233" w:lineRule="exact"/>
              <w:ind w:left="14" w:right="0"/>
              <w:jc w:val="left"/>
              <w:rPr>
                <w:rFonts w:ascii="Calibri" w:hAnsi="Calibri" w:cs="Calibri" w:eastAsia="Calibri" w:hint="default"/>
                <w:sz w:val="20"/>
                <w:szCs w:val="20"/>
              </w:rPr>
            </w:pPr>
            <w:r>
              <w:rPr>
                <w:rFonts w:ascii="Calibri"/>
                <w:sz w:val="20"/>
              </w:rPr>
              <w:t>Shopping</w:t>
            </w:r>
            <w:r>
              <w:rPr>
                <w:rFonts w:ascii="Calibri"/>
                <w:spacing w:val="-8"/>
                <w:sz w:val="20"/>
              </w:rPr>
              <w:t> </w:t>
            </w:r>
            <w:r>
              <w:rPr>
                <w:rFonts w:ascii="Calibri"/>
                <w:sz w:val="20"/>
              </w:rPr>
              <w:t>Value</w:t>
            </w:r>
          </w:p>
        </w:tc>
        <w:tc>
          <w:tcPr>
            <w:tcW w:w="1845" w:type="dxa"/>
            <w:tcBorders>
              <w:top w:val="nil" w:sz="6" w:space="0" w:color="auto"/>
              <w:left w:val="nil" w:sz="6" w:space="0" w:color="auto"/>
              <w:bottom w:val="nil" w:sz="6" w:space="0" w:color="auto"/>
              <w:right w:val="nil" w:sz="6" w:space="0" w:color="auto"/>
            </w:tcBorders>
          </w:tcPr>
          <w:p>
            <w:pPr>
              <w:pStyle w:val="TableParagraph"/>
              <w:spacing w:line="233" w:lineRule="exact"/>
              <w:ind w:right="498"/>
              <w:jc w:val="right"/>
              <w:rPr>
                <w:rFonts w:ascii="Calibri" w:hAnsi="Calibri" w:cs="Calibri" w:eastAsia="Calibri" w:hint="default"/>
                <w:sz w:val="20"/>
                <w:szCs w:val="20"/>
              </w:rPr>
            </w:pPr>
            <w:r>
              <w:rPr>
                <w:rFonts w:ascii="Calibri"/>
                <w:w w:val="95"/>
                <w:sz w:val="20"/>
              </w:rPr>
              <w:t>4.17</w:t>
            </w:r>
            <w:r>
              <w:rPr>
                <w:rFonts w:ascii="Calibri"/>
                <w:sz w:val="20"/>
              </w:rPr>
            </w:r>
          </w:p>
        </w:tc>
        <w:tc>
          <w:tcPr>
            <w:tcW w:w="1436" w:type="dxa"/>
            <w:tcBorders>
              <w:top w:val="nil" w:sz="6" w:space="0" w:color="auto"/>
              <w:left w:val="nil" w:sz="6" w:space="0" w:color="auto"/>
              <w:bottom w:val="nil" w:sz="6" w:space="0" w:color="auto"/>
              <w:right w:val="nil" w:sz="6" w:space="0" w:color="auto"/>
            </w:tcBorders>
          </w:tcPr>
          <w:p>
            <w:pPr>
              <w:pStyle w:val="TableParagraph"/>
              <w:spacing w:line="233" w:lineRule="exact"/>
              <w:ind w:left="10" w:right="0"/>
              <w:jc w:val="center"/>
              <w:rPr>
                <w:rFonts w:ascii="Calibri" w:hAnsi="Calibri" w:cs="Calibri" w:eastAsia="Calibri" w:hint="default"/>
                <w:sz w:val="20"/>
                <w:szCs w:val="20"/>
              </w:rPr>
            </w:pPr>
            <w:r>
              <w:rPr>
                <w:rFonts w:ascii="Calibri"/>
                <w:sz w:val="20"/>
              </w:rPr>
              <w:t>(1.060)</w:t>
            </w:r>
          </w:p>
        </w:tc>
        <w:tc>
          <w:tcPr>
            <w:tcW w:w="1457" w:type="dxa"/>
            <w:tcBorders>
              <w:top w:val="nil" w:sz="6" w:space="0" w:color="auto"/>
              <w:left w:val="nil" w:sz="6" w:space="0" w:color="auto"/>
              <w:bottom w:val="nil" w:sz="6" w:space="0" w:color="auto"/>
              <w:right w:val="nil" w:sz="6" w:space="0" w:color="auto"/>
            </w:tcBorders>
          </w:tcPr>
          <w:p>
            <w:pPr>
              <w:pStyle w:val="TableParagraph"/>
              <w:spacing w:line="233" w:lineRule="exact"/>
              <w:ind w:left="46" w:right="0"/>
              <w:jc w:val="center"/>
              <w:rPr>
                <w:rFonts w:ascii="Calibri" w:hAnsi="Calibri" w:cs="Calibri" w:eastAsia="Calibri" w:hint="default"/>
                <w:sz w:val="20"/>
                <w:szCs w:val="20"/>
              </w:rPr>
            </w:pPr>
            <w:r>
              <w:rPr>
                <w:rFonts w:ascii="Calibri"/>
                <w:sz w:val="20"/>
              </w:rPr>
              <w:t>0.237**</w:t>
            </w:r>
          </w:p>
        </w:tc>
      </w:tr>
      <w:tr>
        <w:trPr>
          <w:trHeight w:val="259" w:hRule="exact"/>
        </w:trPr>
        <w:tc>
          <w:tcPr>
            <w:tcW w:w="4189" w:type="dxa"/>
            <w:tcBorders>
              <w:top w:val="nil" w:sz="6" w:space="0" w:color="auto"/>
              <w:left w:val="nil" w:sz="6" w:space="0" w:color="auto"/>
              <w:bottom w:val="nil" w:sz="6" w:space="0" w:color="auto"/>
              <w:right w:val="nil" w:sz="6" w:space="0" w:color="auto"/>
            </w:tcBorders>
          </w:tcPr>
          <w:p>
            <w:pPr>
              <w:pStyle w:val="TableParagraph"/>
              <w:spacing w:line="233" w:lineRule="exact"/>
              <w:ind w:left="14" w:right="0"/>
              <w:jc w:val="left"/>
              <w:rPr>
                <w:rFonts w:ascii="Calibri" w:hAnsi="Calibri" w:cs="Calibri" w:eastAsia="Calibri" w:hint="default"/>
                <w:sz w:val="20"/>
                <w:szCs w:val="20"/>
              </w:rPr>
            </w:pPr>
            <w:r>
              <w:rPr>
                <w:rFonts w:ascii="Calibri"/>
                <w:sz w:val="20"/>
              </w:rPr>
              <w:t>Rental Car</w:t>
            </w:r>
            <w:r>
              <w:rPr>
                <w:rFonts w:ascii="Calibri"/>
                <w:spacing w:val="-11"/>
                <w:sz w:val="20"/>
              </w:rPr>
              <w:t> </w:t>
            </w:r>
            <w:r>
              <w:rPr>
                <w:rFonts w:ascii="Calibri"/>
                <w:sz w:val="20"/>
              </w:rPr>
              <w:t>Value</w:t>
            </w:r>
          </w:p>
        </w:tc>
        <w:tc>
          <w:tcPr>
            <w:tcW w:w="1845" w:type="dxa"/>
            <w:tcBorders>
              <w:top w:val="nil" w:sz="6" w:space="0" w:color="auto"/>
              <w:left w:val="nil" w:sz="6" w:space="0" w:color="auto"/>
              <w:bottom w:val="nil" w:sz="6" w:space="0" w:color="auto"/>
              <w:right w:val="nil" w:sz="6" w:space="0" w:color="auto"/>
            </w:tcBorders>
          </w:tcPr>
          <w:p>
            <w:pPr>
              <w:pStyle w:val="TableParagraph"/>
              <w:spacing w:line="233" w:lineRule="exact"/>
              <w:ind w:right="498"/>
              <w:jc w:val="right"/>
              <w:rPr>
                <w:rFonts w:ascii="Calibri" w:hAnsi="Calibri" w:cs="Calibri" w:eastAsia="Calibri" w:hint="default"/>
                <w:sz w:val="20"/>
                <w:szCs w:val="20"/>
              </w:rPr>
            </w:pPr>
            <w:r>
              <w:rPr>
                <w:rFonts w:ascii="Calibri"/>
                <w:w w:val="95"/>
                <w:sz w:val="20"/>
              </w:rPr>
              <w:t>4.25</w:t>
            </w:r>
            <w:r>
              <w:rPr>
                <w:rFonts w:ascii="Calibri"/>
                <w:sz w:val="20"/>
              </w:rPr>
            </w:r>
          </w:p>
        </w:tc>
        <w:tc>
          <w:tcPr>
            <w:tcW w:w="1436" w:type="dxa"/>
            <w:tcBorders>
              <w:top w:val="nil" w:sz="6" w:space="0" w:color="auto"/>
              <w:left w:val="nil" w:sz="6" w:space="0" w:color="auto"/>
              <w:bottom w:val="nil" w:sz="6" w:space="0" w:color="auto"/>
              <w:right w:val="nil" w:sz="6" w:space="0" w:color="auto"/>
            </w:tcBorders>
          </w:tcPr>
          <w:p>
            <w:pPr>
              <w:pStyle w:val="TableParagraph"/>
              <w:spacing w:line="233" w:lineRule="exact"/>
              <w:ind w:left="10" w:right="0"/>
              <w:jc w:val="center"/>
              <w:rPr>
                <w:rFonts w:ascii="Calibri" w:hAnsi="Calibri" w:cs="Calibri" w:eastAsia="Calibri" w:hint="default"/>
                <w:sz w:val="20"/>
                <w:szCs w:val="20"/>
              </w:rPr>
            </w:pPr>
            <w:r>
              <w:rPr>
                <w:rFonts w:ascii="Calibri"/>
                <w:sz w:val="20"/>
              </w:rPr>
              <w:t>(1.007)</w:t>
            </w:r>
          </w:p>
        </w:tc>
        <w:tc>
          <w:tcPr>
            <w:tcW w:w="1457" w:type="dxa"/>
            <w:tcBorders>
              <w:top w:val="nil" w:sz="6" w:space="0" w:color="auto"/>
              <w:left w:val="nil" w:sz="6" w:space="0" w:color="auto"/>
              <w:bottom w:val="nil" w:sz="6" w:space="0" w:color="auto"/>
              <w:right w:val="nil" w:sz="6" w:space="0" w:color="auto"/>
            </w:tcBorders>
          </w:tcPr>
          <w:p>
            <w:pPr>
              <w:pStyle w:val="TableParagraph"/>
              <w:spacing w:line="233" w:lineRule="exact"/>
              <w:ind w:left="46" w:right="0"/>
              <w:jc w:val="center"/>
              <w:rPr>
                <w:rFonts w:ascii="Calibri" w:hAnsi="Calibri" w:cs="Calibri" w:eastAsia="Calibri" w:hint="default"/>
                <w:sz w:val="20"/>
                <w:szCs w:val="20"/>
              </w:rPr>
            </w:pPr>
            <w:r>
              <w:rPr>
                <w:rFonts w:ascii="Calibri"/>
                <w:sz w:val="20"/>
              </w:rPr>
              <w:t>0.058**</w:t>
            </w:r>
          </w:p>
        </w:tc>
      </w:tr>
      <w:tr>
        <w:trPr>
          <w:trHeight w:val="239" w:hRule="exact"/>
        </w:trPr>
        <w:tc>
          <w:tcPr>
            <w:tcW w:w="4189" w:type="dxa"/>
            <w:tcBorders>
              <w:top w:val="nil" w:sz="6" w:space="0" w:color="auto"/>
              <w:left w:val="nil" w:sz="6" w:space="0" w:color="auto"/>
              <w:bottom w:val="single" w:sz="4" w:space="0" w:color="000000"/>
              <w:right w:val="nil" w:sz="6" w:space="0" w:color="auto"/>
            </w:tcBorders>
          </w:tcPr>
          <w:p>
            <w:pPr>
              <w:pStyle w:val="TableParagraph"/>
              <w:spacing w:line="233" w:lineRule="exact"/>
              <w:ind w:left="14" w:right="0"/>
              <w:jc w:val="left"/>
              <w:rPr>
                <w:rFonts w:ascii="Calibri" w:hAnsi="Calibri" w:cs="Calibri" w:eastAsia="Calibri" w:hint="default"/>
                <w:sz w:val="20"/>
                <w:szCs w:val="20"/>
              </w:rPr>
            </w:pPr>
            <w:r>
              <w:rPr>
                <w:rFonts w:ascii="Calibri"/>
                <w:sz w:val="20"/>
              </w:rPr>
              <w:t>Airfare</w:t>
            </w:r>
            <w:r>
              <w:rPr>
                <w:rFonts w:ascii="Calibri"/>
                <w:spacing w:val="-6"/>
                <w:sz w:val="20"/>
              </w:rPr>
              <w:t> </w:t>
            </w:r>
            <w:r>
              <w:rPr>
                <w:rFonts w:ascii="Calibri"/>
                <w:sz w:val="20"/>
              </w:rPr>
              <w:t>Value</w:t>
            </w:r>
          </w:p>
        </w:tc>
        <w:tc>
          <w:tcPr>
            <w:tcW w:w="1845" w:type="dxa"/>
            <w:tcBorders>
              <w:top w:val="nil" w:sz="6" w:space="0" w:color="auto"/>
              <w:left w:val="nil" w:sz="6" w:space="0" w:color="auto"/>
              <w:bottom w:val="single" w:sz="4" w:space="0" w:color="000000"/>
              <w:right w:val="nil" w:sz="6" w:space="0" w:color="auto"/>
            </w:tcBorders>
          </w:tcPr>
          <w:p>
            <w:pPr>
              <w:pStyle w:val="TableParagraph"/>
              <w:spacing w:line="233" w:lineRule="exact"/>
              <w:ind w:right="498"/>
              <w:jc w:val="right"/>
              <w:rPr>
                <w:rFonts w:ascii="Calibri" w:hAnsi="Calibri" w:cs="Calibri" w:eastAsia="Calibri" w:hint="default"/>
                <w:sz w:val="20"/>
                <w:szCs w:val="20"/>
              </w:rPr>
            </w:pPr>
            <w:r>
              <w:rPr>
                <w:rFonts w:ascii="Calibri"/>
                <w:w w:val="95"/>
                <w:sz w:val="20"/>
              </w:rPr>
              <w:t>4.21</w:t>
            </w:r>
            <w:r>
              <w:rPr>
                <w:rFonts w:ascii="Calibri"/>
                <w:sz w:val="20"/>
              </w:rPr>
            </w:r>
          </w:p>
        </w:tc>
        <w:tc>
          <w:tcPr>
            <w:tcW w:w="1436" w:type="dxa"/>
            <w:tcBorders>
              <w:top w:val="nil" w:sz="6" w:space="0" w:color="auto"/>
              <w:left w:val="nil" w:sz="6" w:space="0" w:color="auto"/>
              <w:bottom w:val="single" w:sz="4" w:space="0" w:color="000000"/>
              <w:right w:val="nil" w:sz="6" w:space="0" w:color="auto"/>
            </w:tcBorders>
          </w:tcPr>
          <w:p>
            <w:pPr>
              <w:pStyle w:val="TableParagraph"/>
              <w:spacing w:line="233" w:lineRule="exact"/>
              <w:ind w:left="10" w:right="0"/>
              <w:jc w:val="center"/>
              <w:rPr>
                <w:rFonts w:ascii="Calibri" w:hAnsi="Calibri" w:cs="Calibri" w:eastAsia="Calibri" w:hint="default"/>
                <w:sz w:val="20"/>
                <w:szCs w:val="20"/>
              </w:rPr>
            </w:pPr>
            <w:r>
              <w:rPr>
                <w:rFonts w:ascii="Calibri"/>
                <w:sz w:val="20"/>
              </w:rPr>
              <w:t>(1.025)</w:t>
            </w:r>
          </w:p>
        </w:tc>
        <w:tc>
          <w:tcPr>
            <w:tcW w:w="1457" w:type="dxa"/>
            <w:tcBorders>
              <w:top w:val="nil" w:sz="6" w:space="0" w:color="auto"/>
              <w:left w:val="nil" w:sz="6" w:space="0" w:color="auto"/>
              <w:bottom w:val="single" w:sz="4" w:space="0" w:color="000000"/>
              <w:right w:val="nil" w:sz="6" w:space="0" w:color="auto"/>
            </w:tcBorders>
          </w:tcPr>
          <w:p>
            <w:pPr>
              <w:pStyle w:val="TableParagraph"/>
              <w:spacing w:line="233" w:lineRule="exact"/>
              <w:ind w:left="46" w:right="0"/>
              <w:jc w:val="center"/>
              <w:rPr>
                <w:rFonts w:ascii="Calibri" w:hAnsi="Calibri" w:cs="Calibri" w:eastAsia="Calibri" w:hint="default"/>
                <w:sz w:val="20"/>
                <w:szCs w:val="20"/>
              </w:rPr>
            </w:pPr>
            <w:r>
              <w:rPr>
                <w:rFonts w:ascii="Calibri"/>
                <w:sz w:val="20"/>
              </w:rPr>
              <w:t>0.205**</w:t>
            </w:r>
          </w:p>
        </w:tc>
      </w:tr>
      <w:tr>
        <w:trPr>
          <w:trHeight w:val="249" w:hRule="exact"/>
        </w:trPr>
        <w:tc>
          <w:tcPr>
            <w:tcW w:w="4189" w:type="dxa"/>
            <w:tcBorders>
              <w:top w:val="single" w:sz="4" w:space="0" w:color="000000"/>
              <w:left w:val="nil" w:sz="6" w:space="0" w:color="auto"/>
              <w:bottom w:val="nil" w:sz="6" w:space="0" w:color="auto"/>
              <w:right w:val="nil" w:sz="6" w:space="0" w:color="auto"/>
            </w:tcBorders>
          </w:tcPr>
          <w:p>
            <w:pPr>
              <w:pStyle w:val="TableParagraph"/>
              <w:spacing w:line="240" w:lineRule="auto"/>
              <w:ind w:left="14" w:right="0"/>
              <w:jc w:val="left"/>
              <w:rPr>
                <w:rFonts w:ascii="Calibri" w:hAnsi="Calibri" w:cs="Calibri" w:eastAsia="Calibri" w:hint="default"/>
                <w:sz w:val="20"/>
                <w:szCs w:val="20"/>
              </w:rPr>
            </w:pPr>
            <w:r>
              <w:rPr>
                <w:rFonts w:ascii="Calibri" w:hAnsi="Calibri"/>
                <w:sz w:val="20"/>
              </w:rPr>
              <w:t>Cronbach's α=0.913; F</w:t>
            </w:r>
            <w:r>
              <w:rPr>
                <w:rFonts w:ascii="Calibri" w:hAnsi="Calibri"/>
                <w:sz w:val="20"/>
              </w:rPr>
              <w:t>-value=438.157**;</w:t>
            </w:r>
            <w:r>
              <w:rPr>
                <w:rFonts w:ascii="Calibri" w:hAnsi="Calibri"/>
                <w:spacing w:val="-12"/>
                <w:sz w:val="20"/>
              </w:rPr>
              <w:t> </w:t>
            </w:r>
            <w:r>
              <w:rPr>
                <w:rFonts w:ascii="Calibri" w:hAnsi="Calibri"/>
                <w:sz w:val="20"/>
              </w:rPr>
              <w:t>R</w:t>
            </w:r>
            <w:r>
              <w:rPr>
                <w:rFonts w:ascii="Calibri" w:hAnsi="Calibri"/>
                <w:position w:val="7"/>
                <w:sz w:val="13"/>
              </w:rPr>
              <w:t>2</w:t>
            </w:r>
            <w:r>
              <w:rPr>
                <w:rFonts w:ascii="Calibri" w:hAnsi="Calibri"/>
                <w:sz w:val="20"/>
              </w:rPr>
              <w:t>=0.638</w:t>
            </w:r>
          </w:p>
        </w:tc>
        <w:tc>
          <w:tcPr>
            <w:tcW w:w="1845" w:type="dxa"/>
            <w:tcBorders>
              <w:top w:val="single" w:sz="4" w:space="0" w:color="000000"/>
              <w:left w:val="nil" w:sz="6" w:space="0" w:color="auto"/>
              <w:bottom w:val="nil" w:sz="6" w:space="0" w:color="auto"/>
              <w:right w:val="nil" w:sz="6" w:space="0" w:color="auto"/>
            </w:tcBorders>
          </w:tcPr>
          <w:p>
            <w:pPr/>
          </w:p>
        </w:tc>
        <w:tc>
          <w:tcPr>
            <w:tcW w:w="1436" w:type="dxa"/>
            <w:tcBorders>
              <w:top w:val="single" w:sz="4" w:space="0" w:color="000000"/>
              <w:left w:val="nil" w:sz="6" w:space="0" w:color="auto"/>
              <w:bottom w:val="nil" w:sz="6" w:space="0" w:color="auto"/>
              <w:right w:val="nil" w:sz="6" w:space="0" w:color="auto"/>
            </w:tcBorders>
          </w:tcPr>
          <w:p>
            <w:pPr/>
          </w:p>
        </w:tc>
        <w:tc>
          <w:tcPr>
            <w:tcW w:w="1457" w:type="dxa"/>
            <w:tcBorders>
              <w:top w:val="single" w:sz="4" w:space="0" w:color="000000"/>
              <w:left w:val="nil" w:sz="6" w:space="0" w:color="auto"/>
              <w:bottom w:val="nil" w:sz="6" w:space="0" w:color="auto"/>
              <w:right w:val="nil" w:sz="6" w:space="0" w:color="auto"/>
            </w:tcBorders>
          </w:tcPr>
          <w:p>
            <w:pPr/>
          </w:p>
        </w:tc>
      </w:tr>
    </w:tbl>
    <w:p>
      <w:pPr>
        <w:spacing w:line="240" w:lineRule="auto" w:before="2"/>
        <w:ind w:right="0"/>
        <w:rPr>
          <w:rFonts w:ascii="Calibri" w:hAnsi="Calibri" w:cs="Calibri" w:eastAsia="Calibri" w:hint="default"/>
          <w:b/>
          <w:bCs/>
          <w:sz w:val="17"/>
          <w:szCs w:val="17"/>
        </w:rPr>
      </w:pPr>
    </w:p>
    <w:p>
      <w:pPr>
        <w:pStyle w:val="BodyText"/>
        <w:spacing w:line="240" w:lineRule="auto" w:before="59"/>
        <w:ind w:right="1438"/>
        <w:jc w:val="both"/>
      </w:pPr>
      <w:r>
        <w:rPr/>
        <w:t>The</w:t>
      </w:r>
      <w:r>
        <w:rPr>
          <w:spacing w:val="-4"/>
        </w:rPr>
        <w:t> </w:t>
      </w:r>
      <w:r>
        <w:rPr/>
        <w:t>overall</w:t>
      </w:r>
      <w:r>
        <w:rPr>
          <w:spacing w:val="-4"/>
        </w:rPr>
        <w:t> </w:t>
      </w:r>
      <w:r>
        <w:rPr/>
        <w:t>price</w:t>
      </w:r>
      <w:r>
        <w:rPr>
          <w:spacing w:val="-5"/>
        </w:rPr>
        <w:t> </w:t>
      </w:r>
      <w:r>
        <w:rPr/>
        <w:t>perceptions</w:t>
      </w:r>
      <w:r>
        <w:rPr>
          <w:spacing w:val="-2"/>
        </w:rPr>
        <w:t> </w:t>
      </w:r>
      <w:r>
        <w:rPr/>
        <w:t>are</w:t>
      </w:r>
      <w:r>
        <w:rPr>
          <w:spacing w:val="-4"/>
        </w:rPr>
        <w:t> </w:t>
      </w:r>
      <w:r>
        <w:rPr/>
        <w:t>driven</w:t>
      </w:r>
      <w:r>
        <w:rPr>
          <w:spacing w:val="-3"/>
        </w:rPr>
        <w:t> </w:t>
      </w:r>
      <w:r>
        <w:rPr/>
        <w:t>by</w:t>
      </w:r>
      <w:r>
        <w:rPr>
          <w:spacing w:val="-3"/>
        </w:rPr>
        <w:t> </w:t>
      </w:r>
      <w:r>
        <w:rPr/>
        <w:t>shopping</w:t>
      </w:r>
      <w:r>
        <w:rPr>
          <w:spacing w:val="-4"/>
        </w:rPr>
        <w:t> </w:t>
      </w:r>
      <w:r>
        <w:rPr/>
        <w:t>and</w:t>
      </w:r>
      <w:r>
        <w:rPr>
          <w:spacing w:val="-3"/>
        </w:rPr>
        <w:t> </w:t>
      </w:r>
      <w:r>
        <w:rPr/>
        <w:t>restaurants.</w:t>
      </w:r>
      <w:r>
        <w:rPr>
          <w:spacing w:val="-3"/>
        </w:rPr>
        <w:t> </w:t>
      </w:r>
      <w:r>
        <w:rPr/>
        <w:t>The</w:t>
      </w:r>
      <w:r>
        <w:rPr>
          <w:spacing w:val="-4"/>
        </w:rPr>
        <w:t> </w:t>
      </w:r>
      <w:r>
        <w:rPr/>
        <w:t>large</w:t>
      </w:r>
      <w:r>
        <w:rPr>
          <w:spacing w:val="-5"/>
        </w:rPr>
        <w:t> </w:t>
      </w:r>
      <w:r>
        <w:rPr/>
        <w:t>influence</w:t>
      </w:r>
      <w:r>
        <w:rPr>
          <w:spacing w:val="-2"/>
        </w:rPr>
        <w:t> </w:t>
      </w:r>
      <w:r>
        <w:rPr/>
        <w:t>of</w:t>
      </w:r>
      <w:r>
        <w:rPr>
          <w:spacing w:val="-5"/>
        </w:rPr>
        <w:t> </w:t>
      </w:r>
      <w:r>
        <w:rPr/>
        <w:t>these</w:t>
      </w:r>
      <w:r>
        <w:rPr>
          <w:spacing w:val="-4"/>
        </w:rPr>
        <w:t> </w:t>
      </w:r>
      <w:r>
        <w:rPr/>
        <w:t>two</w:t>
      </w:r>
      <w:r>
        <w:rPr>
          <w:spacing w:val="-3"/>
        </w:rPr>
        <w:t> </w:t>
      </w:r>
      <w:r>
        <w:rPr/>
        <w:t>items</w:t>
      </w:r>
      <w:r>
        <w:rPr>
          <w:spacing w:val="-5"/>
        </w:rPr>
        <w:t> </w:t>
      </w:r>
      <w:r>
        <w:rPr/>
        <w:t>on</w:t>
      </w:r>
      <w:r>
        <w:rPr>
          <w:spacing w:val="-3"/>
        </w:rPr>
        <w:t> </w:t>
      </w:r>
      <w:r>
        <w:rPr/>
        <w:t>the </w:t>
      </w:r>
      <w:r>
        <w:rPr/>
        <w:t>overall</w:t>
      </w:r>
      <w:r>
        <w:rPr>
          <w:spacing w:val="-4"/>
        </w:rPr>
        <w:t> </w:t>
      </w:r>
      <w:r>
        <w:rPr/>
        <w:t>price</w:t>
      </w:r>
      <w:r>
        <w:rPr>
          <w:spacing w:val="-5"/>
        </w:rPr>
        <w:t> </w:t>
      </w:r>
      <w:r>
        <w:rPr/>
        <w:t>perception</w:t>
      </w:r>
      <w:r>
        <w:rPr>
          <w:spacing w:val="-3"/>
        </w:rPr>
        <w:t> </w:t>
      </w:r>
      <w:r>
        <w:rPr/>
        <w:t>is</w:t>
      </w:r>
      <w:r>
        <w:rPr>
          <w:spacing w:val="-4"/>
        </w:rPr>
        <w:t> </w:t>
      </w:r>
      <w:r>
        <w:rPr/>
        <w:t>due</w:t>
      </w:r>
      <w:r>
        <w:rPr>
          <w:spacing w:val="-4"/>
        </w:rPr>
        <w:t> </w:t>
      </w:r>
      <w:r>
        <w:rPr/>
        <w:t>to</w:t>
      </w:r>
      <w:r>
        <w:rPr>
          <w:spacing w:val="-3"/>
        </w:rPr>
        <w:t> </w:t>
      </w:r>
      <w:r>
        <w:rPr/>
        <w:t>the</w:t>
      </w:r>
      <w:r>
        <w:rPr>
          <w:spacing w:val="-7"/>
        </w:rPr>
        <w:t> </w:t>
      </w:r>
      <w:r>
        <w:rPr/>
        <w:t>frequency</w:t>
      </w:r>
      <w:r>
        <w:rPr>
          <w:spacing w:val="-3"/>
        </w:rPr>
        <w:t> </w:t>
      </w:r>
      <w:r>
        <w:rPr/>
        <w:t>of</w:t>
      </w:r>
      <w:r>
        <w:rPr>
          <w:spacing w:val="-5"/>
        </w:rPr>
        <w:t> </w:t>
      </w:r>
      <w:r>
        <w:rPr/>
        <w:t>transactions</w:t>
      </w:r>
      <w:r>
        <w:rPr>
          <w:spacing w:val="-5"/>
        </w:rPr>
        <w:t> </w:t>
      </w:r>
      <w:r>
        <w:rPr/>
        <w:t>occurring</w:t>
      </w:r>
      <w:r>
        <w:rPr>
          <w:spacing w:val="-4"/>
        </w:rPr>
        <w:t> </w:t>
      </w:r>
      <w:r>
        <w:rPr/>
        <w:t>in</w:t>
      </w:r>
      <w:r>
        <w:rPr>
          <w:spacing w:val="-3"/>
        </w:rPr>
        <w:t> </w:t>
      </w:r>
      <w:r>
        <w:rPr/>
        <w:t>shopping</w:t>
      </w:r>
      <w:r>
        <w:rPr>
          <w:spacing w:val="-4"/>
        </w:rPr>
        <w:t> </w:t>
      </w:r>
      <w:r>
        <w:rPr/>
        <w:t>and</w:t>
      </w:r>
      <w:r>
        <w:rPr>
          <w:spacing w:val="-5"/>
        </w:rPr>
        <w:t> </w:t>
      </w:r>
      <w:r>
        <w:rPr/>
        <w:t>restaurants</w:t>
      </w:r>
      <w:r>
        <w:rPr>
          <w:spacing w:val="-4"/>
        </w:rPr>
        <w:t> </w:t>
      </w:r>
      <w:r>
        <w:rPr/>
        <w:t>compared</w:t>
      </w:r>
      <w:r>
        <w:rPr>
          <w:spacing w:val="-3"/>
        </w:rPr>
        <w:t> </w:t>
      </w:r>
      <w:r>
        <w:rPr/>
        <w:t>to, </w:t>
      </w:r>
      <w:r>
        <w:rPr/>
        <w:t>for example, mainly one transaction at the hotel (see Table 34). Females have a better perception of price fairness </w:t>
      </w:r>
      <w:r>
        <w:rPr>
          <w:rFonts w:ascii="Calibri" w:hAnsi="Calibri"/>
        </w:rPr>
        <w:t>compared</w:t>
      </w:r>
      <w:r>
        <w:rPr>
          <w:rFonts w:ascii="Calibri" w:hAnsi="Calibri"/>
          <w:spacing w:val="-6"/>
        </w:rPr>
        <w:t> </w:t>
      </w:r>
      <w:r>
        <w:rPr>
          <w:rFonts w:ascii="Calibri" w:hAnsi="Calibri"/>
        </w:rPr>
        <w:t>to</w:t>
      </w:r>
      <w:r>
        <w:rPr>
          <w:rFonts w:ascii="Calibri" w:hAnsi="Calibri"/>
          <w:spacing w:val="-4"/>
        </w:rPr>
        <w:t> </w:t>
      </w:r>
      <w:r>
        <w:rPr>
          <w:rFonts w:ascii="Calibri" w:hAnsi="Calibri"/>
        </w:rPr>
        <w:t>males</w:t>
      </w:r>
      <w:r>
        <w:rPr>
          <w:rFonts w:ascii="Calibri" w:hAnsi="Calibri"/>
          <w:spacing w:val="-8"/>
        </w:rPr>
        <w:t> </w:t>
      </w:r>
      <w:r>
        <w:rPr>
          <w:rFonts w:ascii="Calibri" w:hAnsi="Calibri"/>
        </w:rPr>
        <w:t>(β=</w:t>
      </w:r>
      <w:r>
        <w:rPr/>
        <w:t>-</w:t>
      </w:r>
      <w:r>
        <w:rPr>
          <w:rFonts w:ascii="Calibri" w:hAnsi="Calibri"/>
        </w:rPr>
        <w:t>0.07,</w:t>
      </w:r>
      <w:r>
        <w:rPr>
          <w:rFonts w:ascii="Calibri" w:hAnsi="Calibri"/>
          <w:spacing w:val="-4"/>
        </w:rPr>
        <w:t> </w:t>
      </w:r>
      <w:r>
        <w:rPr>
          <w:rFonts w:ascii="Calibri" w:hAnsi="Calibri"/>
        </w:rPr>
        <w:t>ρ&lt;0.01).</w:t>
      </w:r>
      <w:r>
        <w:rPr>
          <w:rFonts w:ascii="Calibri" w:hAnsi="Calibri"/>
          <w:spacing w:val="-6"/>
        </w:rPr>
        <w:t> </w:t>
      </w:r>
      <w:r>
        <w:rPr/>
        <w:t>Married</w:t>
      </w:r>
      <w:r>
        <w:rPr>
          <w:spacing w:val="-6"/>
        </w:rPr>
        <w:t> </w:t>
      </w:r>
      <w:r>
        <w:rPr/>
        <w:t>couples</w:t>
      </w:r>
      <w:r>
        <w:rPr>
          <w:spacing w:val="-6"/>
        </w:rPr>
        <w:t> </w:t>
      </w:r>
      <w:r>
        <w:rPr/>
        <w:t>with</w:t>
      </w:r>
      <w:r>
        <w:rPr>
          <w:spacing w:val="-3"/>
        </w:rPr>
        <w:t> </w:t>
      </w:r>
      <w:r>
        <w:rPr/>
        <w:t>children</w:t>
      </w:r>
      <w:r>
        <w:rPr>
          <w:spacing w:val="-5"/>
        </w:rPr>
        <w:t> </w:t>
      </w:r>
      <w:r>
        <w:rPr>
          <w:rFonts w:ascii="Calibri" w:hAnsi="Calibri"/>
        </w:rPr>
        <w:t>(β=0.05,</w:t>
      </w:r>
      <w:r>
        <w:rPr>
          <w:rFonts w:ascii="Calibri" w:hAnsi="Calibri"/>
          <w:spacing w:val="-6"/>
        </w:rPr>
        <w:t> </w:t>
      </w:r>
      <w:r>
        <w:rPr>
          <w:rFonts w:ascii="Calibri" w:hAnsi="Calibri"/>
        </w:rPr>
        <w:t>ρ&lt;0.03)</w:t>
      </w:r>
      <w:r>
        <w:rPr>
          <w:rFonts w:ascii="Calibri" w:hAnsi="Calibri"/>
          <w:spacing w:val="-7"/>
        </w:rPr>
        <w:t> </w:t>
      </w:r>
      <w:r>
        <w:rPr/>
        <w:t>seem</w:t>
      </w:r>
      <w:r>
        <w:rPr>
          <w:spacing w:val="-8"/>
        </w:rPr>
        <w:t> </w:t>
      </w:r>
      <w:r>
        <w:rPr/>
        <w:t>to</w:t>
      </w:r>
      <w:r>
        <w:rPr>
          <w:spacing w:val="-6"/>
        </w:rPr>
        <w:t> </w:t>
      </w:r>
      <w:r>
        <w:rPr/>
        <w:t>perceive</w:t>
      </w:r>
      <w:r>
        <w:rPr>
          <w:spacing w:val="-6"/>
        </w:rPr>
        <w:t> </w:t>
      </w:r>
      <w:r>
        <w:rPr/>
        <w:t>prices</w:t>
      </w:r>
      <w:r>
        <w:rPr>
          <w:spacing w:val="-7"/>
        </w:rPr>
        <w:t> </w:t>
      </w:r>
      <w:r>
        <w:rPr/>
        <w:t>as</w:t>
      </w:r>
      <w:r>
        <w:rPr>
          <w:spacing w:val="-5"/>
        </w:rPr>
        <w:t> </w:t>
      </w:r>
      <w:r>
        <w:rPr/>
        <w:t>fair </w:t>
      </w:r>
      <w:r>
        <w:rPr/>
        <w:t>compared to other types of marital</w:t>
      </w:r>
      <w:r>
        <w:rPr>
          <w:spacing w:val="-15"/>
        </w:rPr>
        <w:t> </w:t>
      </w:r>
      <w:r>
        <w:rPr/>
        <w:t>status.</w:t>
      </w:r>
    </w:p>
    <w:p>
      <w:pPr>
        <w:pStyle w:val="Heading9"/>
        <w:tabs>
          <w:tab w:pos="5168" w:val="left" w:leader="none"/>
          <w:tab w:pos="10626" w:val="left" w:leader="none"/>
        </w:tabs>
        <w:spacing w:line="242" w:lineRule="exact" w:after="68"/>
        <w:ind w:left="1615" w:right="0"/>
        <w:jc w:val="left"/>
        <w:rPr>
          <w:b w:val="0"/>
          <w:bCs w:val="0"/>
        </w:rPr>
      </w:pPr>
      <w:bookmarkStart w:name="_bookmark112" w:id="113"/>
      <w:bookmarkEnd w:id="113"/>
      <w:r>
        <w:rPr>
          <w:b w:val="0"/>
        </w:rPr>
      </w:r>
      <w:r>
        <w:rPr>
          <w:w w:val="99"/>
        </w:rPr>
      </w:r>
      <w:r>
        <w:rPr>
          <w:w w:val="99"/>
          <w:u w:val="single" w:color="000000"/>
        </w:rPr>
        <w:t> </w:t>
      </w:r>
      <w:r>
        <w:rPr>
          <w:u w:val="single" w:color="000000"/>
        </w:rPr>
        <w:tab/>
        <w:t>Table 34:  Overall</w:t>
      </w:r>
      <w:r>
        <w:rPr>
          <w:spacing w:val="-11"/>
          <w:u w:val="single" w:color="000000"/>
        </w:rPr>
        <w:t> </w:t>
      </w:r>
      <w:r>
        <w:rPr>
          <w:u w:val="single" w:color="000000"/>
        </w:rPr>
        <w:t>price</w:t>
        <w:tab/>
      </w:r>
      <w:r>
        <w:rPr/>
      </w:r>
      <w:r>
        <w:rPr>
          <w:b w:val="0"/>
        </w:rPr>
      </w:r>
    </w:p>
    <w:tbl>
      <w:tblPr>
        <w:tblW w:w="0" w:type="auto"/>
        <w:jc w:val="left"/>
        <w:tblInd w:w="1615" w:type="dxa"/>
        <w:tblLayout w:type="fixed"/>
        <w:tblCellMar>
          <w:top w:w="0" w:type="dxa"/>
          <w:left w:w="0" w:type="dxa"/>
          <w:bottom w:w="0" w:type="dxa"/>
          <w:right w:w="0" w:type="dxa"/>
        </w:tblCellMar>
        <w:tblLook w:val="01E0"/>
      </w:tblPr>
      <w:tblGrid>
        <w:gridCol w:w="3658"/>
        <w:gridCol w:w="2592"/>
        <w:gridCol w:w="1278"/>
        <w:gridCol w:w="1483"/>
      </w:tblGrid>
      <w:tr>
        <w:trPr>
          <w:trHeight w:val="226" w:hRule="exact"/>
        </w:trPr>
        <w:tc>
          <w:tcPr>
            <w:tcW w:w="3658" w:type="dxa"/>
            <w:tcBorders>
              <w:top w:val="nil" w:sz="6" w:space="0" w:color="auto"/>
              <w:left w:val="nil" w:sz="6" w:space="0" w:color="auto"/>
              <w:bottom w:val="single" w:sz="4" w:space="0" w:color="000000"/>
              <w:right w:val="nil" w:sz="6" w:space="0" w:color="auto"/>
            </w:tcBorders>
          </w:tcPr>
          <w:p>
            <w:pPr>
              <w:pStyle w:val="TableParagraph"/>
              <w:spacing w:line="203" w:lineRule="exact"/>
              <w:ind w:left="60" w:right="0"/>
              <w:jc w:val="left"/>
              <w:rPr>
                <w:rFonts w:ascii="Calibri" w:hAnsi="Calibri" w:cs="Calibri" w:eastAsia="Calibri" w:hint="default"/>
                <w:sz w:val="20"/>
                <w:szCs w:val="20"/>
              </w:rPr>
            </w:pPr>
            <w:r>
              <w:rPr>
                <w:rFonts w:ascii="Calibri"/>
                <w:b/>
                <w:sz w:val="20"/>
              </w:rPr>
              <w:t>Independent</w:t>
            </w:r>
            <w:r>
              <w:rPr>
                <w:rFonts w:ascii="Calibri"/>
                <w:b/>
                <w:spacing w:val="-13"/>
                <w:sz w:val="20"/>
              </w:rPr>
              <w:t> </w:t>
            </w:r>
            <w:r>
              <w:rPr>
                <w:rFonts w:ascii="Calibri"/>
                <w:b/>
                <w:sz w:val="20"/>
              </w:rPr>
              <w:t>Variable</w:t>
            </w:r>
            <w:r>
              <w:rPr>
                <w:rFonts w:ascii="Calibri"/>
                <w:sz w:val="20"/>
              </w:rPr>
            </w:r>
          </w:p>
        </w:tc>
        <w:tc>
          <w:tcPr>
            <w:tcW w:w="2592" w:type="dxa"/>
            <w:tcBorders>
              <w:top w:val="nil" w:sz="6" w:space="0" w:color="auto"/>
              <w:left w:val="nil" w:sz="6" w:space="0" w:color="auto"/>
              <w:bottom w:val="single" w:sz="4" w:space="0" w:color="000000"/>
              <w:right w:val="nil" w:sz="6" w:space="0" w:color="auto"/>
            </w:tcBorders>
          </w:tcPr>
          <w:p>
            <w:pPr>
              <w:pStyle w:val="TableParagraph"/>
              <w:spacing w:line="203" w:lineRule="exact"/>
              <w:ind w:right="315"/>
              <w:jc w:val="right"/>
              <w:rPr>
                <w:rFonts w:ascii="Calibri" w:hAnsi="Calibri" w:cs="Calibri" w:eastAsia="Calibri" w:hint="default"/>
                <w:sz w:val="20"/>
                <w:szCs w:val="20"/>
              </w:rPr>
            </w:pPr>
            <w:r>
              <w:rPr>
                <w:rFonts w:ascii="Calibri"/>
                <w:b/>
                <w:w w:val="95"/>
                <w:sz w:val="20"/>
              </w:rPr>
              <w:t>Mean</w:t>
            </w:r>
            <w:r>
              <w:rPr>
                <w:rFonts w:ascii="Calibri"/>
                <w:sz w:val="20"/>
              </w:rPr>
            </w:r>
          </w:p>
        </w:tc>
        <w:tc>
          <w:tcPr>
            <w:tcW w:w="1278" w:type="dxa"/>
            <w:tcBorders>
              <w:top w:val="nil" w:sz="6" w:space="0" w:color="auto"/>
              <w:left w:val="nil" w:sz="6" w:space="0" w:color="auto"/>
              <w:bottom w:val="single" w:sz="4" w:space="0" w:color="000000"/>
              <w:right w:val="nil" w:sz="6" w:space="0" w:color="auto"/>
            </w:tcBorders>
          </w:tcPr>
          <w:p>
            <w:pPr>
              <w:pStyle w:val="TableParagraph"/>
              <w:spacing w:line="203" w:lineRule="exact"/>
              <w:ind w:right="62"/>
              <w:jc w:val="center"/>
              <w:rPr>
                <w:rFonts w:ascii="Calibri" w:hAnsi="Calibri" w:cs="Calibri" w:eastAsia="Calibri" w:hint="default"/>
                <w:sz w:val="20"/>
                <w:szCs w:val="20"/>
              </w:rPr>
            </w:pPr>
            <w:r>
              <w:rPr>
                <w:rFonts w:ascii="Calibri"/>
                <w:b/>
                <w:sz w:val="20"/>
              </w:rPr>
              <w:t>(SD)</w:t>
            </w:r>
            <w:r>
              <w:rPr>
                <w:rFonts w:ascii="Calibri"/>
                <w:sz w:val="20"/>
              </w:rPr>
            </w:r>
          </w:p>
        </w:tc>
        <w:tc>
          <w:tcPr>
            <w:tcW w:w="1483" w:type="dxa"/>
            <w:tcBorders>
              <w:top w:val="nil" w:sz="6" w:space="0" w:color="auto"/>
              <w:left w:val="nil" w:sz="6" w:space="0" w:color="auto"/>
              <w:bottom w:val="single" w:sz="4" w:space="0" w:color="000000"/>
              <w:right w:val="nil" w:sz="6" w:space="0" w:color="auto"/>
            </w:tcBorders>
          </w:tcPr>
          <w:p>
            <w:pPr>
              <w:pStyle w:val="TableParagraph"/>
              <w:spacing w:line="203" w:lineRule="exact"/>
              <w:ind w:right="62"/>
              <w:jc w:val="center"/>
              <w:rPr>
                <w:rFonts w:ascii="Calibri" w:hAnsi="Calibri" w:cs="Calibri" w:eastAsia="Calibri" w:hint="default"/>
                <w:sz w:val="20"/>
                <w:szCs w:val="20"/>
              </w:rPr>
            </w:pPr>
            <w:r>
              <w:rPr>
                <w:rFonts w:ascii="Calibri" w:hAnsi="Calibri"/>
                <w:b/>
                <w:sz w:val="20"/>
              </w:rPr>
              <w:t>Std.</w:t>
            </w:r>
            <w:r>
              <w:rPr>
                <w:rFonts w:ascii="Calibri" w:hAnsi="Calibri"/>
                <w:b/>
                <w:spacing w:val="-3"/>
                <w:sz w:val="20"/>
              </w:rPr>
              <w:t> </w:t>
            </w:r>
            <w:r>
              <w:rPr>
                <w:rFonts w:ascii="Calibri" w:hAnsi="Calibri"/>
                <w:b/>
                <w:sz w:val="20"/>
              </w:rPr>
              <w:t>β</w:t>
            </w:r>
            <w:r>
              <w:rPr>
                <w:rFonts w:ascii="Calibri" w:hAnsi="Calibri"/>
                <w:sz w:val="20"/>
              </w:rPr>
            </w:r>
          </w:p>
        </w:tc>
      </w:tr>
      <w:tr>
        <w:trPr>
          <w:trHeight w:val="291" w:hRule="exact"/>
        </w:trPr>
        <w:tc>
          <w:tcPr>
            <w:tcW w:w="3658" w:type="dxa"/>
            <w:tcBorders>
              <w:top w:val="single" w:sz="4" w:space="0" w:color="000000"/>
              <w:left w:val="nil" w:sz="6" w:space="0" w:color="auto"/>
              <w:bottom w:val="nil" w:sz="6" w:space="0" w:color="auto"/>
              <w:right w:val="nil" w:sz="6" w:space="0" w:color="auto"/>
            </w:tcBorders>
          </w:tcPr>
          <w:p>
            <w:pPr>
              <w:pStyle w:val="TableParagraph"/>
              <w:spacing w:line="240" w:lineRule="auto" w:before="6"/>
              <w:ind w:left="14" w:right="0"/>
              <w:jc w:val="left"/>
              <w:rPr>
                <w:rFonts w:ascii="Calibri" w:hAnsi="Calibri" w:cs="Calibri" w:eastAsia="Calibri" w:hint="default"/>
                <w:sz w:val="20"/>
                <w:szCs w:val="20"/>
              </w:rPr>
            </w:pPr>
            <w:r>
              <w:rPr>
                <w:rFonts w:ascii="Calibri"/>
                <w:sz w:val="20"/>
              </w:rPr>
              <w:t>Accommodation</w:t>
            </w:r>
            <w:r>
              <w:rPr>
                <w:rFonts w:ascii="Calibri"/>
                <w:spacing w:val="-8"/>
                <w:sz w:val="20"/>
              </w:rPr>
              <w:t> </w:t>
            </w:r>
            <w:r>
              <w:rPr>
                <w:rFonts w:ascii="Calibri"/>
                <w:sz w:val="20"/>
              </w:rPr>
              <w:t>Price</w:t>
            </w:r>
          </w:p>
        </w:tc>
        <w:tc>
          <w:tcPr>
            <w:tcW w:w="2592" w:type="dxa"/>
            <w:tcBorders>
              <w:top w:val="single" w:sz="4" w:space="0" w:color="000000"/>
              <w:left w:val="nil" w:sz="6" w:space="0" w:color="auto"/>
              <w:bottom w:val="nil" w:sz="6" w:space="0" w:color="auto"/>
              <w:right w:val="nil" w:sz="6" w:space="0" w:color="auto"/>
            </w:tcBorders>
          </w:tcPr>
          <w:p>
            <w:pPr>
              <w:pStyle w:val="TableParagraph"/>
              <w:spacing w:line="240" w:lineRule="auto" w:before="6"/>
              <w:ind w:right="380"/>
              <w:jc w:val="right"/>
              <w:rPr>
                <w:rFonts w:ascii="Calibri" w:hAnsi="Calibri" w:cs="Calibri" w:eastAsia="Calibri" w:hint="default"/>
                <w:sz w:val="20"/>
                <w:szCs w:val="20"/>
              </w:rPr>
            </w:pPr>
            <w:r>
              <w:rPr>
                <w:rFonts w:ascii="Calibri"/>
                <w:w w:val="95"/>
                <w:sz w:val="20"/>
              </w:rPr>
              <w:t>4.17</w:t>
            </w:r>
            <w:r>
              <w:rPr>
                <w:rFonts w:ascii="Calibri"/>
                <w:sz w:val="20"/>
              </w:rPr>
            </w:r>
          </w:p>
        </w:tc>
        <w:tc>
          <w:tcPr>
            <w:tcW w:w="1278" w:type="dxa"/>
            <w:tcBorders>
              <w:top w:val="single" w:sz="4" w:space="0" w:color="000000"/>
              <w:left w:val="nil" w:sz="6" w:space="0" w:color="auto"/>
              <w:bottom w:val="nil" w:sz="6" w:space="0" w:color="auto"/>
              <w:right w:val="nil" w:sz="6" w:space="0" w:color="auto"/>
            </w:tcBorders>
          </w:tcPr>
          <w:p>
            <w:pPr>
              <w:pStyle w:val="TableParagraph"/>
              <w:spacing w:line="240" w:lineRule="auto" w:before="6"/>
              <w:ind w:right="64"/>
              <w:jc w:val="center"/>
              <w:rPr>
                <w:rFonts w:ascii="Calibri" w:hAnsi="Calibri" w:cs="Calibri" w:eastAsia="Calibri" w:hint="default"/>
                <w:sz w:val="20"/>
                <w:szCs w:val="20"/>
              </w:rPr>
            </w:pPr>
            <w:r>
              <w:rPr>
                <w:rFonts w:ascii="Calibri"/>
                <w:sz w:val="20"/>
              </w:rPr>
              <w:t>(0.943)</w:t>
            </w:r>
          </w:p>
        </w:tc>
        <w:tc>
          <w:tcPr>
            <w:tcW w:w="1483" w:type="dxa"/>
            <w:tcBorders>
              <w:top w:val="single" w:sz="4" w:space="0" w:color="000000"/>
              <w:left w:val="nil" w:sz="6" w:space="0" w:color="auto"/>
              <w:bottom w:val="nil" w:sz="6" w:space="0" w:color="auto"/>
              <w:right w:val="nil" w:sz="6" w:space="0" w:color="auto"/>
            </w:tcBorders>
          </w:tcPr>
          <w:p>
            <w:pPr>
              <w:pStyle w:val="TableParagraph"/>
              <w:spacing w:line="240" w:lineRule="auto" w:before="6"/>
              <w:ind w:right="59"/>
              <w:jc w:val="center"/>
              <w:rPr>
                <w:rFonts w:ascii="Calibri" w:hAnsi="Calibri" w:cs="Calibri" w:eastAsia="Calibri" w:hint="default"/>
                <w:sz w:val="20"/>
                <w:szCs w:val="20"/>
              </w:rPr>
            </w:pPr>
            <w:r>
              <w:rPr>
                <w:rFonts w:ascii="Calibri"/>
                <w:sz w:val="20"/>
              </w:rPr>
              <w:t>0.123**</w:t>
            </w:r>
          </w:p>
        </w:tc>
      </w:tr>
      <w:tr>
        <w:trPr>
          <w:trHeight w:val="278" w:hRule="exact"/>
        </w:trPr>
        <w:tc>
          <w:tcPr>
            <w:tcW w:w="3658" w:type="dxa"/>
            <w:tcBorders>
              <w:top w:val="nil" w:sz="6" w:space="0" w:color="auto"/>
              <w:left w:val="nil" w:sz="6" w:space="0" w:color="auto"/>
              <w:bottom w:val="nil" w:sz="6" w:space="0" w:color="auto"/>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Restaurant</w:t>
            </w:r>
            <w:r>
              <w:rPr>
                <w:rFonts w:ascii="Calibri"/>
                <w:spacing w:val="-8"/>
                <w:sz w:val="20"/>
              </w:rPr>
              <w:t> </w:t>
            </w:r>
            <w:r>
              <w:rPr>
                <w:rFonts w:ascii="Calibri"/>
                <w:sz w:val="20"/>
              </w:rPr>
              <w:t>Price</w:t>
            </w:r>
          </w:p>
        </w:tc>
        <w:tc>
          <w:tcPr>
            <w:tcW w:w="2592" w:type="dxa"/>
            <w:tcBorders>
              <w:top w:val="nil" w:sz="6" w:space="0" w:color="auto"/>
              <w:left w:val="nil" w:sz="6" w:space="0" w:color="auto"/>
              <w:bottom w:val="nil" w:sz="6" w:space="0" w:color="auto"/>
              <w:right w:val="nil" w:sz="6" w:space="0" w:color="auto"/>
            </w:tcBorders>
          </w:tcPr>
          <w:p>
            <w:pPr>
              <w:pStyle w:val="TableParagraph"/>
              <w:spacing w:line="243" w:lineRule="exact"/>
              <w:ind w:right="380"/>
              <w:jc w:val="right"/>
              <w:rPr>
                <w:rFonts w:ascii="Calibri" w:hAnsi="Calibri" w:cs="Calibri" w:eastAsia="Calibri" w:hint="default"/>
                <w:sz w:val="20"/>
                <w:szCs w:val="20"/>
              </w:rPr>
            </w:pPr>
            <w:r>
              <w:rPr>
                <w:rFonts w:ascii="Calibri"/>
                <w:w w:val="95"/>
                <w:sz w:val="20"/>
              </w:rPr>
              <w:t>4.18</w:t>
            </w:r>
            <w:r>
              <w:rPr>
                <w:rFonts w:ascii="Calibri"/>
                <w:sz w:val="20"/>
              </w:rPr>
            </w:r>
          </w:p>
        </w:tc>
        <w:tc>
          <w:tcPr>
            <w:tcW w:w="1278" w:type="dxa"/>
            <w:tcBorders>
              <w:top w:val="nil" w:sz="6" w:space="0" w:color="auto"/>
              <w:left w:val="nil" w:sz="6" w:space="0" w:color="auto"/>
              <w:bottom w:val="nil" w:sz="6" w:space="0" w:color="auto"/>
              <w:right w:val="nil" w:sz="6" w:space="0" w:color="auto"/>
            </w:tcBorders>
          </w:tcPr>
          <w:p>
            <w:pPr>
              <w:pStyle w:val="TableParagraph"/>
              <w:spacing w:line="243" w:lineRule="exact"/>
              <w:ind w:right="64"/>
              <w:jc w:val="center"/>
              <w:rPr>
                <w:rFonts w:ascii="Calibri" w:hAnsi="Calibri" w:cs="Calibri" w:eastAsia="Calibri" w:hint="default"/>
                <w:sz w:val="20"/>
                <w:szCs w:val="20"/>
              </w:rPr>
            </w:pPr>
            <w:r>
              <w:rPr>
                <w:rFonts w:ascii="Calibri"/>
                <w:sz w:val="20"/>
              </w:rPr>
              <w:t>(0.988)</w:t>
            </w:r>
          </w:p>
        </w:tc>
        <w:tc>
          <w:tcPr>
            <w:tcW w:w="1483" w:type="dxa"/>
            <w:tcBorders>
              <w:top w:val="nil" w:sz="6" w:space="0" w:color="auto"/>
              <w:left w:val="nil" w:sz="6" w:space="0" w:color="auto"/>
              <w:bottom w:val="nil" w:sz="6" w:space="0" w:color="auto"/>
              <w:right w:val="nil" w:sz="6" w:space="0" w:color="auto"/>
            </w:tcBorders>
          </w:tcPr>
          <w:p>
            <w:pPr>
              <w:pStyle w:val="TableParagraph"/>
              <w:spacing w:line="243" w:lineRule="exact"/>
              <w:ind w:right="60"/>
              <w:jc w:val="center"/>
              <w:rPr>
                <w:rFonts w:ascii="Calibri" w:hAnsi="Calibri" w:cs="Calibri" w:eastAsia="Calibri" w:hint="default"/>
                <w:sz w:val="20"/>
                <w:szCs w:val="20"/>
              </w:rPr>
            </w:pPr>
            <w:r>
              <w:rPr>
                <w:rFonts w:ascii="Calibri"/>
                <w:sz w:val="20"/>
              </w:rPr>
              <w:t>0.201**</w:t>
            </w:r>
          </w:p>
        </w:tc>
      </w:tr>
      <w:tr>
        <w:trPr>
          <w:trHeight w:val="278" w:hRule="exact"/>
        </w:trPr>
        <w:tc>
          <w:tcPr>
            <w:tcW w:w="3658" w:type="dxa"/>
            <w:tcBorders>
              <w:top w:val="nil" w:sz="6" w:space="0" w:color="auto"/>
              <w:left w:val="nil" w:sz="6" w:space="0" w:color="auto"/>
              <w:bottom w:val="nil" w:sz="6" w:space="0" w:color="auto"/>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Taxis</w:t>
            </w:r>
            <w:r>
              <w:rPr>
                <w:rFonts w:ascii="Calibri"/>
                <w:spacing w:val="-6"/>
                <w:sz w:val="20"/>
              </w:rPr>
              <w:t> </w:t>
            </w:r>
            <w:r>
              <w:rPr>
                <w:rFonts w:ascii="Calibri"/>
                <w:sz w:val="20"/>
              </w:rPr>
              <w:t>Price</w:t>
            </w:r>
          </w:p>
        </w:tc>
        <w:tc>
          <w:tcPr>
            <w:tcW w:w="2592" w:type="dxa"/>
            <w:tcBorders>
              <w:top w:val="nil" w:sz="6" w:space="0" w:color="auto"/>
              <w:left w:val="nil" w:sz="6" w:space="0" w:color="auto"/>
              <w:bottom w:val="nil" w:sz="6" w:space="0" w:color="auto"/>
              <w:right w:val="nil" w:sz="6" w:space="0" w:color="auto"/>
            </w:tcBorders>
          </w:tcPr>
          <w:p>
            <w:pPr>
              <w:pStyle w:val="TableParagraph"/>
              <w:spacing w:line="243" w:lineRule="exact"/>
              <w:ind w:right="380"/>
              <w:jc w:val="right"/>
              <w:rPr>
                <w:rFonts w:ascii="Calibri" w:hAnsi="Calibri" w:cs="Calibri" w:eastAsia="Calibri" w:hint="default"/>
                <w:sz w:val="20"/>
                <w:szCs w:val="20"/>
              </w:rPr>
            </w:pPr>
            <w:r>
              <w:rPr>
                <w:rFonts w:ascii="Calibri"/>
                <w:w w:val="95"/>
                <w:sz w:val="20"/>
              </w:rPr>
              <w:t>4.12</w:t>
            </w:r>
            <w:r>
              <w:rPr>
                <w:rFonts w:ascii="Calibri"/>
                <w:sz w:val="20"/>
              </w:rPr>
            </w:r>
          </w:p>
        </w:tc>
        <w:tc>
          <w:tcPr>
            <w:tcW w:w="1278" w:type="dxa"/>
            <w:tcBorders>
              <w:top w:val="nil" w:sz="6" w:space="0" w:color="auto"/>
              <w:left w:val="nil" w:sz="6" w:space="0" w:color="auto"/>
              <w:bottom w:val="nil" w:sz="6" w:space="0" w:color="auto"/>
              <w:right w:val="nil" w:sz="6" w:space="0" w:color="auto"/>
            </w:tcBorders>
          </w:tcPr>
          <w:p>
            <w:pPr>
              <w:pStyle w:val="TableParagraph"/>
              <w:spacing w:line="243" w:lineRule="exact"/>
              <w:ind w:right="64"/>
              <w:jc w:val="center"/>
              <w:rPr>
                <w:rFonts w:ascii="Calibri" w:hAnsi="Calibri" w:cs="Calibri" w:eastAsia="Calibri" w:hint="default"/>
                <w:sz w:val="20"/>
                <w:szCs w:val="20"/>
              </w:rPr>
            </w:pPr>
            <w:r>
              <w:rPr>
                <w:rFonts w:ascii="Calibri"/>
                <w:sz w:val="20"/>
              </w:rPr>
              <w:t>(1.035)</w:t>
            </w:r>
          </w:p>
        </w:tc>
        <w:tc>
          <w:tcPr>
            <w:tcW w:w="1483" w:type="dxa"/>
            <w:tcBorders>
              <w:top w:val="nil" w:sz="6" w:space="0" w:color="auto"/>
              <w:left w:val="nil" w:sz="6" w:space="0" w:color="auto"/>
              <w:bottom w:val="nil" w:sz="6" w:space="0" w:color="auto"/>
              <w:right w:val="nil" w:sz="6" w:space="0" w:color="auto"/>
            </w:tcBorders>
          </w:tcPr>
          <w:p>
            <w:pPr>
              <w:pStyle w:val="TableParagraph"/>
              <w:spacing w:line="243" w:lineRule="exact"/>
              <w:ind w:right="61"/>
              <w:jc w:val="center"/>
              <w:rPr>
                <w:rFonts w:ascii="Calibri" w:hAnsi="Calibri" w:cs="Calibri" w:eastAsia="Calibri" w:hint="default"/>
                <w:sz w:val="20"/>
                <w:szCs w:val="20"/>
              </w:rPr>
            </w:pPr>
            <w:r>
              <w:rPr>
                <w:rFonts w:ascii="Calibri"/>
                <w:sz w:val="20"/>
              </w:rPr>
              <w:t>0.020</w:t>
            </w:r>
          </w:p>
        </w:tc>
      </w:tr>
      <w:tr>
        <w:trPr>
          <w:trHeight w:val="278" w:hRule="exact"/>
        </w:trPr>
        <w:tc>
          <w:tcPr>
            <w:tcW w:w="3658" w:type="dxa"/>
            <w:tcBorders>
              <w:top w:val="nil" w:sz="6" w:space="0" w:color="auto"/>
              <w:left w:val="nil" w:sz="6" w:space="0" w:color="auto"/>
              <w:bottom w:val="nil" w:sz="6" w:space="0" w:color="auto"/>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Entertainment</w:t>
            </w:r>
            <w:r>
              <w:rPr>
                <w:rFonts w:ascii="Calibri"/>
                <w:spacing w:val="-9"/>
                <w:sz w:val="20"/>
              </w:rPr>
              <w:t> </w:t>
            </w:r>
            <w:r>
              <w:rPr>
                <w:rFonts w:ascii="Calibri"/>
                <w:sz w:val="20"/>
              </w:rPr>
              <w:t>Price</w:t>
            </w:r>
          </w:p>
        </w:tc>
        <w:tc>
          <w:tcPr>
            <w:tcW w:w="2592" w:type="dxa"/>
            <w:tcBorders>
              <w:top w:val="nil" w:sz="6" w:space="0" w:color="auto"/>
              <w:left w:val="nil" w:sz="6" w:space="0" w:color="auto"/>
              <w:bottom w:val="nil" w:sz="6" w:space="0" w:color="auto"/>
              <w:right w:val="nil" w:sz="6" w:space="0" w:color="auto"/>
            </w:tcBorders>
          </w:tcPr>
          <w:p>
            <w:pPr>
              <w:pStyle w:val="TableParagraph"/>
              <w:spacing w:line="243" w:lineRule="exact"/>
              <w:ind w:right="380"/>
              <w:jc w:val="right"/>
              <w:rPr>
                <w:rFonts w:ascii="Calibri" w:hAnsi="Calibri" w:cs="Calibri" w:eastAsia="Calibri" w:hint="default"/>
                <w:sz w:val="20"/>
                <w:szCs w:val="20"/>
              </w:rPr>
            </w:pPr>
            <w:r>
              <w:rPr>
                <w:rFonts w:ascii="Calibri"/>
                <w:w w:val="95"/>
                <w:sz w:val="20"/>
              </w:rPr>
              <w:t>4.06</w:t>
            </w:r>
            <w:r>
              <w:rPr>
                <w:rFonts w:ascii="Calibri"/>
                <w:sz w:val="20"/>
              </w:rPr>
            </w:r>
          </w:p>
        </w:tc>
        <w:tc>
          <w:tcPr>
            <w:tcW w:w="1278" w:type="dxa"/>
            <w:tcBorders>
              <w:top w:val="nil" w:sz="6" w:space="0" w:color="auto"/>
              <w:left w:val="nil" w:sz="6" w:space="0" w:color="auto"/>
              <w:bottom w:val="nil" w:sz="6" w:space="0" w:color="auto"/>
              <w:right w:val="nil" w:sz="6" w:space="0" w:color="auto"/>
            </w:tcBorders>
          </w:tcPr>
          <w:p>
            <w:pPr>
              <w:pStyle w:val="TableParagraph"/>
              <w:spacing w:line="243" w:lineRule="exact"/>
              <w:ind w:right="64"/>
              <w:jc w:val="center"/>
              <w:rPr>
                <w:rFonts w:ascii="Calibri" w:hAnsi="Calibri" w:cs="Calibri" w:eastAsia="Calibri" w:hint="default"/>
                <w:sz w:val="20"/>
                <w:szCs w:val="20"/>
              </w:rPr>
            </w:pPr>
            <w:r>
              <w:rPr>
                <w:rFonts w:ascii="Calibri"/>
                <w:sz w:val="20"/>
              </w:rPr>
              <w:t>(0.962)</w:t>
            </w:r>
          </w:p>
        </w:tc>
        <w:tc>
          <w:tcPr>
            <w:tcW w:w="1483" w:type="dxa"/>
            <w:tcBorders>
              <w:top w:val="nil" w:sz="6" w:space="0" w:color="auto"/>
              <w:left w:val="nil" w:sz="6" w:space="0" w:color="auto"/>
              <w:bottom w:val="nil" w:sz="6" w:space="0" w:color="auto"/>
              <w:right w:val="nil" w:sz="6" w:space="0" w:color="auto"/>
            </w:tcBorders>
          </w:tcPr>
          <w:p>
            <w:pPr>
              <w:pStyle w:val="TableParagraph"/>
              <w:spacing w:line="243" w:lineRule="exact"/>
              <w:ind w:right="61"/>
              <w:jc w:val="center"/>
              <w:rPr>
                <w:rFonts w:ascii="Calibri" w:hAnsi="Calibri" w:cs="Calibri" w:eastAsia="Calibri" w:hint="default"/>
                <w:sz w:val="20"/>
                <w:szCs w:val="20"/>
              </w:rPr>
            </w:pPr>
            <w:r>
              <w:rPr>
                <w:rFonts w:ascii="Calibri"/>
                <w:sz w:val="20"/>
              </w:rPr>
              <w:t>0.038</w:t>
            </w:r>
          </w:p>
        </w:tc>
      </w:tr>
      <w:tr>
        <w:trPr>
          <w:trHeight w:val="278" w:hRule="exact"/>
        </w:trPr>
        <w:tc>
          <w:tcPr>
            <w:tcW w:w="3658" w:type="dxa"/>
            <w:tcBorders>
              <w:top w:val="nil" w:sz="6" w:space="0" w:color="auto"/>
              <w:left w:val="nil" w:sz="6" w:space="0" w:color="auto"/>
              <w:bottom w:val="nil" w:sz="6" w:space="0" w:color="auto"/>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Shopping</w:t>
            </w:r>
            <w:r>
              <w:rPr>
                <w:rFonts w:ascii="Calibri"/>
                <w:spacing w:val="-7"/>
                <w:sz w:val="20"/>
              </w:rPr>
              <w:t> </w:t>
            </w:r>
            <w:r>
              <w:rPr>
                <w:rFonts w:ascii="Calibri"/>
                <w:sz w:val="20"/>
              </w:rPr>
              <w:t>Price</w:t>
            </w:r>
          </w:p>
        </w:tc>
        <w:tc>
          <w:tcPr>
            <w:tcW w:w="2592" w:type="dxa"/>
            <w:tcBorders>
              <w:top w:val="nil" w:sz="6" w:space="0" w:color="auto"/>
              <w:left w:val="nil" w:sz="6" w:space="0" w:color="auto"/>
              <w:bottom w:val="nil" w:sz="6" w:space="0" w:color="auto"/>
              <w:right w:val="nil" w:sz="6" w:space="0" w:color="auto"/>
            </w:tcBorders>
          </w:tcPr>
          <w:p>
            <w:pPr>
              <w:pStyle w:val="TableParagraph"/>
              <w:spacing w:line="243" w:lineRule="exact"/>
              <w:ind w:right="380"/>
              <w:jc w:val="right"/>
              <w:rPr>
                <w:rFonts w:ascii="Calibri" w:hAnsi="Calibri" w:cs="Calibri" w:eastAsia="Calibri" w:hint="default"/>
                <w:sz w:val="20"/>
                <w:szCs w:val="20"/>
              </w:rPr>
            </w:pPr>
            <w:r>
              <w:rPr>
                <w:rFonts w:ascii="Calibri"/>
                <w:w w:val="95"/>
                <w:sz w:val="20"/>
              </w:rPr>
              <w:t>4.11</w:t>
            </w:r>
            <w:r>
              <w:rPr>
                <w:rFonts w:ascii="Calibri"/>
                <w:sz w:val="20"/>
              </w:rPr>
            </w:r>
          </w:p>
        </w:tc>
        <w:tc>
          <w:tcPr>
            <w:tcW w:w="1278" w:type="dxa"/>
            <w:tcBorders>
              <w:top w:val="nil" w:sz="6" w:space="0" w:color="auto"/>
              <w:left w:val="nil" w:sz="6" w:space="0" w:color="auto"/>
              <w:bottom w:val="nil" w:sz="6" w:space="0" w:color="auto"/>
              <w:right w:val="nil" w:sz="6" w:space="0" w:color="auto"/>
            </w:tcBorders>
          </w:tcPr>
          <w:p>
            <w:pPr>
              <w:pStyle w:val="TableParagraph"/>
              <w:spacing w:line="243" w:lineRule="exact"/>
              <w:ind w:right="64"/>
              <w:jc w:val="center"/>
              <w:rPr>
                <w:rFonts w:ascii="Calibri" w:hAnsi="Calibri" w:cs="Calibri" w:eastAsia="Calibri" w:hint="default"/>
                <w:sz w:val="20"/>
                <w:szCs w:val="20"/>
              </w:rPr>
            </w:pPr>
            <w:r>
              <w:rPr>
                <w:rFonts w:ascii="Calibri"/>
                <w:sz w:val="20"/>
              </w:rPr>
              <w:t>(1.019)</w:t>
            </w:r>
          </w:p>
        </w:tc>
        <w:tc>
          <w:tcPr>
            <w:tcW w:w="1483" w:type="dxa"/>
            <w:tcBorders>
              <w:top w:val="nil" w:sz="6" w:space="0" w:color="auto"/>
              <w:left w:val="nil" w:sz="6" w:space="0" w:color="auto"/>
              <w:bottom w:val="nil" w:sz="6" w:space="0" w:color="auto"/>
              <w:right w:val="nil" w:sz="6" w:space="0" w:color="auto"/>
            </w:tcBorders>
          </w:tcPr>
          <w:p>
            <w:pPr>
              <w:pStyle w:val="TableParagraph"/>
              <w:spacing w:line="243" w:lineRule="exact"/>
              <w:ind w:right="59"/>
              <w:jc w:val="center"/>
              <w:rPr>
                <w:rFonts w:ascii="Calibri" w:hAnsi="Calibri" w:cs="Calibri" w:eastAsia="Calibri" w:hint="default"/>
                <w:sz w:val="20"/>
                <w:szCs w:val="20"/>
              </w:rPr>
            </w:pPr>
            <w:r>
              <w:rPr>
                <w:rFonts w:ascii="Calibri"/>
                <w:sz w:val="20"/>
              </w:rPr>
              <w:t>0.357**</w:t>
            </w:r>
          </w:p>
        </w:tc>
      </w:tr>
      <w:tr>
        <w:trPr>
          <w:trHeight w:val="278" w:hRule="exact"/>
        </w:trPr>
        <w:tc>
          <w:tcPr>
            <w:tcW w:w="3658" w:type="dxa"/>
            <w:tcBorders>
              <w:top w:val="nil" w:sz="6" w:space="0" w:color="auto"/>
              <w:left w:val="nil" w:sz="6" w:space="0" w:color="auto"/>
              <w:bottom w:val="nil" w:sz="6" w:space="0" w:color="auto"/>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Rental Car</w:t>
            </w:r>
            <w:r>
              <w:rPr>
                <w:rFonts w:ascii="Calibri"/>
                <w:spacing w:val="-7"/>
                <w:sz w:val="20"/>
              </w:rPr>
              <w:t> </w:t>
            </w:r>
            <w:r>
              <w:rPr>
                <w:rFonts w:ascii="Calibri"/>
                <w:sz w:val="20"/>
              </w:rPr>
              <w:t>Price</w:t>
            </w:r>
          </w:p>
        </w:tc>
        <w:tc>
          <w:tcPr>
            <w:tcW w:w="2592" w:type="dxa"/>
            <w:tcBorders>
              <w:top w:val="nil" w:sz="6" w:space="0" w:color="auto"/>
              <w:left w:val="nil" w:sz="6" w:space="0" w:color="auto"/>
              <w:bottom w:val="nil" w:sz="6" w:space="0" w:color="auto"/>
              <w:right w:val="nil" w:sz="6" w:space="0" w:color="auto"/>
            </w:tcBorders>
          </w:tcPr>
          <w:p>
            <w:pPr>
              <w:pStyle w:val="TableParagraph"/>
              <w:spacing w:line="243" w:lineRule="exact"/>
              <w:ind w:right="380"/>
              <w:jc w:val="right"/>
              <w:rPr>
                <w:rFonts w:ascii="Calibri" w:hAnsi="Calibri" w:cs="Calibri" w:eastAsia="Calibri" w:hint="default"/>
                <w:sz w:val="20"/>
                <w:szCs w:val="20"/>
              </w:rPr>
            </w:pPr>
            <w:r>
              <w:rPr>
                <w:rFonts w:ascii="Calibri"/>
                <w:w w:val="95"/>
                <w:sz w:val="20"/>
              </w:rPr>
              <w:t>4.03</w:t>
            </w:r>
            <w:r>
              <w:rPr>
                <w:rFonts w:ascii="Calibri"/>
                <w:sz w:val="20"/>
              </w:rPr>
            </w:r>
          </w:p>
        </w:tc>
        <w:tc>
          <w:tcPr>
            <w:tcW w:w="1278" w:type="dxa"/>
            <w:tcBorders>
              <w:top w:val="nil" w:sz="6" w:space="0" w:color="auto"/>
              <w:left w:val="nil" w:sz="6" w:space="0" w:color="auto"/>
              <w:bottom w:val="nil" w:sz="6" w:space="0" w:color="auto"/>
              <w:right w:val="nil" w:sz="6" w:space="0" w:color="auto"/>
            </w:tcBorders>
          </w:tcPr>
          <w:p>
            <w:pPr>
              <w:pStyle w:val="TableParagraph"/>
              <w:spacing w:line="243" w:lineRule="exact"/>
              <w:ind w:right="64"/>
              <w:jc w:val="center"/>
              <w:rPr>
                <w:rFonts w:ascii="Calibri" w:hAnsi="Calibri" w:cs="Calibri" w:eastAsia="Calibri" w:hint="default"/>
                <w:sz w:val="20"/>
                <w:szCs w:val="20"/>
              </w:rPr>
            </w:pPr>
            <w:r>
              <w:rPr>
                <w:rFonts w:ascii="Calibri"/>
                <w:sz w:val="20"/>
              </w:rPr>
              <w:t>(1.018)</w:t>
            </w:r>
          </w:p>
        </w:tc>
        <w:tc>
          <w:tcPr>
            <w:tcW w:w="1483" w:type="dxa"/>
            <w:tcBorders>
              <w:top w:val="nil" w:sz="6" w:space="0" w:color="auto"/>
              <w:left w:val="nil" w:sz="6" w:space="0" w:color="auto"/>
              <w:bottom w:val="nil" w:sz="6" w:space="0" w:color="auto"/>
              <w:right w:val="nil" w:sz="6" w:space="0" w:color="auto"/>
            </w:tcBorders>
          </w:tcPr>
          <w:p>
            <w:pPr>
              <w:pStyle w:val="TableParagraph"/>
              <w:spacing w:line="243" w:lineRule="exact"/>
              <w:ind w:right="59"/>
              <w:jc w:val="center"/>
              <w:rPr>
                <w:rFonts w:ascii="Calibri" w:hAnsi="Calibri" w:cs="Calibri" w:eastAsia="Calibri" w:hint="default"/>
                <w:sz w:val="20"/>
                <w:szCs w:val="20"/>
              </w:rPr>
            </w:pPr>
            <w:r>
              <w:rPr>
                <w:rFonts w:ascii="Calibri"/>
                <w:sz w:val="20"/>
              </w:rPr>
              <w:t>0.108**</w:t>
            </w:r>
          </w:p>
        </w:tc>
      </w:tr>
      <w:tr>
        <w:trPr>
          <w:trHeight w:val="268" w:hRule="exact"/>
        </w:trPr>
        <w:tc>
          <w:tcPr>
            <w:tcW w:w="3658" w:type="dxa"/>
            <w:tcBorders>
              <w:top w:val="nil" w:sz="6" w:space="0" w:color="auto"/>
              <w:left w:val="nil" w:sz="6" w:space="0" w:color="auto"/>
              <w:bottom w:val="single" w:sz="4" w:space="0" w:color="000000"/>
              <w:right w:val="nil" w:sz="6" w:space="0" w:color="auto"/>
            </w:tcBorders>
          </w:tcPr>
          <w:p>
            <w:pPr>
              <w:pStyle w:val="TableParagraph"/>
              <w:spacing w:line="243" w:lineRule="exact"/>
              <w:ind w:left="14" w:right="0"/>
              <w:jc w:val="left"/>
              <w:rPr>
                <w:rFonts w:ascii="Calibri" w:hAnsi="Calibri" w:cs="Calibri" w:eastAsia="Calibri" w:hint="default"/>
                <w:sz w:val="20"/>
                <w:szCs w:val="20"/>
              </w:rPr>
            </w:pPr>
            <w:r>
              <w:rPr>
                <w:rFonts w:ascii="Calibri"/>
                <w:sz w:val="20"/>
              </w:rPr>
              <w:t>Airfare</w:t>
            </w:r>
            <w:r>
              <w:rPr>
                <w:rFonts w:ascii="Calibri"/>
                <w:spacing w:val="-4"/>
                <w:sz w:val="20"/>
              </w:rPr>
              <w:t> </w:t>
            </w:r>
            <w:r>
              <w:rPr>
                <w:rFonts w:ascii="Calibri"/>
                <w:sz w:val="20"/>
              </w:rPr>
              <w:t>Price</w:t>
            </w:r>
          </w:p>
        </w:tc>
        <w:tc>
          <w:tcPr>
            <w:tcW w:w="2592" w:type="dxa"/>
            <w:tcBorders>
              <w:top w:val="nil" w:sz="6" w:space="0" w:color="auto"/>
              <w:left w:val="nil" w:sz="6" w:space="0" w:color="auto"/>
              <w:bottom w:val="single" w:sz="4" w:space="0" w:color="000000"/>
              <w:right w:val="nil" w:sz="6" w:space="0" w:color="auto"/>
            </w:tcBorders>
          </w:tcPr>
          <w:p>
            <w:pPr>
              <w:pStyle w:val="TableParagraph"/>
              <w:spacing w:line="243" w:lineRule="exact"/>
              <w:ind w:right="380"/>
              <w:jc w:val="right"/>
              <w:rPr>
                <w:rFonts w:ascii="Calibri" w:hAnsi="Calibri" w:cs="Calibri" w:eastAsia="Calibri" w:hint="default"/>
                <w:sz w:val="20"/>
                <w:szCs w:val="20"/>
              </w:rPr>
            </w:pPr>
            <w:r>
              <w:rPr>
                <w:rFonts w:ascii="Calibri"/>
                <w:w w:val="95"/>
                <w:sz w:val="20"/>
              </w:rPr>
              <w:t>4.27</w:t>
            </w:r>
            <w:r>
              <w:rPr>
                <w:rFonts w:ascii="Calibri"/>
                <w:sz w:val="20"/>
              </w:rPr>
            </w:r>
          </w:p>
        </w:tc>
        <w:tc>
          <w:tcPr>
            <w:tcW w:w="1278" w:type="dxa"/>
            <w:tcBorders>
              <w:top w:val="nil" w:sz="6" w:space="0" w:color="auto"/>
              <w:left w:val="nil" w:sz="6" w:space="0" w:color="auto"/>
              <w:bottom w:val="single" w:sz="4" w:space="0" w:color="000000"/>
              <w:right w:val="nil" w:sz="6" w:space="0" w:color="auto"/>
            </w:tcBorders>
          </w:tcPr>
          <w:p>
            <w:pPr>
              <w:pStyle w:val="TableParagraph"/>
              <w:spacing w:line="243" w:lineRule="exact"/>
              <w:ind w:right="64"/>
              <w:jc w:val="center"/>
              <w:rPr>
                <w:rFonts w:ascii="Calibri" w:hAnsi="Calibri" w:cs="Calibri" w:eastAsia="Calibri" w:hint="default"/>
                <w:sz w:val="20"/>
                <w:szCs w:val="20"/>
              </w:rPr>
            </w:pPr>
            <w:r>
              <w:rPr>
                <w:rFonts w:ascii="Calibri"/>
                <w:sz w:val="20"/>
              </w:rPr>
              <w:t>(1.053)</w:t>
            </w:r>
          </w:p>
        </w:tc>
        <w:tc>
          <w:tcPr>
            <w:tcW w:w="1483" w:type="dxa"/>
            <w:tcBorders>
              <w:top w:val="nil" w:sz="6" w:space="0" w:color="auto"/>
              <w:left w:val="nil" w:sz="6" w:space="0" w:color="auto"/>
              <w:bottom w:val="single" w:sz="4" w:space="0" w:color="000000"/>
              <w:right w:val="nil" w:sz="6" w:space="0" w:color="auto"/>
            </w:tcBorders>
          </w:tcPr>
          <w:p>
            <w:pPr>
              <w:pStyle w:val="TableParagraph"/>
              <w:spacing w:line="243" w:lineRule="exact"/>
              <w:ind w:right="59"/>
              <w:jc w:val="center"/>
              <w:rPr>
                <w:rFonts w:ascii="Calibri" w:hAnsi="Calibri" w:cs="Calibri" w:eastAsia="Calibri" w:hint="default"/>
                <w:sz w:val="20"/>
                <w:szCs w:val="20"/>
              </w:rPr>
            </w:pPr>
            <w:r>
              <w:rPr>
                <w:rFonts w:ascii="Calibri"/>
                <w:sz w:val="20"/>
              </w:rPr>
              <w:t>0.175**</w:t>
            </w:r>
          </w:p>
        </w:tc>
      </w:tr>
      <w:tr>
        <w:trPr>
          <w:trHeight w:val="249" w:hRule="exact"/>
        </w:trPr>
        <w:tc>
          <w:tcPr>
            <w:tcW w:w="6250" w:type="dxa"/>
            <w:gridSpan w:val="2"/>
            <w:tcBorders>
              <w:top w:val="single" w:sz="4" w:space="0" w:color="000000"/>
              <w:left w:val="nil" w:sz="6" w:space="0" w:color="auto"/>
              <w:bottom w:val="nil" w:sz="6" w:space="0" w:color="auto"/>
              <w:right w:val="nil" w:sz="6" w:space="0" w:color="auto"/>
            </w:tcBorders>
          </w:tcPr>
          <w:p>
            <w:pPr>
              <w:pStyle w:val="TableParagraph"/>
              <w:spacing w:line="240" w:lineRule="auto"/>
              <w:ind w:left="14" w:right="0"/>
              <w:jc w:val="left"/>
              <w:rPr>
                <w:rFonts w:ascii="Calibri" w:hAnsi="Calibri" w:cs="Calibri" w:eastAsia="Calibri" w:hint="default"/>
                <w:sz w:val="20"/>
                <w:szCs w:val="20"/>
              </w:rPr>
            </w:pPr>
            <w:r>
              <w:rPr>
                <w:rFonts w:ascii="Calibri" w:hAnsi="Calibri"/>
                <w:sz w:val="20"/>
              </w:rPr>
              <w:t>Cronbach's α=0.84; F</w:t>
            </w:r>
            <w:r>
              <w:rPr>
                <w:rFonts w:ascii="Calibri" w:hAnsi="Calibri"/>
                <w:sz w:val="20"/>
              </w:rPr>
              <w:t>-value=328.682**;</w:t>
            </w:r>
            <w:r>
              <w:rPr>
                <w:rFonts w:ascii="Calibri" w:hAnsi="Calibri"/>
                <w:spacing w:val="-12"/>
                <w:sz w:val="20"/>
              </w:rPr>
              <w:t> </w:t>
            </w:r>
            <w:r>
              <w:rPr>
                <w:rFonts w:ascii="Calibri" w:hAnsi="Calibri"/>
                <w:sz w:val="20"/>
              </w:rPr>
              <w:t>R</w:t>
            </w:r>
            <w:r>
              <w:rPr>
                <w:rFonts w:ascii="Calibri" w:hAnsi="Calibri"/>
                <w:position w:val="7"/>
                <w:sz w:val="13"/>
              </w:rPr>
              <w:t>2</w:t>
            </w:r>
            <w:r>
              <w:rPr>
                <w:rFonts w:ascii="Calibri" w:hAnsi="Calibri"/>
                <w:sz w:val="20"/>
              </w:rPr>
              <w:t>=0.569</w:t>
            </w:r>
          </w:p>
        </w:tc>
        <w:tc>
          <w:tcPr>
            <w:tcW w:w="1278" w:type="dxa"/>
            <w:tcBorders>
              <w:top w:val="single" w:sz="4" w:space="0" w:color="000000"/>
              <w:left w:val="nil" w:sz="6" w:space="0" w:color="auto"/>
              <w:bottom w:val="nil" w:sz="6" w:space="0" w:color="auto"/>
              <w:right w:val="nil" w:sz="6" w:space="0" w:color="auto"/>
            </w:tcBorders>
          </w:tcPr>
          <w:p>
            <w:pPr/>
          </w:p>
        </w:tc>
        <w:tc>
          <w:tcPr>
            <w:tcW w:w="1483" w:type="dxa"/>
            <w:tcBorders>
              <w:top w:val="single" w:sz="4" w:space="0" w:color="000000"/>
              <w:left w:val="nil" w:sz="6" w:space="0" w:color="auto"/>
              <w:bottom w:val="nil" w:sz="6" w:space="0" w:color="auto"/>
              <w:right w:val="nil" w:sz="6" w:space="0" w:color="auto"/>
            </w:tcBorders>
          </w:tcPr>
          <w:p>
            <w:pPr/>
          </w:p>
        </w:tc>
      </w:tr>
    </w:tbl>
    <w:p>
      <w:pPr>
        <w:spacing w:line="240" w:lineRule="auto" w:before="0"/>
        <w:ind w:right="0"/>
        <w:rPr>
          <w:rFonts w:ascii="Calibri" w:hAnsi="Calibri" w:cs="Calibri" w:eastAsia="Calibri" w:hint="default"/>
          <w:b/>
          <w:bCs/>
          <w:sz w:val="17"/>
          <w:szCs w:val="17"/>
        </w:rPr>
      </w:pPr>
    </w:p>
    <w:p>
      <w:pPr>
        <w:pStyle w:val="BodyText"/>
        <w:spacing w:line="240" w:lineRule="auto" w:before="59"/>
        <w:ind w:right="1439"/>
        <w:jc w:val="both"/>
      </w:pPr>
      <w:r>
        <w:rPr/>
        <w:t>However, when considering price, quality, and value, it is noteworthy to report that tourists who have visited Curaçao do not seem to be price sensitive. Price in Table 35 has the correct sign (negative) but was not significant in</w:t>
      </w:r>
      <w:r>
        <w:rPr>
          <w:spacing w:val="-5"/>
        </w:rPr>
        <w:t> </w:t>
      </w:r>
      <w:r>
        <w:rPr/>
        <w:t>determining</w:t>
      </w:r>
      <w:r>
        <w:rPr>
          <w:spacing w:val="-8"/>
        </w:rPr>
        <w:t> </w:t>
      </w:r>
      <w:r>
        <w:rPr/>
        <w:t>overall</w:t>
      </w:r>
      <w:r>
        <w:rPr>
          <w:spacing w:val="-6"/>
        </w:rPr>
        <w:t> </w:t>
      </w:r>
      <w:r>
        <w:rPr/>
        <w:t>satisfaction.</w:t>
      </w:r>
      <w:r>
        <w:rPr>
          <w:position w:val="5"/>
          <w:sz w:val="12"/>
          <w:szCs w:val="12"/>
        </w:rPr>
        <w:t>57</w:t>
      </w:r>
      <w:r>
        <w:rPr>
          <w:spacing w:val="9"/>
          <w:position w:val="5"/>
          <w:sz w:val="12"/>
          <w:szCs w:val="12"/>
        </w:rPr>
        <w:t> </w:t>
      </w:r>
      <w:r>
        <w:rPr/>
        <w:t>This</w:t>
      </w:r>
      <w:r>
        <w:rPr>
          <w:spacing w:val="-7"/>
        </w:rPr>
        <w:t> </w:t>
      </w:r>
      <w:r>
        <w:rPr/>
        <w:t>means</w:t>
      </w:r>
      <w:r>
        <w:rPr>
          <w:spacing w:val="-6"/>
        </w:rPr>
        <w:t> </w:t>
      </w:r>
      <w:r>
        <w:rPr/>
        <w:t>that</w:t>
      </w:r>
      <w:r>
        <w:rPr>
          <w:spacing w:val="-7"/>
        </w:rPr>
        <w:t> </w:t>
      </w:r>
      <w:r>
        <w:rPr/>
        <w:t>what</w:t>
      </w:r>
      <w:r>
        <w:rPr>
          <w:spacing w:val="-5"/>
        </w:rPr>
        <w:t> </w:t>
      </w:r>
      <w:r>
        <w:rPr/>
        <w:t>drives</w:t>
      </w:r>
      <w:r>
        <w:rPr>
          <w:spacing w:val="-9"/>
        </w:rPr>
        <w:t> </w:t>
      </w:r>
      <w:r>
        <w:rPr/>
        <w:t>overall</w:t>
      </w:r>
      <w:r>
        <w:rPr>
          <w:spacing w:val="-4"/>
        </w:rPr>
        <w:t> </w:t>
      </w:r>
      <w:r>
        <w:rPr/>
        <w:t>tourist</w:t>
      </w:r>
      <w:r>
        <w:rPr>
          <w:spacing w:val="-5"/>
        </w:rPr>
        <w:t> </w:t>
      </w:r>
      <w:r>
        <w:rPr/>
        <w:t>satisfaction</w:t>
      </w:r>
      <w:r>
        <w:rPr>
          <w:spacing w:val="-4"/>
        </w:rPr>
        <w:t> </w:t>
      </w:r>
      <w:r>
        <w:rPr/>
        <w:t>for</w:t>
      </w:r>
      <w:r>
        <w:rPr>
          <w:spacing w:val="-5"/>
        </w:rPr>
        <w:t> </w:t>
      </w:r>
      <w:r>
        <w:rPr/>
        <w:t>the</w:t>
      </w:r>
      <w:r>
        <w:rPr>
          <w:spacing w:val="-8"/>
        </w:rPr>
        <w:t> </w:t>
      </w:r>
      <w:r>
        <w:rPr/>
        <w:t>Curaçao</w:t>
      </w:r>
      <w:r>
        <w:rPr>
          <w:spacing w:val="-7"/>
        </w:rPr>
        <w:t> </w:t>
      </w:r>
      <w:r>
        <w:rPr/>
        <w:t>product </w:t>
      </w:r>
      <w:r>
        <w:rPr/>
        <w:t>is quality (B=0.444) and value (B=0.289). The justification for understanding satisfaction and for monitoring the satisfaction level as it pertains to the tourist experience is sati</w:t>
      </w:r>
      <w:r>
        <w:rPr>
          <w:rFonts w:ascii="Calibri" w:hAnsi="Calibri" w:cs="Calibri" w:eastAsia="Calibri" w:hint="default"/>
        </w:rPr>
        <w:t>sfaction’s impact on the intention of the tourist to </w:t>
      </w:r>
      <w:r>
        <w:rPr/>
        <w:t>return to Curaçao. Repeat visitation is well known for its economic benefits to destinations. According to Table 37, satisfaction</w:t>
      </w:r>
      <w:r>
        <w:rPr>
          <w:spacing w:val="-4"/>
        </w:rPr>
        <w:t> </w:t>
      </w:r>
      <w:r>
        <w:rPr/>
        <w:t>explains</w:t>
      </w:r>
      <w:r>
        <w:rPr>
          <w:spacing w:val="-5"/>
        </w:rPr>
        <w:t> </w:t>
      </w:r>
      <w:r>
        <w:rPr/>
        <w:t>nearly</w:t>
      </w:r>
      <w:r>
        <w:rPr>
          <w:spacing w:val="-4"/>
        </w:rPr>
        <w:t> </w:t>
      </w:r>
      <w:r>
        <w:rPr/>
        <w:t>32%</w:t>
      </w:r>
      <w:r>
        <w:rPr>
          <w:spacing w:val="-5"/>
        </w:rPr>
        <w:t> </w:t>
      </w:r>
      <w:r>
        <w:rPr/>
        <w:t>of</w:t>
      </w:r>
      <w:r>
        <w:rPr>
          <w:spacing w:val="-5"/>
        </w:rPr>
        <w:t> </w:t>
      </w:r>
      <w:r>
        <w:rPr/>
        <w:t>the</w:t>
      </w:r>
      <w:r>
        <w:rPr>
          <w:spacing w:val="-5"/>
        </w:rPr>
        <w:t> </w:t>
      </w:r>
      <w:r>
        <w:rPr/>
        <w:t>intention</w:t>
      </w:r>
      <w:r>
        <w:rPr>
          <w:spacing w:val="-4"/>
        </w:rPr>
        <w:t> </w:t>
      </w:r>
      <w:r>
        <w:rPr/>
        <w:t>to</w:t>
      </w:r>
      <w:r>
        <w:rPr>
          <w:spacing w:val="-4"/>
        </w:rPr>
        <w:t> </w:t>
      </w:r>
      <w:r>
        <w:rPr/>
        <w:t>return</w:t>
      </w:r>
      <w:r>
        <w:rPr>
          <w:spacing w:val="-4"/>
        </w:rPr>
        <w:t> </w:t>
      </w:r>
      <w:r>
        <w:rPr/>
        <w:t>to</w:t>
      </w:r>
      <w:r>
        <w:rPr>
          <w:spacing w:val="-6"/>
        </w:rPr>
        <w:t> </w:t>
      </w:r>
      <w:r>
        <w:rPr/>
        <w:t>Curaçao,</w:t>
      </w:r>
      <w:r>
        <w:rPr>
          <w:spacing w:val="-4"/>
        </w:rPr>
        <w:t> </w:t>
      </w:r>
      <w:r>
        <w:rPr/>
        <w:t>and</w:t>
      </w:r>
      <w:r>
        <w:rPr>
          <w:spacing w:val="-4"/>
        </w:rPr>
        <w:t> </w:t>
      </w:r>
      <w:r>
        <w:rPr/>
        <w:t>has</w:t>
      </w:r>
      <w:r>
        <w:rPr>
          <w:spacing w:val="-5"/>
        </w:rPr>
        <w:t> </w:t>
      </w:r>
      <w:r>
        <w:rPr/>
        <w:t>a</w:t>
      </w:r>
      <w:r>
        <w:rPr>
          <w:spacing w:val="-6"/>
        </w:rPr>
        <w:t> </w:t>
      </w:r>
      <w:r>
        <w:rPr/>
        <w:t>high</w:t>
      </w:r>
      <w:r>
        <w:rPr>
          <w:spacing w:val="-4"/>
        </w:rPr>
        <w:t> </w:t>
      </w:r>
      <w:r>
        <w:rPr>
          <w:rFonts w:ascii="Calibri" w:hAnsi="Calibri" w:cs="Calibri" w:eastAsia="Calibri" w:hint="default"/>
        </w:rPr>
        <w:t>β</w:t>
      </w:r>
      <w:r>
        <w:rPr>
          <w:rFonts w:ascii="Calibri" w:hAnsi="Calibri" w:cs="Calibri" w:eastAsia="Calibri" w:hint="default"/>
          <w:spacing w:val="-5"/>
        </w:rPr>
        <w:t> </w:t>
      </w:r>
      <w:r>
        <w:rPr>
          <w:rFonts w:ascii="Calibri" w:hAnsi="Calibri" w:cs="Calibri" w:eastAsia="Calibri" w:hint="default"/>
        </w:rPr>
        <w:t>coefficient</w:t>
      </w:r>
      <w:r>
        <w:rPr>
          <w:rFonts w:ascii="Calibri" w:hAnsi="Calibri" w:cs="Calibri" w:eastAsia="Calibri" w:hint="default"/>
          <w:spacing w:val="-4"/>
        </w:rPr>
        <w:t> </w:t>
      </w:r>
      <w:r>
        <w:rPr>
          <w:rFonts w:ascii="Calibri" w:hAnsi="Calibri" w:cs="Calibri" w:eastAsia="Calibri" w:hint="default"/>
        </w:rPr>
        <w:t>of</w:t>
      </w:r>
      <w:r>
        <w:rPr>
          <w:rFonts w:ascii="Calibri" w:hAnsi="Calibri" w:cs="Calibri" w:eastAsia="Calibri" w:hint="default"/>
          <w:spacing w:val="-5"/>
        </w:rPr>
        <w:t> </w:t>
      </w:r>
      <w:r>
        <w:rPr>
          <w:rFonts w:ascii="Calibri" w:hAnsi="Calibri" w:cs="Calibri" w:eastAsia="Calibri" w:hint="default"/>
        </w:rPr>
        <w:t>0.360</w:t>
      </w:r>
      <w:r>
        <w:rPr>
          <w:rFonts w:ascii="Calibri" w:hAnsi="Calibri" w:cs="Calibri" w:eastAsia="Calibri" w:hint="default"/>
          <w:spacing w:val="-3"/>
        </w:rPr>
        <w:t> </w:t>
      </w:r>
      <w:r>
        <w:rPr>
          <w:rFonts w:ascii="Calibri" w:hAnsi="Calibri" w:cs="Calibri" w:eastAsia="Calibri" w:hint="default"/>
        </w:rPr>
        <w:t>(ρ&lt;0.01). </w:t>
      </w:r>
      <w:r>
        <w:rPr>
          <w:rFonts w:ascii="Calibri" w:hAnsi="Calibri" w:cs="Calibri" w:eastAsia="Calibri" w:hint="default"/>
        </w:rPr>
      </w:r>
      <w:r>
        <w:rPr/>
        <w:t>Within satisfaction, accommodation and entertainment have the highest impact on shaping repeat visitation, explaining 22% of the variance in intention to return. Restaurants, accommodations, and shopping (in order of importance) explain 20%, 19%, and 18%, respectively, of the variance in intention to return to Curaçao (see Table 37).</w:t>
      </w:r>
    </w:p>
    <w:p>
      <w:pPr>
        <w:spacing w:line="240" w:lineRule="auto" w:before="6"/>
        <w:ind w:right="0"/>
        <w:rPr>
          <w:rFonts w:ascii="Calibri" w:hAnsi="Calibri" w:cs="Calibri" w:eastAsia="Calibri" w:hint="default"/>
          <w:sz w:val="21"/>
          <w:szCs w:val="21"/>
        </w:rPr>
      </w:pPr>
    </w:p>
    <w:p>
      <w:pPr>
        <w:pStyle w:val="Heading9"/>
        <w:tabs>
          <w:tab w:pos="4896" w:val="left" w:leader="none"/>
          <w:tab w:pos="10821" w:val="left" w:leader="none"/>
        </w:tabs>
        <w:spacing w:line="240" w:lineRule="auto"/>
        <w:ind w:left="1423" w:right="0"/>
        <w:jc w:val="both"/>
        <w:rPr>
          <w:b w:val="0"/>
          <w:bCs w:val="0"/>
        </w:rPr>
      </w:pPr>
      <w:bookmarkStart w:name="_bookmark113" w:id="114"/>
      <w:bookmarkEnd w:id="114"/>
      <w:r>
        <w:rPr>
          <w:b w:val="0"/>
        </w:rPr>
      </w:r>
      <w:r>
        <w:rPr>
          <w:w w:val="99"/>
        </w:rPr>
      </w:r>
      <w:r>
        <w:rPr>
          <w:w w:val="99"/>
          <w:u w:val="single" w:color="000000"/>
        </w:rPr>
        <w:t> </w:t>
      </w:r>
      <w:r>
        <w:rPr>
          <w:u w:val="single" w:color="000000"/>
        </w:rPr>
        <w:tab/>
        <w:t>Table 35:  Overall</w:t>
      </w:r>
      <w:r>
        <w:rPr>
          <w:spacing w:val="-14"/>
          <w:u w:val="single" w:color="000000"/>
        </w:rPr>
        <w:t> </w:t>
      </w:r>
      <w:r>
        <w:rPr>
          <w:u w:val="single" w:color="000000"/>
        </w:rPr>
        <w:t>satisfaction</w:t>
        <w:tab/>
      </w:r>
      <w:r>
        <w:rPr/>
      </w:r>
      <w:r>
        <w:rPr>
          <w:b w:val="0"/>
        </w:rPr>
      </w:r>
    </w:p>
    <w:p>
      <w:pPr>
        <w:spacing w:line="240" w:lineRule="auto" w:before="7"/>
        <w:ind w:right="0"/>
        <w:rPr>
          <w:rFonts w:ascii="Calibri" w:hAnsi="Calibri" w:cs="Calibri" w:eastAsia="Calibri" w:hint="default"/>
          <w:b/>
          <w:bCs/>
          <w:sz w:val="10"/>
          <w:szCs w:val="10"/>
        </w:rPr>
      </w:pPr>
    </w:p>
    <w:tbl>
      <w:tblPr>
        <w:tblW w:w="0" w:type="auto"/>
        <w:jc w:val="left"/>
        <w:tblInd w:w="1423" w:type="dxa"/>
        <w:tblLayout w:type="fixed"/>
        <w:tblCellMar>
          <w:top w:w="0" w:type="dxa"/>
          <w:left w:w="0" w:type="dxa"/>
          <w:bottom w:w="0" w:type="dxa"/>
          <w:right w:w="0" w:type="dxa"/>
        </w:tblCellMar>
        <w:tblLook w:val="01E0"/>
      </w:tblPr>
      <w:tblGrid>
        <w:gridCol w:w="4438"/>
        <w:gridCol w:w="1715"/>
        <w:gridCol w:w="1269"/>
        <w:gridCol w:w="1975"/>
      </w:tblGrid>
      <w:tr>
        <w:trPr>
          <w:trHeight w:val="209" w:hRule="exact"/>
        </w:trPr>
        <w:tc>
          <w:tcPr>
            <w:tcW w:w="4438" w:type="dxa"/>
            <w:tcBorders>
              <w:top w:val="nil" w:sz="6" w:space="0" w:color="auto"/>
              <w:left w:val="nil" w:sz="6" w:space="0" w:color="auto"/>
              <w:bottom w:val="single" w:sz="4" w:space="0" w:color="000000"/>
              <w:right w:val="nil" w:sz="6" w:space="0" w:color="auto"/>
            </w:tcBorders>
          </w:tcPr>
          <w:p>
            <w:pPr>
              <w:pStyle w:val="TableParagraph"/>
              <w:spacing w:line="203" w:lineRule="exact"/>
              <w:ind w:left="1579" w:right="0"/>
              <w:jc w:val="left"/>
              <w:rPr>
                <w:rFonts w:ascii="Calibri" w:hAnsi="Calibri" w:cs="Calibri" w:eastAsia="Calibri" w:hint="default"/>
                <w:sz w:val="20"/>
                <w:szCs w:val="20"/>
              </w:rPr>
            </w:pPr>
            <w:r>
              <w:rPr>
                <w:rFonts w:ascii="Calibri"/>
                <w:b/>
                <w:sz w:val="20"/>
              </w:rPr>
              <w:t>Independent</w:t>
            </w:r>
            <w:r>
              <w:rPr>
                <w:rFonts w:ascii="Calibri"/>
                <w:b/>
                <w:spacing w:val="-13"/>
                <w:sz w:val="20"/>
              </w:rPr>
              <w:t> </w:t>
            </w:r>
            <w:r>
              <w:rPr>
                <w:rFonts w:ascii="Calibri"/>
                <w:b/>
                <w:sz w:val="20"/>
              </w:rPr>
              <w:t>Variable</w:t>
            </w:r>
            <w:r>
              <w:rPr>
                <w:rFonts w:ascii="Calibri"/>
                <w:sz w:val="20"/>
              </w:rPr>
            </w:r>
          </w:p>
        </w:tc>
        <w:tc>
          <w:tcPr>
            <w:tcW w:w="1715" w:type="dxa"/>
            <w:tcBorders>
              <w:top w:val="nil" w:sz="6" w:space="0" w:color="auto"/>
              <w:left w:val="nil" w:sz="6" w:space="0" w:color="auto"/>
              <w:bottom w:val="single" w:sz="4" w:space="0" w:color="000000"/>
              <w:right w:val="nil" w:sz="6" w:space="0" w:color="auto"/>
            </w:tcBorders>
          </w:tcPr>
          <w:p>
            <w:pPr>
              <w:pStyle w:val="TableParagraph"/>
              <w:spacing w:line="203" w:lineRule="exact"/>
              <w:ind w:right="177"/>
              <w:jc w:val="right"/>
              <w:rPr>
                <w:rFonts w:ascii="Calibri" w:hAnsi="Calibri" w:cs="Calibri" w:eastAsia="Calibri" w:hint="default"/>
                <w:sz w:val="20"/>
                <w:szCs w:val="20"/>
              </w:rPr>
            </w:pPr>
            <w:r>
              <w:rPr>
                <w:rFonts w:ascii="Calibri"/>
                <w:b/>
                <w:w w:val="95"/>
                <w:sz w:val="20"/>
              </w:rPr>
              <w:t>Mean</w:t>
            </w:r>
            <w:r>
              <w:rPr>
                <w:rFonts w:ascii="Calibri"/>
                <w:sz w:val="20"/>
              </w:rPr>
            </w:r>
          </w:p>
        </w:tc>
        <w:tc>
          <w:tcPr>
            <w:tcW w:w="1269" w:type="dxa"/>
            <w:tcBorders>
              <w:top w:val="nil" w:sz="6" w:space="0" w:color="auto"/>
              <w:left w:val="nil" w:sz="6" w:space="0" w:color="auto"/>
              <w:bottom w:val="single" w:sz="4" w:space="0" w:color="000000"/>
              <w:right w:val="nil" w:sz="6" w:space="0" w:color="auto"/>
            </w:tcBorders>
          </w:tcPr>
          <w:p>
            <w:pPr>
              <w:pStyle w:val="TableParagraph"/>
              <w:spacing w:line="203" w:lineRule="exact"/>
              <w:ind w:right="292"/>
              <w:jc w:val="center"/>
              <w:rPr>
                <w:rFonts w:ascii="Calibri" w:hAnsi="Calibri" w:cs="Calibri" w:eastAsia="Calibri" w:hint="default"/>
                <w:sz w:val="20"/>
                <w:szCs w:val="20"/>
              </w:rPr>
            </w:pPr>
            <w:r>
              <w:rPr>
                <w:rFonts w:ascii="Calibri"/>
                <w:b/>
                <w:sz w:val="20"/>
              </w:rPr>
              <w:t>(SD)</w:t>
            </w:r>
            <w:r>
              <w:rPr>
                <w:rFonts w:ascii="Calibri"/>
                <w:sz w:val="20"/>
              </w:rPr>
            </w:r>
          </w:p>
        </w:tc>
        <w:tc>
          <w:tcPr>
            <w:tcW w:w="1975" w:type="dxa"/>
            <w:tcBorders>
              <w:top w:val="nil" w:sz="6" w:space="0" w:color="auto"/>
              <w:left w:val="nil" w:sz="6" w:space="0" w:color="auto"/>
              <w:bottom w:val="single" w:sz="4" w:space="0" w:color="000000"/>
              <w:right w:val="nil" w:sz="6" w:space="0" w:color="auto"/>
            </w:tcBorders>
          </w:tcPr>
          <w:p>
            <w:pPr>
              <w:pStyle w:val="TableParagraph"/>
              <w:spacing w:line="203" w:lineRule="exact"/>
              <w:ind w:left="993" w:right="0"/>
              <w:jc w:val="left"/>
              <w:rPr>
                <w:rFonts w:ascii="Calibri" w:hAnsi="Calibri" w:cs="Calibri" w:eastAsia="Calibri" w:hint="default"/>
                <w:sz w:val="20"/>
                <w:szCs w:val="20"/>
              </w:rPr>
            </w:pPr>
            <w:r>
              <w:rPr>
                <w:rFonts w:ascii="Calibri" w:hAnsi="Calibri"/>
                <w:b/>
                <w:sz w:val="20"/>
              </w:rPr>
              <w:t>Std.</w:t>
            </w:r>
            <w:r>
              <w:rPr>
                <w:rFonts w:ascii="Calibri" w:hAnsi="Calibri"/>
                <w:b/>
                <w:spacing w:val="-3"/>
                <w:sz w:val="20"/>
              </w:rPr>
              <w:t> </w:t>
            </w:r>
            <w:r>
              <w:rPr>
                <w:rFonts w:ascii="Calibri" w:hAnsi="Calibri"/>
                <w:b/>
                <w:sz w:val="20"/>
              </w:rPr>
              <w:t>β</w:t>
            </w:r>
            <w:r>
              <w:rPr>
                <w:rFonts w:ascii="Calibri" w:hAnsi="Calibri"/>
                <w:sz w:val="20"/>
              </w:rPr>
            </w:r>
          </w:p>
        </w:tc>
      </w:tr>
      <w:tr>
        <w:trPr>
          <w:trHeight w:val="307" w:hRule="exact"/>
        </w:trPr>
        <w:tc>
          <w:tcPr>
            <w:tcW w:w="4438" w:type="dxa"/>
            <w:tcBorders>
              <w:top w:val="single" w:sz="4" w:space="0" w:color="000000"/>
              <w:left w:val="nil" w:sz="6" w:space="0" w:color="auto"/>
              <w:bottom w:val="nil" w:sz="6" w:space="0" w:color="auto"/>
              <w:right w:val="nil" w:sz="6" w:space="0" w:color="auto"/>
            </w:tcBorders>
          </w:tcPr>
          <w:p>
            <w:pPr>
              <w:pStyle w:val="TableParagraph"/>
              <w:spacing w:line="240" w:lineRule="auto" w:before="25"/>
              <w:ind w:left="14" w:right="0"/>
              <w:jc w:val="left"/>
              <w:rPr>
                <w:rFonts w:ascii="Calibri" w:hAnsi="Calibri" w:cs="Calibri" w:eastAsia="Calibri" w:hint="default"/>
                <w:sz w:val="20"/>
                <w:szCs w:val="20"/>
              </w:rPr>
            </w:pPr>
            <w:r>
              <w:rPr>
                <w:rFonts w:ascii="Calibri"/>
                <w:sz w:val="20"/>
              </w:rPr>
              <w:t>Overall Price</w:t>
            </w:r>
            <w:r>
              <w:rPr>
                <w:rFonts w:ascii="Calibri"/>
                <w:spacing w:val="-12"/>
                <w:sz w:val="20"/>
              </w:rPr>
              <w:t> </w:t>
            </w:r>
            <w:r>
              <w:rPr>
                <w:rFonts w:ascii="Calibri"/>
                <w:sz w:val="20"/>
              </w:rPr>
              <w:t>Perception</w:t>
            </w:r>
          </w:p>
        </w:tc>
        <w:tc>
          <w:tcPr>
            <w:tcW w:w="1715" w:type="dxa"/>
            <w:tcBorders>
              <w:top w:val="single" w:sz="4" w:space="0" w:color="000000"/>
              <w:left w:val="nil" w:sz="6" w:space="0" w:color="auto"/>
              <w:bottom w:val="nil" w:sz="6" w:space="0" w:color="auto"/>
              <w:right w:val="nil" w:sz="6" w:space="0" w:color="auto"/>
            </w:tcBorders>
          </w:tcPr>
          <w:p>
            <w:pPr>
              <w:pStyle w:val="TableParagraph"/>
              <w:spacing w:line="240" w:lineRule="auto" w:before="16"/>
              <w:ind w:right="264"/>
              <w:jc w:val="right"/>
              <w:rPr>
                <w:rFonts w:ascii="Calibri" w:hAnsi="Calibri" w:cs="Calibri" w:eastAsia="Calibri" w:hint="default"/>
                <w:sz w:val="20"/>
                <w:szCs w:val="20"/>
              </w:rPr>
            </w:pPr>
            <w:r>
              <w:rPr>
                <w:rFonts w:ascii="Calibri"/>
                <w:w w:val="95"/>
                <w:sz w:val="20"/>
              </w:rPr>
              <w:t>4.23</w:t>
            </w:r>
            <w:r>
              <w:rPr>
                <w:rFonts w:ascii="Calibri"/>
                <w:sz w:val="20"/>
              </w:rPr>
            </w:r>
          </w:p>
        </w:tc>
        <w:tc>
          <w:tcPr>
            <w:tcW w:w="1269" w:type="dxa"/>
            <w:tcBorders>
              <w:top w:val="single" w:sz="4" w:space="0" w:color="000000"/>
              <w:left w:val="nil" w:sz="6" w:space="0" w:color="auto"/>
              <w:bottom w:val="nil" w:sz="6" w:space="0" w:color="auto"/>
              <w:right w:val="nil" w:sz="6" w:space="0" w:color="auto"/>
            </w:tcBorders>
          </w:tcPr>
          <w:p>
            <w:pPr>
              <w:pStyle w:val="TableParagraph"/>
              <w:spacing w:line="240" w:lineRule="auto" w:before="16"/>
              <w:ind w:right="329"/>
              <w:jc w:val="center"/>
              <w:rPr>
                <w:rFonts w:ascii="Calibri" w:hAnsi="Calibri" w:cs="Calibri" w:eastAsia="Calibri" w:hint="default"/>
                <w:sz w:val="20"/>
                <w:szCs w:val="20"/>
              </w:rPr>
            </w:pPr>
            <w:r>
              <w:rPr>
                <w:rFonts w:ascii="Calibri"/>
                <w:sz w:val="20"/>
              </w:rPr>
              <w:t>(0.927)</w:t>
            </w:r>
          </w:p>
        </w:tc>
        <w:tc>
          <w:tcPr>
            <w:tcW w:w="1975" w:type="dxa"/>
            <w:tcBorders>
              <w:top w:val="single" w:sz="4" w:space="0" w:color="000000"/>
              <w:left w:val="nil" w:sz="6" w:space="0" w:color="auto"/>
              <w:bottom w:val="nil" w:sz="6" w:space="0" w:color="auto"/>
              <w:right w:val="nil" w:sz="6" w:space="0" w:color="auto"/>
            </w:tcBorders>
          </w:tcPr>
          <w:p>
            <w:pPr>
              <w:pStyle w:val="TableParagraph"/>
              <w:spacing w:line="240" w:lineRule="auto" w:before="16"/>
              <w:ind w:left="511" w:right="0"/>
              <w:jc w:val="left"/>
              <w:rPr>
                <w:rFonts w:ascii="Calibri" w:hAnsi="Calibri" w:cs="Calibri" w:eastAsia="Calibri" w:hint="default"/>
                <w:sz w:val="20"/>
                <w:szCs w:val="20"/>
              </w:rPr>
            </w:pPr>
            <w:r>
              <w:rPr>
                <w:rFonts w:ascii="Calibri"/>
                <w:sz w:val="20"/>
              </w:rPr>
              <w:t>-0.031</w:t>
            </w:r>
          </w:p>
        </w:tc>
      </w:tr>
      <w:tr>
        <w:trPr>
          <w:trHeight w:val="281" w:hRule="exact"/>
        </w:trPr>
        <w:tc>
          <w:tcPr>
            <w:tcW w:w="4438" w:type="dxa"/>
            <w:tcBorders>
              <w:top w:val="nil" w:sz="6" w:space="0" w:color="auto"/>
              <w:left w:val="nil" w:sz="6" w:space="0" w:color="auto"/>
              <w:bottom w:val="nil" w:sz="6" w:space="0" w:color="auto"/>
              <w:right w:val="nil" w:sz="6" w:space="0" w:color="auto"/>
            </w:tcBorders>
          </w:tcPr>
          <w:p>
            <w:pPr>
              <w:pStyle w:val="TableParagraph"/>
              <w:spacing w:line="240" w:lineRule="auto" w:before="4"/>
              <w:ind w:left="14" w:right="0"/>
              <w:jc w:val="left"/>
              <w:rPr>
                <w:rFonts w:ascii="Calibri" w:hAnsi="Calibri" w:cs="Calibri" w:eastAsia="Calibri" w:hint="default"/>
                <w:sz w:val="20"/>
                <w:szCs w:val="20"/>
              </w:rPr>
            </w:pPr>
            <w:r>
              <w:rPr>
                <w:rFonts w:ascii="Calibri"/>
                <w:sz w:val="20"/>
              </w:rPr>
              <w:t>Overall Quality</w:t>
            </w:r>
            <w:r>
              <w:rPr>
                <w:rFonts w:ascii="Calibri"/>
                <w:spacing w:val="-14"/>
                <w:sz w:val="20"/>
              </w:rPr>
              <w:t> </w:t>
            </w:r>
            <w:r>
              <w:rPr>
                <w:rFonts w:ascii="Calibri"/>
                <w:sz w:val="20"/>
              </w:rPr>
              <w:t>Perception</w:t>
            </w:r>
          </w:p>
        </w:tc>
        <w:tc>
          <w:tcPr>
            <w:tcW w:w="1715" w:type="dxa"/>
            <w:tcBorders>
              <w:top w:val="nil" w:sz="6" w:space="0" w:color="auto"/>
              <w:left w:val="nil" w:sz="6" w:space="0" w:color="auto"/>
              <w:bottom w:val="nil" w:sz="6" w:space="0" w:color="auto"/>
              <w:right w:val="nil" w:sz="6" w:space="0" w:color="auto"/>
            </w:tcBorders>
          </w:tcPr>
          <w:p>
            <w:pPr>
              <w:pStyle w:val="TableParagraph"/>
              <w:spacing w:line="239" w:lineRule="exact"/>
              <w:ind w:right="264"/>
              <w:jc w:val="right"/>
              <w:rPr>
                <w:rFonts w:ascii="Calibri" w:hAnsi="Calibri" w:cs="Calibri" w:eastAsia="Calibri" w:hint="default"/>
                <w:sz w:val="20"/>
                <w:szCs w:val="20"/>
              </w:rPr>
            </w:pPr>
            <w:r>
              <w:rPr>
                <w:rFonts w:ascii="Calibri"/>
                <w:w w:val="95"/>
                <w:sz w:val="20"/>
              </w:rPr>
              <w:t>4.70</w:t>
            </w:r>
            <w:r>
              <w:rPr>
                <w:rFonts w:ascii="Calibri"/>
                <w:sz w:val="20"/>
              </w:rPr>
            </w:r>
          </w:p>
        </w:tc>
        <w:tc>
          <w:tcPr>
            <w:tcW w:w="1269" w:type="dxa"/>
            <w:tcBorders>
              <w:top w:val="nil" w:sz="6" w:space="0" w:color="auto"/>
              <w:left w:val="nil" w:sz="6" w:space="0" w:color="auto"/>
              <w:bottom w:val="nil" w:sz="6" w:space="0" w:color="auto"/>
              <w:right w:val="nil" w:sz="6" w:space="0" w:color="auto"/>
            </w:tcBorders>
          </w:tcPr>
          <w:p>
            <w:pPr>
              <w:pStyle w:val="TableParagraph"/>
              <w:spacing w:line="239" w:lineRule="exact"/>
              <w:ind w:right="332"/>
              <w:jc w:val="center"/>
              <w:rPr>
                <w:rFonts w:ascii="Calibri" w:hAnsi="Calibri" w:cs="Calibri" w:eastAsia="Calibri" w:hint="default"/>
                <w:sz w:val="20"/>
                <w:szCs w:val="20"/>
              </w:rPr>
            </w:pPr>
            <w:r>
              <w:rPr>
                <w:rFonts w:ascii="Calibri"/>
                <w:sz w:val="20"/>
              </w:rPr>
              <w:t>(0.952)</w:t>
            </w:r>
          </w:p>
        </w:tc>
        <w:tc>
          <w:tcPr>
            <w:tcW w:w="1975" w:type="dxa"/>
            <w:tcBorders>
              <w:top w:val="nil" w:sz="6" w:space="0" w:color="auto"/>
              <w:left w:val="nil" w:sz="6" w:space="0" w:color="auto"/>
              <w:bottom w:val="nil" w:sz="6" w:space="0" w:color="auto"/>
              <w:right w:val="nil" w:sz="6" w:space="0" w:color="auto"/>
            </w:tcBorders>
          </w:tcPr>
          <w:p>
            <w:pPr>
              <w:pStyle w:val="TableParagraph"/>
              <w:spacing w:line="239" w:lineRule="exact"/>
              <w:ind w:left="556" w:right="0"/>
              <w:jc w:val="left"/>
              <w:rPr>
                <w:rFonts w:ascii="Calibri" w:hAnsi="Calibri" w:cs="Calibri" w:eastAsia="Calibri" w:hint="default"/>
                <w:sz w:val="20"/>
                <w:szCs w:val="20"/>
              </w:rPr>
            </w:pPr>
            <w:r>
              <w:rPr>
                <w:rFonts w:ascii="Calibri"/>
                <w:sz w:val="20"/>
              </w:rPr>
              <w:t>0.444**</w:t>
            </w:r>
          </w:p>
        </w:tc>
      </w:tr>
      <w:tr>
        <w:trPr>
          <w:trHeight w:val="255" w:hRule="exact"/>
        </w:trPr>
        <w:tc>
          <w:tcPr>
            <w:tcW w:w="4438" w:type="dxa"/>
            <w:tcBorders>
              <w:top w:val="nil" w:sz="6" w:space="0" w:color="auto"/>
              <w:left w:val="nil" w:sz="6" w:space="0" w:color="auto"/>
              <w:bottom w:val="single" w:sz="4" w:space="0" w:color="000000"/>
              <w:right w:val="nil" w:sz="6" w:space="0" w:color="auto"/>
            </w:tcBorders>
          </w:tcPr>
          <w:p>
            <w:pPr>
              <w:pStyle w:val="TableParagraph"/>
              <w:spacing w:line="240" w:lineRule="auto" w:before="4"/>
              <w:ind w:left="14" w:right="0"/>
              <w:jc w:val="left"/>
              <w:rPr>
                <w:rFonts w:ascii="Calibri" w:hAnsi="Calibri" w:cs="Calibri" w:eastAsia="Calibri" w:hint="default"/>
                <w:sz w:val="20"/>
                <w:szCs w:val="20"/>
              </w:rPr>
            </w:pPr>
            <w:r>
              <w:rPr>
                <w:rFonts w:ascii="Calibri"/>
                <w:sz w:val="20"/>
              </w:rPr>
              <w:t>Overall Value</w:t>
            </w:r>
            <w:r>
              <w:rPr>
                <w:rFonts w:ascii="Calibri"/>
                <w:spacing w:val="-13"/>
                <w:sz w:val="20"/>
              </w:rPr>
              <w:t> </w:t>
            </w:r>
            <w:r>
              <w:rPr>
                <w:rFonts w:ascii="Calibri"/>
                <w:sz w:val="20"/>
              </w:rPr>
              <w:t>Perception</w:t>
            </w:r>
          </w:p>
        </w:tc>
        <w:tc>
          <w:tcPr>
            <w:tcW w:w="1715" w:type="dxa"/>
            <w:tcBorders>
              <w:top w:val="nil" w:sz="6" w:space="0" w:color="auto"/>
              <w:left w:val="nil" w:sz="6" w:space="0" w:color="auto"/>
              <w:bottom w:val="single" w:sz="4" w:space="0" w:color="000000"/>
              <w:right w:val="nil" w:sz="6" w:space="0" w:color="auto"/>
            </w:tcBorders>
          </w:tcPr>
          <w:p>
            <w:pPr>
              <w:pStyle w:val="TableParagraph"/>
              <w:spacing w:line="239" w:lineRule="exact"/>
              <w:ind w:right="264"/>
              <w:jc w:val="right"/>
              <w:rPr>
                <w:rFonts w:ascii="Calibri" w:hAnsi="Calibri" w:cs="Calibri" w:eastAsia="Calibri" w:hint="default"/>
                <w:sz w:val="20"/>
                <w:szCs w:val="20"/>
              </w:rPr>
            </w:pPr>
            <w:r>
              <w:rPr>
                <w:rFonts w:ascii="Calibri"/>
                <w:w w:val="95"/>
                <w:sz w:val="20"/>
              </w:rPr>
              <w:t>4.39</w:t>
            </w:r>
            <w:r>
              <w:rPr>
                <w:rFonts w:ascii="Calibri"/>
                <w:sz w:val="20"/>
              </w:rPr>
            </w:r>
          </w:p>
        </w:tc>
        <w:tc>
          <w:tcPr>
            <w:tcW w:w="1269" w:type="dxa"/>
            <w:tcBorders>
              <w:top w:val="nil" w:sz="6" w:space="0" w:color="auto"/>
              <w:left w:val="nil" w:sz="6" w:space="0" w:color="auto"/>
              <w:bottom w:val="single" w:sz="4" w:space="0" w:color="000000"/>
              <w:right w:val="nil" w:sz="6" w:space="0" w:color="auto"/>
            </w:tcBorders>
          </w:tcPr>
          <w:p>
            <w:pPr>
              <w:pStyle w:val="TableParagraph"/>
              <w:spacing w:line="239" w:lineRule="exact"/>
              <w:ind w:right="332"/>
              <w:jc w:val="center"/>
              <w:rPr>
                <w:rFonts w:ascii="Calibri" w:hAnsi="Calibri" w:cs="Calibri" w:eastAsia="Calibri" w:hint="default"/>
                <w:sz w:val="20"/>
                <w:szCs w:val="20"/>
              </w:rPr>
            </w:pPr>
            <w:r>
              <w:rPr>
                <w:rFonts w:ascii="Calibri"/>
                <w:sz w:val="20"/>
              </w:rPr>
              <w:t>(0.969)</w:t>
            </w:r>
          </w:p>
        </w:tc>
        <w:tc>
          <w:tcPr>
            <w:tcW w:w="1975" w:type="dxa"/>
            <w:tcBorders>
              <w:top w:val="nil" w:sz="6" w:space="0" w:color="auto"/>
              <w:left w:val="nil" w:sz="6" w:space="0" w:color="auto"/>
              <w:bottom w:val="single" w:sz="4" w:space="0" w:color="000000"/>
              <w:right w:val="nil" w:sz="6" w:space="0" w:color="auto"/>
            </w:tcBorders>
          </w:tcPr>
          <w:p>
            <w:pPr>
              <w:pStyle w:val="TableParagraph"/>
              <w:spacing w:line="239" w:lineRule="exact"/>
              <w:ind w:left="556" w:right="0"/>
              <w:jc w:val="left"/>
              <w:rPr>
                <w:rFonts w:ascii="Calibri" w:hAnsi="Calibri" w:cs="Calibri" w:eastAsia="Calibri" w:hint="default"/>
                <w:sz w:val="20"/>
                <w:szCs w:val="20"/>
              </w:rPr>
            </w:pPr>
            <w:r>
              <w:rPr>
                <w:rFonts w:ascii="Calibri"/>
                <w:sz w:val="20"/>
              </w:rPr>
              <w:t>0.289**</w:t>
            </w:r>
          </w:p>
        </w:tc>
      </w:tr>
      <w:tr>
        <w:trPr>
          <w:trHeight w:val="261" w:hRule="exact"/>
        </w:trPr>
        <w:tc>
          <w:tcPr>
            <w:tcW w:w="4438" w:type="dxa"/>
            <w:tcBorders>
              <w:top w:val="single" w:sz="4" w:space="0" w:color="000000"/>
              <w:left w:val="nil" w:sz="6" w:space="0" w:color="auto"/>
              <w:bottom w:val="nil" w:sz="6" w:space="0" w:color="auto"/>
              <w:right w:val="nil" w:sz="6" w:space="0" w:color="auto"/>
            </w:tcBorders>
          </w:tcPr>
          <w:p>
            <w:pPr>
              <w:pStyle w:val="TableParagraph"/>
              <w:spacing w:line="240" w:lineRule="auto" w:before="12"/>
              <w:ind w:left="14" w:right="0"/>
              <w:jc w:val="left"/>
              <w:rPr>
                <w:rFonts w:ascii="Calibri" w:hAnsi="Calibri" w:cs="Calibri" w:eastAsia="Calibri" w:hint="default"/>
                <w:sz w:val="20"/>
                <w:szCs w:val="20"/>
              </w:rPr>
            </w:pPr>
            <w:r>
              <w:rPr>
                <w:rFonts w:ascii="Calibri"/>
                <w:sz w:val="20"/>
              </w:rPr>
              <w:t>F-value=461.606**;</w:t>
            </w:r>
            <w:r>
              <w:rPr>
                <w:rFonts w:ascii="Calibri"/>
                <w:spacing w:val="-9"/>
                <w:sz w:val="20"/>
              </w:rPr>
              <w:t> </w:t>
            </w:r>
            <w:r>
              <w:rPr>
                <w:rFonts w:ascii="Calibri"/>
                <w:sz w:val="20"/>
              </w:rPr>
              <w:t>R</w:t>
            </w:r>
            <w:r>
              <w:rPr>
                <w:rFonts w:ascii="Calibri"/>
                <w:position w:val="7"/>
                <w:sz w:val="13"/>
              </w:rPr>
              <w:t>2</w:t>
            </w:r>
            <w:r>
              <w:rPr>
                <w:rFonts w:ascii="Calibri"/>
                <w:sz w:val="20"/>
              </w:rPr>
              <w:t>=0.443</w:t>
            </w:r>
          </w:p>
        </w:tc>
        <w:tc>
          <w:tcPr>
            <w:tcW w:w="1715" w:type="dxa"/>
            <w:tcBorders>
              <w:top w:val="single" w:sz="4" w:space="0" w:color="000000"/>
              <w:left w:val="nil" w:sz="6" w:space="0" w:color="auto"/>
              <w:bottom w:val="nil" w:sz="6" w:space="0" w:color="auto"/>
              <w:right w:val="nil" w:sz="6" w:space="0" w:color="auto"/>
            </w:tcBorders>
          </w:tcPr>
          <w:p>
            <w:pPr/>
          </w:p>
        </w:tc>
        <w:tc>
          <w:tcPr>
            <w:tcW w:w="1269" w:type="dxa"/>
            <w:tcBorders>
              <w:top w:val="single" w:sz="4" w:space="0" w:color="000000"/>
              <w:left w:val="nil" w:sz="6" w:space="0" w:color="auto"/>
              <w:bottom w:val="nil" w:sz="6" w:space="0" w:color="auto"/>
              <w:right w:val="nil" w:sz="6" w:space="0" w:color="auto"/>
            </w:tcBorders>
          </w:tcPr>
          <w:p>
            <w:pPr/>
          </w:p>
        </w:tc>
        <w:tc>
          <w:tcPr>
            <w:tcW w:w="1975" w:type="dxa"/>
            <w:tcBorders>
              <w:top w:val="single" w:sz="4" w:space="0" w:color="000000"/>
              <w:left w:val="nil" w:sz="6" w:space="0" w:color="auto"/>
              <w:bottom w:val="nil" w:sz="6" w:space="0" w:color="auto"/>
              <w:right w:val="nil" w:sz="6" w:space="0" w:color="auto"/>
            </w:tcBorders>
          </w:tcPr>
          <w:p>
            <w:pPr/>
          </w:p>
        </w:tc>
      </w:tr>
    </w:tbl>
    <w:p>
      <w:pPr>
        <w:spacing w:line="240" w:lineRule="auto" w:before="0"/>
        <w:ind w:right="0"/>
        <w:rPr>
          <w:rFonts w:ascii="Calibri" w:hAnsi="Calibri" w:cs="Calibri" w:eastAsia="Calibri" w:hint="default"/>
          <w:b/>
          <w:bCs/>
          <w:sz w:val="20"/>
          <w:szCs w:val="20"/>
        </w:rPr>
      </w:pPr>
    </w:p>
    <w:p>
      <w:pPr>
        <w:spacing w:line="240" w:lineRule="auto" w:before="12" w:after="0"/>
        <w:ind w:right="0"/>
        <w:rPr>
          <w:rFonts w:ascii="Calibri" w:hAnsi="Calibri" w:cs="Calibri" w:eastAsia="Calibri" w:hint="default"/>
          <w:b/>
          <w:bCs/>
          <w:sz w:val="20"/>
          <w:szCs w:val="20"/>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line="242" w:lineRule="auto" w:before="91"/>
        <w:ind w:left="1440" w:right="1581" w:firstLine="0"/>
        <w:jc w:val="left"/>
        <w:rPr>
          <w:rFonts w:ascii="Calibri" w:hAnsi="Calibri" w:cs="Calibri" w:eastAsia="Calibri" w:hint="default"/>
          <w:sz w:val="16"/>
          <w:szCs w:val="16"/>
        </w:rPr>
      </w:pPr>
      <w:r>
        <w:rPr>
          <w:rFonts w:ascii="Calibri" w:hAnsi="Calibri"/>
          <w:position w:val="5"/>
          <w:sz w:val="12"/>
        </w:rPr>
        <w:t>57 </w:t>
      </w:r>
      <w:r>
        <w:rPr>
          <w:rFonts w:ascii="Calibri" w:hAnsi="Calibri"/>
          <w:sz w:val="16"/>
        </w:rPr>
        <w:t>Price inelasticities have been found in multiple studies in tourism demand. In the case of Curaçao, see Berkhout, E., (2007). An econometric </w:t>
      </w:r>
      <w:r>
        <w:rPr>
          <w:rFonts w:ascii="Calibri" w:hAnsi="Calibri"/>
          <w:sz w:val="16"/>
        </w:rPr>
        <w:t>analysis of tourism inflow in Curaçao: Can tourism price indices help us out? SEO Economisch Onderzoek. Paper presented on the 1st Conference</w:t>
      </w:r>
      <w:r>
        <w:rPr>
          <w:rFonts w:ascii="Calibri" w:hAnsi="Calibri"/>
          <w:spacing w:val="-3"/>
          <w:sz w:val="16"/>
        </w:rPr>
        <w:t> </w:t>
      </w:r>
      <w:r>
        <w:rPr>
          <w:rFonts w:ascii="Calibri" w:hAnsi="Calibri"/>
          <w:sz w:val="16"/>
        </w:rPr>
        <w:t>of</w:t>
      </w:r>
      <w:r>
        <w:rPr>
          <w:rFonts w:ascii="Calibri" w:hAnsi="Calibri"/>
          <w:spacing w:val="-3"/>
          <w:sz w:val="16"/>
        </w:rPr>
        <w:t> </w:t>
      </w:r>
      <w:r>
        <w:rPr>
          <w:rFonts w:ascii="Calibri" w:hAnsi="Calibri"/>
          <w:sz w:val="16"/>
        </w:rPr>
        <w:t>the</w:t>
      </w:r>
      <w:r>
        <w:rPr>
          <w:rFonts w:ascii="Calibri" w:hAnsi="Calibri"/>
          <w:spacing w:val="-4"/>
          <w:sz w:val="16"/>
        </w:rPr>
        <w:t> </w:t>
      </w:r>
      <w:r>
        <w:rPr>
          <w:rFonts w:ascii="Calibri" w:hAnsi="Calibri"/>
          <w:sz w:val="16"/>
        </w:rPr>
        <w:t>International</w:t>
      </w:r>
      <w:r>
        <w:rPr>
          <w:rFonts w:ascii="Calibri" w:hAnsi="Calibri"/>
          <w:spacing w:val="-3"/>
          <w:sz w:val="16"/>
        </w:rPr>
        <w:t> </w:t>
      </w:r>
      <w:r>
        <w:rPr>
          <w:rFonts w:ascii="Calibri" w:hAnsi="Calibri"/>
          <w:sz w:val="16"/>
        </w:rPr>
        <w:t>Association</w:t>
      </w:r>
      <w:r>
        <w:rPr>
          <w:rFonts w:ascii="Calibri" w:hAnsi="Calibri"/>
          <w:spacing w:val="-1"/>
          <w:sz w:val="16"/>
        </w:rPr>
        <w:t> </w:t>
      </w:r>
      <w:r>
        <w:rPr>
          <w:rFonts w:ascii="Calibri" w:hAnsi="Calibri"/>
          <w:sz w:val="16"/>
        </w:rPr>
        <w:t>for</w:t>
      </w:r>
      <w:r>
        <w:rPr>
          <w:rFonts w:ascii="Calibri" w:hAnsi="Calibri"/>
          <w:spacing w:val="-3"/>
          <w:sz w:val="16"/>
        </w:rPr>
        <w:t> </w:t>
      </w:r>
      <w:r>
        <w:rPr>
          <w:rFonts w:ascii="Calibri" w:hAnsi="Calibri"/>
          <w:sz w:val="16"/>
        </w:rPr>
        <w:t>Tourism</w:t>
      </w:r>
      <w:r>
        <w:rPr>
          <w:rFonts w:ascii="Calibri" w:hAnsi="Calibri"/>
          <w:spacing w:val="-2"/>
          <w:sz w:val="16"/>
        </w:rPr>
        <w:t> </w:t>
      </w:r>
      <w:r>
        <w:rPr>
          <w:rFonts w:ascii="Calibri" w:hAnsi="Calibri"/>
          <w:sz w:val="16"/>
        </w:rPr>
        <w:t>Economics,</w:t>
      </w:r>
      <w:r>
        <w:rPr>
          <w:rFonts w:ascii="Calibri" w:hAnsi="Calibri"/>
          <w:spacing w:val="-2"/>
          <w:sz w:val="16"/>
        </w:rPr>
        <w:t> </w:t>
      </w:r>
      <w:r>
        <w:rPr>
          <w:rFonts w:ascii="Calibri" w:hAnsi="Calibri"/>
          <w:sz w:val="16"/>
        </w:rPr>
        <w:t>Mallorca,</w:t>
      </w:r>
      <w:r>
        <w:rPr>
          <w:rFonts w:ascii="Calibri" w:hAnsi="Calibri"/>
          <w:spacing w:val="-2"/>
          <w:sz w:val="16"/>
        </w:rPr>
        <w:t> </w:t>
      </w:r>
      <w:r>
        <w:rPr>
          <w:rFonts w:ascii="Calibri" w:hAnsi="Calibri"/>
          <w:sz w:val="16"/>
        </w:rPr>
        <w:t>October</w:t>
      </w:r>
      <w:r>
        <w:rPr>
          <w:rFonts w:ascii="Calibri" w:hAnsi="Calibri"/>
          <w:spacing w:val="-3"/>
          <w:sz w:val="16"/>
        </w:rPr>
        <w:t> </w:t>
      </w:r>
      <w:r>
        <w:rPr>
          <w:rFonts w:ascii="Calibri" w:hAnsi="Calibri"/>
          <w:sz w:val="16"/>
        </w:rPr>
        <w:t>25-27,</w:t>
      </w:r>
      <w:r>
        <w:rPr>
          <w:rFonts w:ascii="Calibri" w:hAnsi="Calibri"/>
          <w:spacing w:val="-2"/>
          <w:sz w:val="16"/>
        </w:rPr>
        <w:t> </w:t>
      </w:r>
      <w:r>
        <w:rPr>
          <w:rFonts w:ascii="Calibri" w:hAnsi="Calibri"/>
          <w:sz w:val="16"/>
        </w:rPr>
        <w:t>2007.</w:t>
      </w:r>
    </w:p>
    <w:p>
      <w:pPr>
        <w:spacing w:after="0" w:line="242" w:lineRule="auto"/>
        <w:jc w:val="left"/>
        <w:rPr>
          <w:rFonts w:ascii="Calibri" w:hAnsi="Calibri" w:cs="Calibri" w:eastAsia="Calibri" w:hint="default"/>
          <w:sz w:val="16"/>
          <w:szCs w:val="16"/>
        </w:rPr>
        <w:sectPr>
          <w:footerReference w:type="default" r:id="rId55"/>
          <w:pgSz w:w="12240" w:h="15840"/>
          <w:pgMar w:footer="533" w:header="0"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Heading9"/>
        <w:tabs>
          <w:tab w:pos="4448" w:val="left" w:leader="none"/>
          <w:tab w:pos="10773" w:val="left" w:leader="none"/>
        </w:tabs>
        <w:spacing w:line="240" w:lineRule="auto" w:before="59"/>
        <w:ind w:left="1469" w:right="0"/>
        <w:jc w:val="left"/>
        <w:rPr>
          <w:b w:val="0"/>
          <w:bCs w:val="0"/>
        </w:rPr>
      </w:pPr>
      <w:bookmarkStart w:name="_bookmark114" w:id="115"/>
      <w:bookmarkEnd w:id="115"/>
      <w:r>
        <w:rPr>
          <w:b w:val="0"/>
        </w:rPr>
      </w:r>
      <w:r>
        <w:rPr>
          <w:w w:val="99"/>
        </w:rPr>
      </w:r>
      <w:r>
        <w:rPr>
          <w:w w:val="99"/>
          <w:u w:val="single" w:color="000000"/>
        </w:rPr>
        <w:t> </w:t>
      </w:r>
      <w:r>
        <w:rPr>
          <w:u w:val="single" w:color="000000"/>
        </w:rPr>
        <w:tab/>
        <w:t>Table 36:  Overall perceptions on</w:t>
      </w:r>
      <w:r>
        <w:rPr>
          <w:spacing w:val="-17"/>
          <w:u w:val="single" w:color="000000"/>
        </w:rPr>
        <w:t> </w:t>
      </w:r>
      <w:r>
        <w:rPr>
          <w:u w:val="single" w:color="000000"/>
        </w:rPr>
        <w:t>loyalty</w:t>
        <w:tab/>
      </w:r>
      <w:r>
        <w:rPr/>
      </w:r>
      <w:r>
        <w:rPr>
          <w:b w:val="0"/>
        </w:rPr>
      </w:r>
    </w:p>
    <w:p>
      <w:pPr>
        <w:spacing w:line="240" w:lineRule="auto" w:before="10"/>
        <w:ind w:right="0"/>
        <w:rPr>
          <w:rFonts w:ascii="Calibri" w:hAnsi="Calibri" w:cs="Calibri" w:eastAsia="Calibri" w:hint="default"/>
          <w:b/>
          <w:bCs/>
          <w:sz w:val="9"/>
          <w:szCs w:val="9"/>
        </w:rPr>
      </w:pPr>
    </w:p>
    <w:tbl>
      <w:tblPr>
        <w:tblW w:w="0" w:type="auto"/>
        <w:jc w:val="left"/>
        <w:tblInd w:w="1454" w:type="dxa"/>
        <w:tblLayout w:type="fixed"/>
        <w:tblCellMar>
          <w:top w:w="0" w:type="dxa"/>
          <w:left w:w="0" w:type="dxa"/>
          <w:bottom w:w="0" w:type="dxa"/>
          <w:right w:w="0" w:type="dxa"/>
        </w:tblCellMar>
        <w:tblLook w:val="01E0"/>
      </w:tblPr>
      <w:tblGrid>
        <w:gridCol w:w="3558"/>
        <w:gridCol w:w="2549"/>
        <w:gridCol w:w="1687"/>
        <w:gridCol w:w="1525"/>
      </w:tblGrid>
      <w:tr>
        <w:trPr>
          <w:trHeight w:val="232" w:hRule="exact"/>
        </w:trPr>
        <w:tc>
          <w:tcPr>
            <w:tcW w:w="3558" w:type="dxa"/>
            <w:tcBorders>
              <w:top w:val="nil" w:sz="6" w:space="0" w:color="auto"/>
              <w:left w:val="nil" w:sz="6" w:space="0" w:color="auto"/>
              <w:bottom w:val="single" w:sz="8" w:space="0" w:color="000000"/>
              <w:right w:val="nil" w:sz="6" w:space="0" w:color="auto"/>
            </w:tcBorders>
          </w:tcPr>
          <w:p>
            <w:pPr>
              <w:pStyle w:val="TableParagraph"/>
              <w:spacing w:line="221" w:lineRule="exact"/>
              <w:ind w:left="350" w:right="0"/>
              <w:jc w:val="left"/>
              <w:rPr>
                <w:rFonts w:ascii="Calibri" w:hAnsi="Calibri" w:cs="Calibri" w:eastAsia="Calibri" w:hint="default"/>
                <w:sz w:val="20"/>
                <w:szCs w:val="20"/>
              </w:rPr>
            </w:pPr>
            <w:r>
              <w:rPr>
                <w:rFonts w:ascii="Calibri"/>
                <w:b/>
                <w:sz w:val="20"/>
              </w:rPr>
              <w:t>Predictor</w:t>
            </w:r>
            <w:r>
              <w:rPr>
                <w:rFonts w:ascii="Calibri"/>
                <w:sz w:val="20"/>
              </w:rPr>
            </w:r>
          </w:p>
        </w:tc>
        <w:tc>
          <w:tcPr>
            <w:tcW w:w="2549" w:type="dxa"/>
            <w:tcBorders>
              <w:top w:val="nil" w:sz="6" w:space="0" w:color="auto"/>
              <w:left w:val="nil" w:sz="6" w:space="0" w:color="auto"/>
              <w:bottom w:val="single" w:sz="8" w:space="0" w:color="000000"/>
              <w:right w:val="nil" w:sz="6" w:space="0" w:color="auto"/>
            </w:tcBorders>
          </w:tcPr>
          <w:p>
            <w:pPr>
              <w:pStyle w:val="TableParagraph"/>
              <w:spacing w:line="221" w:lineRule="exact"/>
              <w:ind w:right="326"/>
              <w:jc w:val="right"/>
              <w:rPr>
                <w:rFonts w:ascii="Calibri" w:hAnsi="Calibri" w:cs="Calibri" w:eastAsia="Calibri" w:hint="default"/>
                <w:sz w:val="20"/>
                <w:szCs w:val="20"/>
              </w:rPr>
            </w:pPr>
            <w:r>
              <w:rPr>
                <w:rFonts w:ascii="Calibri" w:hAnsi="Calibri"/>
                <w:b/>
                <w:sz w:val="20"/>
              </w:rPr>
              <w:t>Std.</w:t>
            </w:r>
            <w:r>
              <w:rPr>
                <w:rFonts w:ascii="Calibri" w:hAnsi="Calibri"/>
                <w:b/>
                <w:spacing w:val="-3"/>
                <w:sz w:val="20"/>
              </w:rPr>
              <w:t> </w:t>
            </w:r>
            <w:r>
              <w:rPr>
                <w:rFonts w:ascii="Calibri" w:hAnsi="Calibri"/>
                <w:b/>
                <w:sz w:val="20"/>
              </w:rPr>
              <w:t>β</w:t>
            </w:r>
            <w:r>
              <w:rPr>
                <w:rFonts w:ascii="Calibri" w:hAnsi="Calibri"/>
                <w:sz w:val="20"/>
              </w:rPr>
            </w:r>
          </w:p>
        </w:tc>
        <w:tc>
          <w:tcPr>
            <w:tcW w:w="1687" w:type="dxa"/>
            <w:tcBorders>
              <w:top w:val="nil" w:sz="6" w:space="0" w:color="auto"/>
              <w:left w:val="nil" w:sz="6" w:space="0" w:color="auto"/>
              <w:bottom w:val="single" w:sz="8" w:space="0" w:color="000000"/>
              <w:right w:val="nil" w:sz="6" w:space="0" w:color="auto"/>
            </w:tcBorders>
          </w:tcPr>
          <w:p>
            <w:pPr>
              <w:pStyle w:val="TableParagraph"/>
              <w:spacing w:line="221" w:lineRule="exact"/>
              <w:ind w:left="760" w:right="0"/>
              <w:jc w:val="left"/>
              <w:rPr>
                <w:rFonts w:ascii="Calibri" w:hAnsi="Calibri" w:cs="Calibri" w:eastAsia="Calibri" w:hint="default"/>
                <w:sz w:val="20"/>
                <w:szCs w:val="20"/>
              </w:rPr>
            </w:pPr>
            <w:r>
              <w:rPr>
                <w:rFonts w:ascii="Calibri"/>
                <w:b/>
                <w:sz w:val="20"/>
              </w:rPr>
              <w:t>F-value</w:t>
            </w:r>
            <w:r>
              <w:rPr>
                <w:rFonts w:ascii="Calibri"/>
                <w:sz w:val="20"/>
              </w:rPr>
            </w:r>
          </w:p>
        </w:tc>
        <w:tc>
          <w:tcPr>
            <w:tcW w:w="1525" w:type="dxa"/>
            <w:tcBorders>
              <w:top w:val="nil" w:sz="6" w:space="0" w:color="auto"/>
              <w:left w:val="nil" w:sz="6" w:space="0" w:color="auto"/>
              <w:bottom w:val="single" w:sz="8" w:space="0" w:color="000000"/>
              <w:right w:val="nil" w:sz="6" w:space="0" w:color="auto"/>
            </w:tcBorders>
          </w:tcPr>
          <w:p>
            <w:pPr>
              <w:pStyle w:val="TableParagraph"/>
              <w:spacing w:line="221" w:lineRule="exact"/>
              <w:ind w:right="563"/>
              <w:jc w:val="right"/>
              <w:rPr>
                <w:rFonts w:ascii="Calibri" w:hAnsi="Calibri" w:cs="Calibri" w:eastAsia="Calibri" w:hint="default"/>
                <w:sz w:val="13"/>
                <w:szCs w:val="13"/>
              </w:rPr>
            </w:pPr>
            <w:r>
              <w:rPr>
                <w:rFonts w:ascii="Calibri"/>
                <w:b/>
                <w:w w:val="95"/>
                <w:position w:val="-6"/>
                <w:sz w:val="20"/>
              </w:rPr>
              <w:t>R</w:t>
            </w:r>
            <w:r>
              <w:rPr>
                <w:rFonts w:ascii="Calibri"/>
                <w:b/>
                <w:w w:val="95"/>
                <w:sz w:val="13"/>
              </w:rPr>
              <w:t>2</w:t>
            </w:r>
            <w:r>
              <w:rPr>
                <w:rFonts w:ascii="Calibri"/>
                <w:sz w:val="13"/>
              </w:rPr>
            </w:r>
          </w:p>
        </w:tc>
      </w:tr>
      <w:tr>
        <w:trPr>
          <w:trHeight w:val="298" w:hRule="exact"/>
        </w:trPr>
        <w:tc>
          <w:tcPr>
            <w:tcW w:w="3558" w:type="dxa"/>
            <w:tcBorders>
              <w:top w:val="single" w:sz="8" w:space="0" w:color="000000"/>
              <w:left w:val="nil" w:sz="6" w:space="0" w:color="auto"/>
              <w:bottom w:val="nil" w:sz="6" w:space="0" w:color="auto"/>
              <w:right w:val="nil" w:sz="6" w:space="0" w:color="auto"/>
            </w:tcBorders>
          </w:tcPr>
          <w:p>
            <w:pPr>
              <w:pStyle w:val="TableParagraph"/>
              <w:spacing w:line="240" w:lineRule="auto" w:before="20"/>
              <w:ind w:left="122" w:right="0"/>
              <w:jc w:val="left"/>
              <w:rPr>
                <w:rFonts w:ascii="Calibri" w:hAnsi="Calibri" w:cs="Calibri" w:eastAsia="Calibri" w:hint="default"/>
                <w:sz w:val="20"/>
                <w:szCs w:val="20"/>
              </w:rPr>
            </w:pPr>
            <w:r>
              <w:rPr>
                <w:rFonts w:ascii="Calibri"/>
                <w:sz w:val="20"/>
              </w:rPr>
              <w:t>Overall</w:t>
            </w:r>
            <w:r>
              <w:rPr>
                <w:rFonts w:ascii="Calibri"/>
                <w:spacing w:val="-10"/>
                <w:sz w:val="20"/>
              </w:rPr>
              <w:t> </w:t>
            </w:r>
            <w:r>
              <w:rPr>
                <w:rFonts w:ascii="Calibri"/>
                <w:sz w:val="20"/>
              </w:rPr>
              <w:t>Satisfaction</w:t>
            </w:r>
          </w:p>
        </w:tc>
        <w:tc>
          <w:tcPr>
            <w:tcW w:w="2549" w:type="dxa"/>
            <w:tcBorders>
              <w:top w:val="single" w:sz="8" w:space="0" w:color="000000"/>
              <w:left w:val="nil" w:sz="6" w:space="0" w:color="auto"/>
              <w:bottom w:val="nil" w:sz="6" w:space="0" w:color="auto"/>
              <w:right w:val="nil" w:sz="6" w:space="0" w:color="auto"/>
            </w:tcBorders>
          </w:tcPr>
          <w:p>
            <w:pPr>
              <w:pStyle w:val="TableParagraph"/>
              <w:spacing w:line="240" w:lineRule="auto" w:before="8"/>
              <w:ind w:left="1345" w:right="0"/>
              <w:jc w:val="left"/>
              <w:rPr>
                <w:rFonts w:ascii="Calibri" w:hAnsi="Calibri" w:cs="Calibri" w:eastAsia="Calibri" w:hint="default"/>
                <w:sz w:val="20"/>
                <w:szCs w:val="20"/>
              </w:rPr>
            </w:pPr>
            <w:r>
              <w:rPr>
                <w:rFonts w:ascii="Calibri"/>
                <w:sz w:val="20"/>
              </w:rPr>
              <w:t>0.360**</w:t>
            </w:r>
          </w:p>
        </w:tc>
        <w:tc>
          <w:tcPr>
            <w:tcW w:w="1687" w:type="dxa"/>
            <w:tcBorders>
              <w:top w:val="single" w:sz="8" w:space="0" w:color="000000"/>
              <w:left w:val="nil" w:sz="6" w:space="0" w:color="auto"/>
              <w:bottom w:val="nil" w:sz="6" w:space="0" w:color="auto"/>
              <w:right w:val="nil" w:sz="6" w:space="0" w:color="auto"/>
            </w:tcBorders>
          </w:tcPr>
          <w:p>
            <w:pPr>
              <w:pStyle w:val="TableParagraph"/>
              <w:spacing w:line="240" w:lineRule="auto" w:before="8"/>
              <w:ind w:left="328" w:right="0"/>
              <w:jc w:val="left"/>
              <w:rPr>
                <w:rFonts w:ascii="Calibri" w:hAnsi="Calibri" w:cs="Calibri" w:eastAsia="Calibri" w:hint="default"/>
                <w:sz w:val="20"/>
                <w:szCs w:val="20"/>
              </w:rPr>
            </w:pPr>
            <w:r>
              <w:rPr>
                <w:rFonts w:ascii="Calibri"/>
                <w:sz w:val="20"/>
              </w:rPr>
              <w:t>203.246**</w:t>
            </w:r>
          </w:p>
        </w:tc>
        <w:tc>
          <w:tcPr>
            <w:tcW w:w="1525" w:type="dxa"/>
            <w:tcBorders>
              <w:top w:val="single" w:sz="8" w:space="0" w:color="000000"/>
              <w:left w:val="nil" w:sz="6" w:space="0" w:color="auto"/>
              <w:bottom w:val="nil" w:sz="6" w:space="0" w:color="auto"/>
              <w:right w:val="nil" w:sz="6" w:space="0" w:color="auto"/>
            </w:tcBorders>
          </w:tcPr>
          <w:p>
            <w:pPr>
              <w:pStyle w:val="TableParagraph"/>
              <w:spacing w:line="240" w:lineRule="auto" w:before="8"/>
              <w:ind w:right="599"/>
              <w:jc w:val="right"/>
              <w:rPr>
                <w:rFonts w:ascii="Calibri" w:hAnsi="Calibri" w:cs="Calibri" w:eastAsia="Calibri" w:hint="default"/>
                <w:sz w:val="20"/>
                <w:szCs w:val="20"/>
              </w:rPr>
            </w:pPr>
            <w:r>
              <w:rPr>
                <w:rFonts w:ascii="Calibri"/>
                <w:w w:val="95"/>
                <w:sz w:val="20"/>
              </w:rPr>
              <w:t>31.80%</w:t>
            </w:r>
            <w:r>
              <w:rPr>
                <w:rFonts w:ascii="Calibri"/>
                <w:sz w:val="20"/>
              </w:rPr>
            </w:r>
          </w:p>
        </w:tc>
      </w:tr>
      <w:tr>
        <w:trPr>
          <w:trHeight w:val="264" w:hRule="exact"/>
        </w:trPr>
        <w:tc>
          <w:tcPr>
            <w:tcW w:w="3558" w:type="dxa"/>
            <w:tcBorders>
              <w:top w:val="nil" w:sz="6" w:space="0" w:color="auto"/>
              <w:left w:val="nil" w:sz="6" w:space="0" w:color="auto"/>
              <w:bottom w:val="nil" w:sz="6" w:space="0" w:color="auto"/>
              <w:right w:val="nil" w:sz="6" w:space="0" w:color="auto"/>
            </w:tcBorders>
          </w:tcPr>
          <w:p>
            <w:pPr>
              <w:pStyle w:val="TableParagraph"/>
              <w:spacing w:line="240" w:lineRule="exact"/>
              <w:ind w:left="122" w:right="0"/>
              <w:jc w:val="left"/>
              <w:rPr>
                <w:rFonts w:ascii="Calibri" w:hAnsi="Calibri" w:cs="Calibri" w:eastAsia="Calibri" w:hint="default"/>
                <w:sz w:val="20"/>
                <w:szCs w:val="20"/>
              </w:rPr>
            </w:pPr>
            <w:r>
              <w:rPr>
                <w:rFonts w:ascii="Calibri"/>
                <w:sz w:val="20"/>
              </w:rPr>
              <w:t>Overall Quality</w:t>
            </w:r>
            <w:r>
              <w:rPr>
                <w:rFonts w:ascii="Calibri"/>
                <w:spacing w:val="-14"/>
                <w:sz w:val="20"/>
              </w:rPr>
              <w:t> </w:t>
            </w:r>
            <w:r>
              <w:rPr>
                <w:rFonts w:ascii="Calibri"/>
                <w:sz w:val="20"/>
              </w:rPr>
              <w:t>Perception</w:t>
            </w:r>
          </w:p>
        </w:tc>
        <w:tc>
          <w:tcPr>
            <w:tcW w:w="2549" w:type="dxa"/>
            <w:tcBorders>
              <w:top w:val="nil" w:sz="6" w:space="0" w:color="auto"/>
              <w:left w:val="nil" w:sz="6" w:space="0" w:color="auto"/>
              <w:bottom w:val="nil" w:sz="6" w:space="0" w:color="auto"/>
              <w:right w:val="nil" w:sz="6" w:space="0" w:color="auto"/>
            </w:tcBorders>
          </w:tcPr>
          <w:p>
            <w:pPr>
              <w:pStyle w:val="TableParagraph"/>
              <w:spacing w:line="231" w:lineRule="exact"/>
              <w:ind w:left="1345" w:right="0"/>
              <w:jc w:val="left"/>
              <w:rPr>
                <w:rFonts w:ascii="Calibri" w:hAnsi="Calibri" w:cs="Calibri" w:eastAsia="Calibri" w:hint="default"/>
                <w:sz w:val="20"/>
                <w:szCs w:val="20"/>
              </w:rPr>
            </w:pPr>
            <w:r>
              <w:rPr>
                <w:rFonts w:ascii="Calibri"/>
                <w:sz w:val="20"/>
              </w:rPr>
              <w:t>0.234**</w:t>
            </w:r>
          </w:p>
        </w:tc>
        <w:tc>
          <w:tcPr>
            <w:tcW w:w="1687" w:type="dxa"/>
            <w:tcBorders>
              <w:top w:val="nil" w:sz="6" w:space="0" w:color="auto"/>
              <w:left w:val="nil" w:sz="6" w:space="0" w:color="auto"/>
              <w:bottom w:val="nil" w:sz="6" w:space="0" w:color="auto"/>
              <w:right w:val="nil" w:sz="6" w:space="0" w:color="auto"/>
            </w:tcBorders>
          </w:tcPr>
          <w:p>
            <w:pPr/>
          </w:p>
        </w:tc>
        <w:tc>
          <w:tcPr>
            <w:tcW w:w="1525" w:type="dxa"/>
            <w:tcBorders>
              <w:top w:val="nil" w:sz="6" w:space="0" w:color="auto"/>
              <w:left w:val="nil" w:sz="6" w:space="0" w:color="auto"/>
              <w:bottom w:val="nil" w:sz="6" w:space="0" w:color="auto"/>
              <w:right w:val="nil" w:sz="6" w:space="0" w:color="auto"/>
            </w:tcBorders>
          </w:tcPr>
          <w:p>
            <w:pPr/>
          </w:p>
        </w:tc>
      </w:tr>
      <w:tr>
        <w:trPr>
          <w:trHeight w:val="269" w:hRule="exact"/>
        </w:trPr>
        <w:tc>
          <w:tcPr>
            <w:tcW w:w="3558" w:type="dxa"/>
            <w:tcBorders>
              <w:top w:val="nil" w:sz="6" w:space="0" w:color="auto"/>
              <w:left w:val="nil" w:sz="6" w:space="0" w:color="auto"/>
              <w:bottom w:val="nil" w:sz="6" w:space="0" w:color="auto"/>
              <w:right w:val="nil" w:sz="6" w:space="0" w:color="auto"/>
            </w:tcBorders>
          </w:tcPr>
          <w:p>
            <w:pPr>
              <w:pStyle w:val="TableParagraph"/>
              <w:spacing w:line="243" w:lineRule="exact"/>
              <w:ind w:left="122" w:right="0"/>
              <w:jc w:val="left"/>
              <w:rPr>
                <w:rFonts w:ascii="Calibri" w:hAnsi="Calibri" w:cs="Calibri" w:eastAsia="Calibri" w:hint="default"/>
                <w:sz w:val="20"/>
                <w:szCs w:val="20"/>
              </w:rPr>
            </w:pPr>
            <w:r>
              <w:rPr>
                <w:rFonts w:ascii="Calibri"/>
                <w:sz w:val="20"/>
              </w:rPr>
              <w:t>Overall Perceived</w:t>
            </w:r>
            <w:r>
              <w:rPr>
                <w:rFonts w:ascii="Calibri"/>
                <w:spacing w:val="-13"/>
                <w:sz w:val="20"/>
              </w:rPr>
              <w:t> </w:t>
            </w:r>
            <w:r>
              <w:rPr>
                <w:rFonts w:ascii="Calibri"/>
                <w:sz w:val="20"/>
              </w:rPr>
              <w:t>Value</w:t>
            </w:r>
          </w:p>
        </w:tc>
        <w:tc>
          <w:tcPr>
            <w:tcW w:w="2549" w:type="dxa"/>
            <w:tcBorders>
              <w:top w:val="nil" w:sz="6" w:space="0" w:color="auto"/>
              <w:left w:val="nil" w:sz="6" w:space="0" w:color="auto"/>
              <w:bottom w:val="nil" w:sz="6" w:space="0" w:color="auto"/>
              <w:right w:val="nil" w:sz="6" w:space="0" w:color="auto"/>
            </w:tcBorders>
          </w:tcPr>
          <w:p>
            <w:pPr>
              <w:pStyle w:val="TableParagraph"/>
              <w:spacing w:line="231" w:lineRule="exact"/>
              <w:ind w:left="1345" w:right="0"/>
              <w:jc w:val="left"/>
              <w:rPr>
                <w:rFonts w:ascii="Calibri" w:hAnsi="Calibri" w:cs="Calibri" w:eastAsia="Calibri" w:hint="default"/>
                <w:sz w:val="20"/>
                <w:szCs w:val="20"/>
              </w:rPr>
            </w:pPr>
            <w:r>
              <w:rPr>
                <w:rFonts w:ascii="Calibri"/>
                <w:sz w:val="20"/>
              </w:rPr>
              <w:t>0.033</w:t>
            </w:r>
          </w:p>
        </w:tc>
        <w:tc>
          <w:tcPr>
            <w:tcW w:w="1687" w:type="dxa"/>
            <w:tcBorders>
              <w:top w:val="nil" w:sz="6" w:space="0" w:color="auto"/>
              <w:left w:val="nil" w:sz="6" w:space="0" w:color="auto"/>
              <w:bottom w:val="nil" w:sz="6" w:space="0" w:color="auto"/>
              <w:right w:val="nil" w:sz="6" w:space="0" w:color="auto"/>
            </w:tcBorders>
          </w:tcPr>
          <w:p>
            <w:pPr/>
          </w:p>
        </w:tc>
        <w:tc>
          <w:tcPr>
            <w:tcW w:w="1525" w:type="dxa"/>
            <w:tcBorders>
              <w:top w:val="nil" w:sz="6" w:space="0" w:color="auto"/>
              <w:left w:val="nil" w:sz="6" w:space="0" w:color="auto"/>
              <w:bottom w:val="nil" w:sz="6" w:space="0" w:color="auto"/>
              <w:right w:val="nil" w:sz="6" w:space="0" w:color="auto"/>
            </w:tcBorders>
          </w:tcPr>
          <w:p>
            <w:pPr/>
          </w:p>
        </w:tc>
      </w:tr>
      <w:tr>
        <w:trPr>
          <w:trHeight w:val="261" w:hRule="exact"/>
        </w:trPr>
        <w:tc>
          <w:tcPr>
            <w:tcW w:w="3558" w:type="dxa"/>
            <w:tcBorders>
              <w:top w:val="nil" w:sz="6" w:space="0" w:color="auto"/>
              <w:left w:val="nil" w:sz="6" w:space="0" w:color="auto"/>
              <w:bottom w:val="single" w:sz="8" w:space="0" w:color="000000"/>
              <w:right w:val="nil" w:sz="6" w:space="0" w:color="auto"/>
            </w:tcBorders>
          </w:tcPr>
          <w:p>
            <w:pPr>
              <w:pStyle w:val="TableParagraph"/>
              <w:spacing w:line="240" w:lineRule="auto" w:before="5"/>
              <w:ind w:left="122" w:right="0"/>
              <w:jc w:val="left"/>
              <w:rPr>
                <w:rFonts w:ascii="Calibri" w:hAnsi="Calibri" w:cs="Calibri" w:eastAsia="Calibri" w:hint="default"/>
                <w:sz w:val="20"/>
                <w:szCs w:val="20"/>
              </w:rPr>
            </w:pPr>
            <w:r>
              <w:rPr>
                <w:rFonts w:ascii="Calibri"/>
                <w:sz w:val="20"/>
              </w:rPr>
              <w:t>Overall</w:t>
            </w:r>
            <w:r>
              <w:rPr>
                <w:rFonts w:ascii="Calibri"/>
                <w:spacing w:val="-7"/>
                <w:sz w:val="20"/>
              </w:rPr>
              <w:t> </w:t>
            </w:r>
            <w:r>
              <w:rPr>
                <w:rFonts w:ascii="Calibri"/>
                <w:sz w:val="20"/>
              </w:rPr>
              <w:t>Price</w:t>
            </w:r>
          </w:p>
        </w:tc>
        <w:tc>
          <w:tcPr>
            <w:tcW w:w="2549" w:type="dxa"/>
            <w:tcBorders>
              <w:top w:val="nil" w:sz="6" w:space="0" w:color="auto"/>
              <w:left w:val="nil" w:sz="6" w:space="0" w:color="auto"/>
              <w:bottom w:val="single" w:sz="8" w:space="0" w:color="000000"/>
              <w:right w:val="nil" w:sz="6" w:space="0" w:color="auto"/>
            </w:tcBorders>
          </w:tcPr>
          <w:p>
            <w:pPr>
              <w:pStyle w:val="TableParagraph"/>
              <w:spacing w:line="233" w:lineRule="exact"/>
              <w:ind w:left="1300" w:right="0"/>
              <w:jc w:val="left"/>
              <w:rPr>
                <w:rFonts w:ascii="Calibri" w:hAnsi="Calibri" w:cs="Calibri" w:eastAsia="Calibri" w:hint="default"/>
                <w:sz w:val="20"/>
                <w:szCs w:val="20"/>
              </w:rPr>
            </w:pPr>
            <w:r>
              <w:rPr>
                <w:rFonts w:ascii="Calibri"/>
                <w:sz w:val="20"/>
              </w:rPr>
              <w:t>-0.052**</w:t>
            </w:r>
          </w:p>
        </w:tc>
        <w:tc>
          <w:tcPr>
            <w:tcW w:w="1687" w:type="dxa"/>
            <w:tcBorders>
              <w:top w:val="nil" w:sz="6" w:space="0" w:color="auto"/>
              <w:left w:val="nil" w:sz="6" w:space="0" w:color="auto"/>
              <w:bottom w:val="single" w:sz="8" w:space="0" w:color="000000"/>
              <w:right w:val="nil" w:sz="6" w:space="0" w:color="auto"/>
            </w:tcBorders>
          </w:tcPr>
          <w:p>
            <w:pPr/>
          </w:p>
        </w:tc>
        <w:tc>
          <w:tcPr>
            <w:tcW w:w="1525" w:type="dxa"/>
            <w:tcBorders>
              <w:top w:val="nil" w:sz="6" w:space="0" w:color="auto"/>
              <w:left w:val="nil" w:sz="6" w:space="0" w:color="auto"/>
              <w:bottom w:val="single" w:sz="8" w:space="0" w:color="000000"/>
              <w:right w:val="nil" w:sz="6" w:space="0" w:color="auto"/>
            </w:tcBorders>
          </w:tcPr>
          <w:p>
            <w:pPr/>
          </w:p>
        </w:tc>
      </w:tr>
    </w:tbl>
    <w:p>
      <w:pPr>
        <w:spacing w:line="240" w:lineRule="auto" w:before="9"/>
        <w:ind w:right="0"/>
        <w:rPr>
          <w:rFonts w:ascii="Calibri" w:hAnsi="Calibri" w:cs="Calibri" w:eastAsia="Calibri" w:hint="default"/>
          <w:b/>
          <w:bCs/>
          <w:sz w:val="16"/>
          <w:szCs w:val="16"/>
        </w:rPr>
      </w:pPr>
    </w:p>
    <w:p>
      <w:pPr>
        <w:pStyle w:val="BodyText"/>
        <w:spacing w:line="259" w:lineRule="auto" w:before="59"/>
        <w:ind w:right="1438"/>
        <w:jc w:val="both"/>
      </w:pPr>
      <w:r>
        <w:rPr/>
        <w:t>Table 37 reveals the relevance of satisfaction and quality on loyalty. Again, price has the right sign but is not significant,</w:t>
      </w:r>
      <w:r>
        <w:rPr>
          <w:spacing w:val="-12"/>
        </w:rPr>
        <w:t> </w:t>
      </w:r>
      <w:r>
        <w:rPr/>
        <w:t>implying</w:t>
      </w:r>
      <w:r>
        <w:rPr>
          <w:spacing w:val="-13"/>
        </w:rPr>
        <w:t> </w:t>
      </w:r>
      <w:r>
        <w:rPr/>
        <w:t>the</w:t>
      </w:r>
      <w:r>
        <w:rPr>
          <w:spacing w:val="-13"/>
        </w:rPr>
        <w:t> </w:t>
      </w:r>
      <w:r>
        <w:rPr/>
        <w:t>inelastic</w:t>
      </w:r>
      <w:r>
        <w:rPr>
          <w:spacing w:val="-13"/>
        </w:rPr>
        <w:t> </w:t>
      </w:r>
      <w:r>
        <w:rPr/>
        <w:t>nature</w:t>
      </w:r>
      <w:r>
        <w:rPr>
          <w:spacing w:val="-13"/>
        </w:rPr>
        <w:t> </w:t>
      </w:r>
      <w:r>
        <w:rPr/>
        <w:t>of</w:t>
      </w:r>
      <w:r>
        <w:rPr>
          <w:spacing w:val="-13"/>
        </w:rPr>
        <w:t> </w:t>
      </w:r>
      <w:r>
        <w:rPr/>
        <w:t>price</w:t>
      </w:r>
      <w:r>
        <w:rPr>
          <w:spacing w:val="-13"/>
        </w:rPr>
        <w:t> </w:t>
      </w:r>
      <w:r>
        <w:rPr/>
        <w:t>in</w:t>
      </w:r>
      <w:r>
        <w:rPr>
          <w:spacing w:val="-12"/>
        </w:rPr>
        <w:t> </w:t>
      </w:r>
      <w:r>
        <w:rPr/>
        <w:t>shaping</w:t>
      </w:r>
      <w:r>
        <w:rPr>
          <w:spacing w:val="-13"/>
        </w:rPr>
        <w:t> </w:t>
      </w:r>
      <w:r>
        <w:rPr/>
        <w:t>repeat</w:t>
      </w:r>
      <w:r>
        <w:rPr>
          <w:spacing w:val="-12"/>
        </w:rPr>
        <w:t> </w:t>
      </w:r>
      <w:r>
        <w:rPr/>
        <w:t>visitation</w:t>
      </w:r>
      <w:r>
        <w:rPr>
          <w:spacing w:val="-12"/>
        </w:rPr>
        <w:t> </w:t>
      </w:r>
      <w:r>
        <w:rPr/>
        <w:t>to</w:t>
      </w:r>
      <w:r>
        <w:rPr>
          <w:spacing w:val="-7"/>
        </w:rPr>
        <w:t> </w:t>
      </w:r>
      <w:r>
        <w:rPr/>
        <w:t>Curaçao.</w:t>
      </w:r>
      <w:r>
        <w:rPr>
          <w:spacing w:val="22"/>
        </w:rPr>
        <w:t> </w:t>
      </w:r>
      <w:r>
        <w:rPr/>
        <w:t>Perceived</w:t>
      </w:r>
      <w:r>
        <w:rPr>
          <w:spacing w:val="-10"/>
        </w:rPr>
        <w:t> </w:t>
      </w:r>
      <w:r>
        <w:rPr/>
        <w:t>value</w:t>
      </w:r>
      <w:r>
        <w:rPr>
          <w:spacing w:val="-13"/>
        </w:rPr>
        <w:t> </w:t>
      </w:r>
      <w:r>
        <w:rPr/>
        <w:t>of</w:t>
      </w:r>
      <w:r>
        <w:rPr>
          <w:spacing w:val="-13"/>
        </w:rPr>
        <w:t> </w:t>
      </w:r>
      <w:r>
        <w:rPr/>
        <w:t>the</w:t>
      </w:r>
      <w:r>
        <w:rPr>
          <w:spacing w:val="-13"/>
        </w:rPr>
        <w:t> </w:t>
      </w:r>
      <w:r>
        <w:rPr/>
        <w:t>island </w:t>
      </w:r>
      <w:r>
        <w:rPr/>
        <w:t>has</w:t>
      </w:r>
      <w:r>
        <w:rPr>
          <w:spacing w:val="-12"/>
        </w:rPr>
        <w:t> </w:t>
      </w:r>
      <w:r>
        <w:rPr/>
        <w:t>a</w:t>
      </w:r>
      <w:r>
        <w:rPr>
          <w:spacing w:val="-11"/>
        </w:rPr>
        <w:t> </w:t>
      </w:r>
      <w:r>
        <w:rPr/>
        <w:t>positive</w:t>
      </w:r>
      <w:r>
        <w:rPr>
          <w:spacing w:val="-12"/>
        </w:rPr>
        <w:t> </w:t>
      </w:r>
      <w:r>
        <w:rPr/>
        <w:t>impact</w:t>
      </w:r>
      <w:r>
        <w:rPr>
          <w:spacing w:val="-11"/>
        </w:rPr>
        <w:t> </w:t>
      </w:r>
      <w:r>
        <w:rPr/>
        <w:t>on</w:t>
      </w:r>
      <w:r>
        <w:rPr>
          <w:spacing w:val="-11"/>
        </w:rPr>
        <w:t> </w:t>
      </w:r>
      <w:r>
        <w:rPr/>
        <w:t>behavioral</w:t>
      </w:r>
      <w:r>
        <w:rPr>
          <w:spacing w:val="-12"/>
        </w:rPr>
        <w:t> </w:t>
      </w:r>
      <w:r>
        <w:rPr/>
        <w:t>intentions.</w:t>
      </w:r>
      <w:r>
        <w:rPr>
          <w:spacing w:val="-9"/>
        </w:rPr>
        <w:t> </w:t>
      </w:r>
      <w:r>
        <w:rPr/>
        <w:t>However,</w:t>
      </w:r>
      <w:r>
        <w:rPr>
          <w:spacing w:val="-11"/>
        </w:rPr>
        <w:t> </w:t>
      </w:r>
      <w:r>
        <w:rPr/>
        <w:t>since</w:t>
      </w:r>
      <w:r>
        <w:rPr>
          <w:spacing w:val="-13"/>
        </w:rPr>
        <w:t> </w:t>
      </w:r>
      <w:r>
        <w:rPr/>
        <w:t>the</w:t>
      </w:r>
      <w:r>
        <w:rPr>
          <w:spacing w:val="-12"/>
        </w:rPr>
        <w:t> </w:t>
      </w:r>
      <w:r>
        <w:rPr/>
        <w:t>impact</w:t>
      </w:r>
      <w:r>
        <w:rPr>
          <w:spacing w:val="-11"/>
        </w:rPr>
        <w:t> </w:t>
      </w:r>
      <w:r>
        <w:rPr/>
        <w:t>of</w:t>
      </w:r>
      <w:r>
        <w:rPr>
          <w:spacing w:val="-10"/>
        </w:rPr>
        <w:t> </w:t>
      </w:r>
      <w:r>
        <w:rPr/>
        <w:t>satisfaction</w:t>
      </w:r>
      <w:r>
        <w:rPr>
          <w:spacing w:val="-11"/>
        </w:rPr>
        <w:t> </w:t>
      </w:r>
      <w:r>
        <w:rPr/>
        <w:t>from</w:t>
      </w:r>
      <w:r>
        <w:rPr>
          <w:spacing w:val="-12"/>
        </w:rPr>
        <w:t> </w:t>
      </w:r>
      <w:r>
        <w:rPr/>
        <w:t>the</w:t>
      </w:r>
      <w:r>
        <w:rPr>
          <w:spacing w:val="-12"/>
        </w:rPr>
        <w:t> </w:t>
      </w:r>
      <w:r>
        <w:rPr/>
        <w:t>island</w:t>
      </w:r>
      <w:r>
        <w:rPr>
          <w:spacing w:val="-11"/>
        </w:rPr>
        <w:t> </w:t>
      </w:r>
      <w:r>
        <w:rPr/>
        <w:t>is</w:t>
      </w:r>
      <w:r>
        <w:rPr>
          <w:spacing w:val="-13"/>
        </w:rPr>
        <w:t> </w:t>
      </w:r>
      <w:r>
        <w:rPr/>
        <w:t>dominant, </w:t>
      </w:r>
      <w:r>
        <w:rPr/>
        <w:t>the positive </w:t>
      </w:r>
      <w:r>
        <w:rPr>
          <w:rFonts w:ascii="Calibri" w:hAnsi="Calibri"/>
        </w:rPr>
        <w:t>impact of satisfaction (β=0.20, ρ&lt;0.001) on behavioral intentions suppress</w:t>
      </w:r>
      <w:r>
        <w:rPr/>
        <w:t>es the effect of perceived value on behavioral intention. In other words, no matter what customers believe the value of the island is, satisfied customers will continue to speak positively about the island, and will return to the</w:t>
      </w:r>
      <w:r>
        <w:rPr>
          <w:spacing w:val="-24"/>
        </w:rPr>
        <w:t> </w:t>
      </w:r>
      <w:r>
        <w:rPr/>
        <w:t>island.</w:t>
      </w:r>
    </w:p>
    <w:p>
      <w:pPr>
        <w:spacing w:line="240" w:lineRule="auto" w:before="9"/>
        <w:ind w:right="0"/>
        <w:rPr>
          <w:rFonts w:ascii="Calibri" w:hAnsi="Calibri" w:cs="Calibri" w:eastAsia="Calibri" w:hint="default"/>
          <w:sz w:val="21"/>
          <w:szCs w:val="21"/>
        </w:rPr>
      </w:pPr>
    </w:p>
    <w:p>
      <w:pPr>
        <w:pStyle w:val="BodyText"/>
        <w:spacing w:line="240" w:lineRule="auto"/>
        <w:ind w:right="1439"/>
        <w:jc w:val="both"/>
      </w:pPr>
      <w:r>
        <w:rPr>
          <w:rFonts w:ascii="Calibri" w:hAnsi="Calibri" w:cs="Calibri" w:eastAsia="Calibri" w:hint="default"/>
        </w:rPr>
        <w:t>In</w:t>
      </w:r>
      <w:r>
        <w:rPr>
          <w:rFonts w:ascii="Calibri" w:hAnsi="Calibri" w:cs="Calibri" w:eastAsia="Calibri" w:hint="default"/>
          <w:spacing w:val="-6"/>
        </w:rPr>
        <w:t> </w:t>
      </w:r>
      <w:r>
        <w:rPr>
          <w:rFonts w:ascii="Calibri" w:hAnsi="Calibri" w:cs="Calibri" w:eastAsia="Calibri" w:hint="default"/>
        </w:rPr>
        <w:t>the</w:t>
      </w:r>
      <w:r>
        <w:rPr>
          <w:rFonts w:ascii="Calibri" w:hAnsi="Calibri" w:cs="Calibri" w:eastAsia="Calibri" w:hint="default"/>
          <w:spacing w:val="-8"/>
        </w:rPr>
        <w:t> </w:t>
      </w:r>
      <w:r>
        <w:rPr>
          <w:rFonts w:ascii="Calibri" w:hAnsi="Calibri" w:cs="Calibri" w:eastAsia="Calibri" w:hint="default"/>
        </w:rPr>
        <w:t>case</w:t>
      </w:r>
      <w:r>
        <w:rPr>
          <w:rFonts w:ascii="Calibri" w:hAnsi="Calibri" w:cs="Calibri" w:eastAsia="Calibri" w:hint="default"/>
          <w:spacing w:val="-8"/>
        </w:rPr>
        <w:t> </w:t>
      </w:r>
      <w:r>
        <w:rPr>
          <w:rFonts w:ascii="Calibri" w:hAnsi="Calibri" w:cs="Calibri" w:eastAsia="Calibri" w:hint="default"/>
        </w:rPr>
        <w:t>of</w:t>
      </w:r>
      <w:r>
        <w:rPr>
          <w:rFonts w:ascii="Calibri" w:hAnsi="Calibri" w:cs="Calibri" w:eastAsia="Calibri" w:hint="default"/>
          <w:spacing w:val="-8"/>
        </w:rPr>
        <w:t> </w:t>
      </w:r>
      <w:r>
        <w:rPr>
          <w:rFonts w:ascii="Calibri" w:hAnsi="Calibri" w:cs="Calibri" w:eastAsia="Calibri" w:hint="default"/>
        </w:rPr>
        <w:t>Curaçao,</w:t>
      </w:r>
      <w:r>
        <w:rPr>
          <w:rFonts w:ascii="Calibri" w:hAnsi="Calibri" w:cs="Calibri" w:eastAsia="Calibri" w:hint="default"/>
          <w:spacing w:val="-6"/>
        </w:rPr>
        <w:t> </w:t>
      </w:r>
      <w:r>
        <w:rPr>
          <w:rFonts w:ascii="Calibri" w:hAnsi="Calibri" w:cs="Calibri" w:eastAsia="Calibri" w:hint="default"/>
        </w:rPr>
        <w:t>the</w:t>
      </w:r>
      <w:r>
        <w:rPr>
          <w:rFonts w:ascii="Calibri" w:hAnsi="Calibri" w:cs="Calibri" w:eastAsia="Calibri" w:hint="default"/>
          <w:spacing w:val="-8"/>
        </w:rPr>
        <w:t> </w:t>
      </w:r>
      <w:r>
        <w:rPr>
          <w:rFonts w:ascii="Calibri" w:hAnsi="Calibri" w:cs="Calibri" w:eastAsia="Calibri" w:hint="default"/>
        </w:rPr>
        <w:t>hotel</w:t>
      </w:r>
      <w:r>
        <w:rPr>
          <w:rFonts w:ascii="Calibri" w:hAnsi="Calibri" w:cs="Calibri" w:eastAsia="Calibri" w:hint="default"/>
          <w:spacing w:val="-7"/>
        </w:rPr>
        <w:t> </w:t>
      </w:r>
      <w:r>
        <w:rPr>
          <w:rFonts w:ascii="Calibri" w:hAnsi="Calibri" w:cs="Calibri" w:eastAsia="Calibri" w:hint="default"/>
        </w:rPr>
        <w:t>sector</w:t>
      </w:r>
      <w:r>
        <w:rPr>
          <w:rFonts w:ascii="Calibri" w:hAnsi="Calibri" w:cs="Calibri" w:eastAsia="Calibri" w:hint="default"/>
          <w:spacing w:val="-7"/>
        </w:rPr>
        <w:t> </w:t>
      </w:r>
      <w:r>
        <w:rPr>
          <w:rFonts w:ascii="Calibri" w:hAnsi="Calibri" w:cs="Calibri" w:eastAsia="Calibri" w:hint="default"/>
        </w:rPr>
        <w:t>represents</w:t>
      </w:r>
      <w:r>
        <w:rPr>
          <w:rFonts w:ascii="Calibri" w:hAnsi="Calibri" w:cs="Calibri" w:eastAsia="Calibri" w:hint="default"/>
          <w:spacing w:val="-7"/>
        </w:rPr>
        <w:t> </w:t>
      </w:r>
      <w:r>
        <w:rPr>
          <w:rFonts w:ascii="Calibri" w:hAnsi="Calibri" w:cs="Calibri" w:eastAsia="Calibri" w:hint="default"/>
        </w:rPr>
        <w:t>43%</w:t>
      </w:r>
      <w:r>
        <w:rPr>
          <w:rFonts w:ascii="Calibri" w:hAnsi="Calibri" w:cs="Calibri" w:eastAsia="Calibri" w:hint="default"/>
          <w:spacing w:val="-8"/>
        </w:rPr>
        <w:t> </w:t>
      </w:r>
      <w:r>
        <w:rPr>
          <w:rFonts w:ascii="Calibri" w:hAnsi="Calibri" w:cs="Calibri" w:eastAsia="Calibri" w:hint="default"/>
        </w:rPr>
        <w:t>of</w:t>
      </w:r>
      <w:r>
        <w:rPr>
          <w:rFonts w:ascii="Calibri" w:hAnsi="Calibri" w:cs="Calibri" w:eastAsia="Calibri" w:hint="default"/>
          <w:spacing w:val="-8"/>
        </w:rPr>
        <w:t> </w:t>
      </w:r>
      <w:r>
        <w:rPr>
          <w:rFonts w:ascii="Calibri" w:hAnsi="Calibri" w:cs="Calibri" w:eastAsia="Calibri" w:hint="default"/>
        </w:rPr>
        <w:t>tourists’</w:t>
      </w:r>
      <w:r>
        <w:rPr>
          <w:rFonts w:ascii="Calibri" w:hAnsi="Calibri" w:cs="Calibri" w:eastAsia="Calibri" w:hint="default"/>
          <w:spacing w:val="-6"/>
        </w:rPr>
        <w:t> </w:t>
      </w:r>
      <w:r>
        <w:rPr>
          <w:rFonts w:ascii="Calibri" w:hAnsi="Calibri" w:cs="Calibri" w:eastAsia="Calibri" w:hint="default"/>
        </w:rPr>
        <w:t>spending.</w:t>
      </w:r>
      <w:r>
        <w:rPr>
          <w:rFonts w:ascii="Calibri" w:hAnsi="Calibri" w:cs="Calibri" w:eastAsia="Calibri" w:hint="default"/>
          <w:spacing w:val="38"/>
        </w:rPr>
        <w:t> </w:t>
      </w:r>
      <w:r>
        <w:rPr/>
        <w:t>Moreover,</w:t>
      </w:r>
      <w:r>
        <w:rPr>
          <w:spacing w:val="-4"/>
        </w:rPr>
        <w:t> </w:t>
      </w:r>
      <w:r>
        <w:rPr/>
        <w:t>the</w:t>
      </w:r>
      <w:r>
        <w:rPr>
          <w:spacing w:val="-8"/>
        </w:rPr>
        <w:t> </w:t>
      </w:r>
      <w:r>
        <w:rPr/>
        <w:t>hotel</w:t>
      </w:r>
      <w:r>
        <w:rPr>
          <w:spacing w:val="-7"/>
        </w:rPr>
        <w:t> </w:t>
      </w:r>
      <w:r>
        <w:rPr/>
        <w:t>sector</w:t>
      </w:r>
      <w:r>
        <w:rPr>
          <w:spacing w:val="-7"/>
        </w:rPr>
        <w:t> </w:t>
      </w:r>
      <w:r>
        <w:rPr/>
        <w:t>has</w:t>
      </w:r>
      <w:r>
        <w:rPr>
          <w:spacing w:val="-7"/>
        </w:rPr>
        <w:t> </w:t>
      </w:r>
      <w:r>
        <w:rPr/>
        <w:t>a</w:t>
      </w:r>
      <w:r>
        <w:rPr>
          <w:spacing w:val="-6"/>
        </w:rPr>
        <w:t> </w:t>
      </w:r>
      <w:r>
        <w:rPr/>
        <w:t>large </w:t>
      </w:r>
      <w:r>
        <w:rPr/>
        <w:t>and powerful multiplier effect of 1.92 in the overall economy. Finally, when compared to other sectors, the hotel sector</w:t>
      </w:r>
      <w:r>
        <w:rPr>
          <w:spacing w:val="-13"/>
        </w:rPr>
        <w:t> </w:t>
      </w:r>
      <w:r>
        <w:rPr/>
        <w:t>has</w:t>
      </w:r>
      <w:r>
        <w:rPr>
          <w:spacing w:val="-13"/>
        </w:rPr>
        <w:t> </w:t>
      </w:r>
      <w:r>
        <w:rPr/>
        <w:t>the</w:t>
      </w:r>
      <w:r>
        <w:rPr>
          <w:spacing w:val="-11"/>
        </w:rPr>
        <w:t> </w:t>
      </w:r>
      <w:r>
        <w:rPr/>
        <w:t>greatest</w:t>
      </w:r>
      <w:r>
        <w:rPr>
          <w:spacing w:val="-12"/>
        </w:rPr>
        <w:t> </w:t>
      </w:r>
      <w:r>
        <w:rPr/>
        <w:t>bearing</w:t>
      </w:r>
      <w:r>
        <w:rPr>
          <w:spacing w:val="-13"/>
        </w:rPr>
        <w:t> </w:t>
      </w:r>
      <w:r>
        <w:rPr/>
        <w:t>on</w:t>
      </w:r>
      <w:r>
        <w:rPr>
          <w:spacing w:val="-12"/>
        </w:rPr>
        <w:t> </w:t>
      </w:r>
      <w:r>
        <w:rPr/>
        <w:t>overall</w:t>
      </w:r>
      <w:r>
        <w:rPr>
          <w:spacing w:val="-13"/>
        </w:rPr>
        <w:t> </w:t>
      </w:r>
      <w:r>
        <w:rPr/>
        <w:t>tourist</w:t>
      </w:r>
      <w:r>
        <w:rPr>
          <w:spacing w:val="-10"/>
        </w:rPr>
        <w:t> </w:t>
      </w:r>
      <w:r>
        <w:rPr/>
        <w:t>satisfaction</w:t>
      </w:r>
      <w:r>
        <w:rPr>
          <w:spacing w:val="-12"/>
        </w:rPr>
        <w:t> </w:t>
      </w:r>
      <w:r>
        <w:rPr/>
        <w:t>(see</w:t>
      </w:r>
      <w:r>
        <w:rPr>
          <w:spacing w:val="-11"/>
        </w:rPr>
        <w:t> </w:t>
      </w:r>
      <w:r>
        <w:rPr/>
        <w:t>Table</w:t>
      </w:r>
      <w:r>
        <w:rPr>
          <w:spacing w:val="-13"/>
        </w:rPr>
        <w:t> </w:t>
      </w:r>
      <w:r>
        <w:rPr/>
        <w:t>38).</w:t>
      </w:r>
      <w:r>
        <w:rPr>
          <w:spacing w:val="-8"/>
        </w:rPr>
        <w:t> </w:t>
      </w:r>
      <w:r>
        <w:rPr/>
        <w:t>Note</w:t>
      </w:r>
      <w:r>
        <w:rPr>
          <w:spacing w:val="-11"/>
        </w:rPr>
        <w:t> </w:t>
      </w:r>
      <w:r>
        <w:rPr/>
        <w:t>that</w:t>
      </w:r>
      <w:r>
        <w:rPr>
          <w:spacing w:val="-12"/>
        </w:rPr>
        <w:t> </w:t>
      </w:r>
      <w:r>
        <w:rPr/>
        <w:t>consistent</w:t>
      </w:r>
      <w:r>
        <w:rPr>
          <w:spacing w:val="-12"/>
        </w:rPr>
        <w:t> </w:t>
      </w:r>
      <w:r>
        <w:rPr/>
        <w:t>with</w:t>
      </w:r>
      <w:r>
        <w:rPr>
          <w:spacing w:val="-9"/>
        </w:rPr>
        <w:t> </w:t>
      </w:r>
      <w:r>
        <w:rPr/>
        <w:t>other</w:t>
      </w:r>
      <w:r>
        <w:rPr>
          <w:spacing w:val="-10"/>
        </w:rPr>
        <w:t> </w:t>
      </w:r>
      <w:r>
        <w:rPr/>
        <w:t>findings, </w:t>
      </w:r>
      <w:r>
        <w:rPr/>
        <w:t>taxis again have a negative influence on tourist satisfaction albeit not</w:t>
      </w:r>
      <w:r>
        <w:rPr>
          <w:spacing w:val="-27"/>
        </w:rPr>
        <w:t> </w:t>
      </w:r>
      <w:r>
        <w:rPr/>
        <w:t>significant.</w:t>
      </w:r>
    </w:p>
    <w:p>
      <w:pPr>
        <w:spacing w:line="240" w:lineRule="auto" w:before="1"/>
        <w:ind w:right="0"/>
        <w:rPr>
          <w:rFonts w:ascii="Calibri" w:hAnsi="Calibri" w:cs="Calibri" w:eastAsia="Calibri" w:hint="default"/>
          <w:sz w:val="20"/>
          <w:szCs w:val="20"/>
        </w:rPr>
      </w:pPr>
    </w:p>
    <w:p>
      <w:pPr>
        <w:pStyle w:val="Heading9"/>
        <w:tabs>
          <w:tab w:pos="4620" w:val="left" w:leader="none"/>
          <w:tab w:pos="10773" w:val="left" w:leader="none"/>
        </w:tabs>
        <w:spacing w:line="240" w:lineRule="auto" w:after="66"/>
        <w:ind w:left="1466" w:right="0"/>
        <w:jc w:val="both"/>
        <w:rPr>
          <w:b w:val="0"/>
          <w:bCs w:val="0"/>
        </w:rPr>
      </w:pPr>
      <w:bookmarkStart w:name="_bookmark115" w:id="116"/>
      <w:bookmarkEnd w:id="116"/>
      <w:r>
        <w:rPr>
          <w:b w:val="0"/>
        </w:rPr>
      </w:r>
      <w:r>
        <w:rPr>
          <w:w w:val="99"/>
        </w:rPr>
      </w:r>
      <w:r>
        <w:rPr>
          <w:w w:val="99"/>
          <w:u w:val="single" w:color="000000"/>
        </w:rPr>
        <w:t> </w:t>
      </w:r>
      <w:r>
        <w:rPr>
          <w:u w:val="single" w:color="000000"/>
        </w:rPr>
        <w:tab/>
        <w:t>Table 37: Overall tourist</w:t>
      </w:r>
      <w:r>
        <w:rPr>
          <w:spacing w:val="-20"/>
          <w:u w:val="single" w:color="000000"/>
        </w:rPr>
        <w:t> </w:t>
      </w:r>
      <w:r>
        <w:rPr>
          <w:u w:val="single" w:color="000000"/>
        </w:rPr>
        <w:t>satisfaction</w:t>
        <w:tab/>
      </w:r>
      <w:r>
        <w:rPr/>
      </w:r>
      <w:r>
        <w:rPr>
          <w:b w:val="0"/>
        </w:rPr>
      </w:r>
    </w:p>
    <w:tbl>
      <w:tblPr>
        <w:tblW w:w="0" w:type="auto"/>
        <w:jc w:val="left"/>
        <w:tblInd w:w="1466" w:type="dxa"/>
        <w:tblLayout w:type="fixed"/>
        <w:tblCellMar>
          <w:top w:w="0" w:type="dxa"/>
          <w:left w:w="0" w:type="dxa"/>
          <w:bottom w:w="0" w:type="dxa"/>
          <w:right w:w="0" w:type="dxa"/>
        </w:tblCellMar>
        <w:tblLook w:val="01E0"/>
      </w:tblPr>
      <w:tblGrid>
        <w:gridCol w:w="3990"/>
        <w:gridCol w:w="2466"/>
        <w:gridCol w:w="1137"/>
        <w:gridCol w:w="1713"/>
      </w:tblGrid>
      <w:tr>
        <w:trPr>
          <w:trHeight w:val="226" w:hRule="exact"/>
        </w:trPr>
        <w:tc>
          <w:tcPr>
            <w:tcW w:w="3990" w:type="dxa"/>
            <w:tcBorders>
              <w:top w:val="nil" w:sz="6" w:space="0" w:color="auto"/>
              <w:left w:val="nil" w:sz="6" w:space="0" w:color="auto"/>
              <w:bottom w:val="single" w:sz="4" w:space="0" w:color="000000"/>
              <w:right w:val="nil" w:sz="6" w:space="0" w:color="auto"/>
            </w:tcBorders>
          </w:tcPr>
          <w:p>
            <w:pPr>
              <w:pStyle w:val="TableParagraph"/>
              <w:spacing w:line="203" w:lineRule="exact"/>
              <w:ind w:left="244" w:right="0"/>
              <w:jc w:val="left"/>
              <w:rPr>
                <w:rFonts w:ascii="Calibri" w:hAnsi="Calibri" w:cs="Calibri" w:eastAsia="Calibri" w:hint="default"/>
                <w:sz w:val="20"/>
                <w:szCs w:val="20"/>
              </w:rPr>
            </w:pPr>
            <w:r>
              <w:rPr>
                <w:rFonts w:ascii="Calibri"/>
                <w:b/>
                <w:sz w:val="20"/>
              </w:rPr>
              <w:t>Independent</w:t>
            </w:r>
            <w:r>
              <w:rPr>
                <w:rFonts w:ascii="Calibri"/>
                <w:b/>
                <w:spacing w:val="-16"/>
                <w:sz w:val="20"/>
              </w:rPr>
              <w:t> </w:t>
            </w:r>
            <w:r>
              <w:rPr>
                <w:rFonts w:ascii="Calibri"/>
                <w:b/>
                <w:sz w:val="20"/>
              </w:rPr>
              <w:t>Variable</w:t>
            </w:r>
            <w:r>
              <w:rPr>
                <w:rFonts w:ascii="Calibri"/>
                <w:sz w:val="20"/>
              </w:rPr>
            </w:r>
          </w:p>
        </w:tc>
        <w:tc>
          <w:tcPr>
            <w:tcW w:w="2466" w:type="dxa"/>
            <w:tcBorders>
              <w:top w:val="nil" w:sz="6" w:space="0" w:color="auto"/>
              <w:left w:val="nil" w:sz="6" w:space="0" w:color="auto"/>
              <w:bottom w:val="single" w:sz="4" w:space="0" w:color="000000"/>
              <w:right w:val="nil" w:sz="6" w:space="0" w:color="auto"/>
            </w:tcBorders>
          </w:tcPr>
          <w:p>
            <w:pPr>
              <w:pStyle w:val="TableParagraph"/>
              <w:spacing w:line="203" w:lineRule="exact"/>
              <w:ind w:right="334"/>
              <w:jc w:val="right"/>
              <w:rPr>
                <w:rFonts w:ascii="Calibri" w:hAnsi="Calibri" w:cs="Calibri" w:eastAsia="Calibri" w:hint="default"/>
                <w:sz w:val="20"/>
                <w:szCs w:val="20"/>
              </w:rPr>
            </w:pPr>
            <w:r>
              <w:rPr>
                <w:rFonts w:ascii="Calibri"/>
                <w:b/>
                <w:w w:val="95"/>
                <w:sz w:val="20"/>
              </w:rPr>
              <w:t>Mean</w:t>
            </w:r>
            <w:r>
              <w:rPr>
                <w:rFonts w:ascii="Calibri"/>
                <w:sz w:val="20"/>
              </w:rPr>
            </w:r>
          </w:p>
        </w:tc>
        <w:tc>
          <w:tcPr>
            <w:tcW w:w="1137" w:type="dxa"/>
            <w:tcBorders>
              <w:top w:val="nil" w:sz="6" w:space="0" w:color="auto"/>
              <w:left w:val="nil" w:sz="6" w:space="0" w:color="auto"/>
              <w:bottom w:val="single" w:sz="4" w:space="0" w:color="000000"/>
              <w:right w:val="nil" w:sz="6" w:space="0" w:color="auto"/>
            </w:tcBorders>
          </w:tcPr>
          <w:p>
            <w:pPr>
              <w:pStyle w:val="TableParagraph"/>
              <w:spacing w:line="203" w:lineRule="exact"/>
              <w:ind w:left="114" w:right="0"/>
              <w:jc w:val="center"/>
              <w:rPr>
                <w:rFonts w:ascii="Calibri" w:hAnsi="Calibri" w:cs="Calibri" w:eastAsia="Calibri" w:hint="default"/>
                <w:sz w:val="20"/>
                <w:szCs w:val="20"/>
              </w:rPr>
            </w:pPr>
            <w:r>
              <w:rPr>
                <w:rFonts w:ascii="Calibri"/>
                <w:b/>
                <w:sz w:val="20"/>
              </w:rPr>
              <w:t>(SD)</w:t>
            </w:r>
            <w:r>
              <w:rPr>
                <w:rFonts w:ascii="Calibri"/>
                <w:sz w:val="20"/>
              </w:rPr>
            </w:r>
          </w:p>
        </w:tc>
        <w:tc>
          <w:tcPr>
            <w:tcW w:w="1713" w:type="dxa"/>
            <w:tcBorders>
              <w:top w:val="nil" w:sz="6" w:space="0" w:color="auto"/>
              <w:left w:val="nil" w:sz="6" w:space="0" w:color="auto"/>
              <w:bottom w:val="single" w:sz="4" w:space="0" w:color="000000"/>
              <w:right w:val="nil" w:sz="6" w:space="0" w:color="auto"/>
            </w:tcBorders>
          </w:tcPr>
          <w:p>
            <w:pPr>
              <w:pStyle w:val="TableParagraph"/>
              <w:spacing w:line="203" w:lineRule="exact"/>
              <w:ind w:left="675" w:right="0"/>
              <w:jc w:val="left"/>
              <w:rPr>
                <w:rFonts w:ascii="Calibri" w:hAnsi="Calibri" w:cs="Calibri" w:eastAsia="Calibri" w:hint="default"/>
                <w:sz w:val="20"/>
                <w:szCs w:val="20"/>
              </w:rPr>
            </w:pPr>
            <w:r>
              <w:rPr>
                <w:rFonts w:ascii="Calibri" w:hAnsi="Calibri"/>
                <w:b/>
                <w:sz w:val="20"/>
              </w:rPr>
              <w:t>Std.</w:t>
            </w:r>
            <w:r>
              <w:rPr>
                <w:rFonts w:ascii="Calibri" w:hAnsi="Calibri"/>
                <w:b/>
                <w:spacing w:val="-3"/>
                <w:sz w:val="20"/>
              </w:rPr>
              <w:t> </w:t>
            </w:r>
            <w:r>
              <w:rPr>
                <w:rFonts w:ascii="Calibri" w:hAnsi="Calibri"/>
                <w:b/>
                <w:sz w:val="20"/>
              </w:rPr>
              <w:t>β</w:t>
            </w:r>
            <w:r>
              <w:rPr>
                <w:rFonts w:ascii="Calibri" w:hAnsi="Calibri"/>
                <w:sz w:val="20"/>
              </w:rPr>
            </w:r>
          </w:p>
        </w:tc>
      </w:tr>
      <w:tr>
        <w:trPr>
          <w:trHeight w:val="291" w:hRule="exact"/>
        </w:trPr>
        <w:tc>
          <w:tcPr>
            <w:tcW w:w="3990" w:type="dxa"/>
            <w:tcBorders>
              <w:top w:val="single" w:sz="4" w:space="0" w:color="000000"/>
              <w:left w:val="nil" w:sz="6" w:space="0" w:color="auto"/>
              <w:bottom w:val="nil" w:sz="6" w:space="0" w:color="auto"/>
              <w:right w:val="nil" w:sz="6" w:space="0" w:color="auto"/>
            </w:tcBorders>
          </w:tcPr>
          <w:p>
            <w:pPr>
              <w:pStyle w:val="TableParagraph"/>
              <w:spacing w:line="240" w:lineRule="auto" w:before="6"/>
              <w:ind w:left="16" w:right="0"/>
              <w:jc w:val="left"/>
              <w:rPr>
                <w:rFonts w:ascii="Calibri" w:hAnsi="Calibri" w:cs="Calibri" w:eastAsia="Calibri" w:hint="default"/>
                <w:sz w:val="20"/>
                <w:szCs w:val="20"/>
              </w:rPr>
            </w:pPr>
            <w:r>
              <w:rPr>
                <w:rFonts w:ascii="Calibri"/>
                <w:sz w:val="20"/>
              </w:rPr>
              <w:t>Accommodation</w:t>
            </w:r>
            <w:r>
              <w:rPr>
                <w:rFonts w:ascii="Calibri"/>
                <w:spacing w:val="-12"/>
                <w:sz w:val="20"/>
              </w:rPr>
              <w:t> </w:t>
            </w:r>
            <w:r>
              <w:rPr>
                <w:rFonts w:ascii="Calibri"/>
                <w:sz w:val="20"/>
              </w:rPr>
              <w:t>Satisfaction</w:t>
            </w:r>
          </w:p>
        </w:tc>
        <w:tc>
          <w:tcPr>
            <w:tcW w:w="2466" w:type="dxa"/>
            <w:tcBorders>
              <w:top w:val="single" w:sz="4" w:space="0" w:color="000000"/>
              <w:left w:val="nil" w:sz="6" w:space="0" w:color="auto"/>
              <w:bottom w:val="nil" w:sz="6" w:space="0" w:color="auto"/>
              <w:right w:val="nil" w:sz="6" w:space="0" w:color="auto"/>
            </w:tcBorders>
          </w:tcPr>
          <w:p>
            <w:pPr>
              <w:pStyle w:val="TableParagraph"/>
              <w:spacing w:line="240" w:lineRule="auto" w:before="6"/>
              <w:ind w:right="397"/>
              <w:jc w:val="right"/>
              <w:rPr>
                <w:rFonts w:ascii="Calibri" w:hAnsi="Calibri" w:cs="Calibri" w:eastAsia="Calibri" w:hint="default"/>
                <w:sz w:val="20"/>
                <w:szCs w:val="20"/>
              </w:rPr>
            </w:pPr>
            <w:r>
              <w:rPr>
                <w:rFonts w:ascii="Calibri"/>
                <w:w w:val="95"/>
                <w:sz w:val="20"/>
              </w:rPr>
              <w:t>4.95</w:t>
            </w:r>
            <w:r>
              <w:rPr>
                <w:rFonts w:ascii="Calibri"/>
                <w:sz w:val="20"/>
              </w:rPr>
            </w:r>
          </w:p>
        </w:tc>
        <w:tc>
          <w:tcPr>
            <w:tcW w:w="1137" w:type="dxa"/>
            <w:tcBorders>
              <w:top w:val="single" w:sz="4" w:space="0" w:color="000000"/>
              <w:left w:val="nil" w:sz="6" w:space="0" w:color="auto"/>
              <w:bottom w:val="nil" w:sz="6" w:space="0" w:color="auto"/>
              <w:right w:val="nil" w:sz="6" w:space="0" w:color="auto"/>
            </w:tcBorders>
          </w:tcPr>
          <w:p>
            <w:pPr>
              <w:pStyle w:val="TableParagraph"/>
              <w:spacing w:line="240" w:lineRule="auto" w:before="6"/>
              <w:ind w:left="112" w:right="0"/>
              <w:jc w:val="center"/>
              <w:rPr>
                <w:rFonts w:ascii="Calibri" w:hAnsi="Calibri" w:cs="Calibri" w:eastAsia="Calibri" w:hint="default"/>
                <w:sz w:val="20"/>
                <w:szCs w:val="20"/>
              </w:rPr>
            </w:pPr>
            <w:r>
              <w:rPr>
                <w:rFonts w:ascii="Calibri"/>
                <w:sz w:val="20"/>
              </w:rPr>
              <w:t>(1.060)</w:t>
            </w:r>
          </w:p>
        </w:tc>
        <w:tc>
          <w:tcPr>
            <w:tcW w:w="1713" w:type="dxa"/>
            <w:tcBorders>
              <w:top w:val="single" w:sz="4" w:space="0" w:color="000000"/>
              <w:left w:val="nil" w:sz="6" w:space="0" w:color="auto"/>
              <w:bottom w:val="nil" w:sz="6" w:space="0" w:color="auto"/>
              <w:right w:val="nil" w:sz="6" w:space="0" w:color="auto"/>
            </w:tcBorders>
          </w:tcPr>
          <w:p>
            <w:pPr>
              <w:pStyle w:val="TableParagraph"/>
              <w:spacing w:line="240" w:lineRule="auto" w:before="6"/>
              <w:ind w:right="470"/>
              <w:jc w:val="right"/>
              <w:rPr>
                <w:rFonts w:ascii="Calibri" w:hAnsi="Calibri" w:cs="Calibri" w:eastAsia="Calibri" w:hint="default"/>
                <w:sz w:val="20"/>
                <w:szCs w:val="20"/>
              </w:rPr>
            </w:pPr>
            <w:r>
              <w:rPr>
                <w:rFonts w:ascii="Calibri"/>
                <w:w w:val="95"/>
                <w:sz w:val="20"/>
              </w:rPr>
              <w:t>0.276**</w:t>
            </w:r>
            <w:r>
              <w:rPr>
                <w:rFonts w:ascii="Calibri"/>
                <w:sz w:val="20"/>
              </w:rPr>
            </w:r>
          </w:p>
        </w:tc>
      </w:tr>
      <w:tr>
        <w:trPr>
          <w:trHeight w:val="278" w:hRule="exact"/>
        </w:trPr>
        <w:tc>
          <w:tcPr>
            <w:tcW w:w="3990" w:type="dxa"/>
            <w:tcBorders>
              <w:top w:val="nil" w:sz="6" w:space="0" w:color="auto"/>
              <w:left w:val="nil" w:sz="6" w:space="0" w:color="auto"/>
              <w:bottom w:val="nil" w:sz="6" w:space="0" w:color="auto"/>
              <w:right w:val="nil" w:sz="6" w:space="0" w:color="auto"/>
            </w:tcBorders>
          </w:tcPr>
          <w:p>
            <w:pPr>
              <w:pStyle w:val="TableParagraph"/>
              <w:spacing w:line="243" w:lineRule="exact"/>
              <w:ind w:left="16" w:right="0"/>
              <w:jc w:val="left"/>
              <w:rPr>
                <w:rFonts w:ascii="Calibri" w:hAnsi="Calibri" w:cs="Calibri" w:eastAsia="Calibri" w:hint="default"/>
                <w:sz w:val="20"/>
                <w:szCs w:val="20"/>
              </w:rPr>
            </w:pPr>
            <w:r>
              <w:rPr>
                <w:rFonts w:ascii="Calibri"/>
                <w:sz w:val="20"/>
              </w:rPr>
              <w:t>Restaurant</w:t>
            </w:r>
            <w:r>
              <w:rPr>
                <w:rFonts w:ascii="Calibri"/>
                <w:spacing w:val="-13"/>
                <w:sz w:val="20"/>
              </w:rPr>
              <w:t> </w:t>
            </w:r>
            <w:r>
              <w:rPr>
                <w:rFonts w:ascii="Calibri"/>
                <w:sz w:val="20"/>
              </w:rPr>
              <w:t>Satisfaction</w:t>
            </w:r>
          </w:p>
        </w:tc>
        <w:tc>
          <w:tcPr>
            <w:tcW w:w="2466" w:type="dxa"/>
            <w:tcBorders>
              <w:top w:val="nil" w:sz="6" w:space="0" w:color="auto"/>
              <w:left w:val="nil" w:sz="6" w:space="0" w:color="auto"/>
              <w:bottom w:val="nil" w:sz="6" w:space="0" w:color="auto"/>
              <w:right w:val="nil" w:sz="6" w:space="0" w:color="auto"/>
            </w:tcBorders>
          </w:tcPr>
          <w:p>
            <w:pPr>
              <w:pStyle w:val="TableParagraph"/>
              <w:spacing w:line="243" w:lineRule="exact"/>
              <w:ind w:right="397"/>
              <w:jc w:val="right"/>
              <w:rPr>
                <w:rFonts w:ascii="Calibri" w:hAnsi="Calibri" w:cs="Calibri" w:eastAsia="Calibri" w:hint="default"/>
                <w:sz w:val="20"/>
                <w:szCs w:val="20"/>
              </w:rPr>
            </w:pPr>
            <w:r>
              <w:rPr>
                <w:rFonts w:ascii="Calibri"/>
                <w:w w:val="95"/>
                <w:sz w:val="20"/>
              </w:rPr>
              <w:t>4.74</w:t>
            </w:r>
            <w:r>
              <w:rPr>
                <w:rFonts w:ascii="Calibri"/>
                <w:sz w:val="20"/>
              </w:rPr>
            </w:r>
          </w:p>
        </w:tc>
        <w:tc>
          <w:tcPr>
            <w:tcW w:w="1137" w:type="dxa"/>
            <w:tcBorders>
              <w:top w:val="nil" w:sz="6" w:space="0" w:color="auto"/>
              <w:left w:val="nil" w:sz="6" w:space="0" w:color="auto"/>
              <w:bottom w:val="nil" w:sz="6" w:space="0" w:color="auto"/>
              <w:right w:val="nil" w:sz="6" w:space="0" w:color="auto"/>
            </w:tcBorders>
          </w:tcPr>
          <w:p>
            <w:pPr>
              <w:pStyle w:val="TableParagraph"/>
              <w:spacing w:line="243" w:lineRule="exact"/>
              <w:ind w:left="112" w:right="0"/>
              <w:jc w:val="center"/>
              <w:rPr>
                <w:rFonts w:ascii="Calibri" w:hAnsi="Calibri" w:cs="Calibri" w:eastAsia="Calibri" w:hint="default"/>
                <w:sz w:val="20"/>
                <w:szCs w:val="20"/>
              </w:rPr>
            </w:pPr>
            <w:r>
              <w:rPr>
                <w:rFonts w:ascii="Calibri"/>
                <w:sz w:val="20"/>
              </w:rPr>
              <w:t>(1.002)</w:t>
            </w:r>
          </w:p>
        </w:tc>
        <w:tc>
          <w:tcPr>
            <w:tcW w:w="1713" w:type="dxa"/>
            <w:tcBorders>
              <w:top w:val="nil" w:sz="6" w:space="0" w:color="auto"/>
              <w:left w:val="nil" w:sz="6" w:space="0" w:color="auto"/>
              <w:bottom w:val="nil" w:sz="6" w:space="0" w:color="auto"/>
              <w:right w:val="nil" w:sz="6" w:space="0" w:color="auto"/>
            </w:tcBorders>
          </w:tcPr>
          <w:p>
            <w:pPr>
              <w:pStyle w:val="TableParagraph"/>
              <w:spacing w:line="243" w:lineRule="exact"/>
              <w:ind w:right="470"/>
              <w:jc w:val="right"/>
              <w:rPr>
                <w:rFonts w:ascii="Calibri" w:hAnsi="Calibri" w:cs="Calibri" w:eastAsia="Calibri" w:hint="default"/>
                <w:sz w:val="20"/>
                <w:szCs w:val="20"/>
              </w:rPr>
            </w:pPr>
            <w:r>
              <w:rPr>
                <w:rFonts w:ascii="Calibri"/>
                <w:w w:val="95"/>
                <w:sz w:val="20"/>
              </w:rPr>
              <w:t>0.148**</w:t>
            </w:r>
            <w:r>
              <w:rPr>
                <w:rFonts w:ascii="Calibri"/>
                <w:sz w:val="20"/>
              </w:rPr>
            </w:r>
          </w:p>
        </w:tc>
      </w:tr>
      <w:tr>
        <w:trPr>
          <w:trHeight w:val="278" w:hRule="exact"/>
        </w:trPr>
        <w:tc>
          <w:tcPr>
            <w:tcW w:w="3990" w:type="dxa"/>
            <w:tcBorders>
              <w:top w:val="nil" w:sz="6" w:space="0" w:color="auto"/>
              <w:left w:val="nil" w:sz="6" w:space="0" w:color="auto"/>
              <w:bottom w:val="nil" w:sz="6" w:space="0" w:color="auto"/>
              <w:right w:val="nil" w:sz="6" w:space="0" w:color="auto"/>
            </w:tcBorders>
          </w:tcPr>
          <w:p>
            <w:pPr>
              <w:pStyle w:val="TableParagraph"/>
              <w:spacing w:line="243" w:lineRule="exact"/>
              <w:ind w:left="16" w:right="0"/>
              <w:jc w:val="left"/>
              <w:rPr>
                <w:rFonts w:ascii="Calibri" w:hAnsi="Calibri" w:cs="Calibri" w:eastAsia="Calibri" w:hint="default"/>
                <w:sz w:val="20"/>
                <w:szCs w:val="20"/>
              </w:rPr>
            </w:pPr>
            <w:r>
              <w:rPr>
                <w:rFonts w:ascii="Calibri"/>
                <w:sz w:val="20"/>
              </w:rPr>
              <w:t>Taxis</w:t>
            </w:r>
            <w:r>
              <w:rPr>
                <w:rFonts w:ascii="Calibri"/>
                <w:spacing w:val="-9"/>
                <w:sz w:val="20"/>
              </w:rPr>
              <w:t> </w:t>
            </w:r>
            <w:r>
              <w:rPr>
                <w:rFonts w:ascii="Calibri"/>
                <w:sz w:val="20"/>
              </w:rPr>
              <w:t>Satisfaction</w:t>
            </w:r>
          </w:p>
        </w:tc>
        <w:tc>
          <w:tcPr>
            <w:tcW w:w="2466" w:type="dxa"/>
            <w:tcBorders>
              <w:top w:val="nil" w:sz="6" w:space="0" w:color="auto"/>
              <w:left w:val="nil" w:sz="6" w:space="0" w:color="auto"/>
              <w:bottom w:val="nil" w:sz="6" w:space="0" w:color="auto"/>
              <w:right w:val="nil" w:sz="6" w:space="0" w:color="auto"/>
            </w:tcBorders>
          </w:tcPr>
          <w:p>
            <w:pPr>
              <w:pStyle w:val="TableParagraph"/>
              <w:spacing w:line="243" w:lineRule="exact"/>
              <w:ind w:right="397"/>
              <w:jc w:val="right"/>
              <w:rPr>
                <w:rFonts w:ascii="Calibri" w:hAnsi="Calibri" w:cs="Calibri" w:eastAsia="Calibri" w:hint="default"/>
                <w:sz w:val="20"/>
                <w:szCs w:val="20"/>
              </w:rPr>
            </w:pPr>
            <w:r>
              <w:rPr>
                <w:rFonts w:ascii="Calibri"/>
                <w:w w:val="95"/>
                <w:sz w:val="20"/>
              </w:rPr>
              <w:t>4.25</w:t>
            </w:r>
            <w:r>
              <w:rPr>
                <w:rFonts w:ascii="Calibri"/>
                <w:sz w:val="20"/>
              </w:rPr>
            </w:r>
          </w:p>
        </w:tc>
        <w:tc>
          <w:tcPr>
            <w:tcW w:w="1137" w:type="dxa"/>
            <w:tcBorders>
              <w:top w:val="nil" w:sz="6" w:space="0" w:color="auto"/>
              <w:left w:val="nil" w:sz="6" w:space="0" w:color="auto"/>
              <w:bottom w:val="nil" w:sz="6" w:space="0" w:color="auto"/>
              <w:right w:val="nil" w:sz="6" w:space="0" w:color="auto"/>
            </w:tcBorders>
          </w:tcPr>
          <w:p>
            <w:pPr>
              <w:pStyle w:val="TableParagraph"/>
              <w:spacing w:line="243" w:lineRule="exact"/>
              <w:ind w:left="112" w:right="0"/>
              <w:jc w:val="center"/>
              <w:rPr>
                <w:rFonts w:ascii="Calibri" w:hAnsi="Calibri" w:cs="Calibri" w:eastAsia="Calibri" w:hint="default"/>
                <w:sz w:val="20"/>
                <w:szCs w:val="20"/>
              </w:rPr>
            </w:pPr>
            <w:r>
              <w:rPr>
                <w:rFonts w:ascii="Calibri"/>
                <w:sz w:val="20"/>
              </w:rPr>
              <w:t>(1.099)</w:t>
            </w:r>
          </w:p>
        </w:tc>
        <w:tc>
          <w:tcPr>
            <w:tcW w:w="1713" w:type="dxa"/>
            <w:tcBorders>
              <w:top w:val="nil" w:sz="6" w:space="0" w:color="auto"/>
              <w:left w:val="nil" w:sz="6" w:space="0" w:color="auto"/>
              <w:bottom w:val="nil" w:sz="6" w:space="0" w:color="auto"/>
              <w:right w:val="nil" w:sz="6" w:space="0" w:color="auto"/>
            </w:tcBorders>
          </w:tcPr>
          <w:p>
            <w:pPr>
              <w:pStyle w:val="TableParagraph"/>
              <w:spacing w:line="243" w:lineRule="exact"/>
              <w:ind w:left="224" w:right="0"/>
              <w:jc w:val="left"/>
              <w:rPr>
                <w:rFonts w:ascii="Calibri" w:hAnsi="Calibri" w:cs="Calibri" w:eastAsia="Calibri" w:hint="default"/>
                <w:sz w:val="20"/>
                <w:szCs w:val="20"/>
              </w:rPr>
            </w:pPr>
            <w:r>
              <w:rPr>
                <w:rFonts w:ascii="Calibri"/>
                <w:sz w:val="20"/>
              </w:rPr>
              <w:t>-0.042</w:t>
            </w:r>
          </w:p>
        </w:tc>
      </w:tr>
      <w:tr>
        <w:trPr>
          <w:trHeight w:val="278" w:hRule="exact"/>
        </w:trPr>
        <w:tc>
          <w:tcPr>
            <w:tcW w:w="3990" w:type="dxa"/>
            <w:tcBorders>
              <w:top w:val="nil" w:sz="6" w:space="0" w:color="auto"/>
              <w:left w:val="nil" w:sz="6" w:space="0" w:color="auto"/>
              <w:bottom w:val="nil" w:sz="6" w:space="0" w:color="auto"/>
              <w:right w:val="nil" w:sz="6" w:space="0" w:color="auto"/>
            </w:tcBorders>
          </w:tcPr>
          <w:p>
            <w:pPr>
              <w:pStyle w:val="TableParagraph"/>
              <w:spacing w:line="243" w:lineRule="exact"/>
              <w:ind w:left="16" w:right="0"/>
              <w:jc w:val="left"/>
              <w:rPr>
                <w:rFonts w:ascii="Calibri" w:hAnsi="Calibri" w:cs="Calibri" w:eastAsia="Calibri" w:hint="default"/>
                <w:sz w:val="20"/>
                <w:szCs w:val="20"/>
              </w:rPr>
            </w:pPr>
            <w:r>
              <w:rPr>
                <w:rFonts w:ascii="Calibri"/>
                <w:sz w:val="20"/>
              </w:rPr>
              <w:t>Entertainment</w:t>
            </w:r>
            <w:r>
              <w:rPr>
                <w:rFonts w:ascii="Calibri"/>
                <w:spacing w:val="-12"/>
                <w:sz w:val="20"/>
              </w:rPr>
              <w:t> </w:t>
            </w:r>
            <w:r>
              <w:rPr>
                <w:rFonts w:ascii="Calibri"/>
                <w:sz w:val="20"/>
              </w:rPr>
              <w:t>Satisfaction</w:t>
            </w:r>
          </w:p>
        </w:tc>
        <w:tc>
          <w:tcPr>
            <w:tcW w:w="2466" w:type="dxa"/>
            <w:tcBorders>
              <w:top w:val="nil" w:sz="6" w:space="0" w:color="auto"/>
              <w:left w:val="nil" w:sz="6" w:space="0" w:color="auto"/>
              <w:bottom w:val="nil" w:sz="6" w:space="0" w:color="auto"/>
              <w:right w:val="nil" w:sz="6" w:space="0" w:color="auto"/>
            </w:tcBorders>
          </w:tcPr>
          <w:p>
            <w:pPr>
              <w:pStyle w:val="TableParagraph"/>
              <w:spacing w:line="243" w:lineRule="exact"/>
              <w:ind w:right="397"/>
              <w:jc w:val="right"/>
              <w:rPr>
                <w:rFonts w:ascii="Calibri" w:hAnsi="Calibri" w:cs="Calibri" w:eastAsia="Calibri" w:hint="default"/>
                <w:sz w:val="20"/>
                <w:szCs w:val="20"/>
              </w:rPr>
            </w:pPr>
            <w:r>
              <w:rPr>
                <w:rFonts w:ascii="Calibri"/>
                <w:w w:val="95"/>
                <w:sz w:val="20"/>
              </w:rPr>
              <w:t>4.52</w:t>
            </w:r>
            <w:r>
              <w:rPr>
                <w:rFonts w:ascii="Calibri"/>
                <w:sz w:val="20"/>
              </w:rPr>
            </w:r>
          </w:p>
        </w:tc>
        <w:tc>
          <w:tcPr>
            <w:tcW w:w="1137" w:type="dxa"/>
            <w:tcBorders>
              <w:top w:val="nil" w:sz="6" w:space="0" w:color="auto"/>
              <w:left w:val="nil" w:sz="6" w:space="0" w:color="auto"/>
              <w:bottom w:val="nil" w:sz="6" w:space="0" w:color="auto"/>
              <w:right w:val="nil" w:sz="6" w:space="0" w:color="auto"/>
            </w:tcBorders>
          </w:tcPr>
          <w:p>
            <w:pPr>
              <w:pStyle w:val="TableParagraph"/>
              <w:spacing w:line="243" w:lineRule="exact"/>
              <w:ind w:left="112" w:right="0"/>
              <w:jc w:val="center"/>
              <w:rPr>
                <w:rFonts w:ascii="Calibri" w:hAnsi="Calibri" w:cs="Calibri" w:eastAsia="Calibri" w:hint="default"/>
                <w:sz w:val="20"/>
                <w:szCs w:val="20"/>
              </w:rPr>
            </w:pPr>
            <w:r>
              <w:rPr>
                <w:rFonts w:ascii="Calibri"/>
                <w:sz w:val="20"/>
              </w:rPr>
              <w:t>(1.058)</w:t>
            </w:r>
          </w:p>
        </w:tc>
        <w:tc>
          <w:tcPr>
            <w:tcW w:w="1713" w:type="dxa"/>
            <w:tcBorders>
              <w:top w:val="nil" w:sz="6" w:space="0" w:color="auto"/>
              <w:left w:val="nil" w:sz="6" w:space="0" w:color="auto"/>
              <w:bottom w:val="nil" w:sz="6" w:space="0" w:color="auto"/>
              <w:right w:val="nil" w:sz="6" w:space="0" w:color="auto"/>
            </w:tcBorders>
          </w:tcPr>
          <w:p>
            <w:pPr>
              <w:pStyle w:val="TableParagraph"/>
              <w:spacing w:line="243" w:lineRule="exact"/>
              <w:ind w:right="470"/>
              <w:jc w:val="right"/>
              <w:rPr>
                <w:rFonts w:ascii="Calibri" w:hAnsi="Calibri" w:cs="Calibri" w:eastAsia="Calibri" w:hint="default"/>
                <w:sz w:val="20"/>
                <w:szCs w:val="20"/>
              </w:rPr>
            </w:pPr>
            <w:r>
              <w:rPr>
                <w:rFonts w:ascii="Calibri"/>
                <w:w w:val="95"/>
                <w:sz w:val="20"/>
              </w:rPr>
              <w:t>0.213**</w:t>
            </w:r>
            <w:r>
              <w:rPr>
                <w:rFonts w:ascii="Calibri"/>
                <w:sz w:val="20"/>
              </w:rPr>
            </w:r>
          </w:p>
        </w:tc>
      </w:tr>
      <w:tr>
        <w:trPr>
          <w:trHeight w:val="279" w:hRule="exact"/>
        </w:trPr>
        <w:tc>
          <w:tcPr>
            <w:tcW w:w="3990" w:type="dxa"/>
            <w:tcBorders>
              <w:top w:val="nil" w:sz="6" w:space="0" w:color="auto"/>
              <w:left w:val="nil" w:sz="6" w:space="0" w:color="auto"/>
              <w:bottom w:val="nil" w:sz="6" w:space="0" w:color="auto"/>
              <w:right w:val="nil" w:sz="6" w:space="0" w:color="auto"/>
            </w:tcBorders>
          </w:tcPr>
          <w:p>
            <w:pPr>
              <w:pStyle w:val="TableParagraph"/>
              <w:spacing w:line="243" w:lineRule="exact"/>
              <w:ind w:left="16" w:right="0"/>
              <w:jc w:val="left"/>
              <w:rPr>
                <w:rFonts w:ascii="Calibri" w:hAnsi="Calibri" w:cs="Calibri" w:eastAsia="Calibri" w:hint="default"/>
                <w:sz w:val="20"/>
                <w:szCs w:val="20"/>
              </w:rPr>
            </w:pPr>
            <w:r>
              <w:rPr>
                <w:rFonts w:ascii="Calibri"/>
                <w:sz w:val="20"/>
              </w:rPr>
              <w:t>Shopping</w:t>
            </w:r>
            <w:r>
              <w:rPr>
                <w:rFonts w:ascii="Calibri"/>
                <w:spacing w:val="-12"/>
                <w:sz w:val="20"/>
              </w:rPr>
              <w:t> </w:t>
            </w:r>
            <w:r>
              <w:rPr>
                <w:rFonts w:ascii="Calibri"/>
                <w:sz w:val="20"/>
              </w:rPr>
              <w:t>Satisfaction</w:t>
            </w:r>
          </w:p>
        </w:tc>
        <w:tc>
          <w:tcPr>
            <w:tcW w:w="2466" w:type="dxa"/>
            <w:tcBorders>
              <w:top w:val="nil" w:sz="6" w:space="0" w:color="auto"/>
              <w:left w:val="nil" w:sz="6" w:space="0" w:color="auto"/>
              <w:bottom w:val="nil" w:sz="6" w:space="0" w:color="auto"/>
              <w:right w:val="nil" w:sz="6" w:space="0" w:color="auto"/>
            </w:tcBorders>
          </w:tcPr>
          <w:p>
            <w:pPr>
              <w:pStyle w:val="TableParagraph"/>
              <w:spacing w:line="243" w:lineRule="exact"/>
              <w:ind w:right="397"/>
              <w:jc w:val="right"/>
              <w:rPr>
                <w:rFonts w:ascii="Calibri" w:hAnsi="Calibri" w:cs="Calibri" w:eastAsia="Calibri" w:hint="default"/>
                <w:sz w:val="20"/>
                <w:szCs w:val="20"/>
              </w:rPr>
            </w:pPr>
            <w:r>
              <w:rPr>
                <w:rFonts w:ascii="Calibri"/>
                <w:w w:val="95"/>
                <w:sz w:val="20"/>
              </w:rPr>
              <w:t>4.31</w:t>
            </w:r>
            <w:r>
              <w:rPr>
                <w:rFonts w:ascii="Calibri"/>
                <w:sz w:val="20"/>
              </w:rPr>
            </w:r>
          </w:p>
        </w:tc>
        <w:tc>
          <w:tcPr>
            <w:tcW w:w="1137" w:type="dxa"/>
            <w:tcBorders>
              <w:top w:val="nil" w:sz="6" w:space="0" w:color="auto"/>
              <w:left w:val="nil" w:sz="6" w:space="0" w:color="auto"/>
              <w:bottom w:val="nil" w:sz="6" w:space="0" w:color="auto"/>
              <w:right w:val="nil" w:sz="6" w:space="0" w:color="auto"/>
            </w:tcBorders>
          </w:tcPr>
          <w:p>
            <w:pPr>
              <w:pStyle w:val="TableParagraph"/>
              <w:spacing w:line="243" w:lineRule="exact"/>
              <w:ind w:left="112" w:right="0"/>
              <w:jc w:val="center"/>
              <w:rPr>
                <w:rFonts w:ascii="Calibri" w:hAnsi="Calibri" w:cs="Calibri" w:eastAsia="Calibri" w:hint="default"/>
                <w:sz w:val="20"/>
                <w:szCs w:val="20"/>
              </w:rPr>
            </w:pPr>
            <w:r>
              <w:rPr>
                <w:rFonts w:ascii="Calibri"/>
                <w:sz w:val="20"/>
              </w:rPr>
              <w:t>(1.163)</w:t>
            </w:r>
          </w:p>
        </w:tc>
        <w:tc>
          <w:tcPr>
            <w:tcW w:w="1713" w:type="dxa"/>
            <w:tcBorders>
              <w:top w:val="nil" w:sz="6" w:space="0" w:color="auto"/>
              <w:left w:val="nil" w:sz="6" w:space="0" w:color="auto"/>
              <w:bottom w:val="nil" w:sz="6" w:space="0" w:color="auto"/>
              <w:right w:val="nil" w:sz="6" w:space="0" w:color="auto"/>
            </w:tcBorders>
          </w:tcPr>
          <w:p>
            <w:pPr>
              <w:pStyle w:val="TableParagraph"/>
              <w:spacing w:line="243" w:lineRule="exact"/>
              <w:ind w:right="470"/>
              <w:jc w:val="right"/>
              <w:rPr>
                <w:rFonts w:ascii="Calibri" w:hAnsi="Calibri" w:cs="Calibri" w:eastAsia="Calibri" w:hint="default"/>
                <w:sz w:val="20"/>
                <w:szCs w:val="20"/>
              </w:rPr>
            </w:pPr>
            <w:r>
              <w:rPr>
                <w:rFonts w:ascii="Calibri"/>
                <w:w w:val="95"/>
                <w:sz w:val="20"/>
              </w:rPr>
              <w:t>0.166**</w:t>
            </w:r>
            <w:r>
              <w:rPr>
                <w:rFonts w:ascii="Calibri"/>
                <w:sz w:val="20"/>
              </w:rPr>
            </w:r>
          </w:p>
        </w:tc>
      </w:tr>
      <w:tr>
        <w:trPr>
          <w:trHeight w:val="279" w:hRule="exact"/>
        </w:trPr>
        <w:tc>
          <w:tcPr>
            <w:tcW w:w="3990" w:type="dxa"/>
            <w:tcBorders>
              <w:top w:val="nil" w:sz="6" w:space="0" w:color="auto"/>
              <w:left w:val="nil" w:sz="6" w:space="0" w:color="auto"/>
              <w:bottom w:val="nil" w:sz="6" w:space="0" w:color="auto"/>
              <w:right w:val="nil" w:sz="6" w:space="0" w:color="auto"/>
            </w:tcBorders>
          </w:tcPr>
          <w:p>
            <w:pPr>
              <w:pStyle w:val="TableParagraph"/>
              <w:spacing w:line="243" w:lineRule="exact"/>
              <w:ind w:left="16" w:right="0"/>
              <w:jc w:val="left"/>
              <w:rPr>
                <w:rFonts w:ascii="Calibri" w:hAnsi="Calibri" w:cs="Calibri" w:eastAsia="Calibri" w:hint="default"/>
                <w:sz w:val="20"/>
                <w:szCs w:val="20"/>
              </w:rPr>
            </w:pPr>
            <w:r>
              <w:rPr>
                <w:rFonts w:ascii="Calibri"/>
                <w:sz w:val="20"/>
              </w:rPr>
              <w:t>Rental Car</w:t>
            </w:r>
            <w:r>
              <w:rPr>
                <w:rFonts w:ascii="Calibri"/>
                <w:spacing w:val="-14"/>
                <w:sz w:val="20"/>
              </w:rPr>
              <w:t> </w:t>
            </w:r>
            <w:r>
              <w:rPr>
                <w:rFonts w:ascii="Calibri"/>
                <w:sz w:val="20"/>
              </w:rPr>
              <w:t>Satisfaction</w:t>
            </w:r>
          </w:p>
        </w:tc>
        <w:tc>
          <w:tcPr>
            <w:tcW w:w="2466" w:type="dxa"/>
            <w:tcBorders>
              <w:top w:val="nil" w:sz="6" w:space="0" w:color="auto"/>
              <w:left w:val="nil" w:sz="6" w:space="0" w:color="auto"/>
              <w:bottom w:val="nil" w:sz="6" w:space="0" w:color="auto"/>
              <w:right w:val="nil" w:sz="6" w:space="0" w:color="auto"/>
            </w:tcBorders>
          </w:tcPr>
          <w:p>
            <w:pPr>
              <w:pStyle w:val="TableParagraph"/>
              <w:spacing w:line="243" w:lineRule="exact"/>
              <w:ind w:right="397"/>
              <w:jc w:val="right"/>
              <w:rPr>
                <w:rFonts w:ascii="Calibri" w:hAnsi="Calibri" w:cs="Calibri" w:eastAsia="Calibri" w:hint="default"/>
                <w:sz w:val="20"/>
                <w:szCs w:val="20"/>
              </w:rPr>
            </w:pPr>
            <w:r>
              <w:rPr>
                <w:rFonts w:ascii="Calibri"/>
                <w:w w:val="95"/>
                <w:sz w:val="20"/>
              </w:rPr>
              <w:t>4.40</w:t>
            </w:r>
            <w:r>
              <w:rPr>
                <w:rFonts w:ascii="Calibri"/>
                <w:sz w:val="20"/>
              </w:rPr>
            </w:r>
          </w:p>
        </w:tc>
        <w:tc>
          <w:tcPr>
            <w:tcW w:w="1137" w:type="dxa"/>
            <w:tcBorders>
              <w:top w:val="nil" w:sz="6" w:space="0" w:color="auto"/>
              <w:left w:val="nil" w:sz="6" w:space="0" w:color="auto"/>
              <w:bottom w:val="nil" w:sz="6" w:space="0" w:color="auto"/>
              <w:right w:val="nil" w:sz="6" w:space="0" w:color="auto"/>
            </w:tcBorders>
          </w:tcPr>
          <w:p>
            <w:pPr>
              <w:pStyle w:val="TableParagraph"/>
              <w:spacing w:line="243" w:lineRule="exact"/>
              <w:ind w:left="112" w:right="0"/>
              <w:jc w:val="center"/>
              <w:rPr>
                <w:rFonts w:ascii="Calibri" w:hAnsi="Calibri" w:cs="Calibri" w:eastAsia="Calibri" w:hint="default"/>
                <w:sz w:val="20"/>
                <w:szCs w:val="20"/>
              </w:rPr>
            </w:pPr>
            <w:r>
              <w:rPr>
                <w:rFonts w:ascii="Calibri"/>
                <w:sz w:val="20"/>
              </w:rPr>
              <w:t>(1.120)</w:t>
            </w:r>
          </w:p>
        </w:tc>
        <w:tc>
          <w:tcPr>
            <w:tcW w:w="1713" w:type="dxa"/>
            <w:tcBorders>
              <w:top w:val="nil" w:sz="6" w:space="0" w:color="auto"/>
              <w:left w:val="nil" w:sz="6" w:space="0" w:color="auto"/>
              <w:bottom w:val="nil" w:sz="6" w:space="0" w:color="auto"/>
              <w:right w:val="nil" w:sz="6" w:space="0" w:color="auto"/>
            </w:tcBorders>
          </w:tcPr>
          <w:p>
            <w:pPr>
              <w:pStyle w:val="TableParagraph"/>
              <w:spacing w:line="243" w:lineRule="exact"/>
              <w:ind w:right="470"/>
              <w:jc w:val="right"/>
              <w:rPr>
                <w:rFonts w:ascii="Calibri" w:hAnsi="Calibri" w:cs="Calibri" w:eastAsia="Calibri" w:hint="default"/>
                <w:sz w:val="20"/>
                <w:szCs w:val="20"/>
              </w:rPr>
            </w:pPr>
            <w:r>
              <w:rPr>
                <w:rFonts w:ascii="Calibri"/>
                <w:w w:val="95"/>
                <w:sz w:val="20"/>
              </w:rPr>
              <w:t>0.065**</w:t>
            </w:r>
            <w:r>
              <w:rPr>
                <w:rFonts w:ascii="Calibri"/>
                <w:sz w:val="20"/>
              </w:rPr>
            </w:r>
          </w:p>
        </w:tc>
      </w:tr>
      <w:tr>
        <w:trPr>
          <w:trHeight w:val="268" w:hRule="exact"/>
        </w:trPr>
        <w:tc>
          <w:tcPr>
            <w:tcW w:w="3990" w:type="dxa"/>
            <w:tcBorders>
              <w:top w:val="nil" w:sz="6" w:space="0" w:color="auto"/>
              <w:left w:val="nil" w:sz="6" w:space="0" w:color="auto"/>
              <w:bottom w:val="single" w:sz="4" w:space="0" w:color="000000"/>
              <w:right w:val="nil" w:sz="6" w:space="0" w:color="auto"/>
            </w:tcBorders>
          </w:tcPr>
          <w:p>
            <w:pPr>
              <w:pStyle w:val="TableParagraph"/>
              <w:spacing w:line="243" w:lineRule="exact"/>
              <w:ind w:left="16" w:right="0"/>
              <w:jc w:val="left"/>
              <w:rPr>
                <w:rFonts w:ascii="Calibri" w:hAnsi="Calibri" w:cs="Calibri" w:eastAsia="Calibri" w:hint="default"/>
                <w:sz w:val="20"/>
                <w:szCs w:val="20"/>
              </w:rPr>
            </w:pPr>
            <w:r>
              <w:rPr>
                <w:rFonts w:ascii="Calibri"/>
                <w:sz w:val="20"/>
              </w:rPr>
              <w:t>Airfare</w:t>
            </w:r>
            <w:r>
              <w:rPr>
                <w:rFonts w:ascii="Calibri"/>
                <w:spacing w:val="-7"/>
                <w:sz w:val="20"/>
              </w:rPr>
              <w:t> </w:t>
            </w:r>
            <w:r>
              <w:rPr>
                <w:rFonts w:ascii="Calibri"/>
                <w:sz w:val="20"/>
              </w:rPr>
              <w:t>Satisfaction</w:t>
            </w:r>
          </w:p>
        </w:tc>
        <w:tc>
          <w:tcPr>
            <w:tcW w:w="2466" w:type="dxa"/>
            <w:tcBorders>
              <w:top w:val="nil" w:sz="6" w:space="0" w:color="auto"/>
              <w:left w:val="nil" w:sz="6" w:space="0" w:color="auto"/>
              <w:bottom w:val="single" w:sz="4" w:space="0" w:color="000000"/>
              <w:right w:val="nil" w:sz="6" w:space="0" w:color="auto"/>
            </w:tcBorders>
          </w:tcPr>
          <w:p>
            <w:pPr>
              <w:pStyle w:val="TableParagraph"/>
              <w:spacing w:line="243" w:lineRule="exact"/>
              <w:ind w:right="397"/>
              <w:jc w:val="right"/>
              <w:rPr>
                <w:rFonts w:ascii="Calibri" w:hAnsi="Calibri" w:cs="Calibri" w:eastAsia="Calibri" w:hint="default"/>
                <w:sz w:val="20"/>
                <w:szCs w:val="20"/>
              </w:rPr>
            </w:pPr>
            <w:r>
              <w:rPr>
                <w:rFonts w:ascii="Calibri"/>
                <w:w w:val="95"/>
                <w:sz w:val="20"/>
              </w:rPr>
              <w:t>4.35</w:t>
            </w:r>
            <w:r>
              <w:rPr>
                <w:rFonts w:ascii="Calibri"/>
                <w:sz w:val="20"/>
              </w:rPr>
            </w:r>
          </w:p>
        </w:tc>
        <w:tc>
          <w:tcPr>
            <w:tcW w:w="1137" w:type="dxa"/>
            <w:tcBorders>
              <w:top w:val="nil" w:sz="6" w:space="0" w:color="auto"/>
              <w:left w:val="nil" w:sz="6" w:space="0" w:color="auto"/>
              <w:bottom w:val="single" w:sz="4" w:space="0" w:color="000000"/>
              <w:right w:val="nil" w:sz="6" w:space="0" w:color="auto"/>
            </w:tcBorders>
          </w:tcPr>
          <w:p>
            <w:pPr>
              <w:pStyle w:val="TableParagraph"/>
              <w:spacing w:line="243" w:lineRule="exact"/>
              <w:ind w:left="112" w:right="0"/>
              <w:jc w:val="center"/>
              <w:rPr>
                <w:rFonts w:ascii="Calibri" w:hAnsi="Calibri" w:cs="Calibri" w:eastAsia="Calibri" w:hint="default"/>
                <w:sz w:val="20"/>
                <w:szCs w:val="20"/>
              </w:rPr>
            </w:pPr>
            <w:r>
              <w:rPr>
                <w:rFonts w:ascii="Calibri"/>
                <w:sz w:val="20"/>
              </w:rPr>
              <w:t>(1.105)</w:t>
            </w:r>
          </w:p>
        </w:tc>
        <w:tc>
          <w:tcPr>
            <w:tcW w:w="1713" w:type="dxa"/>
            <w:tcBorders>
              <w:top w:val="nil" w:sz="6" w:space="0" w:color="auto"/>
              <w:left w:val="nil" w:sz="6" w:space="0" w:color="auto"/>
              <w:bottom w:val="single" w:sz="4" w:space="0" w:color="000000"/>
              <w:right w:val="nil" w:sz="6" w:space="0" w:color="auto"/>
            </w:tcBorders>
          </w:tcPr>
          <w:p>
            <w:pPr>
              <w:pStyle w:val="TableParagraph"/>
              <w:spacing w:line="243" w:lineRule="exact"/>
              <w:ind w:right="470"/>
              <w:jc w:val="right"/>
              <w:rPr>
                <w:rFonts w:ascii="Calibri" w:hAnsi="Calibri" w:cs="Calibri" w:eastAsia="Calibri" w:hint="default"/>
                <w:sz w:val="20"/>
                <w:szCs w:val="20"/>
              </w:rPr>
            </w:pPr>
            <w:r>
              <w:rPr>
                <w:rFonts w:ascii="Calibri"/>
                <w:w w:val="95"/>
                <w:sz w:val="20"/>
              </w:rPr>
              <w:t>0.129**</w:t>
            </w:r>
            <w:r>
              <w:rPr>
                <w:rFonts w:ascii="Calibri"/>
                <w:sz w:val="20"/>
              </w:rPr>
            </w:r>
          </w:p>
        </w:tc>
      </w:tr>
      <w:tr>
        <w:trPr>
          <w:trHeight w:val="249" w:hRule="exact"/>
        </w:trPr>
        <w:tc>
          <w:tcPr>
            <w:tcW w:w="3990" w:type="dxa"/>
            <w:tcBorders>
              <w:top w:val="single" w:sz="4" w:space="0" w:color="000000"/>
              <w:left w:val="nil" w:sz="6" w:space="0" w:color="auto"/>
              <w:bottom w:val="nil" w:sz="6" w:space="0" w:color="auto"/>
              <w:right w:val="nil" w:sz="6" w:space="0" w:color="auto"/>
            </w:tcBorders>
          </w:tcPr>
          <w:p>
            <w:pPr>
              <w:pStyle w:val="TableParagraph"/>
              <w:spacing w:line="240" w:lineRule="auto"/>
              <w:ind w:left="16" w:right="0"/>
              <w:jc w:val="left"/>
              <w:rPr>
                <w:rFonts w:ascii="Calibri" w:hAnsi="Calibri" w:cs="Calibri" w:eastAsia="Calibri" w:hint="default"/>
                <w:sz w:val="20"/>
                <w:szCs w:val="20"/>
              </w:rPr>
            </w:pPr>
            <w:r>
              <w:rPr>
                <w:rFonts w:ascii="Calibri" w:hAnsi="Calibri"/>
                <w:sz w:val="20"/>
              </w:rPr>
              <w:t>Cronbach's α=0.893; F</w:t>
            </w:r>
            <w:r>
              <w:rPr>
                <w:rFonts w:ascii="Calibri" w:hAnsi="Calibri"/>
                <w:sz w:val="20"/>
              </w:rPr>
              <w:t>-value345.412**;</w:t>
            </w:r>
            <w:r>
              <w:rPr>
                <w:rFonts w:ascii="Calibri" w:hAnsi="Calibri"/>
                <w:spacing w:val="-10"/>
                <w:sz w:val="20"/>
              </w:rPr>
              <w:t> </w:t>
            </w:r>
            <w:r>
              <w:rPr>
                <w:rFonts w:ascii="Calibri" w:hAnsi="Calibri"/>
                <w:sz w:val="20"/>
              </w:rPr>
              <w:t>R</w:t>
            </w:r>
            <w:r>
              <w:rPr>
                <w:rFonts w:ascii="Calibri" w:hAnsi="Calibri"/>
                <w:position w:val="7"/>
                <w:sz w:val="13"/>
              </w:rPr>
              <w:t>2=</w:t>
            </w:r>
            <w:r>
              <w:rPr>
                <w:rFonts w:ascii="Calibri" w:hAnsi="Calibri"/>
                <w:sz w:val="20"/>
              </w:rPr>
              <w:t>0.581</w:t>
            </w:r>
          </w:p>
        </w:tc>
        <w:tc>
          <w:tcPr>
            <w:tcW w:w="2466" w:type="dxa"/>
            <w:tcBorders>
              <w:top w:val="single" w:sz="4" w:space="0" w:color="000000"/>
              <w:left w:val="nil" w:sz="6" w:space="0" w:color="auto"/>
              <w:bottom w:val="nil" w:sz="6" w:space="0" w:color="auto"/>
              <w:right w:val="nil" w:sz="6" w:space="0" w:color="auto"/>
            </w:tcBorders>
          </w:tcPr>
          <w:p>
            <w:pPr/>
          </w:p>
        </w:tc>
        <w:tc>
          <w:tcPr>
            <w:tcW w:w="1137" w:type="dxa"/>
            <w:tcBorders>
              <w:top w:val="single" w:sz="4" w:space="0" w:color="000000"/>
              <w:left w:val="nil" w:sz="6" w:space="0" w:color="auto"/>
              <w:bottom w:val="nil" w:sz="6" w:space="0" w:color="auto"/>
              <w:right w:val="nil" w:sz="6" w:space="0" w:color="auto"/>
            </w:tcBorders>
          </w:tcPr>
          <w:p>
            <w:pPr/>
          </w:p>
        </w:tc>
        <w:tc>
          <w:tcPr>
            <w:tcW w:w="1713" w:type="dxa"/>
            <w:tcBorders>
              <w:top w:val="single" w:sz="4" w:space="0" w:color="000000"/>
              <w:left w:val="nil" w:sz="6" w:space="0" w:color="auto"/>
              <w:bottom w:val="nil" w:sz="6" w:space="0" w:color="auto"/>
              <w:right w:val="nil" w:sz="6" w:space="0" w:color="auto"/>
            </w:tcBorders>
          </w:tcPr>
          <w:p>
            <w:pPr/>
          </w:p>
        </w:tc>
      </w:tr>
    </w:tbl>
    <w:p>
      <w:pPr>
        <w:spacing w:line="240" w:lineRule="auto" w:before="7"/>
        <w:ind w:right="0"/>
        <w:rPr>
          <w:rFonts w:ascii="Calibri" w:hAnsi="Calibri" w:cs="Calibri" w:eastAsia="Calibri" w:hint="default"/>
          <w:b/>
          <w:bCs/>
          <w:sz w:val="18"/>
          <w:szCs w:val="18"/>
        </w:rPr>
      </w:pPr>
    </w:p>
    <w:p>
      <w:pPr>
        <w:pStyle w:val="BodyText"/>
        <w:spacing w:line="259" w:lineRule="auto" w:before="59"/>
        <w:ind w:right="1433"/>
        <w:jc w:val="both"/>
        <w:rPr>
          <w:rFonts w:ascii="Calibri" w:hAnsi="Calibri" w:cs="Calibri" w:eastAsia="Calibri" w:hint="default"/>
        </w:rPr>
      </w:pPr>
      <w:r>
        <w:rPr/>
        <w:t>This discussion regarding tourists</w:t>
      </w:r>
      <w:r>
        <w:rPr>
          <w:rFonts w:ascii="Calibri" w:hAnsi="Calibri" w:cs="Calibri" w:eastAsia="Calibri" w:hint="default"/>
        </w:rPr>
        <w:t>’ </w:t>
      </w:r>
      <w:r>
        <w:rPr/>
        <w:t>profiling and their behavioral intentions has important implications in terms of matching the right type of tourists with the supply of </w:t>
      </w:r>
      <w:r>
        <w:rPr>
          <w:rFonts w:ascii="Calibri" w:hAnsi="Calibri" w:cs="Calibri" w:eastAsia="Calibri" w:hint="default"/>
        </w:rPr>
        <w:t>Curaçao’s </w:t>
      </w:r>
      <w:r>
        <w:rPr/>
        <w:t>offerings. This matching is crucial particularly when a destination has embarked on optimizing use of its inventory and offerings. A quick look at the spending behaviors indicates</w:t>
      </w:r>
      <w:r>
        <w:rPr>
          <w:spacing w:val="-11"/>
        </w:rPr>
        <w:t> </w:t>
      </w:r>
      <w:r>
        <w:rPr/>
        <w:t>that</w:t>
      </w:r>
      <w:r>
        <w:rPr>
          <w:spacing w:val="-8"/>
        </w:rPr>
        <w:t> </w:t>
      </w:r>
      <w:r>
        <w:rPr/>
        <w:t>the</w:t>
      </w:r>
      <w:r>
        <w:rPr>
          <w:spacing w:val="-8"/>
        </w:rPr>
        <w:t> </w:t>
      </w:r>
      <w:r>
        <w:rPr/>
        <w:t>more</w:t>
      </w:r>
      <w:r>
        <w:rPr>
          <w:spacing w:val="-8"/>
        </w:rPr>
        <w:t> </w:t>
      </w:r>
      <w:r>
        <w:rPr/>
        <w:t>tourists</w:t>
      </w:r>
      <w:r>
        <w:rPr>
          <w:spacing w:val="-9"/>
        </w:rPr>
        <w:t> </w:t>
      </w:r>
      <w:r>
        <w:rPr>
          <w:rFonts w:ascii="Calibri" w:hAnsi="Calibri" w:cs="Calibri" w:eastAsia="Calibri" w:hint="default"/>
        </w:rPr>
        <w:t>stay</w:t>
      </w:r>
      <w:r>
        <w:rPr>
          <w:rFonts w:ascii="Calibri" w:hAnsi="Calibri" w:cs="Calibri" w:eastAsia="Calibri" w:hint="default"/>
          <w:spacing w:val="-8"/>
        </w:rPr>
        <w:t> </w:t>
      </w:r>
      <w:r>
        <w:rPr>
          <w:rFonts w:ascii="Calibri" w:hAnsi="Calibri" w:cs="Calibri" w:eastAsia="Calibri" w:hint="default"/>
        </w:rPr>
        <w:t>on</w:t>
      </w:r>
      <w:r>
        <w:rPr>
          <w:rFonts w:ascii="Calibri" w:hAnsi="Calibri" w:cs="Calibri" w:eastAsia="Calibri" w:hint="default"/>
          <w:spacing w:val="-8"/>
        </w:rPr>
        <w:t> </w:t>
      </w:r>
      <w:r>
        <w:rPr>
          <w:rFonts w:ascii="Calibri" w:hAnsi="Calibri" w:cs="Calibri" w:eastAsia="Calibri" w:hint="default"/>
        </w:rPr>
        <w:t>the</w:t>
      </w:r>
      <w:r>
        <w:rPr>
          <w:rFonts w:ascii="Calibri" w:hAnsi="Calibri" w:cs="Calibri" w:eastAsia="Calibri" w:hint="default"/>
          <w:spacing w:val="-10"/>
        </w:rPr>
        <w:t> </w:t>
      </w:r>
      <w:r>
        <w:rPr>
          <w:rFonts w:ascii="Calibri" w:hAnsi="Calibri" w:cs="Calibri" w:eastAsia="Calibri" w:hint="default"/>
        </w:rPr>
        <w:t>island,</w:t>
      </w:r>
      <w:r>
        <w:rPr>
          <w:rFonts w:ascii="Calibri" w:hAnsi="Calibri" w:cs="Calibri" w:eastAsia="Calibri" w:hint="default"/>
          <w:spacing w:val="-9"/>
        </w:rPr>
        <w:t> </w:t>
      </w:r>
      <w:r>
        <w:rPr>
          <w:rFonts w:ascii="Calibri" w:hAnsi="Calibri" w:cs="Calibri" w:eastAsia="Calibri" w:hint="default"/>
        </w:rPr>
        <w:t>the</w:t>
      </w:r>
      <w:r>
        <w:rPr>
          <w:rFonts w:ascii="Calibri" w:hAnsi="Calibri" w:cs="Calibri" w:eastAsia="Calibri" w:hint="default"/>
          <w:spacing w:val="-10"/>
        </w:rPr>
        <w:t> </w:t>
      </w:r>
      <w:r>
        <w:rPr>
          <w:rFonts w:ascii="Calibri" w:hAnsi="Calibri" w:cs="Calibri" w:eastAsia="Calibri" w:hint="default"/>
        </w:rPr>
        <w:t>more</w:t>
      </w:r>
      <w:r>
        <w:rPr>
          <w:rFonts w:ascii="Calibri" w:hAnsi="Calibri" w:cs="Calibri" w:eastAsia="Calibri" w:hint="default"/>
          <w:spacing w:val="-8"/>
        </w:rPr>
        <w:t> </w:t>
      </w:r>
      <w:r>
        <w:rPr>
          <w:rFonts w:ascii="Calibri" w:hAnsi="Calibri" w:cs="Calibri" w:eastAsia="Calibri" w:hint="default"/>
        </w:rPr>
        <w:t>they</w:t>
      </w:r>
      <w:r>
        <w:rPr>
          <w:rFonts w:ascii="Calibri" w:hAnsi="Calibri" w:cs="Calibri" w:eastAsia="Calibri" w:hint="default"/>
          <w:spacing w:val="-8"/>
        </w:rPr>
        <w:t> </w:t>
      </w:r>
      <w:r>
        <w:rPr>
          <w:rFonts w:ascii="Calibri" w:hAnsi="Calibri" w:cs="Calibri" w:eastAsia="Calibri" w:hint="default"/>
        </w:rPr>
        <w:t>spend</w:t>
      </w:r>
      <w:r>
        <w:rPr>
          <w:rFonts w:ascii="Calibri" w:hAnsi="Calibri" w:cs="Calibri" w:eastAsia="Calibri" w:hint="default"/>
          <w:spacing w:val="-6"/>
        </w:rPr>
        <w:t> </w:t>
      </w:r>
      <w:r>
        <w:rPr>
          <w:rFonts w:ascii="Calibri" w:hAnsi="Calibri" w:cs="Calibri" w:eastAsia="Calibri" w:hint="default"/>
        </w:rPr>
        <w:t>(β=0.26,</w:t>
      </w:r>
      <w:r>
        <w:rPr>
          <w:rFonts w:ascii="Calibri" w:hAnsi="Calibri" w:cs="Calibri" w:eastAsia="Calibri" w:hint="default"/>
          <w:spacing w:val="-7"/>
        </w:rPr>
        <w:t> </w:t>
      </w:r>
      <w:r>
        <w:rPr>
          <w:rFonts w:ascii="Calibri" w:hAnsi="Calibri" w:cs="Calibri" w:eastAsia="Calibri" w:hint="default"/>
        </w:rPr>
        <w:t>ρ&lt;0.001).</w:t>
      </w:r>
      <w:r>
        <w:rPr>
          <w:rFonts w:ascii="Calibri" w:hAnsi="Calibri" w:cs="Calibri" w:eastAsia="Calibri" w:hint="default"/>
          <w:spacing w:val="35"/>
        </w:rPr>
        <w:t> </w:t>
      </w:r>
      <w:r>
        <w:rPr/>
        <w:t>However,</w:t>
      </w:r>
      <w:r>
        <w:rPr>
          <w:spacing w:val="-9"/>
        </w:rPr>
        <w:t> </w:t>
      </w:r>
      <w:r>
        <w:rPr/>
        <w:t>the</w:t>
      </w:r>
      <w:r>
        <w:rPr>
          <w:spacing w:val="-10"/>
        </w:rPr>
        <w:t> </w:t>
      </w:r>
      <w:r>
        <w:rPr/>
        <w:t>interesting </w:t>
      </w:r>
      <w:r>
        <w:rPr/>
        <w:t>point</w:t>
      </w:r>
      <w:r>
        <w:rPr>
          <w:spacing w:val="-8"/>
        </w:rPr>
        <w:t> </w:t>
      </w:r>
      <w:r>
        <w:rPr/>
        <w:t>is</w:t>
      </w:r>
      <w:r>
        <w:rPr>
          <w:spacing w:val="-9"/>
        </w:rPr>
        <w:t> </w:t>
      </w:r>
      <w:r>
        <w:rPr/>
        <w:t>that</w:t>
      </w:r>
      <w:r>
        <w:rPr>
          <w:spacing w:val="-7"/>
        </w:rPr>
        <w:t> </w:t>
      </w:r>
      <w:r>
        <w:rPr/>
        <w:t>the</w:t>
      </w:r>
      <w:r>
        <w:rPr>
          <w:spacing w:val="-9"/>
        </w:rPr>
        <w:t> </w:t>
      </w:r>
      <w:r>
        <w:rPr/>
        <w:t>strength</w:t>
      </w:r>
      <w:r>
        <w:rPr>
          <w:spacing w:val="-7"/>
        </w:rPr>
        <w:t> </w:t>
      </w:r>
      <w:r>
        <w:rPr/>
        <w:t>of</w:t>
      </w:r>
      <w:r>
        <w:rPr>
          <w:spacing w:val="-9"/>
        </w:rPr>
        <w:t> </w:t>
      </w:r>
      <w:r>
        <w:rPr/>
        <w:t>the</w:t>
      </w:r>
      <w:r>
        <w:rPr>
          <w:spacing w:val="-9"/>
        </w:rPr>
        <w:t> </w:t>
      </w:r>
      <w:r>
        <w:rPr/>
        <w:t>relationship,</w:t>
      </w:r>
      <w:r>
        <w:rPr>
          <w:spacing w:val="-8"/>
        </w:rPr>
        <w:t> </w:t>
      </w:r>
      <w:r>
        <w:rPr/>
        <w:t>0.26,</w:t>
      </w:r>
      <w:r>
        <w:rPr>
          <w:spacing w:val="-8"/>
        </w:rPr>
        <w:t> </w:t>
      </w:r>
      <w:r>
        <w:rPr/>
        <w:t>is</w:t>
      </w:r>
      <w:r>
        <w:rPr>
          <w:spacing w:val="-9"/>
        </w:rPr>
        <w:t> </w:t>
      </w:r>
      <w:r>
        <w:rPr/>
        <w:t>a</w:t>
      </w:r>
      <w:r>
        <w:rPr>
          <w:spacing w:val="-8"/>
        </w:rPr>
        <w:t> </w:t>
      </w:r>
      <w:r>
        <w:rPr/>
        <w:t>rather</w:t>
      </w:r>
      <w:r>
        <w:rPr>
          <w:spacing w:val="-6"/>
        </w:rPr>
        <w:t> </w:t>
      </w:r>
      <w:r>
        <w:rPr/>
        <w:t>weak</w:t>
      </w:r>
      <w:r>
        <w:rPr>
          <w:spacing w:val="-6"/>
        </w:rPr>
        <w:t> </w:t>
      </w:r>
      <w:r>
        <w:rPr/>
        <w:t>coefficient</w:t>
      </w:r>
      <w:r>
        <w:rPr>
          <w:spacing w:val="-8"/>
        </w:rPr>
        <w:t> </w:t>
      </w:r>
      <w:r>
        <w:rPr/>
        <w:t>for</w:t>
      </w:r>
      <w:r>
        <w:rPr>
          <w:spacing w:val="-8"/>
        </w:rPr>
        <w:t> </w:t>
      </w:r>
      <w:r>
        <w:rPr/>
        <w:t>this</w:t>
      </w:r>
      <w:r>
        <w:rPr>
          <w:spacing w:val="-9"/>
        </w:rPr>
        <w:t> </w:t>
      </w:r>
      <w:r>
        <w:rPr/>
        <w:t>kind</w:t>
      </w:r>
      <w:r>
        <w:rPr>
          <w:spacing w:val="-6"/>
        </w:rPr>
        <w:t> </w:t>
      </w:r>
      <w:r>
        <w:rPr/>
        <w:t>of</w:t>
      </w:r>
      <w:r>
        <w:rPr>
          <w:spacing w:val="-9"/>
        </w:rPr>
        <w:t> </w:t>
      </w:r>
      <w:r>
        <w:rPr/>
        <w:t>relationship.</w:t>
      </w:r>
      <w:r>
        <w:rPr>
          <w:spacing w:val="29"/>
        </w:rPr>
        <w:t> </w:t>
      </w:r>
      <w:r>
        <w:rPr/>
        <w:t>This</w:t>
      </w:r>
      <w:r>
        <w:rPr>
          <w:spacing w:val="-7"/>
        </w:rPr>
        <w:t> </w:t>
      </w:r>
      <w:r>
        <w:rPr/>
        <w:t>weak </w:t>
      </w:r>
      <w:r>
        <w:rPr/>
        <w:t>relationship indicates that it is easier to stay longer and pay less, suggesting that a high portion of the costs are related to initial costs. Designing the tourism product in a way that convinces the tourists to spend more will lead to</w:t>
      </w:r>
      <w:r>
        <w:rPr>
          <w:spacing w:val="-5"/>
        </w:rPr>
        <w:t> </w:t>
      </w:r>
      <w:r>
        <w:rPr/>
        <w:t>an</w:t>
      </w:r>
      <w:r>
        <w:rPr>
          <w:spacing w:val="-4"/>
        </w:rPr>
        <w:t> </w:t>
      </w:r>
      <w:r>
        <w:rPr/>
        <w:t>increase</w:t>
      </w:r>
      <w:r>
        <w:rPr>
          <w:spacing w:val="-7"/>
        </w:rPr>
        <w:t> </w:t>
      </w:r>
      <w:r>
        <w:rPr/>
        <w:t>in</w:t>
      </w:r>
      <w:r>
        <w:rPr>
          <w:spacing w:val="-5"/>
        </w:rPr>
        <w:t> </w:t>
      </w:r>
      <w:r>
        <w:rPr/>
        <w:t>income</w:t>
      </w:r>
      <w:r>
        <w:rPr>
          <w:spacing w:val="-7"/>
        </w:rPr>
        <w:t> </w:t>
      </w:r>
      <w:r>
        <w:rPr/>
        <w:t>as</w:t>
      </w:r>
      <w:r>
        <w:rPr>
          <w:spacing w:val="-6"/>
        </w:rPr>
        <w:t> </w:t>
      </w:r>
      <w:r>
        <w:rPr/>
        <w:t>the</w:t>
      </w:r>
      <w:r>
        <w:rPr>
          <w:spacing w:val="-6"/>
        </w:rPr>
        <w:t> </w:t>
      </w:r>
      <w:r>
        <w:rPr/>
        <w:t>result</w:t>
      </w:r>
      <w:r>
        <w:rPr>
          <w:spacing w:val="-5"/>
        </w:rPr>
        <w:t> </w:t>
      </w:r>
      <w:r>
        <w:rPr/>
        <w:t>of</w:t>
      </w:r>
      <w:r>
        <w:rPr>
          <w:spacing w:val="-6"/>
        </w:rPr>
        <w:t> </w:t>
      </w:r>
      <w:r>
        <w:rPr/>
        <w:t>extended</w:t>
      </w:r>
      <w:r>
        <w:rPr>
          <w:spacing w:val="-5"/>
        </w:rPr>
        <w:t> </w:t>
      </w:r>
      <w:r>
        <w:rPr/>
        <w:t>stays.</w:t>
      </w:r>
      <w:r>
        <w:rPr>
          <w:spacing w:val="-2"/>
        </w:rPr>
        <w:t> </w:t>
      </w:r>
      <w:r>
        <w:rPr/>
        <w:t>Finally,</w:t>
      </w:r>
      <w:r>
        <w:rPr>
          <w:spacing w:val="-5"/>
        </w:rPr>
        <w:t> </w:t>
      </w:r>
      <w:r>
        <w:rPr/>
        <w:t>on</w:t>
      </w:r>
      <w:r>
        <w:rPr>
          <w:spacing w:val="-5"/>
        </w:rPr>
        <w:t> </w:t>
      </w:r>
      <w:r>
        <w:rPr/>
        <w:t>average,</w:t>
      </w:r>
      <w:r>
        <w:rPr>
          <w:spacing w:val="-5"/>
        </w:rPr>
        <w:t> </w:t>
      </w:r>
      <w:r>
        <w:rPr/>
        <w:t>older</w:t>
      </w:r>
      <w:r>
        <w:rPr>
          <w:spacing w:val="-4"/>
        </w:rPr>
        <w:t> </w:t>
      </w:r>
      <w:r>
        <w:rPr/>
        <w:t>tourists</w:t>
      </w:r>
      <w:r>
        <w:rPr>
          <w:spacing w:val="-3"/>
        </w:rPr>
        <w:t> </w:t>
      </w:r>
      <w:r>
        <w:rPr/>
        <w:t>spend</w:t>
      </w:r>
      <w:r>
        <w:rPr>
          <w:spacing w:val="-5"/>
        </w:rPr>
        <w:t> </w:t>
      </w:r>
      <w:r>
        <w:rPr/>
        <w:t>more</w:t>
      </w:r>
      <w:r>
        <w:rPr>
          <w:spacing w:val="-6"/>
        </w:rPr>
        <w:t> </w:t>
      </w:r>
      <w:r>
        <w:rPr/>
        <w:t>compared</w:t>
      </w:r>
      <w:r>
        <w:rPr>
          <w:spacing w:val="-5"/>
        </w:rPr>
        <w:t> </w:t>
      </w:r>
      <w:r>
        <w:rPr/>
        <w:t>to </w:t>
      </w:r>
      <w:r>
        <w:rPr/>
        <w:t>younger tourists </w:t>
      </w:r>
      <w:r>
        <w:rPr>
          <w:rFonts w:ascii="Calibri" w:hAnsi="Calibri" w:cs="Calibri" w:eastAsia="Calibri" w:hint="default"/>
        </w:rPr>
        <w:t>(β=0.11, ρ&lt;0.001); a</w:t>
      </w:r>
      <w:r>
        <w:rPr/>
        <w:t>nd, single tourists average less spending </w:t>
      </w:r>
      <w:r>
        <w:rPr>
          <w:rFonts w:ascii="Calibri" w:hAnsi="Calibri" w:cs="Calibri" w:eastAsia="Calibri" w:hint="default"/>
        </w:rPr>
        <w:t>than other marital status groups (β=</w:t>
      </w:r>
      <w:r>
        <w:rPr/>
        <w:t>- </w:t>
      </w:r>
      <w:r>
        <w:rPr>
          <w:rFonts w:ascii="Calibri" w:hAnsi="Calibri" w:cs="Calibri" w:eastAsia="Calibri" w:hint="default"/>
        </w:rPr>
        <w:t>0.07, ρ&lt;0.01)</w:t>
      </w:r>
      <w:r>
        <w:rPr/>
        <w:t>; while married couples without children spend the most compared </w:t>
      </w:r>
      <w:r>
        <w:rPr>
          <w:rFonts w:ascii="Calibri" w:hAnsi="Calibri" w:cs="Calibri" w:eastAsia="Calibri" w:hint="default"/>
        </w:rPr>
        <w:t>to others (β=0.07,</w:t>
      </w:r>
      <w:r>
        <w:rPr>
          <w:rFonts w:ascii="Calibri" w:hAnsi="Calibri" w:cs="Calibri" w:eastAsia="Calibri" w:hint="default"/>
          <w:spacing w:val="-27"/>
        </w:rPr>
        <w:t> </w:t>
      </w:r>
      <w:r>
        <w:rPr>
          <w:rFonts w:ascii="Calibri" w:hAnsi="Calibri" w:cs="Calibri" w:eastAsia="Calibri" w:hint="default"/>
        </w:rPr>
        <w:t>ρ&lt;0.01).</w:t>
      </w:r>
    </w:p>
    <w:p>
      <w:pPr>
        <w:pStyle w:val="BodyText"/>
        <w:spacing w:line="259" w:lineRule="auto"/>
        <w:ind w:right="1436"/>
        <w:jc w:val="both"/>
      </w:pPr>
      <w:r>
        <w:rPr/>
        <w:t>The DPITS collected demographic and geographic tourist information via standard survey questions pertaining to: income</w:t>
      </w:r>
      <w:r>
        <w:rPr>
          <w:spacing w:val="-5"/>
        </w:rPr>
        <w:t> </w:t>
      </w:r>
      <w:r>
        <w:rPr/>
        <w:t>levels,</w:t>
      </w:r>
      <w:r>
        <w:rPr>
          <w:spacing w:val="-5"/>
        </w:rPr>
        <w:t> </w:t>
      </w:r>
      <w:r>
        <w:rPr/>
        <w:t>gender,</w:t>
      </w:r>
      <w:r>
        <w:rPr>
          <w:spacing w:val="-5"/>
        </w:rPr>
        <w:t> </w:t>
      </w:r>
      <w:r>
        <w:rPr/>
        <w:t>age,</w:t>
      </w:r>
      <w:r>
        <w:rPr>
          <w:spacing w:val="-3"/>
        </w:rPr>
        <w:t> </w:t>
      </w:r>
      <w:r>
        <w:rPr/>
        <w:t>country</w:t>
      </w:r>
      <w:r>
        <w:rPr>
          <w:spacing w:val="-4"/>
        </w:rPr>
        <w:t> </w:t>
      </w:r>
      <w:r>
        <w:rPr/>
        <w:t>of</w:t>
      </w:r>
      <w:r>
        <w:rPr>
          <w:spacing w:val="-6"/>
        </w:rPr>
        <w:t> </w:t>
      </w:r>
      <w:r>
        <w:rPr/>
        <w:t>residence,</w:t>
      </w:r>
      <w:r>
        <w:rPr>
          <w:spacing w:val="-5"/>
        </w:rPr>
        <w:t> </w:t>
      </w:r>
      <w:r>
        <w:rPr/>
        <w:t>length</w:t>
      </w:r>
      <w:r>
        <w:rPr>
          <w:spacing w:val="-5"/>
        </w:rPr>
        <w:t> </w:t>
      </w:r>
      <w:r>
        <w:rPr/>
        <w:t>of</w:t>
      </w:r>
      <w:r>
        <w:rPr>
          <w:spacing w:val="-5"/>
        </w:rPr>
        <w:t> </w:t>
      </w:r>
      <w:r>
        <w:rPr/>
        <w:t>stay,</w:t>
      </w:r>
      <w:r>
        <w:rPr>
          <w:spacing w:val="-5"/>
        </w:rPr>
        <w:t> </w:t>
      </w:r>
      <w:r>
        <w:rPr/>
        <w:t>expenditures,</w:t>
      </w:r>
      <w:r>
        <w:rPr>
          <w:spacing w:val="-5"/>
        </w:rPr>
        <w:t> </w:t>
      </w:r>
      <w:r>
        <w:rPr/>
        <w:t>etc.</w:t>
      </w:r>
      <w:r>
        <w:rPr>
          <w:spacing w:val="-6"/>
        </w:rPr>
        <w:t> </w:t>
      </w:r>
      <w:r>
        <w:rPr/>
        <w:t>(See</w:t>
      </w:r>
      <w:r>
        <w:rPr>
          <w:spacing w:val="3"/>
        </w:rPr>
        <w:t> </w:t>
      </w:r>
      <w:r>
        <w:rPr/>
        <w:t>Annex</w:t>
      </w:r>
      <w:r>
        <w:rPr>
          <w:spacing w:val="-5"/>
        </w:rPr>
        <w:t> </w:t>
      </w:r>
      <w:r>
        <w:rPr/>
        <w:t>2</w:t>
      </w:r>
      <w:r>
        <w:rPr>
          <w:spacing w:val="-5"/>
        </w:rPr>
        <w:t> </w:t>
      </w:r>
      <w:r>
        <w:rPr/>
        <w:t>for</w:t>
      </w:r>
      <w:r>
        <w:rPr>
          <w:spacing w:val="-3"/>
        </w:rPr>
        <w:t> </w:t>
      </w:r>
      <w:r>
        <w:rPr/>
        <w:t>sample</w:t>
      </w:r>
      <w:r>
        <w:rPr>
          <w:spacing w:val="-5"/>
        </w:rPr>
        <w:t> </w:t>
      </w:r>
      <w:r>
        <w:rPr/>
        <w:t>survey). </w:t>
      </w:r>
      <w:r>
        <w:rPr/>
      </w:r>
      <w:r>
        <w:rPr>
          <w:rFonts w:ascii="Calibri" w:hAnsi="Calibri" w:cs="Calibri" w:eastAsia="Calibri" w:hint="default"/>
        </w:rPr>
        <w:t>Additionally,</w:t>
      </w:r>
      <w:r>
        <w:rPr>
          <w:rFonts w:ascii="Calibri" w:hAnsi="Calibri" w:cs="Calibri" w:eastAsia="Calibri" w:hint="default"/>
          <w:spacing w:val="-7"/>
        </w:rPr>
        <w:t> </w:t>
      </w:r>
      <w:r>
        <w:rPr>
          <w:rFonts w:ascii="Calibri" w:hAnsi="Calibri" w:cs="Calibri" w:eastAsia="Calibri" w:hint="default"/>
        </w:rPr>
        <w:t>the</w:t>
      </w:r>
      <w:r>
        <w:rPr>
          <w:rFonts w:ascii="Calibri" w:hAnsi="Calibri" w:cs="Calibri" w:eastAsia="Calibri" w:hint="default"/>
          <w:spacing w:val="-9"/>
        </w:rPr>
        <w:t> </w:t>
      </w:r>
      <w:r>
        <w:rPr>
          <w:rFonts w:ascii="Calibri" w:hAnsi="Calibri" w:cs="Calibri" w:eastAsia="Calibri" w:hint="default"/>
        </w:rPr>
        <w:t>DPITS</w:t>
      </w:r>
      <w:r>
        <w:rPr>
          <w:rFonts w:ascii="Calibri" w:hAnsi="Calibri" w:cs="Calibri" w:eastAsia="Calibri" w:hint="default"/>
          <w:spacing w:val="-8"/>
        </w:rPr>
        <w:t> </w:t>
      </w:r>
      <w:r>
        <w:rPr>
          <w:rFonts w:ascii="Calibri" w:hAnsi="Calibri" w:cs="Calibri" w:eastAsia="Calibri" w:hint="default"/>
        </w:rPr>
        <w:t>included</w:t>
      </w:r>
      <w:r>
        <w:rPr>
          <w:rFonts w:ascii="Calibri" w:hAnsi="Calibri" w:cs="Calibri" w:eastAsia="Calibri" w:hint="default"/>
          <w:spacing w:val="-7"/>
        </w:rPr>
        <w:t> </w:t>
      </w:r>
      <w:r>
        <w:rPr>
          <w:rFonts w:ascii="Calibri" w:hAnsi="Calibri" w:cs="Calibri" w:eastAsia="Calibri" w:hint="default"/>
        </w:rPr>
        <w:t>questions</w:t>
      </w:r>
      <w:r>
        <w:rPr>
          <w:rFonts w:ascii="Calibri" w:hAnsi="Calibri" w:cs="Calibri" w:eastAsia="Calibri" w:hint="default"/>
          <w:spacing w:val="-9"/>
        </w:rPr>
        <w:t> </w:t>
      </w:r>
      <w:r>
        <w:rPr>
          <w:rFonts w:ascii="Calibri" w:hAnsi="Calibri" w:cs="Calibri" w:eastAsia="Calibri" w:hint="default"/>
        </w:rPr>
        <w:t>that</w:t>
      </w:r>
      <w:r>
        <w:rPr>
          <w:rFonts w:ascii="Calibri" w:hAnsi="Calibri" w:cs="Calibri" w:eastAsia="Calibri" w:hint="default"/>
          <w:spacing w:val="-7"/>
        </w:rPr>
        <w:t> </w:t>
      </w:r>
      <w:r>
        <w:rPr>
          <w:rFonts w:ascii="Calibri" w:hAnsi="Calibri" w:cs="Calibri" w:eastAsia="Calibri" w:hint="default"/>
        </w:rPr>
        <w:t>queried</w:t>
      </w:r>
      <w:r>
        <w:rPr>
          <w:rFonts w:ascii="Calibri" w:hAnsi="Calibri" w:cs="Calibri" w:eastAsia="Calibri" w:hint="default"/>
          <w:spacing w:val="-7"/>
        </w:rPr>
        <w:t> </w:t>
      </w:r>
      <w:r>
        <w:rPr>
          <w:rFonts w:ascii="Calibri" w:hAnsi="Calibri" w:cs="Calibri" w:eastAsia="Calibri" w:hint="default"/>
        </w:rPr>
        <w:t>the</w:t>
      </w:r>
      <w:r>
        <w:rPr>
          <w:rFonts w:ascii="Calibri" w:hAnsi="Calibri" w:cs="Calibri" w:eastAsia="Calibri" w:hint="default"/>
          <w:spacing w:val="-6"/>
        </w:rPr>
        <w:t> </w:t>
      </w:r>
      <w:r>
        <w:rPr>
          <w:rFonts w:ascii="Calibri" w:hAnsi="Calibri" w:cs="Calibri" w:eastAsia="Calibri" w:hint="default"/>
        </w:rPr>
        <w:t>tourists’</w:t>
      </w:r>
      <w:r>
        <w:rPr>
          <w:rFonts w:ascii="Calibri" w:hAnsi="Calibri" w:cs="Calibri" w:eastAsia="Calibri" w:hint="default"/>
          <w:spacing w:val="-7"/>
        </w:rPr>
        <w:t> </w:t>
      </w:r>
      <w:r>
        <w:rPr>
          <w:rFonts w:ascii="Calibri" w:hAnsi="Calibri" w:cs="Calibri" w:eastAsia="Calibri" w:hint="default"/>
        </w:rPr>
        <w:t>future</w:t>
      </w:r>
      <w:r>
        <w:rPr>
          <w:rFonts w:ascii="Calibri" w:hAnsi="Calibri" w:cs="Calibri" w:eastAsia="Calibri" w:hint="default"/>
          <w:spacing w:val="-2"/>
        </w:rPr>
        <w:t> </w:t>
      </w:r>
      <w:r>
        <w:rPr/>
        <w:t>behavioral</w:t>
      </w:r>
      <w:r>
        <w:rPr>
          <w:spacing w:val="-8"/>
        </w:rPr>
        <w:t> </w:t>
      </w:r>
      <w:r>
        <w:rPr/>
        <w:t>intentions</w:t>
      </w:r>
      <w:r>
        <w:rPr>
          <w:spacing w:val="-9"/>
        </w:rPr>
        <w:t> </w:t>
      </w:r>
      <w:r>
        <w:rPr/>
        <w:t>with</w:t>
      </w:r>
      <w:r>
        <w:rPr>
          <w:spacing w:val="-5"/>
        </w:rPr>
        <w:t> </w:t>
      </w:r>
      <w:r>
        <w:rPr/>
        <w:t>Curaçao,</w:t>
      </w:r>
      <w:r>
        <w:rPr>
          <w:spacing w:val="-7"/>
        </w:rPr>
        <w:t> </w:t>
      </w:r>
      <w:r>
        <w:rPr/>
        <w:t>such </w:t>
      </w:r>
      <w:r>
        <w:rPr/>
        <w:t>as: likelihood to return to Curaçao, recommendations for Curaçao, sharing their experiences in Curaçao on social media sites,</w:t>
      </w:r>
      <w:r>
        <w:rPr>
          <w:spacing w:val="-6"/>
        </w:rPr>
        <w:t> </w:t>
      </w:r>
      <w:r>
        <w:rPr/>
        <w:t>etc.</w:t>
      </w:r>
    </w:p>
    <w:p>
      <w:pPr>
        <w:spacing w:line="240" w:lineRule="auto" w:before="8"/>
        <w:ind w:right="0"/>
        <w:rPr>
          <w:rFonts w:ascii="Calibri" w:hAnsi="Calibri" w:cs="Calibri" w:eastAsia="Calibri" w:hint="default"/>
          <w:sz w:val="21"/>
          <w:szCs w:val="21"/>
        </w:rPr>
      </w:pPr>
    </w:p>
    <w:p>
      <w:pPr>
        <w:pStyle w:val="BodyText"/>
        <w:spacing w:line="259" w:lineRule="auto"/>
        <w:ind w:right="1439"/>
        <w:jc w:val="both"/>
      </w:pPr>
      <w:r>
        <w:rPr/>
        <w:t>The</w:t>
      </w:r>
      <w:r>
        <w:rPr>
          <w:spacing w:val="-7"/>
        </w:rPr>
        <w:t> </w:t>
      </w:r>
      <w:r>
        <w:rPr/>
        <w:t>DPITS</w:t>
      </w:r>
      <w:r>
        <w:rPr>
          <w:spacing w:val="-7"/>
        </w:rPr>
        <w:t> </w:t>
      </w:r>
      <w:r>
        <w:rPr/>
        <w:t>focused</w:t>
      </w:r>
      <w:r>
        <w:rPr>
          <w:spacing w:val="-6"/>
        </w:rPr>
        <w:t> </w:t>
      </w:r>
      <w:r>
        <w:rPr/>
        <w:t>on</w:t>
      </w:r>
      <w:r>
        <w:rPr>
          <w:spacing w:val="-6"/>
        </w:rPr>
        <w:t> </w:t>
      </w:r>
      <w:r>
        <w:rPr/>
        <w:t>developing</w:t>
      </w:r>
      <w:r>
        <w:rPr>
          <w:spacing w:val="-7"/>
        </w:rPr>
        <w:t> </w:t>
      </w:r>
      <w:r>
        <w:rPr/>
        <w:t>tourist</w:t>
      </w:r>
      <w:r>
        <w:rPr>
          <w:spacing w:val="-6"/>
        </w:rPr>
        <w:t> </w:t>
      </w:r>
      <w:r>
        <w:rPr/>
        <w:t>cohorts</w:t>
      </w:r>
      <w:r>
        <w:rPr>
          <w:spacing w:val="-4"/>
        </w:rPr>
        <w:t> </w:t>
      </w:r>
      <w:r>
        <w:rPr/>
        <w:t>via</w:t>
      </w:r>
      <w:r>
        <w:rPr>
          <w:spacing w:val="-4"/>
        </w:rPr>
        <w:t> </w:t>
      </w:r>
      <w:r>
        <w:rPr/>
        <w:t>socio-demographic</w:t>
      </w:r>
      <w:r>
        <w:rPr>
          <w:spacing w:val="-3"/>
        </w:rPr>
        <w:t> </w:t>
      </w:r>
      <w:r>
        <w:rPr/>
        <w:t>segmentation</w:t>
      </w:r>
      <w:r>
        <w:rPr>
          <w:spacing w:val="-6"/>
        </w:rPr>
        <w:t> </w:t>
      </w:r>
      <w:r>
        <w:rPr/>
        <w:t>strategies</w:t>
      </w:r>
      <w:r>
        <w:rPr>
          <w:spacing w:val="-7"/>
        </w:rPr>
        <w:t> </w:t>
      </w:r>
      <w:r>
        <w:rPr/>
        <w:t>(i.e.,</w:t>
      </w:r>
      <w:r>
        <w:rPr>
          <w:spacing w:val="-6"/>
        </w:rPr>
        <w:t> </w:t>
      </w:r>
      <w:r>
        <w:rPr/>
        <w:t>demographic, </w:t>
      </w:r>
      <w:r>
        <w:rPr/>
        <w:t>geographic, and  psychographic segmentation  strategies combined),  as  well as  behavioral segmentation.   </w:t>
      </w:r>
      <w:r>
        <w:rPr>
          <w:spacing w:val="5"/>
        </w:rPr>
        <w:t> </w:t>
      </w:r>
      <w:r>
        <w:rPr/>
        <w:t>When</w:t>
      </w:r>
    </w:p>
    <w:p>
      <w:pPr>
        <w:spacing w:after="0" w:line="259" w:lineRule="auto"/>
        <w:jc w:val="both"/>
        <w:sectPr>
          <w:footerReference w:type="default" r:id="rId56"/>
          <w:pgSz w:w="12240" w:h="15840"/>
          <w:pgMar w:footer="533" w:header="0" w:top="840" w:bottom="720" w:left="0" w:right="0"/>
          <w:pgNumType w:start="61"/>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59" w:lineRule="auto" w:before="59"/>
        <w:ind w:right="1437"/>
        <w:jc w:val="both"/>
        <w:rPr>
          <w:rFonts w:ascii="Calibri" w:hAnsi="Calibri" w:cs="Calibri" w:eastAsia="Calibri" w:hint="default"/>
        </w:rPr>
      </w:pPr>
      <w:r>
        <w:rPr/>
        <w:t>comprising these cohorts, the DPITS heavily focused on the psychographic characteristics in order to determine the specific tourist personality traits that could influence consumption of travel-related products. The DPITS then infiltrated the psychographic results with demographic and geographic segmentation characteristics in order to generate</w:t>
      </w:r>
      <w:r>
        <w:rPr>
          <w:spacing w:val="-4"/>
        </w:rPr>
        <w:t> </w:t>
      </w:r>
      <w:r>
        <w:rPr/>
        <w:t>the</w:t>
      </w:r>
      <w:r>
        <w:rPr>
          <w:spacing w:val="-3"/>
        </w:rPr>
        <w:t> </w:t>
      </w:r>
      <w:r>
        <w:rPr/>
        <w:t>most</w:t>
      </w:r>
      <w:r>
        <w:rPr>
          <w:spacing w:val="-3"/>
        </w:rPr>
        <w:t> </w:t>
      </w:r>
      <w:r>
        <w:rPr/>
        <w:t>fertile</w:t>
      </w:r>
      <w:r>
        <w:rPr>
          <w:spacing w:val="-4"/>
        </w:rPr>
        <w:t> </w:t>
      </w:r>
      <w:r>
        <w:rPr/>
        <w:t>form</w:t>
      </w:r>
      <w:r>
        <w:rPr>
          <w:spacing w:val="-4"/>
        </w:rPr>
        <w:t> </w:t>
      </w:r>
      <w:r>
        <w:rPr/>
        <w:t>of</w:t>
      </w:r>
      <w:r>
        <w:rPr>
          <w:spacing w:val="-2"/>
        </w:rPr>
        <w:t> </w:t>
      </w:r>
      <w:r>
        <w:rPr/>
        <w:t>segmentation</w:t>
      </w:r>
      <w:r>
        <w:rPr>
          <w:spacing w:val="-3"/>
        </w:rPr>
        <w:t> </w:t>
      </w:r>
      <w:r>
        <w:rPr/>
        <w:t>data</w:t>
      </w:r>
      <w:r>
        <w:rPr>
          <w:spacing w:val="-2"/>
        </w:rPr>
        <w:t> </w:t>
      </w:r>
      <w:r>
        <w:rPr>
          <w:rFonts w:ascii="Calibri" w:hAnsi="Calibri" w:cs="Calibri" w:eastAsia="Calibri" w:hint="default"/>
        </w:rPr>
        <w:t>–</w:t>
      </w:r>
      <w:r>
        <w:rPr>
          <w:rFonts w:ascii="Calibri" w:hAnsi="Calibri" w:cs="Calibri" w:eastAsia="Calibri" w:hint="default"/>
          <w:spacing w:val="-4"/>
        </w:rPr>
        <w:t> </w:t>
      </w:r>
      <w:r>
        <w:rPr/>
        <w:t>socio-</w:t>
      </w:r>
      <w:r>
        <w:rPr>
          <w:rFonts w:ascii="Calibri" w:hAnsi="Calibri" w:cs="Calibri" w:eastAsia="Calibri" w:hint="default"/>
        </w:rPr>
        <w:t>demographic</w:t>
      </w:r>
      <w:r>
        <w:rPr>
          <w:rFonts w:ascii="Calibri" w:hAnsi="Calibri" w:cs="Calibri" w:eastAsia="Calibri" w:hint="default"/>
          <w:spacing w:val="-4"/>
        </w:rPr>
        <w:t> </w:t>
      </w:r>
      <w:r>
        <w:rPr>
          <w:rFonts w:ascii="Calibri" w:hAnsi="Calibri" w:cs="Calibri" w:eastAsia="Calibri" w:hint="default"/>
        </w:rPr>
        <w:t>tourists’</w:t>
      </w:r>
      <w:r>
        <w:rPr>
          <w:rFonts w:ascii="Calibri" w:hAnsi="Calibri" w:cs="Calibri" w:eastAsia="Calibri" w:hint="default"/>
          <w:spacing w:val="-3"/>
        </w:rPr>
        <w:t> </w:t>
      </w:r>
      <w:r>
        <w:rPr>
          <w:rFonts w:ascii="Calibri" w:hAnsi="Calibri" w:cs="Calibri" w:eastAsia="Calibri" w:hint="default"/>
        </w:rPr>
        <w:t>profiles.</w:t>
      </w:r>
    </w:p>
    <w:p>
      <w:pPr>
        <w:pStyle w:val="BodyText"/>
        <w:spacing w:line="259" w:lineRule="auto"/>
        <w:ind w:right="1438"/>
        <w:jc w:val="both"/>
      </w:pPr>
      <w:r>
        <w:rPr/>
        <w:t>The socio-demographic information that was collected on </w:t>
      </w:r>
      <w:r>
        <w:rPr>
          <w:rFonts w:ascii="Calibri" w:hAnsi="Calibri" w:cs="Calibri" w:eastAsia="Calibri" w:hint="default"/>
        </w:rPr>
        <w:t>Curaçao’s tourists’ profiles will provide the CTB with </w:t>
      </w:r>
      <w:r>
        <w:rPr/>
        <w:t>valuable insight for the construction of promotions and advertising materials for the destination. A series of Likert scale</w:t>
      </w:r>
      <w:r>
        <w:rPr>
          <w:spacing w:val="-4"/>
        </w:rPr>
        <w:t> </w:t>
      </w:r>
      <w:r>
        <w:rPr/>
        <w:t>questions</w:t>
      </w:r>
      <w:r>
        <w:rPr>
          <w:spacing w:val="-5"/>
        </w:rPr>
        <w:t> </w:t>
      </w:r>
      <w:r>
        <w:rPr/>
        <w:t>depicting</w:t>
      </w:r>
      <w:r>
        <w:rPr>
          <w:spacing w:val="-1"/>
        </w:rPr>
        <w:t> </w:t>
      </w:r>
      <w:r>
        <w:rPr/>
        <w:t>especia</w:t>
      </w:r>
      <w:r>
        <w:rPr>
          <w:rFonts w:ascii="Calibri" w:hAnsi="Calibri" w:cs="Calibri" w:eastAsia="Calibri" w:hint="default"/>
        </w:rPr>
        <w:t>lly</w:t>
      </w:r>
      <w:r>
        <w:rPr>
          <w:rFonts w:ascii="Calibri" w:hAnsi="Calibri" w:cs="Calibri" w:eastAsia="Calibri" w:hint="default"/>
          <w:spacing w:val="-3"/>
        </w:rPr>
        <w:t> </w:t>
      </w:r>
      <w:r>
        <w:rPr>
          <w:rFonts w:ascii="Calibri" w:hAnsi="Calibri" w:cs="Calibri" w:eastAsia="Calibri" w:hint="default"/>
        </w:rPr>
        <w:t>American</w:t>
      </w:r>
      <w:r>
        <w:rPr>
          <w:rFonts w:ascii="Calibri" w:hAnsi="Calibri" w:cs="Calibri" w:eastAsia="Calibri" w:hint="default"/>
          <w:spacing w:val="-3"/>
        </w:rPr>
        <w:t> </w:t>
      </w:r>
      <w:r>
        <w:rPr>
          <w:rFonts w:ascii="Calibri" w:hAnsi="Calibri" w:cs="Calibri" w:eastAsia="Calibri" w:hint="default"/>
        </w:rPr>
        <w:t>tourists’</w:t>
      </w:r>
      <w:r>
        <w:rPr>
          <w:rFonts w:ascii="Calibri" w:hAnsi="Calibri" w:cs="Calibri" w:eastAsia="Calibri" w:hint="default"/>
          <w:spacing w:val="-3"/>
        </w:rPr>
        <w:t> </w:t>
      </w:r>
      <w:r>
        <w:rPr>
          <w:rFonts w:ascii="Calibri" w:hAnsi="Calibri" w:cs="Calibri" w:eastAsia="Calibri" w:hint="default"/>
        </w:rPr>
        <w:t>profiles</w:t>
      </w:r>
      <w:r>
        <w:rPr>
          <w:rFonts w:ascii="Calibri" w:hAnsi="Calibri" w:cs="Calibri" w:eastAsia="Calibri" w:hint="default"/>
          <w:spacing w:val="-1"/>
        </w:rPr>
        <w:t> </w:t>
      </w:r>
      <w:r>
        <w:rPr/>
        <w:t>were</w:t>
      </w:r>
      <w:r>
        <w:rPr>
          <w:spacing w:val="-4"/>
        </w:rPr>
        <w:t> </w:t>
      </w:r>
      <w:r>
        <w:rPr/>
        <w:t>included</w:t>
      </w:r>
      <w:r>
        <w:rPr>
          <w:spacing w:val="-3"/>
        </w:rPr>
        <w:t> </w:t>
      </w:r>
      <w:r>
        <w:rPr/>
        <w:t>in</w:t>
      </w:r>
      <w:r>
        <w:rPr>
          <w:spacing w:val="-3"/>
        </w:rPr>
        <w:t> </w:t>
      </w:r>
      <w:r>
        <w:rPr/>
        <w:t>the</w:t>
      </w:r>
      <w:r>
        <w:rPr>
          <w:spacing w:val="-4"/>
        </w:rPr>
        <w:t> </w:t>
      </w:r>
      <w:r>
        <w:rPr/>
        <w:t>tourist</w:t>
      </w:r>
      <w:r>
        <w:rPr>
          <w:spacing w:val="-3"/>
        </w:rPr>
        <w:t> </w:t>
      </w:r>
      <w:r>
        <w:rPr/>
        <w:t>exit</w:t>
      </w:r>
      <w:r>
        <w:rPr>
          <w:spacing w:val="-3"/>
        </w:rPr>
        <w:t> </w:t>
      </w:r>
      <w:r>
        <w:rPr/>
        <w:t>survey.</w:t>
      </w:r>
    </w:p>
    <w:p>
      <w:pPr>
        <w:pStyle w:val="BodyText"/>
        <w:spacing w:line="259" w:lineRule="auto"/>
        <w:ind w:right="1435"/>
        <w:jc w:val="left"/>
      </w:pPr>
      <w:r>
        <w:rPr/>
        <w:t>The psychographic scale was anchored from 1 being a personality trait that a tourist never possesses to 6 being a personality trait that the tourist always</w:t>
      </w:r>
      <w:r>
        <w:rPr>
          <w:spacing w:val="-21"/>
        </w:rPr>
        <w:t> </w:t>
      </w:r>
      <w:r>
        <w:rPr/>
        <w:t>possesses.</w:t>
      </w:r>
    </w:p>
    <w:p>
      <w:pPr>
        <w:spacing w:line="240" w:lineRule="auto" w:before="8"/>
        <w:ind w:right="0"/>
        <w:rPr>
          <w:rFonts w:ascii="Calibri" w:hAnsi="Calibri" w:cs="Calibri" w:eastAsia="Calibri" w:hint="default"/>
          <w:sz w:val="21"/>
          <w:szCs w:val="21"/>
        </w:rPr>
      </w:pPr>
    </w:p>
    <w:p>
      <w:pPr>
        <w:pStyle w:val="BodyText"/>
        <w:spacing w:line="240" w:lineRule="auto"/>
        <w:ind w:right="0"/>
        <w:jc w:val="both"/>
        <w:rPr>
          <w:rFonts w:ascii="Calibri" w:hAnsi="Calibri" w:cs="Calibri" w:eastAsia="Calibri" w:hint="default"/>
        </w:rPr>
      </w:pPr>
      <w:r>
        <w:rPr>
          <w:rFonts w:ascii="Calibri" w:hAnsi="Calibri" w:cs="Calibri" w:eastAsia="Calibri" w:hint="default"/>
        </w:rPr>
        <w:t>The personality traits that were assessed included tourists’ preferences pertaining</w:t>
      </w:r>
      <w:r>
        <w:rPr>
          <w:rFonts w:ascii="Calibri" w:hAnsi="Calibri" w:cs="Calibri" w:eastAsia="Calibri" w:hint="default"/>
          <w:spacing w:val="-28"/>
        </w:rPr>
        <w:t> </w:t>
      </w:r>
      <w:r>
        <w:rPr>
          <w:rFonts w:ascii="Calibri" w:hAnsi="Calibri" w:cs="Calibri" w:eastAsia="Calibri" w:hint="default"/>
        </w:rPr>
        <w:t>to:</w:t>
      </w:r>
    </w:p>
    <w:p>
      <w:pPr>
        <w:spacing w:line="240" w:lineRule="auto" w:before="1"/>
        <w:ind w:right="0"/>
        <w:rPr>
          <w:rFonts w:ascii="Calibri" w:hAnsi="Calibri" w:cs="Calibri" w:eastAsia="Calibri" w:hint="default"/>
          <w:sz w:val="23"/>
          <w:szCs w:val="23"/>
        </w:rPr>
      </w:pPr>
    </w:p>
    <w:p>
      <w:pPr>
        <w:pStyle w:val="ListParagraph"/>
        <w:numPr>
          <w:ilvl w:val="0"/>
          <w:numId w:val="1"/>
        </w:numPr>
        <w:tabs>
          <w:tab w:pos="1767" w:val="left" w:leader="none"/>
        </w:tabs>
        <w:spacing w:line="240" w:lineRule="auto" w:before="0" w:after="0"/>
        <w:ind w:left="1766" w:right="0" w:hanging="326"/>
        <w:jc w:val="both"/>
        <w:rPr>
          <w:rFonts w:ascii="Calibri" w:hAnsi="Calibri" w:cs="Calibri" w:eastAsia="Calibri" w:hint="default"/>
          <w:sz w:val="20"/>
          <w:szCs w:val="20"/>
        </w:rPr>
      </w:pPr>
      <w:r>
        <w:rPr>
          <w:rFonts w:ascii="Calibri"/>
          <w:sz w:val="20"/>
        </w:rPr>
        <w:t>Market</w:t>
      </w:r>
      <w:r>
        <w:rPr>
          <w:rFonts w:ascii="Calibri"/>
          <w:spacing w:val="-3"/>
          <w:sz w:val="20"/>
        </w:rPr>
        <w:t> </w:t>
      </w:r>
      <w:r>
        <w:rPr>
          <w:rFonts w:ascii="Calibri"/>
          <w:sz w:val="20"/>
        </w:rPr>
        <w:t>mavenism</w:t>
      </w:r>
      <w:r>
        <w:rPr>
          <w:rFonts w:ascii="Calibri"/>
          <w:spacing w:val="-4"/>
          <w:sz w:val="20"/>
        </w:rPr>
        <w:t> </w:t>
      </w:r>
      <w:r>
        <w:rPr>
          <w:rFonts w:ascii="Calibri"/>
          <w:sz w:val="20"/>
        </w:rPr>
        <w:t>(tourists</w:t>
      </w:r>
      <w:r>
        <w:rPr>
          <w:rFonts w:ascii="Calibri"/>
          <w:spacing w:val="-5"/>
          <w:sz w:val="20"/>
        </w:rPr>
        <w:t> </w:t>
      </w:r>
      <w:r>
        <w:rPr>
          <w:rFonts w:ascii="Calibri"/>
          <w:sz w:val="20"/>
        </w:rPr>
        <w:t>that</w:t>
      </w:r>
      <w:r>
        <w:rPr>
          <w:rFonts w:ascii="Calibri"/>
          <w:spacing w:val="-3"/>
          <w:sz w:val="20"/>
        </w:rPr>
        <w:t> </w:t>
      </w:r>
      <w:r>
        <w:rPr>
          <w:rFonts w:ascii="Calibri"/>
          <w:sz w:val="20"/>
        </w:rPr>
        <w:t>must</w:t>
      </w:r>
      <w:r>
        <w:rPr>
          <w:rFonts w:ascii="Calibri"/>
          <w:spacing w:val="-3"/>
          <w:sz w:val="20"/>
        </w:rPr>
        <w:t> </w:t>
      </w:r>
      <w:r>
        <w:rPr>
          <w:rFonts w:ascii="Calibri"/>
          <w:sz w:val="20"/>
        </w:rPr>
        <w:t>have</w:t>
      </w:r>
      <w:r>
        <w:rPr>
          <w:rFonts w:ascii="Calibri"/>
          <w:spacing w:val="-4"/>
          <w:sz w:val="20"/>
        </w:rPr>
        <w:t> </w:t>
      </w:r>
      <w:r>
        <w:rPr>
          <w:rFonts w:ascii="Calibri"/>
          <w:sz w:val="20"/>
        </w:rPr>
        <w:t>a</w:t>
      </w:r>
      <w:r>
        <w:rPr>
          <w:rFonts w:ascii="Calibri"/>
          <w:spacing w:val="-3"/>
          <w:sz w:val="20"/>
        </w:rPr>
        <w:t> </w:t>
      </w:r>
      <w:r>
        <w:rPr>
          <w:rFonts w:ascii="Calibri"/>
          <w:sz w:val="20"/>
        </w:rPr>
        <w:t>high</w:t>
      </w:r>
      <w:r>
        <w:rPr>
          <w:rFonts w:ascii="Calibri"/>
          <w:spacing w:val="-3"/>
          <w:sz w:val="20"/>
        </w:rPr>
        <w:t> </w:t>
      </w:r>
      <w:r>
        <w:rPr>
          <w:rFonts w:ascii="Calibri"/>
          <w:sz w:val="20"/>
        </w:rPr>
        <w:t>level</w:t>
      </w:r>
      <w:r>
        <w:rPr>
          <w:rFonts w:ascii="Calibri"/>
          <w:spacing w:val="-4"/>
          <w:sz w:val="20"/>
        </w:rPr>
        <w:t> </w:t>
      </w:r>
      <w:r>
        <w:rPr>
          <w:rFonts w:ascii="Calibri"/>
          <w:sz w:val="20"/>
        </w:rPr>
        <w:t>of</w:t>
      </w:r>
      <w:r>
        <w:rPr>
          <w:rFonts w:ascii="Calibri"/>
          <w:spacing w:val="-5"/>
          <w:sz w:val="20"/>
        </w:rPr>
        <w:t> </w:t>
      </w:r>
      <w:r>
        <w:rPr>
          <w:rFonts w:ascii="Calibri"/>
          <w:sz w:val="20"/>
        </w:rPr>
        <w:t>consumption</w:t>
      </w:r>
      <w:r>
        <w:rPr>
          <w:rFonts w:ascii="Calibri"/>
          <w:spacing w:val="-3"/>
          <w:sz w:val="20"/>
        </w:rPr>
        <w:t> </w:t>
      </w:r>
      <w:r>
        <w:rPr>
          <w:rFonts w:ascii="Calibri"/>
          <w:sz w:val="20"/>
        </w:rPr>
        <w:t>related</w:t>
      </w:r>
      <w:r>
        <w:rPr>
          <w:rFonts w:ascii="Calibri"/>
          <w:spacing w:val="-3"/>
          <w:sz w:val="20"/>
        </w:rPr>
        <w:t> </w:t>
      </w:r>
      <w:r>
        <w:rPr>
          <w:rFonts w:ascii="Calibri"/>
          <w:sz w:val="20"/>
        </w:rPr>
        <w:t>information)</w:t>
      </w:r>
    </w:p>
    <w:p>
      <w:pPr>
        <w:pStyle w:val="ListParagraph"/>
        <w:numPr>
          <w:ilvl w:val="0"/>
          <w:numId w:val="1"/>
        </w:numPr>
        <w:tabs>
          <w:tab w:pos="1767" w:val="left" w:leader="none"/>
        </w:tabs>
        <w:spacing w:line="240" w:lineRule="auto" w:before="20" w:after="0"/>
        <w:ind w:left="1766" w:right="0" w:hanging="326"/>
        <w:jc w:val="both"/>
        <w:rPr>
          <w:rFonts w:ascii="Calibri" w:hAnsi="Calibri" w:cs="Calibri" w:eastAsia="Calibri" w:hint="default"/>
          <w:sz w:val="20"/>
          <w:szCs w:val="20"/>
        </w:rPr>
      </w:pPr>
      <w:r>
        <w:rPr>
          <w:rFonts w:ascii="Calibri"/>
          <w:sz w:val="20"/>
        </w:rPr>
        <w:t>Quality consciousness (tourists who prefer high-quality</w:t>
      </w:r>
      <w:r>
        <w:rPr>
          <w:rFonts w:ascii="Calibri"/>
          <w:spacing w:val="-19"/>
          <w:sz w:val="20"/>
        </w:rPr>
        <w:t> </w:t>
      </w:r>
      <w:r>
        <w:rPr>
          <w:rFonts w:ascii="Calibri"/>
          <w:sz w:val="20"/>
        </w:rPr>
        <w:t>products)</w:t>
      </w:r>
    </w:p>
    <w:p>
      <w:pPr>
        <w:pStyle w:val="ListParagraph"/>
        <w:numPr>
          <w:ilvl w:val="0"/>
          <w:numId w:val="1"/>
        </w:numPr>
        <w:tabs>
          <w:tab w:pos="1767" w:val="left" w:leader="none"/>
        </w:tabs>
        <w:spacing w:line="240" w:lineRule="auto" w:before="20" w:after="0"/>
        <w:ind w:left="1766" w:right="0" w:hanging="326"/>
        <w:jc w:val="both"/>
        <w:rPr>
          <w:rFonts w:ascii="Calibri" w:hAnsi="Calibri" w:cs="Calibri" w:eastAsia="Calibri" w:hint="default"/>
          <w:sz w:val="20"/>
          <w:szCs w:val="20"/>
        </w:rPr>
      </w:pPr>
      <w:r>
        <w:rPr>
          <w:rFonts w:ascii="Calibri"/>
          <w:sz w:val="20"/>
        </w:rPr>
        <w:t>Time constraints (tourists who chronically feel pressed for</w:t>
      </w:r>
      <w:r>
        <w:rPr>
          <w:rFonts w:ascii="Calibri"/>
          <w:spacing w:val="-25"/>
          <w:sz w:val="20"/>
        </w:rPr>
        <w:t> </w:t>
      </w:r>
      <w:r>
        <w:rPr>
          <w:rFonts w:ascii="Calibri"/>
          <w:sz w:val="20"/>
        </w:rPr>
        <w:t>time)</w:t>
      </w:r>
    </w:p>
    <w:p>
      <w:pPr>
        <w:pStyle w:val="ListParagraph"/>
        <w:numPr>
          <w:ilvl w:val="0"/>
          <w:numId w:val="1"/>
        </w:numPr>
        <w:tabs>
          <w:tab w:pos="1767" w:val="left" w:leader="none"/>
        </w:tabs>
        <w:spacing w:line="240" w:lineRule="auto" w:before="20" w:after="0"/>
        <w:ind w:left="1766" w:right="0" w:hanging="326"/>
        <w:jc w:val="both"/>
        <w:rPr>
          <w:rFonts w:ascii="Calibri" w:hAnsi="Calibri" w:cs="Calibri" w:eastAsia="Calibri" w:hint="default"/>
          <w:sz w:val="20"/>
          <w:szCs w:val="20"/>
        </w:rPr>
      </w:pPr>
      <w:r>
        <w:rPr>
          <w:rFonts w:ascii="Calibri"/>
          <w:sz w:val="20"/>
        </w:rPr>
        <w:t>Innovativeness (tourists who desire trying new</w:t>
      </w:r>
      <w:r>
        <w:rPr>
          <w:rFonts w:ascii="Calibri"/>
          <w:spacing w:val="-26"/>
          <w:sz w:val="20"/>
        </w:rPr>
        <w:t> </w:t>
      </w:r>
      <w:r>
        <w:rPr>
          <w:rFonts w:ascii="Calibri"/>
          <w:sz w:val="20"/>
        </w:rPr>
        <w:t>things)</w:t>
      </w:r>
    </w:p>
    <w:p>
      <w:pPr>
        <w:pStyle w:val="ListParagraph"/>
        <w:numPr>
          <w:ilvl w:val="0"/>
          <w:numId w:val="1"/>
        </w:numPr>
        <w:tabs>
          <w:tab w:pos="1767" w:val="left" w:leader="none"/>
        </w:tabs>
        <w:spacing w:line="240" w:lineRule="auto" w:before="17" w:after="0"/>
        <w:ind w:left="1766" w:right="0" w:hanging="326"/>
        <w:jc w:val="both"/>
        <w:rPr>
          <w:rFonts w:ascii="Calibri" w:hAnsi="Calibri" w:cs="Calibri" w:eastAsia="Calibri" w:hint="default"/>
          <w:sz w:val="20"/>
          <w:szCs w:val="20"/>
        </w:rPr>
      </w:pPr>
      <w:r>
        <w:rPr>
          <w:rFonts w:ascii="Calibri"/>
          <w:sz w:val="20"/>
        </w:rPr>
        <w:t>Brand loyalty (tourists who consume specific</w:t>
      </w:r>
      <w:r>
        <w:rPr>
          <w:rFonts w:ascii="Calibri"/>
          <w:spacing w:val="-25"/>
          <w:sz w:val="20"/>
        </w:rPr>
        <w:t> </w:t>
      </w:r>
      <w:r>
        <w:rPr>
          <w:rFonts w:ascii="Calibri"/>
          <w:sz w:val="20"/>
        </w:rPr>
        <w:t>brands)</w:t>
      </w:r>
    </w:p>
    <w:p>
      <w:pPr>
        <w:pStyle w:val="ListParagraph"/>
        <w:numPr>
          <w:ilvl w:val="0"/>
          <w:numId w:val="1"/>
        </w:numPr>
        <w:tabs>
          <w:tab w:pos="1767" w:val="left" w:leader="none"/>
        </w:tabs>
        <w:spacing w:line="240" w:lineRule="auto" w:before="20" w:after="0"/>
        <w:ind w:left="1766" w:right="0" w:hanging="326"/>
        <w:jc w:val="both"/>
        <w:rPr>
          <w:rFonts w:ascii="Calibri" w:hAnsi="Calibri" w:cs="Calibri" w:eastAsia="Calibri" w:hint="default"/>
          <w:sz w:val="20"/>
          <w:szCs w:val="20"/>
        </w:rPr>
      </w:pPr>
      <w:r>
        <w:rPr>
          <w:rFonts w:ascii="Calibri"/>
          <w:sz w:val="20"/>
        </w:rPr>
        <w:t>Enjoyment (tourists who enjoy</w:t>
      </w:r>
      <w:r>
        <w:rPr>
          <w:rFonts w:ascii="Calibri"/>
          <w:spacing w:val="-23"/>
          <w:sz w:val="20"/>
        </w:rPr>
        <w:t> </w:t>
      </w:r>
      <w:r>
        <w:rPr>
          <w:rFonts w:ascii="Calibri"/>
          <w:sz w:val="20"/>
        </w:rPr>
        <w:t>shopping)</w:t>
      </w:r>
    </w:p>
    <w:p>
      <w:pPr>
        <w:pStyle w:val="ListParagraph"/>
        <w:numPr>
          <w:ilvl w:val="0"/>
          <w:numId w:val="1"/>
        </w:numPr>
        <w:tabs>
          <w:tab w:pos="1767" w:val="left" w:leader="none"/>
        </w:tabs>
        <w:spacing w:line="240" w:lineRule="auto" w:before="20" w:after="0"/>
        <w:ind w:left="1766" w:right="0" w:hanging="326"/>
        <w:jc w:val="both"/>
        <w:rPr>
          <w:rFonts w:ascii="Calibri" w:hAnsi="Calibri" w:cs="Calibri" w:eastAsia="Calibri" w:hint="default"/>
          <w:sz w:val="20"/>
          <w:szCs w:val="20"/>
        </w:rPr>
      </w:pPr>
      <w:r>
        <w:rPr>
          <w:rFonts w:ascii="Calibri"/>
          <w:sz w:val="20"/>
        </w:rPr>
        <w:t>Price (tourists who may be price</w:t>
      </w:r>
      <w:r>
        <w:rPr>
          <w:rFonts w:ascii="Calibri"/>
          <w:spacing w:val="-16"/>
          <w:sz w:val="20"/>
        </w:rPr>
        <w:t> </w:t>
      </w:r>
      <w:r>
        <w:rPr>
          <w:rFonts w:ascii="Calibri"/>
          <w:sz w:val="20"/>
        </w:rPr>
        <w:t>conscious)</w:t>
      </w:r>
    </w:p>
    <w:p>
      <w:pPr>
        <w:pStyle w:val="ListParagraph"/>
        <w:numPr>
          <w:ilvl w:val="0"/>
          <w:numId w:val="1"/>
        </w:numPr>
        <w:tabs>
          <w:tab w:pos="1767" w:val="left" w:leader="none"/>
        </w:tabs>
        <w:spacing w:line="240" w:lineRule="auto" w:before="20" w:after="0"/>
        <w:ind w:left="1766" w:right="0" w:hanging="326"/>
        <w:jc w:val="both"/>
        <w:rPr>
          <w:rFonts w:ascii="Calibri" w:hAnsi="Calibri" w:cs="Calibri" w:eastAsia="Calibri" w:hint="default"/>
          <w:sz w:val="20"/>
          <w:szCs w:val="20"/>
        </w:rPr>
      </w:pPr>
      <w:r>
        <w:rPr>
          <w:rFonts w:ascii="Calibri"/>
          <w:sz w:val="20"/>
        </w:rPr>
        <w:t>Variety (tourists who like to try new</w:t>
      </w:r>
      <w:r>
        <w:rPr>
          <w:rFonts w:ascii="Calibri"/>
          <w:spacing w:val="-22"/>
          <w:sz w:val="20"/>
        </w:rPr>
        <w:t> </w:t>
      </w:r>
      <w:r>
        <w:rPr>
          <w:rFonts w:ascii="Calibri"/>
          <w:sz w:val="20"/>
        </w:rPr>
        <w:t>brands)</w:t>
      </w:r>
    </w:p>
    <w:p>
      <w:pPr>
        <w:spacing w:line="240" w:lineRule="auto" w:before="1"/>
        <w:ind w:right="0"/>
        <w:rPr>
          <w:rFonts w:ascii="Calibri" w:hAnsi="Calibri" w:cs="Calibri" w:eastAsia="Calibri" w:hint="default"/>
          <w:sz w:val="23"/>
          <w:szCs w:val="23"/>
        </w:rPr>
      </w:pPr>
    </w:p>
    <w:p>
      <w:pPr>
        <w:pStyle w:val="BodyText"/>
        <w:spacing w:line="259" w:lineRule="auto"/>
        <w:ind w:right="2153"/>
        <w:jc w:val="left"/>
        <w:rPr>
          <w:rFonts w:ascii="Calibri" w:hAnsi="Calibri" w:cs="Calibri" w:eastAsia="Calibri" w:hint="default"/>
        </w:rPr>
      </w:pPr>
      <w:r>
        <w:rPr>
          <w:rFonts w:ascii="Calibri" w:hAnsi="Calibri" w:cs="Calibri" w:eastAsia="Calibri" w:hint="default"/>
        </w:rPr>
        <w:t>All of these personality traits directly relate to some facet of tourists’ personalities that may influence the consumption level of Curaçao’s tourism</w:t>
      </w:r>
      <w:r>
        <w:rPr>
          <w:rFonts w:ascii="Calibri" w:hAnsi="Calibri" w:cs="Calibri" w:eastAsia="Calibri" w:hint="default"/>
          <w:spacing w:val="-20"/>
        </w:rPr>
        <w:t> </w:t>
      </w:r>
      <w:r>
        <w:rPr>
          <w:rFonts w:ascii="Calibri" w:hAnsi="Calibri" w:cs="Calibri" w:eastAsia="Calibri" w:hint="default"/>
        </w:rPr>
        <w:t>products.</w:t>
      </w:r>
    </w:p>
    <w:p>
      <w:pPr>
        <w:spacing w:after="0" w:line="259" w:lineRule="auto"/>
        <w:jc w:val="left"/>
        <w:rPr>
          <w:rFonts w:ascii="Calibri" w:hAnsi="Calibri" w:cs="Calibri" w:eastAsia="Calibri" w:hint="default"/>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3"/>
        <w:ind w:right="0"/>
        <w:rPr>
          <w:rFonts w:ascii="Calibri" w:hAnsi="Calibri" w:cs="Calibri" w:eastAsia="Calibri" w:hint="default"/>
          <w:sz w:val="26"/>
          <w:szCs w:val="26"/>
        </w:rPr>
      </w:pPr>
    </w:p>
    <w:p>
      <w:pPr>
        <w:pStyle w:val="Heading1"/>
        <w:spacing w:line="240" w:lineRule="auto"/>
        <w:ind w:left="2496" w:right="0"/>
        <w:jc w:val="left"/>
        <w:rPr>
          <w:b w:val="0"/>
          <w:bCs w:val="0"/>
        </w:rPr>
      </w:pPr>
      <w:bookmarkStart w:name="_bookmark116" w:id="117"/>
      <w:bookmarkEnd w:id="117"/>
      <w:r>
        <w:rPr>
          <w:b w:val="0"/>
        </w:rPr>
      </w:r>
      <w:r>
        <w:rPr/>
        <w:t>Chapter 7 Solidifying the Tourist</w:t>
      </w:r>
      <w:r>
        <w:rPr>
          <w:spacing w:val="-20"/>
        </w:rPr>
        <w:t> </w:t>
      </w:r>
      <w:r>
        <w:rPr/>
        <w:t>Experience</w:t>
      </w:r>
      <w:r>
        <w:rPr>
          <w:b w:val="0"/>
        </w:rPr>
      </w:r>
    </w:p>
    <w:p>
      <w:pPr>
        <w:pStyle w:val="Heading2"/>
        <w:spacing w:line="240" w:lineRule="auto" w:before="281"/>
        <w:ind w:right="0"/>
        <w:jc w:val="both"/>
        <w:rPr>
          <w:b w:val="0"/>
          <w:bCs w:val="0"/>
        </w:rPr>
      </w:pPr>
      <w:bookmarkStart w:name="_bookmark117" w:id="118"/>
      <w:bookmarkEnd w:id="118"/>
      <w:r>
        <w:rPr>
          <w:b w:val="0"/>
        </w:rPr>
      </w:r>
      <w:r>
        <w:rPr/>
        <w:t>Paths toward collective</w:t>
      </w:r>
      <w:r>
        <w:rPr>
          <w:spacing w:val="-18"/>
        </w:rPr>
        <w:t> </w:t>
      </w:r>
      <w:r>
        <w:rPr/>
        <w:t>prosperity</w:t>
      </w:r>
      <w:r>
        <w:rPr>
          <w:b w:val="0"/>
        </w:rPr>
      </w:r>
    </w:p>
    <w:p>
      <w:pPr>
        <w:pStyle w:val="BodyText"/>
        <w:spacing w:line="240" w:lineRule="auto" w:before="191"/>
        <w:ind w:right="1435"/>
        <w:jc w:val="both"/>
      </w:pPr>
      <w:r>
        <w:rPr/>
        <w:t>The previous chapters indicate that the current tourism industry performance has shortcomings that need to be addressed in order for tourism to carry the local economy to new heights. The new heights are required to address the serious socioeconomic challenges facing the island in the near future. The shortcomings in Curaçao</w:t>
      </w:r>
      <w:r>
        <w:rPr>
          <w:rFonts w:ascii="Calibri" w:hAnsi="Calibri" w:cs="Calibri" w:eastAsia="Calibri" w:hint="default"/>
        </w:rPr>
        <w:t>’s </w:t>
      </w:r>
      <w:r>
        <w:rPr/>
        <w:t>tourism industry are mainly related to the soft component of the industry (service oriented skills) which does not require significant investment. While this situation reveals a low hanging fruit for the island, the focus on nurturing human capital requires creative management, as well as a government willing to take non-traditional</w:t>
      </w:r>
      <w:r>
        <w:rPr>
          <w:spacing w:val="-26"/>
        </w:rPr>
        <w:t> </w:t>
      </w:r>
      <w:r>
        <w:rPr/>
        <w:t>risks.</w:t>
      </w:r>
    </w:p>
    <w:p>
      <w:pPr>
        <w:spacing w:line="240" w:lineRule="auto" w:before="1"/>
        <w:ind w:right="0"/>
        <w:rPr>
          <w:rFonts w:ascii="Calibri" w:hAnsi="Calibri" w:cs="Calibri" w:eastAsia="Calibri" w:hint="default"/>
          <w:sz w:val="20"/>
          <w:szCs w:val="20"/>
        </w:rPr>
      </w:pPr>
    </w:p>
    <w:p>
      <w:pPr>
        <w:pStyle w:val="BodyText"/>
        <w:spacing w:line="240" w:lineRule="auto"/>
        <w:ind w:right="1434"/>
        <w:jc w:val="both"/>
        <w:rPr>
          <w:sz w:val="12"/>
          <w:szCs w:val="12"/>
        </w:rPr>
      </w:pPr>
      <w:r>
        <w:rPr/>
        <w:t>The research findings reveal the ways in which perceptions about Curaçao are formed as a destination. We learned that these perceptions may be influenced by managers through branding and the way the destination is presented and packaged to target markets. Thus, prior information or association with the destination and the ways in which the experience is presented by destination managers is crucial in making Curaçao more competitive in the region. The tourists who acquire information about Curaçao prior to their visit and who confirm that prior knowledge with the actual Curaçao tourist experience, will establish a relational value and commitment to the island. In order for Curaçao to improve its competitive position within the region, this coordination process is a necessity to make Curaçao unique and distinct from other Caribbean</w:t>
      </w:r>
      <w:r>
        <w:rPr>
          <w:spacing w:val="-22"/>
        </w:rPr>
        <w:t> </w:t>
      </w:r>
      <w:r>
        <w:rPr/>
        <w:t>islands.</w:t>
      </w:r>
      <w:r>
        <w:rPr>
          <w:position w:val="5"/>
          <w:sz w:val="12"/>
        </w:rPr>
        <w:t>58</w:t>
      </w:r>
      <w:r>
        <w:rPr>
          <w:sz w:val="12"/>
        </w:rPr>
      </w:r>
    </w:p>
    <w:p>
      <w:pPr>
        <w:spacing w:line="240" w:lineRule="auto" w:before="11"/>
        <w:ind w:right="0"/>
        <w:rPr>
          <w:rFonts w:ascii="Calibri" w:hAnsi="Calibri" w:cs="Calibri" w:eastAsia="Calibri" w:hint="default"/>
          <w:sz w:val="19"/>
          <w:szCs w:val="19"/>
        </w:rPr>
      </w:pPr>
    </w:p>
    <w:p>
      <w:pPr>
        <w:pStyle w:val="BodyText"/>
        <w:spacing w:line="240" w:lineRule="auto"/>
        <w:ind w:right="1433"/>
        <w:jc w:val="both"/>
      </w:pPr>
      <w:r>
        <w:rPr/>
        <w:t>It is absolutely necessary that Curaçao</w:t>
      </w:r>
      <w:r>
        <w:rPr>
          <w:rFonts w:ascii="Calibri" w:hAnsi="Calibri" w:cs="Calibri" w:eastAsia="Calibri" w:hint="default"/>
        </w:rPr>
        <w:t>’s </w:t>
      </w:r>
      <w:r>
        <w:rPr/>
        <w:t>tourism industry create a path toward collective prosperity with the economic growth and job creation required to propel the island forward. In a speech to CHATA in March, 2015, the President</w:t>
      </w:r>
      <w:r>
        <w:rPr>
          <w:spacing w:val="-12"/>
        </w:rPr>
        <w:t> </w:t>
      </w:r>
      <w:r>
        <w:rPr/>
        <w:t>of</w:t>
      </w:r>
      <w:r>
        <w:rPr>
          <w:spacing w:val="-13"/>
        </w:rPr>
        <w:t> </w:t>
      </w:r>
      <w:r>
        <w:rPr/>
        <w:t>the</w:t>
      </w:r>
      <w:r>
        <w:rPr>
          <w:spacing w:val="-13"/>
        </w:rPr>
        <w:t> </w:t>
      </w:r>
      <w:r>
        <w:rPr/>
        <w:t>Central</w:t>
      </w:r>
      <w:r>
        <w:rPr>
          <w:spacing w:val="-13"/>
        </w:rPr>
        <w:t> </w:t>
      </w:r>
      <w:r>
        <w:rPr/>
        <w:t>Bank</w:t>
      </w:r>
      <w:r>
        <w:rPr>
          <w:spacing w:val="-14"/>
        </w:rPr>
        <w:t> </w:t>
      </w:r>
      <w:r>
        <w:rPr/>
        <w:t>of</w:t>
      </w:r>
      <w:r>
        <w:rPr>
          <w:spacing w:val="-11"/>
        </w:rPr>
        <w:t> </w:t>
      </w:r>
      <w:r>
        <w:rPr/>
        <w:t>Curaçao</w:t>
      </w:r>
      <w:r>
        <w:rPr>
          <w:spacing w:val="-12"/>
        </w:rPr>
        <w:t> </w:t>
      </w:r>
      <w:r>
        <w:rPr/>
        <w:t>and</w:t>
      </w:r>
      <w:r>
        <w:rPr>
          <w:spacing w:val="-12"/>
        </w:rPr>
        <w:t> </w:t>
      </w:r>
      <w:r>
        <w:rPr/>
        <w:t>St.</w:t>
      </w:r>
      <w:r>
        <w:rPr>
          <w:spacing w:val="-12"/>
        </w:rPr>
        <w:t> </w:t>
      </w:r>
      <w:r>
        <w:rPr/>
        <w:t>Maarten</w:t>
      </w:r>
      <w:r>
        <w:rPr>
          <w:spacing w:val="-14"/>
        </w:rPr>
        <w:t> </w:t>
      </w:r>
      <w:r>
        <w:rPr/>
        <w:t>alluded</w:t>
      </w:r>
      <w:r>
        <w:rPr>
          <w:spacing w:val="-12"/>
        </w:rPr>
        <w:t> </w:t>
      </w:r>
      <w:r>
        <w:rPr/>
        <w:t>to</w:t>
      </w:r>
      <w:r>
        <w:rPr>
          <w:spacing w:val="-12"/>
        </w:rPr>
        <w:t> </w:t>
      </w:r>
      <w:r>
        <w:rPr/>
        <w:t>the</w:t>
      </w:r>
      <w:r>
        <w:rPr>
          <w:spacing w:val="-13"/>
        </w:rPr>
        <w:t> </w:t>
      </w:r>
      <w:r>
        <w:rPr/>
        <w:t>tourism</w:t>
      </w:r>
      <w:r>
        <w:rPr>
          <w:spacing w:val="-13"/>
        </w:rPr>
        <w:t> </w:t>
      </w:r>
      <w:r>
        <w:rPr/>
        <w:t>industry</w:t>
      </w:r>
      <w:r>
        <w:rPr>
          <w:rFonts w:ascii="Calibri" w:hAnsi="Calibri" w:cs="Calibri" w:eastAsia="Calibri" w:hint="default"/>
        </w:rPr>
        <w:t>’s</w:t>
      </w:r>
      <w:r>
        <w:rPr>
          <w:rFonts w:ascii="Calibri" w:hAnsi="Calibri" w:cs="Calibri" w:eastAsia="Calibri" w:hint="default"/>
          <w:spacing w:val="-14"/>
        </w:rPr>
        <w:t> </w:t>
      </w:r>
      <w:r>
        <w:rPr/>
        <w:t>potential</w:t>
      </w:r>
      <w:r>
        <w:rPr>
          <w:spacing w:val="-11"/>
        </w:rPr>
        <w:t> </w:t>
      </w:r>
      <w:r>
        <w:rPr/>
        <w:t>prowess.</w:t>
      </w:r>
      <w:r>
        <w:rPr>
          <w:spacing w:val="21"/>
        </w:rPr>
        <w:t> </w:t>
      </w:r>
      <w:r>
        <w:rPr/>
        <w:t>During </w:t>
      </w:r>
      <w:r>
        <w:rPr/>
        <w:t>this speech, it was conveyed that one single hotel project (luxury brand) may lead to an additional 0.2% real economic growth per year, and create 180 jobs during construction. Once constructed, the hotel will add 1.7% to the GDP, will create 450 direct and indirect jobs, and will generate NAf62 million in foreign exchange per year. The return</w:t>
      </w:r>
      <w:r>
        <w:rPr>
          <w:spacing w:val="-12"/>
        </w:rPr>
        <w:t> </w:t>
      </w:r>
      <w:r>
        <w:rPr/>
        <w:t>on</w:t>
      </w:r>
      <w:r>
        <w:rPr>
          <w:spacing w:val="-12"/>
        </w:rPr>
        <w:t> </w:t>
      </w:r>
      <w:r>
        <w:rPr/>
        <w:t>investment</w:t>
      </w:r>
      <w:r>
        <w:rPr>
          <w:spacing w:val="-12"/>
        </w:rPr>
        <w:t> </w:t>
      </w:r>
      <w:r>
        <w:rPr/>
        <w:t>is</w:t>
      </w:r>
      <w:r>
        <w:rPr>
          <w:spacing w:val="-14"/>
        </w:rPr>
        <w:t> </w:t>
      </w:r>
      <w:r>
        <w:rPr/>
        <w:t>huge</w:t>
      </w:r>
      <w:r>
        <w:rPr>
          <w:spacing w:val="-14"/>
        </w:rPr>
        <w:t> </w:t>
      </w:r>
      <w:r>
        <w:rPr/>
        <w:t>according</w:t>
      </w:r>
      <w:r>
        <w:rPr>
          <w:spacing w:val="-13"/>
        </w:rPr>
        <w:t> </w:t>
      </w:r>
      <w:r>
        <w:rPr/>
        <w:t>to</w:t>
      </w:r>
      <w:r>
        <w:rPr>
          <w:spacing w:val="-12"/>
        </w:rPr>
        <w:t> </w:t>
      </w:r>
      <w:r>
        <w:rPr/>
        <w:t>the</w:t>
      </w:r>
      <w:r>
        <w:rPr>
          <w:spacing w:val="-13"/>
        </w:rPr>
        <w:t> </w:t>
      </w:r>
      <w:r>
        <w:rPr/>
        <w:t>President</w:t>
      </w:r>
      <w:r>
        <w:rPr>
          <w:spacing w:val="-12"/>
        </w:rPr>
        <w:t> </w:t>
      </w:r>
      <w:r>
        <w:rPr/>
        <w:t>of</w:t>
      </w:r>
      <w:r>
        <w:rPr>
          <w:spacing w:val="-13"/>
        </w:rPr>
        <w:t> </w:t>
      </w:r>
      <w:r>
        <w:rPr/>
        <w:t>the</w:t>
      </w:r>
      <w:r>
        <w:rPr>
          <w:spacing w:val="-13"/>
        </w:rPr>
        <w:t> </w:t>
      </w:r>
      <w:r>
        <w:rPr/>
        <w:t>Central</w:t>
      </w:r>
      <w:r>
        <w:rPr>
          <w:spacing w:val="-13"/>
        </w:rPr>
        <w:t> </w:t>
      </w:r>
      <w:r>
        <w:rPr/>
        <w:t>Bank.</w:t>
      </w:r>
      <w:r>
        <w:rPr>
          <w:position w:val="5"/>
          <w:sz w:val="12"/>
          <w:szCs w:val="12"/>
        </w:rPr>
        <w:t>59</w:t>
      </w:r>
      <w:r>
        <w:rPr>
          <w:spacing w:val="11"/>
          <w:position w:val="5"/>
          <w:sz w:val="12"/>
          <w:szCs w:val="12"/>
        </w:rPr>
        <w:t> </w:t>
      </w:r>
      <w:r>
        <w:rPr/>
        <w:t>The</w:t>
      </w:r>
      <w:r>
        <w:rPr>
          <w:spacing w:val="-13"/>
        </w:rPr>
        <w:t> </w:t>
      </w:r>
      <w:r>
        <w:rPr/>
        <w:t>President</w:t>
      </w:r>
      <w:r>
        <w:rPr>
          <w:spacing w:val="-9"/>
        </w:rPr>
        <w:t> </w:t>
      </w:r>
      <w:r>
        <w:rPr/>
        <w:t>advocated</w:t>
      </w:r>
      <w:r>
        <w:rPr>
          <w:spacing w:val="-12"/>
        </w:rPr>
        <w:t> </w:t>
      </w:r>
      <w:r>
        <w:rPr/>
        <w:t>for</w:t>
      </w:r>
      <w:r>
        <w:rPr>
          <w:spacing w:val="-11"/>
        </w:rPr>
        <w:t> </w:t>
      </w:r>
      <w:r>
        <w:rPr/>
        <w:t>Curaçao</w:t>
      </w:r>
      <w:r>
        <w:rPr>
          <w:rFonts w:ascii="Calibri" w:hAnsi="Calibri" w:cs="Calibri" w:eastAsia="Calibri" w:hint="default"/>
        </w:rPr>
        <w:t>’s </w:t>
      </w:r>
      <w:r>
        <w:rPr/>
        <w:t>government to take risks by furnishing the required financial resources to support the growth of the tourism industry.</w:t>
      </w:r>
    </w:p>
    <w:p>
      <w:pPr>
        <w:spacing w:line="240" w:lineRule="auto" w:before="1"/>
        <w:ind w:right="0"/>
        <w:rPr>
          <w:rFonts w:ascii="Calibri" w:hAnsi="Calibri" w:cs="Calibri" w:eastAsia="Calibri" w:hint="default"/>
          <w:sz w:val="20"/>
          <w:szCs w:val="20"/>
        </w:rPr>
      </w:pPr>
    </w:p>
    <w:p>
      <w:pPr>
        <w:pStyle w:val="BodyText"/>
        <w:spacing w:line="240" w:lineRule="auto"/>
        <w:ind w:right="1435"/>
        <w:jc w:val="both"/>
      </w:pPr>
      <w:r>
        <w:rPr/>
        <w:t>Previous chapters revealed that the intervention of destination managers, including the government, is crucial in moving the industry forward. Our findings indicate that there is no deterministic path for tourism, but the path dep</w:t>
      </w:r>
      <w:r>
        <w:rPr>
          <w:rFonts w:ascii="Calibri" w:hAnsi="Calibri" w:cs="Calibri" w:eastAsia="Calibri" w:hint="default"/>
        </w:rPr>
        <w:t>ends on managers’ intervention </w:t>
      </w:r>
      <w:r>
        <w:rPr/>
        <w:t>- which entails risk-taking. We argued that the unique experience can be mediated and controlled via destination managers by aligning </w:t>
      </w:r>
      <w:r>
        <w:rPr>
          <w:rFonts w:ascii="Calibri" w:hAnsi="Calibri" w:cs="Calibri" w:eastAsia="Calibri" w:hint="default"/>
        </w:rPr>
        <w:t>tourists’ </w:t>
      </w:r>
      <w:r>
        <w:rPr/>
        <w:t>perceptions and experiences at the destination.</w:t>
      </w:r>
      <w:r>
        <w:rPr>
          <w:spacing w:val="26"/>
        </w:rPr>
        <w:t> </w:t>
      </w:r>
      <w:r>
        <w:rPr/>
        <w:t>However,</w:t>
      </w:r>
      <w:r>
        <w:rPr>
          <w:spacing w:val="-10"/>
        </w:rPr>
        <w:t> </w:t>
      </w:r>
      <w:r>
        <w:rPr/>
        <w:t>while</w:t>
      </w:r>
      <w:r>
        <w:rPr>
          <w:spacing w:val="-11"/>
        </w:rPr>
        <w:t> </w:t>
      </w:r>
      <w:r>
        <w:rPr/>
        <w:t>the</w:t>
      </w:r>
      <w:r>
        <w:rPr>
          <w:spacing w:val="-11"/>
        </w:rPr>
        <w:t> </w:t>
      </w:r>
      <w:r>
        <w:rPr/>
        <w:t>government</w:t>
      </w:r>
      <w:r>
        <w:rPr>
          <w:spacing w:val="-10"/>
        </w:rPr>
        <w:t> </w:t>
      </w:r>
      <w:r>
        <w:rPr/>
        <w:t>should</w:t>
      </w:r>
      <w:r>
        <w:rPr>
          <w:spacing w:val="-10"/>
        </w:rPr>
        <w:t> </w:t>
      </w:r>
      <w:r>
        <w:rPr/>
        <w:t>take</w:t>
      </w:r>
      <w:r>
        <w:rPr>
          <w:spacing w:val="-10"/>
        </w:rPr>
        <w:t> </w:t>
      </w:r>
      <w:r>
        <w:rPr/>
        <w:t>risks,</w:t>
      </w:r>
      <w:r>
        <w:rPr>
          <w:spacing w:val="-10"/>
        </w:rPr>
        <w:t> </w:t>
      </w:r>
      <w:r>
        <w:rPr/>
        <w:t>hazarding</w:t>
      </w:r>
      <w:r>
        <w:rPr>
          <w:spacing w:val="-10"/>
        </w:rPr>
        <w:t> </w:t>
      </w:r>
      <w:r>
        <w:rPr/>
        <w:t>the</w:t>
      </w:r>
      <w:r>
        <w:rPr>
          <w:spacing w:val="-11"/>
        </w:rPr>
        <w:t> </w:t>
      </w:r>
      <w:r>
        <w:rPr/>
        <w:t>risks,</w:t>
      </w:r>
      <w:r>
        <w:rPr>
          <w:spacing w:val="-10"/>
        </w:rPr>
        <w:t> </w:t>
      </w:r>
      <w:r>
        <w:rPr/>
        <w:t>particularly</w:t>
      </w:r>
      <w:r>
        <w:rPr>
          <w:spacing w:val="-10"/>
        </w:rPr>
        <w:t> </w:t>
      </w:r>
      <w:r>
        <w:rPr/>
        <w:t>in</w:t>
      </w:r>
      <w:r>
        <w:rPr>
          <w:spacing w:val="-10"/>
        </w:rPr>
        <w:t> </w:t>
      </w:r>
      <w:r>
        <w:rPr/>
        <w:t>funding</w:t>
      </w:r>
      <w:r>
        <w:rPr>
          <w:spacing w:val="-10"/>
        </w:rPr>
        <w:t> </w:t>
      </w:r>
      <w:r>
        <w:rPr/>
        <w:t>risk</w:t>
      </w:r>
      <w:r>
        <w:rPr>
          <w:spacing w:val="-10"/>
        </w:rPr>
        <w:t> </w:t>
      </w:r>
      <w:r>
        <w:rPr/>
        <w:t>capital </w:t>
      </w:r>
      <w:r>
        <w:rPr/>
        <w:t>for</w:t>
      </w:r>
      <w:r>
        <w:rPr>
          <w:spacing w:val="-13"/>
        </w:rPr>
        <w:t> </w:t>
      </w:r>
      <w:r>
        <w:rPr/>
        <w:t>investments,</w:t>
      </w:r>
      <w:r>
        <w:rPr>
          <w:spacing w:val="-12"/>
        </w:rPr>
        <w:t> </w:t>
      </w:r>
      <w:r>
        <w:rPr/>
        <w:t>is</w:t>
      </w:r>
      <w:r>
        <w:rPr>
          <w:spacing w:val="-14"/>
        </w:rPr>
        <w:t> </w:t>
      </w:r>
      <w:r>
        <w:rPr/>
        <w:t>not</w:t>
      </w:r>
      <w:r>
        <w:rPr>
          <w:spacing w:val="-12"/>
        </w:rPr>
        <w:t> </w:t>
      </w:r>
      <w:r>
        <w:rPr/>
        <w:t>enough.</w:t>
      </w:r>
      <w:r>
        <w:rPr>
          <w:spacing w:val="-13"/>
        </w:rPr>
        <w:t> </w:t>
      </w:r>
      <w:r>
        <w:rPr/>
        <w:t>Strong</w:t>
      </w:r>
      <w:r>
        <w:rPr>
          <w:spacing w:val="-13"/>
        </w:rPr>
        <w:t> </w:t>
      </w:r>
      <w:r>
        <w:rPr/>
        <w:t>collaboration</w:t>
      </w:r>
      <w:r>
        <w:rPr>
          <w:spacing w:val="-12"/>
        </w:rPr>
        <w:t> </w:t>
      </w:r>
      <w:r>
        <w:rPr/>
        <w:t>and</w:t>
      </w:r>
      <w:r>
        <w:rPr>
          <w:spacing w:val="-12"/>
        </w:rPr>
        <w:t> </w:t>
      </w:r>
      <w:r>
        <w:rPr/>
        <w:t>partnership</w:t>
      </w:r>
      <w:r>
        <w:rPr>
          <w:spacing w:val="-12"/>
        </w:rPr>
        <w:t> </w:t>
      </w:r>
      <w:r>
        <w:rPr/>
        <w:t>with</w:t>
      </w:r>
      <w:r>
        <w:rPr>
          <w:spacing w:val="-12"/>
        </w:rPr>
        <w:t> </w:t>
      </w:r>
      <w:r>
        <w:rPr/>
        <w:t>the</w:t>
      </w:r>
      <w:r>
        <w:rPr>
          <w:spacing w:val="-13"/>
        </w:rPr>
        <w:t> </w:t>
      </w:r>
      <w:r>
        <w:rPr/>
        <w:t>private</w:t>
      </w:r>
      <w:r>
        <w:rPr>
          <w:spacing w:val="-13"/>
        </w:rPr>
        <w:t> </w:t>
      </w:r>
      <w:r>
        <w:rPr/>
        <w:t>sector</w:t>
      </w:r>
      <w:r>
        <w:rPr>
          <w:spacing w:val="-13"/>
        </w:rPr>
        <w:t> </w:t>
      </w:r>
      <w:r>
        <w:rPr/>
        <w:t>is</w:t>
      </w:r>
      <w:r>
        <w:rPr>
          <w:spacing w:val="-14"/>
        </w:rPr>
        <w:t> </w:t>
      </w:r>
      <w:r>
        <w:rPr/>
        <w:t>required.</w:t>
      </w:r>
      <w:r>
        <w:rPr>
          <w:spacing w:val="29"/>
        </w:rPr>
        <w:t> </w:t>
      </w:r>
      <w:r>
        <w:rPr/>
        <w:t>Fortunately, </w:t>
      </w:r>
      <w:r>
        <w:rPr/>
        <w:t>Curaçao has witnessed that a strong public-private partnership can yield immediate success, such as in the case of JetBlue (more airlift).  If these parameters are met, Curaçao</w:t>
      </w:r>
      <w:r>
        <w:rPr>
          <w:rFonts w:ascii="Calibri" w:hAnsi="Calibri" w:cs="Calibri" w:eastAsia="Calibri" w:hint="default"/>
        </w:rPr>
        <w:t>’s tourism </w:t>
      </w:r>
      <w:r>
        <w:rPr/>
        <w:t>industry will have a bright</w:t>
      </w:r>
      <w:r>
        <w:rPr>
          <w:spacing w:val="-28"/>
        </w:rPr>
        <w:t> </w:t>
      </w:r>
      <w:r>
        <w:rPr/>
        <w:t>future.</w:t>
      </w:r>
    </w:p>
    <w:p>
      <w:pPr>
        <w:pStyle w:val="Heading2"/>
        <w:spacing w:line="240" w:lineRule="auto" w:before="35"/>
        <w:ind w:right="0"/>
        <w:jc w:val="both"/>
        <w:rPr>
          <w:b w:val="0"/>
          <w:bCs w:val="0"/>
        </w:rPr>
      </w:pPr>
      <w:bookmarkStart w:name="_bookmark118" w:id="119"/>
      <w:bookmarkEnd w:id="119"/>
      <w:r>
        <w:rPr>
          <w:b w:val="0"/>
        </w:rPr>
      </w:r>
      <w:r>
        <w:rPr/>
        <w:t>The strategic</w:t>
      </w:r>
      <w:r>
        <w:rPr>
          <w:spacing w:val="-14"/>
        </w:rPr>
        <w:t> </w:t>
      </w:r>
      <w:r>
        <w:rPr/>
        <w:t>plan</w:t>
      </w:r>
      <w:r>
        <w:rPr>
          <w:b w:val="0"/>
        </w:rPr>
      </w:r>
    </w:p>
    <w:p>
      <w:pPr>
        <w:pStyle w:val="BodyText"/>
        <w:spacing w:line="240" w:lineRule="auto" w:before="191"/>
        <w:ind w:right="1437"/>
        <w:jc w:val="both"/>
      </w:pPr>
      <w:r>
        <w:rPr/>
        <w:t>The</w:t>
      </w:r>
      <w:r>
        <w:rPr>
          <w:spacing w:val="-3"/>
        </w:rPr>
        <w:t> </w:t>
      </w:r>
      <w:r>
        <w:rPr/>
        <w:t>main</w:t>
      </w:r>
      <w:r>
        <w:rPr>
          <w:spacing w:val="-2"/>
        </w:rPr>
        <w:t> </w:t>
      </w:r>
      <w:r>
        <w:rPr/>
        <w:t>premise</w:t>
      </w:r>
      <w:r>
        <w:rPr>
          <w:spacing w:val="-3"/>
        </w:rPr>
        <w:t> </w:t>
      </w:r>
      <w:r>
        <w:rPr/>
        <w:t>of</w:t>
      </w:r>
      <w:r>
        <w:rPr>
          <w:spacing w:val="-4"/>
        </w:rPr>
        <w:t> </w:t>
      </w:r>
      <w:r>
        <w:rPr/>
        <w:t>the</w:t>
      </w:r>
      <w:r>
        <w:rPr>
          <w:spacing w:val="-3"/>
        </w:rPr>
        <w:t> </w:t>
      </w:r>
      <w:r>
        <w:rPr/>
        <w:t>plan</w:t>
      </w:r>
      <w:r>
        <w:rPr>
          <w:spacing w:val="-2"/>
        </w:rPr>
        <w:t> </w:t>
      </w:r>
      <w:r>
        <w:rPr/>
        <w:t>is</w:t>
      </w:r>
      <w:r>
        <w:rPr>
          <w:spacing w:val="-1"/>
        </w:rPr>
        <w:t> </w:t>
      </w:r>
      <w:r>
        <w:rPr/>
        <w:t>to</w:t>
      </w:r>
      <w:r>
        <w:rPr>
          <w:spacing w:val="-2"/>
        </w:rPr>
        <w:t> </w:t>
      </w:r>
      <w:r>
        <w:rPr/>
        <w:t>proceed</w:t>
      </w:r>
      <w:r>
        <w:rPr>
          <w:spacing w:val="-2"/>
        </w:rPr>
        <w:t> </w:t>
      </w:r>
      <w:r>
        <w:rPr/>
        <w:t>in</w:t>
      </w:r>
      <w:r>
        <w:rPr>
          <w:spacing w:val="-2"/>
        </w:rPr>
        <w:t> </w:t>
      </w:r>
      <w:r>
        <w:rPr/>
        <w:t>a</w:t>
      </w:r>
      <w:r>
        <w:rPr>
          <w:spacing w:val="-2"/>
        </w:rPr>
        <w:t> </w:t>
      </w:r>
      <w:r>
        <w:rPr/>
        <w:t>smarter,</w:t>
      </w:r>
      <w:r>
        <w:rPr>
          <w:spacing w:val="-2"/>
        </w:rPr>
        <w:t> </w:t>
      </w:r>
      <w:r>
        <w:rPr/>
        <w:t>cost-effective</w:t>
      </w:r>
      <w:r>
        <w:rPr>
          <w:spacing w:val="-3"/>
        </w:rPr>
        <w:t> </w:t>
      </w:r>
      <w:r>
        <w:rPr/>
        <w:t>and</w:t>
      </w:r>
      <w:r>
        <w:rPr>
          <w:spacing w:val="-2"/>
        </w:rPr>
        <w:t> </w:t>
      </w:r>
      <w:r>
        <w:rPr/>
        <w:t>focused</w:t>
      </w:r>
      <w:r>
        <w:rPr>
          <w:spacing w:val="-2"/>
        </w:rPr>
        <w:t> </w:t>
      </w:r>
      <w:r>
        <w:rPr/>
        <w:t>way</w:t>
      </w:r>
      <w:r>
        <w:rPr>
          <w:spacing w:val="-1"/>
        </w:rPr>
        <w:t> </w:t>
      </w:r>
      <w:r>
        <w:rPr/>
        <w:t>that</w:t>
      </w:r>
      <w:r>
        <w:rPr>
          <w:spacing w:val="-1"/>
        </w:rPr>
        <w:t> </w:t>
      </w:r>
      <w:r>
        <w:rPr/>
        <w:t>realizes</w:t>
      </w:r>
      <w:r>
        <w:rPr>
          <w:spacing w:val="-3"/>
        </w:rPr>
        <w:t> </w:t>
      </w:r>
      <w:r>
        <w:rPr/>
        <w:t>set</w:t>
      </w:r>
      <w:r>
        <w:rPr>
          <w:spacing w:val="-2"/>
        </w:rPr>
        <w:t> </w:t>
      </w:r>
      <w:r>
        <w:rPr/>
        <w:t>objectives. </w:t>
      </w:r>
      <w:r>
        <w:rPr/>
        <w:t>Working from this premise is crucial for the success of the plan in the context of a constrained and restrained environment. Constrained by resources, and restrained by an institutional framework that is not yet lubricated to act decisively, take risks and seize quick market opportunities. The plan is built on small steps wrapped around a business approach and quick successes to rapidly increase credibility and trust.  </w:t>
      </w:r>
      <w:r>
        <w:rPr>
          <w:spacing w:val="43"/>
        </w:rPr>
        <w:t> </w:t>
      </w:r>
      <w:r>
        <w:rPr/>
        <w:t>The business focus is defined by a</w:t>
      </w:r>
    </w:p>
    <w:p>
      <w:pPr>
        <w:spacing w:line="240" w:lineRule="auto" w:before="10" w:after="0"/>
        <w:ind w:right="0"/>
        <w:rPr>
          <w:rFonts w:ascii="Calibri" w:hAnsi="Calibri" w:cs="Calibri" w:eastAsia="Calibri" w:hint="default"/>
          <w:sz w:val="27"/>
          <w:szCs w:val="27"/>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before="91"/>
        <w:ind w:left="1440" w:right="0" w:firstLine="0"/>
        <w:jc w:val="left"/>
        <w:rPr>
          <w:rFonts w:ascii="Calibri" w:hAnsi="Calibri" w:cs="Calibri" w:eastAsia="Calibri" w:hint="default"/>
          <w:sz w:val="16"/>
          <w:szCs w:val="16"/>
        </w:rPr>
      </w:pPr>
      <w:r>
        <w:rPr>
          <w:rFonts w:ascii="Calibri"/>
          <w:position w:val="5"/>
          <w:sz w:val="12"/>
        </w:rPr>
        <w:t>58</w:t>
      </w:r>
      <w:r>
        <w:rPr>
          <w:rFonts w:ascii="Calibri"/>
          <w:spacing w:val="6"/>
          <w:position w:val="5"/>
          <w:sz w:val="12"/>
        </w:rPr>
        <w:t> </w:t>
      </w:r>
      <w:r>
        <w:rPr>
          <w:rFonts w:ascii="Calibri"/>
          <w:sz w:val="16"/>
        </w:rPr>
        <w:t>The</w:t>
      </w:r>
      <w:r>
        <w:rPr>
          <w:rFonts w:ascii="Calibri"/>
          <w:spacing w:val="-4"/>
          <w:sz w:val="16"/>
        </w:rPr>
        <w:t> </w:t>
      </w:r>
      <w:r>
        <w:rPr>
          <w:rFonts w:ascii="Calibri"/>
          <w:sz w:val="16"/>
        </w:rPr>
        <w:t>CNSJF</w:t>
      </w:r>
      <w:r>
        <w:rPr>
          <w:rFonts w:ascii="Calibri"/>
          <w:spacing w:val="-2"/>
          <w:sz w:val="16"/>
        </w:rPr>
        <w:t> </w:t>
      </w:r>
      <w:r>
        <w:rPr>
          <w:rFonts w:ascii="Calibri"/>
          <w:sz w:val="16"/>
        </w:rPr>
        <w:t>attests</w:t>
      </w:r>
      <w:r>
        <w:rPr>
          <w:rFonts w:ascii="Calibri"/>
          <w:spacing w:val="-3"/>
          <w:sz w:val="16"/>
        </w:rPr>
        <w:t> </w:t>
      </w:r>
      <w:r>
        <w:rPr>
          <w:rFonts w:ascii="Calibri"/>
          <w:sz w:val="16"/>
        </w:rPr>
        <w:t>to</w:t>
      </w:r>
      <w:r>
        <w:rPr>
          <w:rFonts w:ascii="Calibri"/>
          <w:spacing w:val="-3"/>
          <w:sz w:val="16"/>
        </w:rPr>
        <w:t> </w:t>
      </w:r>
      <w:r>
        <w:rPr>
          <w:rFonts w:ascii="Calibri"/>
          <w:sz w:val="16"/>
        </w:rPr>
        <w:t>this</w:t>
      </w:r>
      <w:r>
        <w:rPr>
          <w:rFonts w:ascii="Calibri"/>
          <w:spacing w:val="-3"/>
          <w:sz w:val="16"/>
        </w:rPr>
        <w:t> </w:t>
      </w:r>
      <w:r>
        <w:rPr>
          <w:rFonts w:ascii="Calibri"/>
          <w:sz w:val="16"/>
        </w:rPr>
        <w:t>reality</w:t>
      </w:r>
      <w:r>
        <w:rPr>
          <w:rFonts w:ascii="Calibri"/>
          <w:spacing w:val="-3"/>
          <w:sz w:val="16"/>
        </w:rPr>
        <w:t> </w:t>
      </w:r>
      <w:r>
        <w:rPr>
          <w:rFonts w:ascii="Calibri"/>
          <w:sz w:val="16"/>
        </w:rPr>
        <w:t>by</w:t>
      </w:r>
      <w:r>
        <w:rPr>
          <w:rFonts w:ascii="Calibri"/>
          <w:spacing w:val="-1"/>
          <w:sz w:val="16"/>
        </w:rPr>
        <w:t> </w:t>
      </w:r>
      <w:r>
        <w:rPr>
          <w:rFonts w:ascii="Calibri"/>
          <w:sz w:val="16"/>
        </w:rPr>
        <w:t>its</w:t>
      </w:r>
      <w:r>
        <w:rPr>
          <w:rFonts w:ascii="Calibri"/>
          <w:spacing w:val="-1"/>
          <w:sz w:val="16"/>
        </w:rPr>
        <w:t> </w:t>
      </w:r>
      <w:r>
        <w:rPr>
          <w:rFonts w:ascii="Calibri"/>
          <w:sz w:val="16"/>
        </w:rPr>
        <w:t>fast</w:t>
      </w:r>
      <w:r>
        <w:rPr>
          <w:rFonts w:ascii="Calibri"/>
          <w:spacing w:val="-3"/>
          <w:sz w:val="16"/>
        </w:rPr>
        <w:t> </w:t>
      </w:r>
      <w:r>
        <w:rPr>
          <w:rFonts w:ascii="Calibri"/>
          <w:sz w:val="16"/>
        </w:rPr>
        <w:t>growing</w:t>
      </w:r>
      <w:r>
        <w:rPr>
          <w:rFonts w:ascii="Calibri"/>
          <w:spacing w:val="-2"/>
          <w:sz w:val="16"/>
        </w:rPr>
        <w:t> </w:t>
      </w:r>
      <w:r>
        <w:rPr>
          <w:rFonts w:ascii="Calibri"/>
          <w:sz w:val="16"/>
        </w:rPr>
        <w:t>number</w:t>
      </w:r>
      <w:r>
        <w:rPr>
          <w:rFonts w:ascii="Calibri"/>
          <w:spacing w:val="-2"/>
          <w:sz w:val="16"/>
        </w:rPr>
        <w:t> </w:t>
      </w:r>
      <w:r>
        <w:rPr>
          <w:rFonts w:ascii="Calibri"/>
          <w:sz w:val="16"/>
        </w:rPr>
        <w:t>of</w:t>
      </w:r>
      <w:r>
        <w:rPr>
          <w:rFonts w:ascii="Calibri"/>
          <w:spacing w:val="-3"/>
          <w:sz w:val="16"/>
        </w:rPr>
        <w:t> </w:t>
      </w:r>
      <w:r>
        <w:rPr>
          <w:rFonts w:ascii="Calibri"/>
          <w:sz w:val="16"/>
        </w:rPr>
        <w:t>repeat</w:t>
      </w:r>
      <w:r>
        <w:rPr>
          <w:rFonts w:ascii="Calibri"/>
          <w:spacing w:val="-4"/>
          <w:sz w:val="16"/>
        </w:rPr>
        <w:t> </w:t>
      </w:r>
      <w:r>
        <w:rPr>
          <w:rFonts w:ascii="Calibri"/>
          <w:sz w:val="16"/>
        </w:rPr>
        <w:t>attendees.</w:t>
      </w:r>
      <w:r>
        <w:rPr>
          <w:rFonts w:ascii="Calibri"/>
          <w:spacing w:val="-2"/>
          <w:sz w:val="16"/>
        </w:rPr>
        <w:t> </w:t>
      </w:r>
      <w:r>
        <w:rPr>
          <w:rFonts w:ascii="Calibri"/>
          <w:sz w:val="16"/>
        </w:rPr>
        <w:t>See,</w:t>
      </w:r>
      <w:r>
        <w:rPr>
          <w:rFonts w:ascii="Calibri"/>
          <w:spacing w:val="-2"/>
          <w:sz w:val="16"/>
        </w:rPr>
        <w:t> </w:t>
      </w:r>
      <w:r>
        <w:rPr>
          <w:rFonts w:ascii="Calibri"/>
          <w:sz w:val="16"/>
        </w:rPr>
        <w:t>Rivera</w:t>
      </w:r>
      <w:r>
        <w:rPr>
          <w:rFonts w:ascii="Calibri"/>
          <w:spacing w:val="-3"/>
          <w:sz w:val="16"/>
        </w:rPr>
        <w:t> </w:t>
      </w:r>
      <w:r>
        <w:rPr>
          <w:rFonts w:ascii="Calibri"/>
          <w:sz w:val="16"/>
        </w:rPr>
        <w:t>et</w:t>
      </w:r>
      <w:r>
        <w:rPr>
          <w:rFonts w:ascii="Calibri"/>
          <w:spacing w:val="-3"/>
          <w:sz w:val="16"/>
        </w:rPr>
        <w:t> </w:t>
      </w:r>
      <w:r>
        <w:rPr>
          <w:rFonts w:ascii="Calibri"/>
          <w:sz w:val="16"/>
        </w:rPr>
        <w:t>al.</w:t>
      </w:r>
      <w:r>
        <w:rPr>
          <w:rFonts w:ascii="Calibri"/>
          <w:spacing w:val="-2"/>
          <w:sz w:val="16"/>
        </w:rPr>
        <w:t> </w:t>
      </w:r>
      <w:r>
        <w:rPr>
          <w:rFonts w:ascii="Calibri"/>
          <w:sz w:val="16"/>
        </w:rPr>
        <w:t>(2014)</w:t>
      </w:r>
    </w:p>
    <w:p>
      <w:pPr>
        <w:spacing w:line="240" w:lineRule="auto" w:before="0"/>
        <w:ind w:right="0"/>
        <w:rPr>
          <w:rFonts w:ascii="Calibri" w:hAnsi="Calibri" w:cs="Calibri" w:eastAsia="Calibri" w:hint="default"/>
          <w:sz w:val="17"/>
          <w:szCs w:val="17"/>
        </w:rPr>
      </w:pPr>
    </w:p>
    <w:p>
      <w:pPr>
        <w:spacing w:line="242" w:lineRule="auto" w:before="0"/>
        <w:ind w:left="1440" w:right="1745" w:firstLine="0"/>
        <w:jc w:val="left"/>
        <w:rPr>
          <w:rFonts w:ascii="Calibri" w:hAnsi="Calibri" w:cs="Calibri" w:eastAsia="Calibri" w:hint="default"/>
          <w:sz w:val="16"/>
          <w:szCs w:val="16"/>
        </w:rPr>
      </w:pPr>
      <w:r>
        <w:rPr>
          <w:rFonts w:ascii="Calibri" w:hAnsi="Calibri" w:cs="Calibri" w:eastAsia="Calibri" w:hint="default"/>
          <w:position w:val="5"/>
          <w:sz w:val="12"/>
          <w:szCs w:val="12"/>
        </w:rPr>
        <w:t>59 </w:t>
      </w:r>
      <w:r>
        <w:rPr>
          <w:rFonts w:ascii="Calibri" w:hAnsi="Calibri" w:cs="Calibri" w:eastAsia="Calibri" w:hint="default"/>
          <w:sz w:val="16"/>
          <w:szCs w:val="16"/>
        </w:rPr>
        <w:t>How can we shape a better future for the Curaçao</w:t>
      </w:r>
      <w:r>
        <w:rPr>
          <w:rFonts w:ascii="Calibri" w:hAnsi="Calibri" w:cs="Calibri" w:eastAsia="Calibri" w:hint="default"/>
          <w:sz w:val="16"/>
          <w:szCs w:val="16"/>
        </w:rPr>
        <w:t>’s </w:t>
      </w:r>
      <w:r>
        <w:rPr>
          <w:rFonts w:ascii="Calibri" w:hAnsi="Calibri" w:cs="Calibri" w:eastAsia="Calibri" w:hint="default"/>
          <w:sz w:val="16"/>
          <w:szCs w:val="16"/>
        </w:rPr>
        <w:t>tourism industry? Keynote speech delivered by Dr. Emsley Tromp, President of the Central Bank of Curaçao and St. Maarten, On the occasion of the annual general meeting organized by the Curaçao Hospitality and Tourism Association, March 25</w:t>
      </w:r>
      <w:r>
        <w:rPr>
          <w:rFonts w:ascii="Calibri" w:hAnsi="Calibri" w:cs="Calibri" w:eastAsia="Calibri" w:hint="default"/>
          <w:position w:val="5"/>
          <w:sz w:val="10"/>
          <w:szCs w:val="10"/>
        </w:rPr>
        <w:t>th</w:t>
      </w:r>
      <w:r>
        <w:rPr>
          <w:rFonts w:ascii="Calibri" w:hAnsi="Calibri" w:cs="Calibri" w:eastAsia="Calibri" w:hint="default"/>
          <w:sz w:val="16"/>
          <w:szCs w:val="16"/>
        </w:rPr>
        <w:t>,</w:t>
      </w:r>
      <w:r>
        <w:rPr>
          <w:rFonts w:ascii="Calibri" w:hAnsi="Calibri" w:cs="Calibri" w:eastAsia="Calibri" w:hint="default"/>
          <w:spacing w:val="-7"/>
          <w:sz w:val="16"/>
          <w:szCs w:val="16"/>
        </w:rPr>
        <w:t> </w:t>
      </w:r>
      <w:r>
        <w:rPr>
          <w:rFonts w:ascii="Calibri" w:hAnsi="Calibri" w:cs="Calibri" w:eastAsia="Calibri" w:hint="default"/>
          <w:sz w:val="16"/>
          <w:szCs w:val="16"/>
        </w:rPr>
        <w:t>2015.</w:t>
      </w:r>
    </w:p>
    <w:p>
      <w:pPr>
        <w:spacing w:after="0" w:line="242"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45"/>
        <w:jc w:val="both"/>
      </w:pPr>
      <w:r>
        <w:rPr/>
        <w:t>specific ratio of cost to acquire a tourist compared to revenues and jobs spawned by the tourists. In addition, it is crucial that both government and the CTB can show quick success in order to build up the required trust and credibility from stakeholders, which seem to be lacking at the</w:t>
      </w:r>
      <w:r>
        <w:rPr>
          <w:spacing w:val="-23"/>
        </w:rPr>
        <w:t> </w:t>
      </w:r>
      <w:r>
        <w:rPr/>
        <w:t>moment.</w:t>
      </w:r>
    </w:p>
    <w:p>
      <w:pPr>
        <w:spacing w:line="240" w:lineRule="auto" w:before="1"/>
        <w:ind w:right="0"/>
        <w:rPr>
          <w:rFonts w:ascii="Calibri" w:hAnsi="Calibri" w:cs="Calibri" w:eastAsia="Calibri" w:hint="default"/>
          <w:sz w:val="20"/>
          <w:szCs w:val="20"/>
        </w:rPr>
      </w:pPr>
    </w:p>
    <w:p>
      <w:pPr>
        <w:pStyle w:val="BodyText"/>
        <w:spacing w:line="240" w:lineRule="auto"/>
        <w:ind w:right="1435"/>
        <w:jc w:val="both"/>
      </w:pPr>
      <w:r>
        <w:rPr/>
        <w:t>The plan consists of optimizing the existing supply: in particular, the hotel sector which is currently under financial duress.</w:t>
      </w:r>
      <w:r>
        <w:rPr>
          <w:spacing w:val="-4"/>
        </w:rPr>
        <w:t> </w:t>
      </w:r>
      <w:r>
        <w:rPr/>
        <w:t>Because</w:t>
      </w:r>
      <w:r>
        <w:rPr>
          <w:spacing w:val="-8"/>
        </w:rPr>
        <w:t> </w:t>
      </w:r>
      <w:r>
        <w:rPr/>
        <w:t>the</w:t>
      </w:r>
      <w:r>
        <w:rPr>
          <w:spacing w:val="-8"/>
        </w:rPr>
        <w:t> </w:t>
      </w:r>
      <w:r>
        <w:rPr/>
        <w:t>hotel</w:t>
      </w:r>
      <w:r>
        <w:rPr>
          <w:spacing w:val="-5"/>
        </w:rPr>
        <w:t> </w:t>
      </w:r>
      <w:r>
        <w:rPr/>
        <w:t>sector</w:t>
      </w:r>
      <w:r>
        <w:rPr>
          <w:spacing w:val="-7"/>
        </w:rPr>
        <w:t> </w:t>
      </w:r>
      <w:r>
        <w:rPr/>
        <w:t>is</w:t>
      </w:r>
      <w:r>
        <w:rPr>
          <w:spacing w:val="-8"/>
        </w:rPr>
        <w:t> </w:t>
      </w:r>
      <w:r>
        <w:rPr/>
        <w:t>the</w:t>
      </w:r>
      <w:r>
        <w:rPr>
          <w:spacing w:val="-8"/>
        </w:rPr>
        <w:t> </w:t>
      </w:r>
      <w:r>
        <w:rPr/>
        <w:t>engine</w:t>
      </w:r>
      <w:r>
        <w:rPr>
          <w:spacing w:val="-8"/>
        </w:rPr>
        <w:t> </w:t>
      </w:r>
      <w:r>
        <w:rPr/>
        <w:t>of</w:t>
      </w:r>
      <w:r>
        <w:rPr>
          <w:spacing w:val="-8"/>
        </w:rPr>
        <w:t> </w:t>
      </w:r>
      <w:r>
        <w:rPr/>
        <w:t>growth</w:t>
      </w:r>
      <w:r>
        <w:rPr>
          <w:spacing w:val="-2"/>
        </w:rPr>
        <w:t> </w:t>
      </w:r>
      <w:r>
        <w:rPr/>
        <w:t>for</w:t>
      </w:r>
      <w:r>
        <w:rPr>
          <w:spacing w:val="-4"/>
        </w:rPr>
        <w:t> </w:t>
      </w:r>
      <w:r>
        <w:rPr/>
        <w:t>any</w:t>
      </w:r>
      <w:r>
        <w:rPr>
          <w:spacing w:val="-6"/>
        </w:rPr>
        <w:t> </w:t>
      </w:r>
      <w:r>
        <w:rPr/>
        <w:t>destination,</w:t>
      </w:r>
      <w:r>
        <w:rPr>
          <w:spacing w:val="-6"/>
        </w:rPr>
        <w:t> </w:t>
      </w:r>
      <w:r>
        <w:rPr/>
        <w:t>it</w:t>
      </w:r>
      <w:r>
        <w:rPr>
          <w:spacing w:val="-7"/>
        </w:rPr>
        <w:t> </w:t>
      </w:r>
      <w:r>
        <w:rPr/>
        <w:t>behooves</w:t>
      </w:r>
      <w:r>
        <w:rPr>
          <w:spacing w:val="-8"/>
        </w:rPr>
        <w:t> </w:t>
      </w:r>
      <w:r>
        <w:rPr/>
        <w:t>the</w:t>
      </w:r>
      <w:r>
        <w:rPr>
          <w:spacing w:val="-8"/>
        </w:rPr>
        <w:t> </w:t>
      </w:r>
      <w:r>
        <w:rPr/>
        <w:t>destination</w:t>
      </w:r>
      <w:r>
        <w:rPr>
          <w:spacing w:val="-6"/>
        </w:rPr>
        <w:t> </w:t>
      </w:r>
      <w:r>
        <w:rPr/>
        <w:t>to</w:t>
      </w:r>
      <w:r>
        <w:rPr>
          <w:spacing w:val="-6"/>
        </w:rPr>
        <w:t> </w:t>
      </w:r>
      <w:r>
        <w:rPr/>
        <w:t>promote </w:t>
      </w:r>
      <w:r>
        <w:rPr/>
        <w:t>demand with respect to hotels in order to make the sector profitable and strong. However, the hotel sector has experienced</w:t>
      </w:r>
      <w:r>
        <w:rPr>
          <w:spacing w:val="-4"/>
        </w:rPr>
        <w:t> </w:t>
      </w:r>
      <w:r>
        <w:rPr/>
        <w:t>a</w:t>
      </w:r>
      <w:r>
        <w:rPr>
          <w:spacing w:val="-4"/>
        </w:rPr>
        <w:t> </w:t>
      </w:r>
      <w:r>
        <w:rPr/>
        <w:t>decline</w:t>
      </w:r>
      <w:r>
        <w:rPr>
          <w:spacing w:val="-5"/>
        </w:rPr>
        <w:t> </w:t>
      </w:r>
      <w:r>
        <w:rPr/>
        <w:t>in</w:t>
      </w:r>
      <w:r>
        <w:rPr>
          <w:spacing w:val="-4"/>
        </w:rPr>
        <w:t> </w:t>
      </w:r>
      <w:r>
        <w:rPr/>
        <w:t>occupancy</w:t>
      </w:r>
      <w:r>
        <w:rPr>
          <w:spacing w:val="-4"/>
        </w:rPr>
        <w:t> </w:t>
      </w:r>
      <w:r>
        <w:rPr/>
        <w:t>rates</w:t>
      </w:r>
      <w:r>
        <w:rPr>
          <w:spacing w:val="-6"/>
        </w:rPr>
        <w:t> </w:t>
      </w:r>
      <w:r>
        <w:rPr/>
        <w:t>as</w:t>
      </w:r>
      <w:r>
        <w:rPr>
          <w:spacing w:val="-4"/>
        </w:rPr>
        <w:t> </w:t>
      </w:r>
      <w:r>
        <w:rPr/>
        <w:t>more</w:t>
      </w:r>
      <w:r>
        <w:rPr>
          <w:spacing w:val="-5"/>
        </w:rPr>
        <w:t> </w:t>
      </w:r>
      <w:r>
        <w:rPr/>
        <w:t>tourists</w:t>
      </w:r>
      <w:r>
        <w:rPr>
          <w:spacing w:val="-5"/>
        </w:rPr>
        <w:t> </w:t>
      </w:r>
      <w:r>
        <w:rPr/>
        <w:t>are</w:t>
      </w:r>
      <w:r>
        <w:rPr>
          <w:spacing w:val="-5"/>
        </w:rPr>
        <w:t> </w:t>
      </w:r>
      <w:r>
        <w:rPr/>
        <w:t>staying</w:t>
      </w:r>
      <w:r>
        <w:rPr>
          <w:spacing w:val="-5"/>
        </w:rPr>
        <w:t> </w:t>
      </w:r>
      <w:r>
        <w:rPr/>
        <w:t>in</w:t>
      </w:r>
      <w:r>
        <w:rPr>
          <w:spacing w:val="-4"/>
        </w:rPr>
        <w:t> </w:t>
      </w:r>
      <w:r>
        <w:rPr/>
        <w:t>untraditional</w:t>
      </w:r>
      <w:r>
        <w:rPr>
          <w:spacing w:val="-4"/>
        </w:rPr>
        <w:t> </w:t>
      </w:r>
      <w:r>
        <w:rPr/>
        <w:t>lodging</w:t>
      </w:r>
      <w:r>
        <w:rPr>
          <w:spacing w:val="-4"/>
        </w:rPr>
        <w:t> </w:t>
      </w:r>
      <w:r>
        <w:rPr/>
        <w:t>accommodations</w:t>
      </w:r>
      <w:r>
        <w:rPr>
          <w:spacing w:val="1"/>
        </w:rPr>
        <w:t> </w:t>
      </w:r>
      <w:r>
        <w:rPr/>
        <w:t>(see </w:t>
      </w:r>
      <w:r>
        <w:rPr/>
        <w:t>Figure 27). In other words, while </w:t>
      </w:r>
      <w:r>
        <w:rPr>
          <w:rFonts w:ascii="Calibri" w:hAnsi="Calibri" w:cs="Calibri" w:eastAsia="Calibri" w:hint="default"/>
        </w:rPr>
        <w:t>Curacao’s </w:t>
      </w:r>
      <w:r>
        <w:rPr/>
        <w:t>tourist arrivals have been increasing over time, hotel occupancy has been</w:t>
      </w:r>
      <w:r>
        <w:rPr>
          <w:spacing w:val="-8"/>
        </w:rPr>
        <w:t> </w:t>
      </w:r>
      <w:r>
        <w:rPr/>
        <w:t>decreasing.</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t>Non-hotel accommodation stays have been increasing </w:t>
      </w:r>
      <w:r>
        <w:rPr>
          <w:spacing w:val="2"/>
        </w:rPr>
        <w:t>as </w:t>
      </w:r>
      <w:r>
        <w:rPr/>
        <w:t>evidenced in Figure 27. More people are staying with </w:t>
      </w:r>
      <w:r>
        <w:rPr/>
        <w:t>family and friends and in rental units. Higher demand for these accommodation types have triggered an increase in their</w:t>
      </w:r>
      <w:r>
        <w:rPr>
          <w:spacing w:val="-13"/>
        </w:rPr>
        <w:t> </w:t>
      </w:r>
      <w:r>
        <w:rPr/>
        <w:t>real</w:t>
      </w:r>
      <w:r>
        <w:rPr>
          <w:spacing w:val="-12"/>
        </w:rPr>
        <w:t> </w:t>
      </w:r>
      <w:r>
        <w:rPr/>
        <w:t>estate</w:t>
      </w:r>
      <w:r>
        <w:rPr>
          <w:spacing w:val="-13"/>
        </w:rPr>
        <w:t> </w:t>
      </w:r>
      <w:r>
        <w:rPr/>
        <w:t>development,</w:t>
      </w:r>
      <w:r>
        <w:rPr>
          <w:spacing w:val="-11"/>
        </w:rPr>
        <w:t> </w:t>
      </w:r>
      <w:r>
        <w:rPr/>
        <w:t>thereby</w:t>
      </w:r>
      <w:r>
        <w:rPr>
          <w:spacing w:val="-12"/>
        </w:rPr>
        <w:t> </w:t>
      </w:r>
      <w:r>
        <w:rPr/>
        <w:t>mitigating</w:t>
      </w:r>
      <w:r>
        <w:rPr>
          <w:spacing w:val="-13"/>
        </w:rPr>
        <w:t> </w:t>
      </w:r>
      <w:r>
        <w:rPr/>
        <w:t>larger</w:t>
      </w:r>
      <w:r>
        <w:rPr>
          <w:spacing w:val="-11"/>
        </w:rPr>
        <w:t> </w:t>
      </w:r>
      <w:r>
        <w:rPr/>
        <w:t>spillover</w:t>
      </w:r>
      <w:r>
        <w:rPr>
          <w:spacing w:val="-13"/>
        </w:rPr>
        <w:t> </w:t>
      </w:r>
      <w:r>
        <w:rPr/>
        <w:t>effects</w:t>
      </w:r>
      <w:r>
        <w:rPr>
          <w:spacing w:val="-13"/>
        </w:rPr>
        <w:t> </w:t>
      </w:r>
      <w:r>
        <w:rPr/>
        <w:t>to</w:t>
      </w:r>
      <w:r>
        <w:rPr>
          <w:spacing w:val="-12"/>
        </w:rPr>
        <w:t> </w:t>
      </w:r>
      <w:r>
        <w:rPr/>
        <w:t>the</w:t>
      </w:r>
      <w:r>
        <w:rPr>
          <w:spacing w:val="-13"/>
        </w:rPr>
        <w:t> </w:t>
      </w:r>
      <w:r>
        <w:rPr/>
        <w:t>economy.</w:t>
      </w:r>
      <w:r>
        <w:rPr>
          <w:spacing w:val="21"/>
        </w:rPr>
        <w:t> </w:t>
      </w:r>
      <w:r>
        <w:rPr/>
        <w:t>By</w:t>
      </w:r>
      <w:r>
        <w:rPr>
          <w:spacing w:val="-12"/>
        </w:rPr>
        <w:t> </w:t>
      </w:r>
      <w:r>
        <w:rPr/>
        <w:t>attracting</w:t>
      </w:r>
      <w:r>
        <w:rPr>
          <w:spacing w:val="-13"/>
        </w:rPr>
        <w:t> </w:t>
      </w:r>
      <w:r>
        <w:rPr/>
        <w:t>more</w:t>
      </w:r>
      <w:r>
        <w:rPr>
          <w:spacing w:val="-13"/>
        </w:rPr>
        <w:t> </w:t>
      </w:r>
      <w:r>
        <w:rPr/>
        <w:t>tourists </w:t>
      </w:r>
      <w:r>
        <w:rPr/>
        <w:t>who stay in hotels, the demand for apartments will slowly subside, thereby reaching a healthy balance between rental units and the accommodation sector. A stronger accommodation sector will provide more stimulus to the local economy, thus achieving the goals of stronger economic growth and job</w:t>
      </w:r>
      <w:r>
        <w:rPr>
          <w:spacing w:val="-31"/>
        </w:rPr>
        <w:t> </w:t>
      </w:r>
      <w:r>
        <w:rPr/>
        <w:t>creation.</w:t>
      </w:r>
    </w:p>
    <w:p>
      <w:pPr>
        <w:spacing w:line="240" w:lineRule="auto" w:before="11" w:after="0"/>
        <w:ind w:right="0"/>
        <w:rPr>
          <w:rFonts w:ascii="Calibri" w:hAnsi="Calibri" w:cs="Calibri" w:eastAsia="Calibri" w:hint="default"/>
          <w:sz w:val="19"/>
          <w:szCs w:val="19"/>
        </w:rPr>
      </w:pPr>
    </w:p>
    <w:p>
      <w:pPr>
        <w:spacing w:line="240" w:lineRule="auto"/>
        <w:ind w:left="2325"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4742050" cy="3013710"/>
            <wp:effectExtent l="0" t="0" r="0" b="0"/>
            <wp:docPr id="57" name="image31.png" descr=""/>
            <wp:cNvGraphicFramePr>
              <a:graphicFrameLocks noChangeAspect="1"/>
            </wp:cNvGraphicFramePr>
            <a:graphic>
              <a:graphicData uri="http://schemas.openxmlformats.org/drawingml/2006/picture">
                <pic:pic>
                  <pic:nvPicPr>
                    <pic:cNvPr id="58" name="image31.png"/>
                    <pic:cNvPicPr/>
                  </pic:nvPicPr>
                  <pic:blipFill>
                    <a:blip r:embed="rId57" cstate="print"/>
                    <a:stretch>
                      <a:fillRect/>
                    </a:stretch>
                  </pic:blipFill>
                  <pic:spPr>
                    <a:xfrm>
                      <a:off x="0" y="0"/>
                      <a:ext cx="4742050" cy="3013710"/>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85"/>
        <w:ind w:left="3218" w:right="0"/>
        <w:jc w:val="left"/>
        <w:rPr>
          <w:b w:val="0"/>
          <w:bCs w:val="0"/>
        </w:rPr>
      </w:pPr>
      <w:bookmarkStart w:name="_bookmark119" w:id="120"/>
      <w:bookmarkEnd w:id="120"/>
      <w:r>
        <w:rPr>
          <w:b w:val="0"/>
        </w:rPr>
      </w:r>
      <w:r>
        <w:rPr/>
        <w:t>Figure 27:  Accommodation types selected by tourists from</w:t>
      </w:r>
      <w:r>
        <w:rPr>
          <w:spacing w:val="-26"/>
        </w:rPr>
        <w:t> </w:t>
      </w:r>
      <w:r>
        <w:rPr/>
        <w:t>2000-2013</w:t>
      </w:r>
      <w:r>
        <w:rPr>
          <w:b w:val="0"/>
        </w:rPr>
      </w:r>
    </w:p>
    <w:p>
      <w:pPr>
        <w:spacing w:line="240" w:lineRule="auto" w:before="11"/>
        <w:ind w:right="0"/>
        <w:rPr>
          <w:rFonts w:ascii="Calibri" w:hAnsi="Calibri" w:cs="Calibri" w:eastAsia="Calibri" w:hint="default"/>
          <w:b/>
          <w:bCs/>
          <w:sz w:val="19"/>
          <w:szCs w:val="19"/>
        </w:rPr>
      </w:pPr>
    </w:p>
    <w:p>
      <w:pPr>
        <w:pStyle w:val="BodyText"/>
        <w:spacing w:line="240" w:lineRule="auto"/>
        <w:ind w:right="0"/>
        <w:jc w:val="both"/>
      </w:pPr>
      <w:r>
        <w:rPr/>
        <w:t>The 2015-2020 Strategic Tourism Master Plan consists of three</w:t>
      </w:r>
      <w:r>
        <w:rPr>
          <w:spacing w:val="-22"/>
        </w:rPr>
        <w:t> </w:t>
      </w:r>
      <w:r>
        <w:rPr/>
        <w:t>goals:</w:t>
      </w:r>
    </w:p>
    <w:p>
      <w:pPr>
        <w:pStyle w:val="ListParagraph"/>
        <w:numPr>
          <w:ilvl w:val="0"/>
          <w:numId w:val="7"/>
        </w:numPr>
        <w:tabs>
          <w:tab w:pos="2161" w:val="left" w:leader="none"/>
        </w:tabs>
        <w:spacing w:line="240" w:lineRule="auto" w:before="0" w:after="0"/>
        <w:ind w:left="2160" w:right="0" w:hanging="360"/>
        <w:jc w:val="left"/>
        <w:rPr>
          <w:rFonts w:ascii="Calibri" w:hAnsi="Calibri" w:cs="Calibri" w:eastAsia="Calibri" w:hint="default"/>
          <w:sz w:val="20"/>
          <w:szCs w:val="20"/>
        </w:rPr>
      </w:pPr>
      <w:r>
        <w:rPr>
          <w:rFonts w:ascii="Calibri"/>
          <w:sz w:val="20"/>
        </w:rPr>
        <w:t>To boost economic</w:t>
      </w:r>
      <w:r>
        <w:rPr>
          <w:rFonts w:ascii="Calibri"/>
          <w:spacing w:val="-11"/>
          <w:sz w:val="20"/>
        </w:rPr>
        <w:t> </w:t>
      </w:r>
      <w:r>
        <w:rPr>
          <w:rFonts w:ascii="Calibri"/>
          <w:sz w:val="20"/>
        </w:rPr>
        <w:t>growth</w:t>
      </w:r>
    </w:p>
    <w:p>
      <w:pPr>
        <w:pStyle w:val="ListParagraph"/>
        <w:numPr>
          <w:ilvl w:val="0"/>
          <w:numId w:val="7"/>
        </w:numPr>
        <w:tabs>
          <w:tab w:pos="2161" w:val="left" w:leader="none"/>
        </w:tabs>
        <w:spacing w:line="240" w:lineRule="auto" w:before="15" w:after="0"/>
        <w:ind w:left="2160" w:right="0" w:hanging="360"/>
        <w:jc w:val="left"/>
        <w:rPr>
          <w:rFonts w:ascii="Calibri" w:hAnsi="Calibri" w:cs="Calibri" w:eastAsia="Calibri" w:hint="default"/>
          <w:sz w:val="20"/>
          <w:szCs w:val="20"/>
        </w:rPr>
      </w:pPr>
      <w:r>
        <w:rPr>
          <w:rFonts w:ascii="Calibri"/>
          <w:sz w:val="20"/>
        </w:rPr>
        <w:t>To create accelerated</w:t>
      </w:r>
      <w:r>
        <w:rPr>
          <w:rFonts w:ascii="Calibri"/>
          <w:spacing w:val="-8"/>
          <w:sz w:val="20"/>
        </w:rPr>
        <w:t> </w:t>
      </w:r>
      <w:r>
        <w:rPr>
          <w:rFonts w:ascii="Calibri"/>
          <w:sz w:val="20"/>
        </w:rPr>
        <w:t>jobs</w:t>
      </w:r>
    </w:p>
    <w:p>
      <w:pPr>
        <w:pStyle w:val="ListParagraph"/>
        <w:numPr>
          <w:ilvl w:val="0"/>
          <w:numId w:val="7"/>
        </w:numPr>
        <w:tabs>
          <w:tab w:pos="2161" w:val="left" w:leader="none"/>
        </w:tabs>
        <w:spacing w:line="240" w:lineRule="auto" w:before="18" w:after="0"/>
        <w:ind w:left="2160" w:right="0" w:hanging="360"/>
        <w:jc w:val="left"/>
        <w:rPr>
          <w:rFonts w:ascii="Calibri" w:hAnsi="Calibri" w:cs="Calibri" w:eastAsia="Calibri" w:hint="default"/>
          <w:sz w:val="20"/>
          <w:szCs w:val="20"/>
        </w:rPr>
      </w:pPr>
      <w:r>
        <w:rPr>
          <w:rFonts w:ascii="Calibri"/>
          <w:sz w:val="20"/>
        </w:rPr>
        <w:t>To consolidate hospitality</w:t>
      </w:r>
      <w:r>
        <w:rPr>
          <w:rFonts w:ascii="Calibri"/>
          <w:spacing w:val="-14"/>
          <w:sz w:val="20"/>
        </w:rPr>
        <w:t> </w:t>
      </w:r>
      <w:r>
        <w:rPr>
          <w:rFonts w:ascii="Calibri"/>
          <w:sz w:val="20"/>
        </w:rPr>
        <w:t>business</w:t>
      </w:r>
    </w:p>
    <w:p>
      <w:pPr>
        <w:pStyle w:val="BodyText"/>
        <w:spacing w:line="240" w:lineRule="auto" w:before="176"/>
        <w:ind w:right="1438"/>
        <w:jc w:val="both"/>
      </w:pPr>
      <w:r>
        <w:rPr/>
        <w:t>Tables 38 and 39 indicate the numbers of arrivals needed to achieve these three goals. The forecasted arrivals per </w:t>
      </w:r>
      <w:r>
        <w:rPr>
          <w:rFonts w:ascii="Calibri" w:hAnsi="Calibri" w:cs="Calibri" w:eastAsia="Calibri" w:hint="default"/>
        </w:rPr>
        <w:t>the tourists’ country of residence </w:t>
      </w:r>
      <w:r>
        <w:rPr/>
        <w:t>are derived from the distribution of hotel stays and non-hotel stays that were previously analyzed. The impact of the forecast spans three strategic</w:t>
      </w:r>
      <w:r>
        <w:rPr>
          <w:spacing w:val="-29"/>
        </w:rPr>
        <w:t> </w:t>
      </w:r>
      <w:r>
        <w:rPr/>
        <w:t>phases:</w:t>
      </w:r>
    </w:p>
    <w:p>
      <w:pPr>
        <w:spacing w:line="240" w:lineRule="auto" w:before="1"/>
        <w:ind w:right="0"/>
        <w:rPr>
          <w:rFonts w:ascii="Calibri" w:hAnsi="Calibri" w:cs="Calibri" w:eastAsia="Calibri" w:hint="default"/>
          <w:sz w:val="20"/>
          <w:szCs w:val="20"/>
        </w:rPr>
      </w:pPr>
    </w:p>
    <w:p>
      <w:pPr>
        <w:pStyle w:val="ListParagraph"/>
        <w:numPr>
          <w:ilvl w:val="0"/>
          <w:numId w:val="8"/>
        </w:numPr>
        <w:tabs>
          <w:tab w:pos="1647" w:val="left" w:leader="none"/>
        </w:tabs>
        <w:spacing w:line="240" w:lineRule="auto" w:before="0" w:after="0"/>
        <w:ind w:left="1646" w:right="0" w:hanging="206"/>
        <w:jc w:val="both"/>
        <w:rPr>
          <w:rFonts w:ascii="Calibri" w:hAnsi="Calibri" w:cs="Calibri" w:eastAsia="Calibri" w:hint="default"/>
          <w:sz w:val="20"/>
          <w:szCs w:val="20"/>
        </w:rPr>
      </w:pPr>
      <w:r>
        <w:rPr>
          <w:rFonts w:ascii="Calibri"/>
          <w:sz w:val="20"/>
        </w:rPr>
        <w:t>Traction</w:t>
      </w:r>
    </w:p>
    <w:p>
      <w:pPr>
        <w:pStyle w:val="ListParagraph"/>
        <w:numPr>
          <w:ilvl w:val="0"/>
          <w:numId w:val="8"/>
        </w:numPr>
        <w:tabs>
          <w:tab w:pos="1647" w:val="left" w:leader="none"/>
        </w:tabs>
        <w:spacing w:line="243" w:lineRule="exact" w:before="0" w:after="0"/>
        <w:ind w:left="1646" w:right="0" w:hanging="206"/>
        <w:jc w:val="both"/>
        <w:rPr>
          <w:rFonts w:ascii="Calibri" w:hAnsi="Calibri" w:cs="Calibri" w:eastAsia="Calibri" w:hint="default"/>
          <w:sz w:val="20"/>
          <w:szCs w:val="20"/>
        </w:rPr>
      </w:pPr>
      <w:r>
        <w:rPr>
          <w:rFonts w:ascii="Calibri"/>
          <w:sz w:val="20"/>
        </w:rPr>
        <w:t>Solidification</w:t>
      </w:r>
    </w:p>
    <w:p>
      <w:pPr>
        <w:pStyle w:val="ListParagraph"/>
        <w:numPr>
          <w:ilvl w:val="0"/>
          <w:numId w:val="8"/>
        </w:numPr>
        <w:tabs>
          <w:tab w:pos="1647" w:val="left" w:leader="none"/>
        </w:tabs>
        <w:spacing w:line="243" w:lineRule="exact" w:before="0" w:after="0"/>
        <w:ind w:left="1646" w:right="0" w:hanging="206"/>
        <w:jc w:val="both"/>
        <w:rPr>
          <w:rFonts w:ascii="Calibri" w:hAnsi="Calibri" w:cs="Calibri" w:eastAsia="Calibri" w:hint="default"/>
          <w:sz w:val="20"/>
          <w:szCs w:val="20"/>
        </w:rPr>
      </w:pPr>
      <w:r>
        <w:rPr>
          <w:rFonts w:ascii="Calibri"/>
          <w:sz w:val="20"/>
        </w:rPr>
        <w:t>New</w:t>
      </w:r>
      <w:r>
        <w:rPr>
          <w:rFonts w:ascii="Calibri"/>
          <w:spacing w:val="-6"/>
          <w:sz w:val="20"/>
        </w:rPr>
        <w:t> </w:t>
      </w:r>
      <w:r>
        <w:rPr>
          <w:rFonts w:ascii="Calibri"/>
          <w:sz w:val="20"/>
        </w:rPr>
        <w:t>horizons</w:t>
      </w:r>
    </w:p>
    <w:p>
      <w:pPr>
        <w:spacing w:after="0" w:line="243" w:lineRule="exact"/>
        <w:jc w:val="both"/>
        <w:rPr>
          <w:rFonts w:ascii="Calibri" w:hAnsi="Calibri" w:cs="Calibri" w:eastAsia="Calibri" w:hint="default"/>
          <w:sz w:val="20"/>
          <w:szCs w:val="20"/>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Heading9"/>
        <w:tabs>
          <w:tab w:pos="3763" w:val="left" w:leader="none"/>
          <w:tab w:pos="10328" w:val="left" w:leader="none"/>
        </w:tabs>
        <w:spacing w:line="240" w:lineRule="auto" w:before="59" w:after="51"/>
        <w:ind w:left="1440" w:right="0"/>
        <w:jc w:val="left"/>
        <w:rPr>
          <w:b w:val="0"/>
          <w:bCs w:val="0"/>
        </w:rPr>
      </w:pPr>
      <w:bookmarkStart w:name="_bookmark120" w:id="121"/>
      <w:bookmarkEnd w:id="121"/>
      <w:r>
        <w:rPr>
          <w:b w:val="0"/>
        </w:rPr>
      </w:r>
      <w:r>
        <w:rPr>
          <w:w w:val="99"/>
        </w:rPr>
      </w:r>
      <w:r>
        <w:rPr>
          <w:w w:val="99"/>
          <w:u w:val="single" w:color="000000"/>
        </w:rPr>
        <w:t> </w:t>
      </w:r>
      <w:r>
        <w:rPr>
          <w:u w:val="single" w:color="000000"/>
        </w:rPr>
        <w:tab/>
        <w:t>Table 38:  Additional tourists staying in hotels</w:t>
      </w:r>
      <w:r>
        <w:rPr>
          <w:spacing w:val="-20"/>
          <w:u w:val="single" w:color="000000"/>
        </w:rPr>
        <w:t> </w:t>
      </w:r>
      <w:r>
        <w:rPr>
          <w:u w:val="single" w:color="000000"/>
        </w:rPr>
        <w:t>2016-2020</w:t>
        <w:tab/>
      </w:r>
      <w:r>
        <w:rPr/>
      </w:r>
      <w:r>
        <w:rPr>
          <w:b w:val="0"/>
        </w:rPr>
      </w:r>
    </w:p>
    <w:tbl>
      <w:tblPr>
        <w:tblW w:w="0" w:type="auto"/>
        <w:jc w:val="left"/>
        <w:tblInd w:w="1440" w:type="dxa"/>
        <w:tblLayout w:type="fixed"/>
        <w:tblCellMar>
          <w:top w:w="0" w:type="dxa"/>
          <w:left w:w="0" w:type="dxa"/>
          <w:bottom w:w="0" w:type="dxa"/>
          <w:right w:w="0" w:type="dxa"/>
        </w:tblCellMar>
        <w:tblLook w:val="01E0"/>
      </w:tblPr>
      <w:tblGrid>
        <w:gridCol w:w="1221"/>
        <w:gridCol w:w="1360"/>
        <w:gridCol w:w="1718"/>
        <w:gridCol w:w="1488"/>
        <w:gridCol w:w="1409"/>
        <w:gridCol w:w="1693"/>
      </w:tblGrid>
      <w:tr>
        <w:trPr>
          <w:trHeight w:val="209" w:hRule="exact"/>
        </w:trPr>
        <w:tc>
          <w:tcPr>
            <w:tcW w:w="1221" w:type="dxa"/>
            <w:tcBorders>
              <w:top w:val="nil" w:sz="6" w:space="0" w:color="auto"/>
              <w:left w:val="nil" w:sz="6" w:space="0" w:color="auto"/>
              <w:bottom w:val="single" w:sz="4" w:space="0" w:color="000000"/>
              <w:right w:val="nil" w:sz="6" w:space="0" w:color="auto"/>
            </w:tcBorders>
          </w:tcPr>
          <w:p>
            <w:pPr>
              <w:pStyle w:val="TableParagraph"/>
              <w:spacing w:line="203" w:lineRule="exact"/>
              <w:ind w:right="34"/>
              <w:jc w:val="center"/>
              <w:rPr>
                <w:rFonts w:ascii="Calibri" w:hAnsi="Calibri" w:cs="Calibri" w:eastAsia="Calibri" w:hint="default"/>
                <w:sz w:val="20"/>
                <w:szCs w:val="20"/>
              </w:rPr>
            </w:pPr>
            <w:r>
              <w:rPr>
                <w:rFonts w:ascii="Calibri"/>
                <w:b/>
                <w:sz w:val="20"/>
              </w:rPr>
              <w:t>Year</w:t>
            </w:r>
            <w:r>
              <w:rPr>
                <w:rFonts w:ascii="Calibri"/>
                <w:sz w:val="20"/>
              </w:rPr>
            </w:r>
          </w:p>
        </w:tc>
        <w:tc>
          <w:tcPr>
            <w:tcW w:w="1360" w:type="dxa"/>
            <w:tcBorders>
              <w:top w:val="nil" w:sz="6" w:space="0" w:color="auto"/>
              <w:left w:val="nil" w:sz="6" w:space="0" w:color="auto"/>
              <w:bottom w:val="single" w:sz="4" w:space="0" w:color="000000"/>
              <w:right w:val="nil" w:sz="6" w:space="0" w:color="auto"/>
            </w:tcBorders>
          </w:tcPr>
          <w:p>
            <w:pPr>
              <w:pStyle w:val="TableParagraph"/>
              <w:spacing w:line="203" w:lineRule="exact"/>
              <w:ind w:left="32" w:right="0"/>
              <w:jc w:val="center"/>
              <w:rPr>
                <w:rFonts w:ascii="Calibri" w:hAnsi="Calibri" w:cs="Calibri" w:eastAsia="Calibri" w:hint="default"/>
                <w:sz w:val="20"/>
                <w:szCs w:val="20"/>
              </w:rPr>
            </w:pPr>
            <w:r>
              <w:rPr>
                <w:rFonts w:ascii="Calibri"/>
                <w:b/>
                <w:sz w:val="20"/>
              </w:rPr>
              <w:t>USA</w:t>
            </w:r>
            <w:r>
              <w:rPr>
                <w:rFonts w:ascii="Calibri"/>
                <w:sz w:val="20"/>
              </w:rPr>
            </w:r>
          </w:p>
        </w:tc>
        <w:tc>
          <w:tcPr>
            <w:tcW w:w="1718" w:type="dxa"/>
            <w:tcBorders>
              <w:top w:val="nil" w:sz="6" w:space="0" w:color="auto"/>
              <w:left w:val="nil" w:sz="6" w:space="0" w:color="auto"/>
              <w:bottom w:val="single" w:sz="4" w:space="0" w:color="000000"/>
              <w:right w:val="nil" w:sz="6" w:space="0" w:color="auto"/>
            </w:tcBorders>
          </w:tcPr>
          <w:p>
            <w:pPr>
              <w:pStyle w:val="TableParagraph"/>
              <w:spacing w:line="203" w:lineRule="exact"/>
              <w:ind w:left="386" w:right="0"/>
              <w:jc w:val="left"/>
              <w:rPr>
                <w:rFonts w:ascii="Calibri" w:hAnsi="Calibri" w:cs="Calibri" w:eastAsia="Calibri" w:hint="default"/>
                <w:sz w:val="20"/>
                <w:szCs w:val="20"/>
              </w:rPr>
            </w:pPr>
            <w:r>
              <w:rPr>
                <w:rFonts w:ascii="Calibri"/>
                <w:b/>
                <w:sz w:val="20"/>
              </w:rPr>
              <w:t>Netherlands</w:t>
            </w:r>
            <w:r>
              <w:rPr>
                <w:rFonts w:ascii="Calibri"/>
                <w:sz w:val="20"/>
              </w:rPr>
            </w:r>
          </w:p>
        </w:tc>
        <w:tc>
          <w:tcPr>
            <w:tcW w:w="1488" w:type="dxa"/>
            <w:tcBorders>
              <w:top w:val="nil" w:sz="6" w:space="0" w:color="auto"/>
              <w:left w:val="nil" w:sz="6" w:space="0" w:color="auto"/>
              <w:bottom w:val="single" w:sz="4" w:space="0" w:color="000000"/>
              <w:right w:val="nil" w:sz="6" w:space="0" w:color="auto"/>
            </w:tcBorders>
          </w:tcPr>
          <w:p>
            <w:pPr>
              <w:pStyle w:val="TableParagraph"/>
              <w:spacing w:line="203" w:lineRule="exact"/>
              <w:ind w:left="307" w:right="0"/>
              <w:jc w:val="left"/>
              <w:rPr>
                <w:rFonts w:ascii="Calibri" w:hAnsi="Calibri" w:cs="Calibri" w:eastAsia="Calibri" w:hint="default"/>
                <w:sz w:val="20"/>
                <w:szCs w:val="20"/>
              </w:rPr>
            </w:pPr>
            <w:r>
              <w:rPr>
                <w:rFonts w:ascii="Calibri"/>
                <w:b/>
                <w:sz w:val="20"/>
              </w:rPr>
              <w:t>Venezuela</w:t>
            </w:r>
            <w:r>
              <w:rPr>
                <w:rFonts w:ascii="Calibri"/>
                <w:sz w:val="20"/>
              </w:rPr>
            </w:r>
          </w:p>
        </w:tc>
        <w:tc>
          <w:tcPr>
            <w:tcW w:w="1409" w:type="dxa"/>
            <w:tcBorders>
              <w:top w:val="nil" w:sz="6" w:space="0" w:color="auto"/>
              <w:left w:val="nil" w:sz="6" w:space="0" w:color="auto"/>
              <w:bottom w:val="single" w:sz="4" w:space="0" w:color="000000"/>
              <w:right w:val="nil" w:sz="6" w:space="0" w:color="auto"/>
            </w:tcBorders>
          </w:tcPr>
          <w:p>
            <w:pPr>
              <w:pStyle w:val="TableParagraph"/>
              <w:spacing w:line="203" w:lineRule="exact"/>
              <w:ind w:right="413"/>
              <w:jc w:val="right"/>
              <w:rPr>
                <w:rFonts w:ascii="Calibri" w:hAnsi="Calibri" w:cs="Calibri" w:eastAsia="Calibri" w:hint="default"/>
                <w:sz w:val="20"/>
                <w:szCs w:val="20"/>
              </w:rPr>
            </w:pPr>
            <w:r>
              <w:rPr>
                <w:rFonts w:ascii="Calibri"/>
                <w:b/>
                <w:spacing w:val="-1"/>
                <w:sz w:val="20"/>
              </w:rPr>
              <w:t>Others</w:t>
            </w:r>
            <w:r>
              <w:rPr>
                <w:rFonts w:ascii="Calibri"/>
                <w:spacing w:val="-1"/>
                <w:sz w:val="20"/>
              </w:rPr>
            </w:r>
          </w:p>
        </w:tc>
        <w:tc>
          <w:tcPr>
            <w:tcW w:w="1693" w:type="dxa"/>
            <w:tcBorders>
              <w:top w:val="nil" w:sz="6" w:space="0" w:color="auto"/>
              <w:left w:val="nil" w:sz="6" w:space="0" w:color="auto"/>
              <w:bottom w:val="single" w:sz="4" w:space="0" w:color="000000"/>
              <w:right w:val="nil" w:sz="6" w:space="0" w:color="auto"/>
            </w:tcBorders>
          </w:tcPr>
          <w:p>
            <w:pPr>
              <w:pStyle w:val="TableParagraph"/>
              <w:spacing w:line="203" w:lineRule="exact"/>
              <w:ind w:left="32" w:right="0"/>
              <w:jc w:val="center"/>
              <w:rPr>
                <w:rFonts w:ascii="Calibri" w:hAnsi="Calibri" w:cs="Calibri" w:eastAsia="Calibri" w:hint="default"/>
                <w:sz w:val="20"/>
                <w:szCs w:val="20"/>
              </w:rPr>
            </w:pPr>
            <w:r>
              <w:rPr>
                <w:rFonts w:ascii="Calibri"/>
                <w:b/>
                <w:sz w:val="20"/>
              </w:rPr>
              <w:t>Total</w:t>
            </w:r>
            <w:r>
              <w:rPr>
                <w:rFonts w:ascii="Calibri"/>
                <w:sz w:val="20"/>
              </w:rPr>
            </w:r>
          </w:p>
        </w:tc>
      </w:tr>
      <w:tr>
        <w:trPr>
          <w:trHeight w:val="267" w:hRule="exact"/>
        </w:trPr>
        <w:tc>
          <w:tcPr>
            <w:tcW w:w="1221" w:type="dxa"/>
            <w:tcBorders>
              <w:top w:val="single" w:sz="4" w:space="0" w:color="000000"/>
              <w:left w:val="nil" w:sz="6" w:space="0" w:color="auto"/>
              <w:bottom w:val="nil" w:sz="6" w:space="0" w:color="auto"/>
              <w:right w:val="nil" w:sz="6" w:space="0" w:color="auto"/>
            </w:tcBorders>
          </w:tcPr>
          <w:p>
            <w:pPr>
              <w:pStyle w:val="TableParagraph"/>
              <w:spacing w:line="243" w:lineRule="exact"/>
              <w:ind w:right="32"/>
              <w:jc w:val="center"/>
              <w:rPr>
                <w:rFonts w:ascii="Calibri" w:hAnsi="Calibri" w:cs="Calibri" w:eastAsia="Calibri" w:hint="default"/>
                <w:sz w:val="20"/>
                <w:szCs w:val="20"/>
              </w:rPr>
            </w:pPr>
            <w:r>
              <w:rPr>
                <w:rFonts w:ascii="Calibri"/>
                <w:sz w:val="20"/>
              </w:rPr>
              <w:t>2016</w:t>
            </w:r>
          </w:p>
        </w:tc>
        <w:tc>
          <w:tcPr>
            <w:tcW w:w="1360" w:type="dxa"/>
            <w:tcBorders>
              <w:top w:val="single" w:sz="4" w:space="0" w:color="000000"/>
              <w:left w:val="nil" w:sz="6" w:space="0" w:color="auto"/>
              <w:bottom w:val="nil" w:sz="6" w:space="0" w:color="auto"/>
              <w:right w:val="nil" w:sz="6" w:space="0" w:color="auto"/>
            </w:tcBorders>
          </w:tcPr>
          <w:p>
            <w:pPr>
              <w:pStyle w:val="TableParagraph"/>
              <w:spacing w:line="243" w:lineRule="exact"/>
              <w:ind w:right="384"/>
              <w:jc w:val="right"/>
              <w:rPr>
                <w:rFonts w:ascii="Calibri" w:hAnsi="Calibri" w:cs="Calibri" w:eastAsia="Calibri" w:hint="default"/>
                <w:sz w:val="20"/>
                <w:szCs w:val="20"/>
              </w:rPr>
            </w:pPr>
            <w:r>
              <w:rPr>
                <w:rFonts w:ascii="Calibri"/>
                <w:w w:val="95"/>
                <w:sz w:val="20"/>
              </w:rPr>
              <w:t>26,200</w:t>
            </w:r>
            <w:r>
              <w:rPr>
                <w:rFonts w:ascii="Calibri"/>
                <w:sz w:val="20"/>
              </w:rPr>
            </w:r>
          </w:p>
        </w:tc>
        <w:tc>
          <w:tcPr>
            <w:tcW w:w="1718" w:type="dxa"/>
            <w:tcBorders>
              <w:top w:val="single" w:sz="4" w:space="0" w:color="000000"/>
              <w:left w:val="nil" w:sz="6" w:space="0" w:color="auto"/>
              <w:bottom w:val="nil" w:sz="6" w:space="0" w:color="auto"/>
              <w:right w:val="nil" w:sz="6" w:space="0" w:color="auto"/>
            </w:tcBorders>
          </w:tcPr>
          <w:p>
            <w:pPr>
              <w:pStyle w:val="TableParagraph"/>
              <w:spacing w:line="243" w:lineRule="exact"/>
              <w:ind w:left="75" w:right="0"/>
              <w:jc w:val="center"/>
              <w:rPr>
                <w:rFonts w:ascii="Calibri" w:hAnsi="Calibri" w:cs="Calibri" w:eastAsia="Calibri" w:hint="default"/>
                <w:sz w:val="20"/>
                <w:szCs w:val="20"/>
              </w:rPr>
            </w:pPr>
            <w:r>
              <w:rPr>
                <w:rFonts w:ascii="Calibri"/>
                <w:sz w:val="20"/>
              </w:rPr>
              <w:t>2,134</w:t>
            </w:r>
          </w:p>
        </w:tc>
        <w:tc>
          <w:tcPr>
            <w:tcW w:w="1488" w:type="dxa"/>
            <w:tcBorders>
              <w:top w:val="single" w:sz="4" w:space="0" w:color="000000"/>
              <w:left w:val="nil" w:sz="6" w:space="0" w:color="auto"/>
              <w:bottom w:val="nil" w:sz="6" w:space="0" w:color="auto"/>
              <w:right w:val="nil" w:sz="6" w:space="0" w:color="auto"/>
            </w:tcBorders>
          </w:tcPr>
          <w:p>
            <w:pPr>
              <w:pStyle w:val="TableParagraph"/>
              <w:spacing w:line="243" w:lineRule="exact"/>
              <w:ind w:right="9"/>
              <w:jc w:val="center"/>
              <w:rPr>
                <w:rFonts w:ascii="Calibri" w:hAnsi="Calibri" w:cs="Calibri" w:eastAsia="Calibri" w:hint="default"/>
                <w:sz w:val="20"/>
                <w:szCs w:val="20"/>
              </w:rPr>
            </w:pPr>
            <w:r>
              <w:rPr>
                <w:rFonts w:ascii="Calibri"/>
                <w:sz w:val="20"/>
              </w:rPr>
              <w:t>4,493</w:t>
            </w:r>
          </w:p>
        </w:tc>
        <w:tc>
          <w:tcPr>
            <w:tcW w:w="1409" w:type="dxa"/>
            <w:tcBorders>
              <w:top w:val="single" w:sz="4" w:space="0" w:color="000000"/>
              <w:left w:val="nil" w:sz="6" w:space="0" w:color="auto"/>
              <w:bottom w:val="nil" w:sz="6" w:space="0" w:color="auto"/>
              <w:right w:val="nil" w:sz="6" w:space="0" w:color="auto"/>
            </w:tcBorders>
          </w:tcPr>
          <w:p>
            <w:pPr>
              <w:pStyle w:val="TableParagraph"/>
              <w:spacing w:line="243" w:lineRule="exact"/>
              <w:ind w:right="469"/>
              <w:jc w:val="right"/>
              <w:rPr>
                <w:rFonts w:ascii="Calibri" w:hAnsi="Calibri" w:cs="Calibri" w:eastAsia="Calibri" w:hint="default"/>
                <w:sz w:val="20"/>
                <w:szCs w:val="20"/>
              </w:rPr>
            </w:pPr>
            <w:r>
              <w:rPr>
                <w:rFonts w:ascii="Calibri"/>
                <w:w w:val="95"/>
                <w:sz w:val="20"/>
              </w:rPr>
              <w:t>3,157</w:t>
            </w:r>
            <w:r>
              <w:rPr>
                <w:rFonts w:ascii="Calibri"/>
                <w:sz w:val="20"/>
              </w:rPr>
            </w:r>
          </w:p>
        </w:tc>
        <w:tc>
          <w:tcPr>
            <w:tcW w:w="1693" w:type="dxa"/>
            <w:tcBorders>
              <w:top w:val="single" w:sz="4" w:space="0" w:color="000000"/>
              <w:left w:val="nil" w:sz="6" w:space="0" w:color="auto"/>
              <w:bottom w:val="nil" w:sz="6" w:space="0" w:color="auto"/>
              <w:right w:val="nil" w:sz="6" w:space="0" w:color="auto"/>
            </w:tcBorders>
          </w:tcPr>
          <w:p>
            <w:pPr>
              <w:pStyle w:val="TableParagraph"/>
              <w:spacing w:line="243" w:lineRule="exact"/>
              <w:ind w:right="551"/>
              <w:jc w:val="right"/>
              <w:rPr>
                <w:rFonts w:ascii="Calibri" w:hAnsi="Calibri" w:cs="Calibri" w:eastAsia="Calibri" w:hint="default"/>
                <w:sz w:val="20"/>
                <w:szCs w:val="20"/>
              </w:rPr>
            </w:pPr>
            <w:r>
              <w:rPr>
                <w:rFonts w:ascii="Calibri"/>
                <w:w w:val="95"/>
                <w:sz w:val="20"/>
              </w:rPr>
              <w:t>35,984</w:t>
            </w:r>
            <w:r>
              <w:rPr>
                <w:rFonts w:ascii="Calibri"/>
                <w:sz w:val="20"/>
              </w:rPr>
            </w:r>
          </w:p>
        </w:tc>
      </w:tr>
      <w:tr>
        <w:trPr>
          <w:trHeight w:val="244" w:hRule="exact"/>
        </w:trPr>
        <w:tc>
          <w:tcPr>
            <w:tcW w:w="1221" w:type="dxa"/>
            <w:tcBorders>
              <w:top w:val="nil" w:sz="6" w:space="0" w:color="auto"/>
              <w:left w:val="nil" w:sz="6" w:space="0" w:color="auto"/>
              <w:bottom w:val="nil" w:sz="6" w:space="0" w:color="auto"/>
              <w:right w:val="nil" w:sz="6" w:space="0" w:color="auto"/>
            </w:tcBorders>
          </w:tcPr>
          <w:p>
            <w:pPr>
              <w:pStyle w:val="TableParagraph"/>
              <w:spacing w:line="226" w:lineRule="exact"/>
              <w:ind w:right="32"/>
              <w:jc w:val="center"/>
              <w:rPr>
                <w:rFonts w:ascii="Calibri" w:hAnsi="Calibri" w:cs="Calibri" w:eastAsia="Calibri" w:hint="default"/>
                <w:sz w:val="20"/>
                <w:szCs w:val="20"/>
              </w:rPr>
            </w:pPr>
            <w:r>
              <w:rPr>
                <w:rFonts w:ascii="Calibri"/>
                <w:sz w:val="20"/>
              </w:rPr>
              <w:t>2017</w:t>
            </w:r>
          </w:p>
        </w:tc>
        <w:tc>
          <w:tcPr>
            <w:tcW w:w="1360" w:type="dxa"/>
            <w:tcBorders>
              <w:top w:val="nil" w:sz="6" w:space="0" w:color="auto"/>
              <w:left w:val="nil" w:sz="6" w:space="0" w:color="auto"/>
              <w:bottom w:val="nil" w:sz="6" w:space="0" w:color="auto"/>
              <w:right w:val="nil" w:sz="6" w:space="0" w:color="auto"/>
            </w:tcBorders>
          </w:tcPr>
          <w:p>
            <w:pPr>
              <w:pStyle w:val="TableParagraph"/>
              <w:spacing w:line="226" w:lineRule="exact"/>
              <w:ind w:right="384"/>
              <w:jc w:val="right"/>
              <w:rPr>
                <w:rFonts w:ascii="Calibri" w:hAnsi="Calibri" w:cs="Calibri" w:eastAsia="Calibri" w:hint="default"/>
                <w:sz w:val="20"/>
                <w:szCs w:val="20"/>
              </w:rPr>
            </w:pPr>
            <w:r>
              <w:rPr>
                <w:rFonts w:ascii="Calibri"/>
                <w:w w:val="95"/>
                <w:sz w:val="20"/>
              </w:rPr>
              <w:t>26,200</w:t>
            </w:r>
            <w:r>
              <w:rPr>
                <w:rFonts w:ascii="Calibri"/>
                <w:sz w:val="20"/>
              </w:rPr>
            </w:r>
          </w:p>
        </w:tc>
        <w:tc>
          <w:tcPr>
            <w:tcW w:w="1718" w:type="dxa"/>
            <w:tcBorders>
              <w:top w:val="nil" w:sz="6" w:space="0" w:color="auto"/>
              <w:left w:val="nil" w:sz="6" w:space="0" w:color="auto"/>
              <w:bottom w:val="nil" w:sz="6" w:space="0" w:color="auto"/>
              <w:right w:val="nil" w:sz="6" w:space="0" w:color="auto"/>
            </w:tcBorders>
          </w:tcPr>
          <w:p>
            <w:pPr>
              <w:pStyle w:val="TableParagraph"/>
              <w:spacing w:line="226" w:lineRule="exact"/>
              <w:ind w:left="75" w:right="0"/>
              <w:jc w:val="center"/>
              <w:rPr>
                <w:rFonts w:ascii="Calibri" w:hAnsi="Calibri" w:cs="Calibri" w:eastAsia="Calibri" w:hint="default"/>
                <w:sz w:val="20"/>
                <w:szCs w:val="20"/>
              </w:rPr>
            </w:pPr>
            <w:r>
              <w:rPr>
                <w:rFonts w:ascii="Calibri"/>
                <w:sz w:val="20"/>
              </w:rPr>
              <w:t>1,600</w:t>
            </w:r>
          </w:p>
        </w:tc>
        <w:tc>
          <w:tcPr>
            <w:tcW w:w="1488" w:type="dxa"/>
            <w:tcBorders>
              <w:top w:val="nil" w:sz="6" w:space="0" w:color="auto"/>
              <w:left w:val="nil" w:sz="6" w:space="0" w:color="auto"/>
              <w:bottom w:val="nil" w:sz="6" w:space="0" w:color="auto"/>
              <w:right w:val="nil" w:sz="6" w:space="0" w:color="auto"/>
            </w:tcBorders>
          </w:tcPr>
          <w:p>
            <w:pPr>
              <w:pStyle w:val="TableParagraph"/>
              <w:spacing w:line="226" w:lineRule="exact"/>
              <w:ind w:right="9"/>
              <w:jc w:val="center"/>
              <w:rPr>
                <w:rFonts w:ascii="Calibri" w:hAnsi="Calibri" w:cs="Calibri" w:eastAsia="Calibri" w:hint="default"/>
                <w:sz w:val="20"/>
                <w:szCs w:val="20"/>
              </w:rPr>
            </w:pPr>
            <w:r>
              <w:rPr>
                <w:rFonts w:ascii="Calibri"/>
                <w:sz w:val="20"/>
              </w:rPr>
              <w:t>3,370</w:t>
            </w:r>
          </w:p>
        </w:tc>
        <w:tc>
          <w:tcPr>
            <w:tcW w:w="1409" w:type="dxa"/>
            <w:tcBorders>
              <w:top w:val="nil" w:sz="6" w:space="0" w:color="auto"/>
              <w:left w:val="nil" w:sz="6" w:space="0" w:color="auto"/>
              <w:bottom w:val="nil" w:sz="6" w:space="0" w:color="auto"/>
              <w:right w:val="nil" w:sz="6" w:space="0" w:color="auto"/>
            </w:tcBorders>
          </w:tcPr>
          <w:p>
            <w:pPr>
              <w:pStyle w:val="TableParagraph"/>
              <w:spacing w:line="226" w:lineRule="exact"/>
              <w:ind w:right="468"/>
              <w:jc w:val="right"/>
              <w:rPr>
                <w:rFonts w:ascii="Calibri" w:hAnsi="Calibri" w:cs="Calibri" w:eastAsia="Calibri" w:hint="default"/>
                <w:sz w:val="20"/>
                <w:szCs w:val="20"/>
              </w:rPr>
            </w:pPr>
            <w:r>
              <w:rPr>
                <w:rFonts w:ascii="Calibri"/>
                <w:w w:val="95"/>
                <w:sz w:val="20"/>
              </w:rPr>
              <w:t>4,736</w:t>
            </w:r>
            <w:r>
              <w:rPr>
                <w:rFonts w:ascii="Calibri"/>
                <w:sz w:val="20"/>
              </w:rPr>
            </w:r>
          </w:p>
        </w:tc>
        <w:tc>
          <w:tcPr>
            <w:tcW w:w="1693" w:type="dxa"/>
            <w:tcBorders>
              <w:top w:val="nil" w:sz="6" w:space="0" w:color="auto"/>
              <w:left w:val="nil" w:sz="6" w:space="0" w:color="auto"/>
              <w:bottom w:val="nil" w:sz="6" w:space="0" w:color="auto"/>
              <w:right w:val="nil" w:sz="6" w:space="0" w:color="auto"/>
            </w:tcBorders>
          </w:tcPr>
          <w:p>
            <w:pPr>
              <w:pStyle w:val="TableParagraph"/>
              <w:spacing w:line="226" w:lineRule="exact"/>
              <w:ind w:right="551"/>
              <w:jc w:val="right"/>
              <w:rPr>
                <w:rFonts w:ascii="Calibri" w:hAnsi="Calibri" w:cs="Calibri" w:eastAsia="Calibri" w:hint="default"/>
                <w:sz w:val="20"/>
                <w:szCs w:val="20"/>
              </w:rPr>
            </w:pPr>
            <w:r>
              <w:rPr>
                <w:rFonts w:ascii="Calibri"/>
                <w:w w:val="95"/>
                <w:sz w:val="20"/>
              </w:rPr>
              <w:t>35,906</w:t>
            </w:r>
            <w:r>
              <w:rPr>
                <w:rFonts w:ascii="Calibri"/>
                <w:sz w:val="20"/>
              </w:rPr>
            </w:r>
          </w:p>
        </w:tc>
      </w:tr>
      <w:tr>
        <w:trPr>
          <w:trHeight w:val="244" w:hRule="exact"/>
        </w:trPr>
        <w:tc>
          <w:tcPr>
            <w:tcW w:w="1221" w:type="dxa"/>
            <w:tcBorders>
              <w:top w:val="nil" w:sz="6" w:space="0" w:color="auto"/>
              <w:left w:val="nil" w:sz="6" w:space="0" w:color="auto"/>
              <w:bottom w:val="nil" w:sz="6" w:space="0" w:color="auto"/>
              <w:right w:val="nil" w:sz="6" w:space="0" w:color="auto"/>
            </w:tcBorders>
          </w:tcPr>
          <w:p>
            <w:pPr>
              <w:pStyle w:val="TableParagraph"/>
              <w:spacing w:line="225" w:lineRule="exact"/>
              <w:ind w:right="32"/>
              <w:jc w:val="center"/>
              <w:rPr>
                <w:rFonts w:ascii="Calibri" w:hAnsi="Calibri" w:cs="Calibri" w:eastAsia="Calibri" w:hint="default"/>
                <w:sz w:val="20"/>
                <w:szCs w:val="20"/>
              </w:rPr>
            </w:pPr>
            <w:r>
              <w:rPr>
                <w:rFonts w:ascii="Calibri"/>
                <w:sz w:val="20"/>
              </w:rPr>
              <w:t>2018</w:t>
            </w:r>
          </w:p>
        </w:tc>
        <w:tc>
          <w:tcPr>
            <w:tcW w:w="1360" w:type="dxa"/>
            <w:tcBorders>
              <w:top w:val="nil" w:sz="6" w:space="0" w:color="auto"/>
              <w:left w:val="nil" w:sz="6" w:space="0" w:color="auto"/>
              <w:bottom w:val="nil" w:sz="6" w:space="0" w:color="auto"/>
              <w:right w:val="nil" w:sz="6" w:space="0" w:color="auto"/>
            </w:tcBorders>
          </w:tcPr>
          <w:p>
            <w:pPr>
              <w:pStyle w:val="TableParagraph"/>
              <w:spacing w:line="225" w:lineRule="exact"/>
              <w:ind w:right="389"/>
              <w:jc w:val="right"/>
              <w:rPr>
                <w:rFonts w:ascii="Calibri" w:hAnsi="Calibri" w:cs="Calibri" w:eastAsia="Calibri" w:hint="default"/>
                <w:sz w:val="20"/>
                <w:szCs w:val="20"/>
              </w:rPr>
            </w:pPr>
            <w:r>
              <w:rPr>
                <w:rFonts w:ascii="Calibri"/>
                <w:w w:val="95"/>
                <w:sz w:val="20"/>
              </w:rPr>
              <w:t>8,957</w:t>
            </w:r>
            <w:r>
              <w:rPr>
                <w:rFonts w:ascii="Calibri"/>
                <w:sz w:val="20"/>
              </w:rPr>
            </w:r>
          </w:p>
        </w:tc>
        <w:tc>
          <w:tcPr>
            <w:tcW w:w="1718" w:type="dxa"/>
            <w:tcBorders>
              <w:top w:val="nil" w:sz="6" w:space="0" w:color="auto"/>
              <w:left w:val="nil" w:sz="6" w:space="0" w:color="auto"/>
              <w:bottom w:val="nil" w:sz="6" w:space="0" w:color="auto"/>
              <w:right w:val="nil" w:sz="6" w:space="0" w:color="auto"/>
            </w:tcBorders>
          </w:tcPr>
          <w:p>
            <w:pPr>
              <w:pStyle w:val="TableParagraph"/>
              <w:spacing w:line="225" w:lineRule="exact"/>
              <w:ind w:left="211" w:right="0"/>
              <w:jc w:val="center"/>
              <w:rPr>
                <w:rFonts w:ascii="Calibri" w:hAnsi="Calibri" w:cs="Calibri" w:eastAsia="Calibri" w:hint="default"/>
                <w:sz w:val="20"/>
                <w:szCs w:val="20"/>
              </w:rPr>
            </w:pPr>
            <w:r>
              <w:rPr>
                <w:rFonts w:ascii="Calibri"/>
                <w:sz w:val="20"/>
              </w:rPr>
              <w:t>354</w:t>
            </w:r>
          </w:p>
        </w:tc>
        <w:tc>
          <w:tcPr>
            <w:tcW w:w="1488" w:type="dxa"/>
            <w:tcBorders>
              <w:top w:val="nil" w:sz="6" w:space="0" w:color="auto"/>
              <w:left w:val="nil" w:sz="6" w:space="0" w:color="auto"/>
              <w:bottom w:val="nil" w:sz="6" w:space="0" w:color="auto"/>
              <w:right w:val="nil" w:sz="6" w:space="0" w:color="auto"/>
            </w:tcBorders>
          </w:tcPr>
          <w:p>
            <w:pPr>
              <w:pStyle w:val="TableParagraph"/>
              <w:spacing w:line="225" w:lineRule="exact"/>
              <w:ind w:left="125" w:right="0"/>
              <w:jc w:val="center"/>
              <w:rPr>
                <w:rFonts w:ascii="Calibri" w:hAnsi="Calibri" w:cs="Calibri" w:eastAsia="Calibri" w:hint="default"/>
                <w:sz w:val="20"/>
                <w:szCs w:val="20"/>
              </w:rPr>
            </w:pPr>
            <w:r>
              <w:rPr>
                <w:rFonts w:ascii="Calibri"/>
                <w:sz w:val="20"/>
              </w:rPr>
              <w:t>887</w:t>
            </w:r>
          </w:p>
        </w:tc>
        <w:tc>
          <w:tcPr>
            <w:tcW w:w="1409" w:type="dxa"/>
            <w:tcBorders>
              <w:top w:val="nil" w:sz="6" w:space="0" w:color="auto"/>
              <w:left w:val="nil" w:sz="6" w:space="0" w:color="auto"/>
              <w:bottom w:val="nil" w:sz="6" w:space="0" w:color="auto"/>
              <w:right w:val="nil" w:sz="6" w:space="0" w:color="auto"/>
            </w:tcBorders>
          </w:tcPr>
          <w:p>
            <w:pPr>
              <w:pStyle w:val="TableParagraph"/>
              <w:spacing w:line="225" w:lineRule="exact"/>
              <w:ind w:right="468"/>
              <w:jc w:val="right"/>
              <w:rPr>
                <w:rFonts w:ascii="Calibri" w:hAnsi="Calibri" w:cs="Calibri" w:eastAsia="Calibri" w:hint="default"/>
                <w:sz w:val="20"/>
                <w:szCs w:val="20"/>
              </w:rPr>
            </w:pPr>
            <w:r>
              <w:rPr>
                <w:rFonts w:ascii="Calibri"/>
                <w:w w:val="95"/>
                <w:sz w:val="20"/>
              </w:rPr>
              <w:t>1,407</w:t>
            </w:r>
            <w:r>
              <w:rPr>
                <w:rFonts w:ascii="Calibri"/>
                <w:sz w:val="20"/>
              </w:rPr>
            </w:r>
          </w:p>
        </w:tc>
        <w:tc>
          <w:tcPr>
            <w:tcW w:w="1693" w:type="dxa"/>
            <w:tcBorders>
              <w:top w:val="nil" w:sz="6" w:space="0" w:color="auto"/>
              <w:left w:val="nil" w:sz="6" w:space="0" w:color="auto"/>
              <w:bottom w:val="nil" w:sz="6" w:space="0" w:color="auto"/>
              <w:right w:val="nil" w:sz="6" w:space="0" w:color="auto"/>
            </w:tcBorders>
          </w:tcPr>
          <w:p>
            <w:pPr>
              <w:pStyle w:val="TableParagraph"/>
              <w:spacing w:line="225" w:lineRule="exact"/>
              <w:ind w:right="551"/>
              <w:jc w:val="right"/>
              <w:rPr>
                <w:rFonts w:ascii="Calibri" w:hAnsi="Calibri" w:cs="Calibri" w:eastAsia="Calibri" w:hint="default"/>
                <w:sz w:val="20"/>
                <w:szCs w:val="20"/>
              </w:rPr>
            </w:pPr>
            <w:r>
              <w:rPr>
                <w:rFonts w:ascii="Calibri"/>
                <w:w w:val="95"/>
                <w:sz w:val="20"/>
              </w:rPr>
              <w:t>11,604</w:t>
            </w:r>
            <w:r>
              <w:rPr>
                <w:rFonts w:ascii="Calibri"/>
                <w:sz w:val="20"/>
              </w:rPr>
            </w:r>
          </w:p>
        </w:tc>
      </w:tr>
      <w:tr>
        <w:trPr>
          <w:trHeight w:val="245" w:hRule="exact"/>
        </w:trPr>
        <w:tc>
          <w:tcPr>
            <w:tcW w:w="1221" w:type="dxa"/>
            <w:tcBorders>
              <w:top w:val="nil" w:sz="6" w:space="0" w:color="auto"/>
              <w:left w:val="nil" w:sz="6" w:space="0" w:color="auto"/>
              <w:bottom w:val="nil" w:sz="6" w:space="0" w:color="auto"/>
              <w:right w:val="nil" w:sz="6" w:space="0" w:color="auto"/>
            </w:tcBorders>
          </w:tcPr>
          <w:p>
            <w:pPr>
              <w:pStyle w:val="TableParagraph"/>
              <w:spacing w:line="226" w:lineRule="exact"/>
              <w:ind w:right="32"/>
              <w:jc w:val="center"/>
              <w:rPr>
                <w:rFonts w:ascii="Calibri" w:hAnsi="Calibri" w:cs="Calibri" w:eastAsia="Calibri" w:hint="default"/>
                <w:sz w:val="20"/>
                <w:szCs w:val="20"/>
              </w:rPr>
            </w:pPr>
            <w:r>
              <w:rPr>
                <w:rFonts w:ascii="Calibri"/>
                <w:sz w:val="20"/>
              </w:rPr>
              <w:t>2019</w:t>
            </w:r>
          </w:p>
        </w:tc>
        <w:tc>
          <w:tcPr>
            <w:tcW w:w="1360" w:type="dxa"/>
            <w:tcBorders>
              <w:top w:val="nil" w:sz="6" w:space="0" w:color="auto"/>
              <w:left w:val="nil" w:sz="6" w:space="0" w:color="auto"/>
              <w:bottom w:val="nil" w:sz="6" w:space="0" w:color="auto"/>
              <w:right w:val="nil" w:sz="6" w:space="0" w:color="auto"/>
            </w:tcBorders>
          </w:tcPr>
          <w:p>
            <w:pPr>
              <w:pStyle w:val="TableParagraph"/>
              <w:spacing w:line="226" w:lineRule="exact"/>
              <w:ind w:right="389"/>
              <w:jc w:val="right"/>
              <w:rPr>
                <w:rFonts w:ascii="Calibri" w:hAnsi="Calibri" w:cs="Calibri" w:eastAsia="Calibri" w:hint="default"/>
                <w:sz w:val="20"/>
                <w:szCs w:val="20"/>
              </w:rPr>
            </w:pPr>
            <w:r>
              <w:rPr>
                <w:rFonts w:ascii="Calibri"/>
                <w:w w:val="95"/>
                <w:sz w:val="20"/>
              </w:rPr>
              <w:t>8,895</w:t>
            </w:r>
            <w:r>
              <w:rPr>
                <w:rFonts w:ascii="Calibri"/>
                <w:sz w:val="20"/>
              </w:rPr>
            </w:r>
          </w:p>
        </w:tc>
        <w:tc>
          <w:tcPr>
            <w:tcW w:w="1718" w:type="dxa"/>
            <w:tcBorders>
              <w:top w:val="nil" w:sz="6" w:space="0" w:color="auto"/>
              <w:left w:val="nil" w:sz="6" w:space="0" w:color="auto"/>
              <w:bottom w:val="nil" w:sz="6" w:space="0" w:color="auto"/>
              <w:right w:val="nil" w:sz="6" w:space="0" w:color="auto"/>
            </w:tcBorders>
          </w:tcPr>
          <w:p>
            <w:pPr>
              <w:pStyle w:val="TableParagraph"/>
              <w:spacing w:line="226" w:lineRule="exact"/>
              <w:ind w:left="211" w:right="0"/>
              <w:jc w:val="center"/>
              <w:rPr>
                <w:rFonts w:ascii="Calibri" w:hAnsi="Calibri" w:cs="Calibri" w:eastAsia="Calibri" w:hint="default"/>
                <w:sz w:val="20"/>
                <w:szCs w:val="20"/>
              </w:rPr>
            </w:pPr>
            <w:r>
              <w:rPr>
                <w:rFonts w:ascii="Calibri"/>
                <w:sz w:val="20"/>
              </w:rPr>
              <w:t>236</w:t>
            </w:r>
          </w:p>
        </w:tc>
        <w:tc>
          <w:tcPr>
            <w:tcW w:w="1488" w:type="dxa"/>
            <w:tcBorders>
              <w:top w:val="nil" w:sz="6" w:space="0" w:color="auto"/>
              <w:left w:val="nil" w:sz="6" w:space="0" w:color="auto"/>
              <w:bottom w:val="nil" w:sz="6" w:space="0" w:color="auto"/>
              <w:right w:val="nil" w:sz="6" w:space="0" w:color="auto"/>
            </w:tcBorders>
          </w:tcPr>
          <w:p>
            <w:pPr>
              <w:pStyle w:val="TableParagraph"/>
              <w:spacing w:line="226" w:lineRule="exact"/>
              <w:ind w:left="125" w:right="0"/>
              <w:jc w:val="center"/>
              <w:rPr>
                <w:rFonts w:ascii="Calibri" w:hAnsi="Calibri" w:cs="Calibri" w:eastAsia="Calibri" w:hint="default"/>
                <w:sz w:val="20"/>
                <w:szCs w:val="20"/>
              </w:rPr>
            </w:pPr>
            <w:r>
              <w:rPr>
                <w:rFonts w:ascii="Calibri"/>
                <w:sz w:val="20"/>
              </w:rPr>
              <w:t>591</w:t>
            </w:r>
          </w:p>
        </w:tc>
        <w:tc>
          <w:tcPr>
            <w:tcW w:w="1409" w:type="dxa"/>
            <w:tcBorders>
              <w:top w:val="nil" w:sz="6" w:space="0" w:color="auto"/>
              <w:left w:val="nil" w:sz="6" w:space="0" w:color="auto"/>
              <w:bottom w:val="nil" w:sz="6" w:space="0" w:color="auto"/>
              <w:right w:val="nil" w:sz="6" w:space="0" w:color="auto"/>
            </w:tcBorders>
          </w:tcPr>
          <w:p>
            <w:pPr>
              <w:pStyle w:val="TableParagraph"/>
              <w:spacing w:line="226" w:lineRule="exact"/>
              <w:ind w:right="468"/>
              <w:jc w:val="right"/>
              <w:rPr>
                <w:rFonts w:ascii="Calibri" w:hAnsi="Calibri" w:cs="Calibri" w:eastAsia="Calibri" w:hint="default"/>
                <w:sz w:val="20"/>
                <w:szCs w:val="20"/>
              </w:rPr>
            </w:pPr>
            <w:r>
              <w:rPr>
                <w:rFonts w:ascii="Calibri"/>
                <w:w w:val="95"/>
                <w:sz w:val="20"/>
              </w:rPr>
              <w:t>1,790</w:t>
            </w:r>
            <w:r>
              <w:rPr>
                <w:rFonts w:ascii="Calibri"/>
                <w:sz w:val="20"/>
              </w:rPr>
            </w:r>
          </w:p>
        </w:tc>
        <w:tc>
          <w:tcPr>
            <w:tcW w:w="1693" w:type="dxa"/>
            <w:tcBorders>
              <w:top w:val="nil" w:sz="6" w:space="0" w:color="auto"/>
              <w:left w:val="nil" w:sz="6" w:space="0" w:color="auto"/>
              <w:bottom w:val="nil" w:sz="6" w:space="0" w:color="auto"/>
              <w:right w:val="nil" w:sz="6" w:space="0" w:color="auto"/>
            </w:tcBorders>
          </w:tcPr>
          <w:p>
            <w:pPr>
              <w:pStyle w:val="TableParagraph"/>
              <w:spacing w:line="226" w:lineRule="exact"/>
              <w:ind w:right="551"/>
              <w:jc w:val="right"/>
              <w:rPr>
                <w:rFonts w:ascii="Calibri" w:hAnsi="Calibri" w:cs="Calibri" w:eastAsia="Calibri" w:hint="default"/>
                <w:sz w:val="20"/>
                <w:szCs w:val="20"/>
              </w:rPr>
            </w:pPr>
            <w:r>
              <w:rPr>
                <w:rFonts w:ascii="Calibri"/>
                <w:w w:val="95"/>
                <w:sz w:val="20"/>
              </w:rPr>
              <w:t>11,512</w:t>
            </w:r>
            <w:r>
              <w:rPr>
                <w:rFonts w:ascii="Calibri"/>
                <w:sz w:val="20"/>
              </w:rPr>
            </w:r>
          </w:p>
        </w:tc>
      </w:tr>
      <w:tr>
        <w:trPr>
          <w:trHeight w:val="230" w:hRule="exact"/>
        </w:trPr>
        <w:tc>
          <w:tcPr>
            <w:tcW w:w="1221" w:type="dxa"/>
            <w:tcBorders>
              <w:top w:val="nil" w:sz="6" w:space="0" w:color="auto"/>
              <w:left w:val="nil" w:sz="6" w:space="0" w:color="auto"/>
              <w:bottom w:val="single" w:sz="4" w:space="0" w:color="000000"/>
              <w:right w:val="nil" w:sz="6" w:space="0" w:color="auto"/>
            </w:tcBorders>
          </w:tcPr>
          <w:p>
            <w:pPr>
              <w:pStyle w:val="TableParagraph"/>
              <w:spacing w:line="226" w:lineRule="exact"/>
              <w:ind w:right="32"/>
              <w:jc w:val="center"/>
              <w:rPr>
                <w:rFonts w:ascii="Calibri" w:hAnsi="Calibri" w:cs="Calibri" w:eastAsia="Calibri" w:hint="default"/>
                <w:sz w:val="20"/>
                <w:szCs w:val="20"/>
              </w:rPr>
            </w:pPr>
            <w:r>
              <w:rPr>
                <w:rFonts w:ascii="Calibri"/>
                <w:sz w:val="20"/>
              </w:rPr>
              <w:t>2020</w:t>
            </w:r>
          </w:p>
        </w:tc>
        <w:tc>
          <w:tcPr>
            <w:tcW w:w="1360" w:type="dxa"/>
            <w:tcBorders>
              <w:top w:val="nil" w:sz="6" w:space="0" w:color="auto"/>
              <w:left w:val="nil" w:sz="6" w:space="0" w:color="auto"/>
              <w:bottom w:val="single" w:sz="4" w:space="0" w:color="000000"/>
              <w:right w:val="nil" w:sz="6" w:space="0" w:color="auto"/>
            </w:tcBorders>
          </w:tcPr>
          <w:p>
            <w:pPr>
              <w:pStyle w:val="TableParagraph"/>
              <w:spacing w:line="226" w:lineRule="exact"/>
              <w:ind w:right="389"/>
              <w:jc w:val="right"/>
              <w:rPr>
                <w:rFonts w:ascii="Calibri" w:hAnsi="Calibri" w:cs="Calibri" w:eastAsia="Calibri" w:hint="default"/>
                <w:sz w:val="20"/>
                <w:szCs w:val="20"/>
              </w:rPr>
            </w:pPr>
            <w:r>
              <w:rPr>
                <w:rFonts w:ascii="Calibri"/>
                <w:w w:val="95"/>
                <w:sz w:val="20"/>
              </w:rPr>
              <w:t>9,145</w:t>
            </w:r>
            <w:r>
              <w:rPr>
                <w:rFonts w:ascii="Calibri"/>
                <w:sz w:val="20"/>
              </w:rPr>
            </w:r>
          </w:p>
        </w:tc>
        <w:tc>
          <w:tcPr>
            <w:tcW w:w="1718" w:type="dxa"/>
            <w:tcBorders>
              <w:top w:val="nil" w:sz="6" w:space="0" w:color="auto"/>
              <w:left w:val="nil" w:sz="6" w:space="0" w:color="auto"/>
              <w:bottom w:val="single" w:sz="4" w:space="0" w:color="000000"/>
              <w:right w:val="nil" w:sz="6" w:space="0" w:color="auto"/>
            </w:tcBorders>
          </w:tcPr>
          <w:p>
            <w:pPr>
              <w:pStyle w:val="TableParagraph"/>
              <w:spacing w:line="226" w:lineRule="exact"/>
              <w:ind w:left="211" w:right="0"/>
              <w:jc w:val="center"/>
              <w:rPr>
                <w:rFonts w:ascii="Calibri" w:hAnsi="Calibri" w:cs="Calibri" w:eastAsia="Calibri" w:hint="default"/>
                <w:sz w:val="20"/>
                <w:szCs w:val="20"/>
              </w:rPr>
            </w:pPr>
            <w:r>
              <w:rPr>
                <w:rFonts w:ascii="Calibri"/>
                <w:sz w:val="20"/>
              </w:rPr>
              <w:t>118</w:t>
            </w:r>
          </w:p>
        </w:tc>
        <w:tc>
          <w:tcPr>
            <w:tcW w:w="1488" w:type="dxa"/>
            <w:tcBorders>
              <w:top w:val="nil" w:sz="6" w:space="0" w:color="auto"/>
              <w:left w:val="nil" w:sz="6" w:space="0" w:color="auto"/>
              <w:bottom w:val="single" w:sz="4" w:space="0" w:color="000000"/>
              <w:right w:val="nil" w:sz="6" w:space="0" w:color="auto"/>
            </w:tcBorders>
          </w:tcPr>
          <w:p>
            <w:pPr>
              <w:pStyle w:val="TableParagraph"/>
              <w:spacing w:line="226" w:lineRule="exact"/>
              <w:ind w:left="125" w:right="0"/>
              <w:jc w:val="center"/>
              <w:rPr>
                <w:rFonts w:ascii="Calibri" w:hAnsi="Calibri" w:cs="Calibri" w:eastAsia="Calibri" w:hint="default"/>
                <w:sz w:val="20"/>
                <w:szCs w:val="20"/>
              </w:rPr>
            </w:pPr>
            <w:r>
              <w:rPr>
                <w:rFonts w:ascii="Calibri"/>
                <w:sz w:val="20"/>
              </w:rPr>
              <w:t>296</w:t>
            </w:r>
          </w:p>
        </w:tc>
        <w:tc>
          <w:tcPr>
            <w:tcW w:w="1409" w:type="dxa"/>
            <w:tcBorders>
              <w:top w:val="nil" w:sz="6" w:space="0" w:color="auto"/>
              <w:left w:val="nil" w:sz="6" w:space="0" w:color="auto"/>
              <w:bottom w:val="single" w:sz="4" w:space="0" w:color="000000"/>
              <w:right w:val="nil" w:sz="6" w:space="0" w:color="auto"/>
            </w:tcBorders>
          </w:tcPr>
          <w:p>
            <w:pPr>
              <w:pStyle w:val="TableParagraph"/>
              <w:spacing w:line="226" w:lineRule="exact"/>
              <w:ind w:right="468"/>
              <w:jc w:val="right"/>
              <w:rPr>
                <w:rFonts w:ascii="Calibri" w:hAnsi="Calibri" w:cs="Calibri" w:eastAsia="Calibri" w:hint="default"/>
                <w:sz w:val="20"/>
                <w:szCs w:val="20"/>
              </w:rPr>
            </w:pPr>
            <w:r>
              <w:rPr>
                <w:rFonts w:ascii="Calibri"/>
                <w:w w:val="95"/>
                <w:sz w:val="20"/>
              </w:rPr>
              <w:t>1,961</w:t>
            </w:r>
            <w:r>
              <w:rPr>
                <w:rFonts w:ascii="Calibri"/>
                <w:sz w:val="20"/>
              </w:rPr>
            </w:r>
          </w:p>
        </w:tc>
        <w:tc>
          <w:tcPr>
            <w:tcW w:w="1693" w:type="dxa"/>
            <w:tcBorders>
              <w:top w:val="nil" w:sz="6" w:space="0" w:color="auto"/>
              <w:left w:val="nil" w:sz="6" w:space="0" w:color="auto"/>
              <w:bottom w:val="single" w:sz="4" w:space="0" w:color="000000"/>
              <w:right w:val="nil" w:sz="6" w:space="0" w:color="auto"/>
            </w:tcBorders>
          </w:tcPr>
          <w:p>
            <w:pPr>
              <w:pStyle w:val="TableParagraph"/>
              <w:spacing w:line="226" w:lineRule="exact"/>
              <w:ind w:right="551"/>
              <w:jc w:val="right"/>
              <w:rPr>
                <w:rFonts w:ascii="Calibri" w:hAnsi="Calibri" w:cs="Calibri" w:eastAsia="Calibri" w:hint="default"/>
                <w:sz w:val="20"/>
                <w:szCs w:val="20"/>
              </w:rPr>
            </w:pPr>
            <w:r>
              <w:rPr>
                <w:rFonts w:ascii="Calibri"/>
                <w:w w:val="95"/>
                <w:sz w:val="20"/>
              </w:rPr>
              <w:t>11,519</w:t>
            </w:r>
            <w:r>
              <w:rPr>
                <w:rFonts w:ascii="Calibri"/>
                <w:sz w:val="20"/>
              </w:rPr>
            </w:r>
          </w:p>
        </w:tc>
      </w:tr>
      <w:tr>
        <w:trPr>
          <w:trHeight w:val="254" w:hRule="exact"/>
        </w:trPr>
        <w:tc>
          <w:tcPr>
            <w:tcW w:w="1221" w:type="dxa"/>
            <w:tcBorders>
              <w:top w:val="single" w:sz="4" w:space="0" w:color="000000"/>
              <w:left w:val="nil" w:sz="6" w:space="0" w:color="auto"/>
              <w:bottom w:val="single" w:sz="4" w:space="0" w:color="000000"/>
              <w:right w:val="nil" w:sz="6" w:space="0" w:color="auto"/>
            </w:tcBorders>
          </w:tcPr>
          <w:p>
            <w:pPr>
              <w:pStyle w:val="TableParagraph"/>
              <w:spacing w:line="240" w:lineRule="auto" w:before="1"/>
              <w:ind w:right="32"/>
              <w:jc w:val="center"/>
              <w:rPr>
                <w:rFonts w:ascii="Calibri" w:hAnsi="Calibri" w:cs="Calibri" w:eastAsia="Calibri" w:hint="default"/>
                <w:sz w:val="20"/>
                <w:szCs w:val="20"/>
              </w:rPr>
            </w:pPr>
            <w:r>
              <w:rPr>
                <w:rFonts w:ascii="Calibri"/>
                <w:b/>
                <w:sz w:val="20"/>
              </w:rPr>
              <w:t>Total</w:t>
            </w:r>
            <w:r>
              <w:rPr>
                <w:rFonts w:ascii="Calibri"/>
                <w:sz w:val="20"/>
              </w:rPr>
            </w:r>
          </w:p>
        </w:tc>
        <w:tc>
          <w:tcPr>
            <w:tcW w:w="1360" w:type="dxa"/>
            <w:tcBorders>
              <w:top w:val="single" w:sz="4" w:space="0" w:color="000000"/>
              <w:left w:val="nil" w:sz="6" w:space="0" w:color="auto"/>
              <w:bottom w:val="single" w:sz="4" w:space="0" w:color="000000"/>
              <w:right w:val="nil" w:sz="6" w:space="0" w:color="auto"/>
            </w:tcBorders>
          </w:tcPr>
          <w:p>
            <w:pPr>
              <w:pStyle w:val="TableParagraph"/>
              <w:spacing w:line="240" w:lineRule="auto" w:before="1"/>
              <w:ind w:right="384"/>
              <w:jc w:val="right"/>
              <w:rPr>
                <w:rFonts w:ascii="Calibri" w:hAnsi="Calibri" w:cs="Calibri" w:eastAsia="Calibri" w:hint="default"/>
                <w:sz w:val="20"/>
                <w:szCs w:val="20"/>
              </w:rPr>
            </w:pPr>
            <w:r>
              <w:rPr>
                <w:rFonts w:ascii="Calibri"/>
                <w:b/>
                <w:spacing w:val="-1"/>
                <w:sz w:val="20"/>
              </w:rPr>
              <w:t>79,396</w:t>
            </w:r>
            <w:r>
              <w:rPr>
                <w:rFonts w:ascii="Calibri"/>
                <w:spacing w:val="-1"/>
                <w:sz w:val="20"/>
              </w:rPr>
            </w:r>
          </w:p>
        </w:tc>
        <w:tc>
          <w:tcPr>
            <w:tcW w:w="1718" w:type="dxa"/>
            <w:tcBorders>
              <w:top w:val="single" w:sz="4" w:space="0" w:color="000000"/>
              <w:left w:val="nil" w:sz="6" w:space="0" w:color="auto"/>
              <w:bottom w:val="single" w:sz="4" w:space="0" w:color="000000"/>
              <w:right w:val="nil" w:sz="6" w:space="0" w:color="auto"/>
            </w:tcBorders>
          </w:tcPr>
          <w:p>
            <w:pPr>
              <w:pStyle w:val="TableParagraph"/>
              <w:spacing w:line="240" w:lineRule="auto" w:before="1"/>
              <w:ind w:left="75" w:right="0"/>
              <w:jc w:val="center"/>
              <w:rPr>
                <w:rFonts w:ascii="Calibri" w:hAnsi="Calibri" w:cs="Calibri" w:eastAsia="Calibri" w:hint="default"/>
                <w:sz w:val="20"/>
                <w:szCs w:val="20"/>
              </w:rPr>
            </w:pPr>
            <w:r>
              <w:rPr>
                <w:rFonts w:ascii="Calibri"/>
                <w:b/>
                <w:sz w:val="20"/>
              </w:rPr>
              <w:t>4,442</w:t>
            </w:r>
            <w:r>
              <w:rPr>
                <w:rFonts w:ascii="Calibri"/>
                <w:sz w:val="20"/>
              </w:rPr>
            </w:r>
          </w:p>
        </w:tc>
        <w:tc>
          <w:tcPr>
            <w:tcW w:w="1488" w:type="dxa"/>
            <w:tcBorders>
              <w:top w:val="single" w:sz="4" w:space="0" w:color="000000"/>
              <w:left w:val="nil" w:sz="6" w:space="0" w:color="auto"/>
              <w:bottom w:val="single" w:sz="4" w:space="0" w:color="000000"/>
              <w:right w:val="nil" w:sz="6" w:space="0" w:color="auto"/>
            </w:tcBorders>
          </w:tcPr>
          <w:p>
            <w:pPr>
              <w:pStyle w:val="TableParagraph"/>
              <w:spacing w:line="240" w:lineRule="auto" w:before="1"/>
              <w:ind w:right="8"/>
              <w:jc w:val="center"/>
              <w:rPr>
                <w:rFonts w:ascii="Calibri" w:hAnsi="Calibri" w:cs="Calibri" w:eastAsia="Calibri" w:hint="default"/>
                <w:sz w:val="20"/>
                <w:szCs w:val="20"/>
              </w:rPr>
            </w:pPr>
            <w:r>
              <w:rPr>
                <w:rFonts w:ascii="Calibri"/>
                <w:b/>
                <w:sz w:val="20"/>
              </w:rPr>
              <w:t>9,636</w:t>
            </w:r>
            <w:r>
              <w:rPr>
                <w:rFonts w:ascii="Calibri"/>
                <w:sz w:val="20"/>
              </w:rPr>
            </w:r>
          </w:p>
        </w:tc>
        <w:tc>
          <w:tcPr>
            <w:tcW w:w="1409" w:type="dxa"/>
            <w:tcBorders>
              <w:top w:val="single" w:sz="4" w:space="0" w:color="000000"/>
              <w:left w:val="nil" w:sz="6" w:space="0" w:color="auto"/>
              <w:bottom w:val="single" w:sz="4" w:space="0" w:color="000000"/>
              <w:right w:val="nil" w:sz="6" w:space="0" w:color="auto"/>
            </w:tcBorders>
          </w:tcPr>
          <w:p>
            <w:pPr>
              <w:pStyle w:val="TableParagraph"/>
              <w:spacing w:line="240" w:lineRule="auto" w:before="1"/>
              <w:ind w:left="319" w:right="0"/>
              <w:jc w:val="left"/>
              <w:rPr>
                <w:rFonts w:ascii="Calibri" w:hAnsi="Calibri" w:cs="Calibri" w:eastAsia="Calibri" w:hint="default"/>
                <w:sz w:val="20"/>
                <w:szCs w:val="20"/>
              </w:rPr>
            </w:pPr>
            <w:r>
              <w:rPr>
                <w:rFonts w:ascii="Calibri"/>
                <w:b/>
                <w:sz w:val="20"/>
              </w:rPr>
              <w:t>13,051</w:t>
            </w:r>
            <w:r>
              <w:rPr>
                <w:rFonts w:ascii="Calibri"/>
                <w:sz w:val="20"/>
              </w:rPr>
            </w:r>
          </w:p>
        </w:tc>
        <w:tc>
          <w:tcPr>
            <w:tcW w:w="1693" w:type="dxa"/>
            <w:tcBorders>
              <w:top w:val="single" w:sz="4" w:space="0" w:color="000000"/>
              <w:left w:val="nil" w:sz="6" w:space="0" w:color="auto"/>
              <w:bottom w:val="single" w:sz="4" w:space="0" w:color="000000"/>
              <w:right w:val="nil" w:sz="6" w:space="0" w:color="auto"/>
            </w:tcBorders>
          </w:tcPr>
          <w:p>
            <w:pPr>
              <w:pStyle w:val="TableParagraph"/>
              <w:spacing w:line="240" w:lineRule="auto" w:before="1"/>
              <w:ind w:left="415" w:right="0"/>
              <w:jc w:val="left"/>
              <w:rPr>
                <w:rFonts w:ascii="Calibri" w:hAnsi="Calibri" w:cs="Calibri" w:eastAsia="Calibri" w:hint="default"/>
                <w:sz w:val="20"/>
                <w:szCs w:val="20"/>
              </w:rPr>
            </w:pPr>
            <w:r>
              <w:rPr>
                <w:rFonts w:ascii="Calibri"/>
                <w:b/>
                <w:sz w:val="20"/>
              </w:rPr>
              <w:t>106,525</w:t>
            </w:r>
            <w:r>
              <w:rPr>
                <w:rFonts w:ascii="Calibri"/>
                <w:sz w:val="20"/>
              </w:rPr>
            </w:r>
          </w:p>
        </w:tc>
      </w:tr>
    </w:tbl>
    <w:p>
      <w:pPr>
        <w:spacing w:line="240" w:lineRule="auto" w:before="2"/>
        <w:ind w:right="0"/>
        <w:rPr>
          <w:rFonts w:ascii="Calibri" w:hAnsi="Calibri" w:cs="Calibri" w:eastAsia="Calibri" w:hint="default"/>
          <w:b/>
          <w:bCs/>
          <w:sz w:val="15"/>
          <w:szCs w:val="15"/>
        </w:rPr>
      </w:pPr>
    </w:p>
    <w:p>
      <w:pPr>
        <w:pStyle w:val="Heading9"/>
        <w:tabs>
          <w:tab w:pos="3691" w:val="left" w:leader="none"/>
          <w:tab w:pos="10328" w:val="left" w:leader="none"/>
        </w:tabs>
        <w:spacing w:line="240" w:lineRule="auto" w:before="59" w:after="58"/>
        <w:ind w:left="1440" w:right="0"/>
        <w:jc w:val="left"/>
        <w:rPr>
          <w:b w:val="0"/>
          <w:bCs w:val="0"/>
        </w:rPr>
      </w:pPr>
      <w:bookmarkStart w:name="_bookmark121" w:id="122"/>
      <w:bookmarkEnd w:id="122"/>
      <w:r>
        <w:rPr>
          <w:b w:val="0"/>
        </w:rPr>
      </w:r>
      <w:r>
        <w:rPr>
          <w:w w:val="99"/>
        </w:rPr>
      </w:r>
      <w:r>
        <w:rPr>
          <w:w w:val="99"/>
          <w:u w:val="single" w:color="000000"/>
        </w:rPr>
        <w:t> </w:t>
      </w:r>
      <w:r>
        <w:rPr>
          <w:u w:val="single" w:color="000000"/>
        </w:rPr>
        <w:tab/>
        <w:t>Table 39:  Additional tourists staying elsewhere</w:t>
      </w:r>
      <w:r>
        <w:rPr>
          <w:spacing w:val="-20"/>
          <w:u w:val="single" w:color="000000"/>
        </w:rPr>
        <w:t> </w:t>
      </w:r>
      <w:r>
        <w:rPr>
          <w:u w:val="single" w:color="000000"/>
        </w:rPr>
        <w:t>2016-2020</w:t>
        <w:tab/>
      </w:r>
      <w:r>
        <w:rPr/>
      </w:r>
      <w:r>
        <w:rPr>
          <w:b w:val="0"/>
        </w:rPr>
      </w:r>
    </w:p>
    <w:tbl>
      <w:tblPr>
        <w:tblW w:w="0" w:type="auto"/>
        <w:jc w:val="left"/>
        <w:tblInd w:w="1440" w:type="dxa"/>
        <w:tblLayout w:type="fixed"/>
        <w:tblCellMar>
          <w:top w:w="0" w:type="dxa"/>
          <w:left w:w="0" w:type="dxa"/>
          <w:bottom w:w="0" w:type="dxa"/>
          <w:right w:w="0" w:type="dxa"/>
        </w:tblCellMar>
        <w:tblLook w:val="01E0"/>
      </w:tblPr>
      <w:tblGrid>
        <w:gridCol w:w="1221"/>
        <w:gridCol w:w="1360"/>
        <w:gridCol w:w="1718"/>
        <w:gridCol w:w="1544"/>
        <w:gridCol w:w="1438"/>
        <w:gridCol w:w="1608"/>
      </w:tblGrid>
      <w:tr>
        <w:trPr>
          <w:trHeight w:val="217" w:hRule="exact"/>
        </w:trPr>
        <w:tc>
          <w:tcPr>
            <w:tcW w:w="1221" w:type="dxa"/>
            <w:tcBorders>
              <w:top w:val="nil" w:sz="6" w:space="0" w:color="auto"/>
              <w:left w:val="nil" w:sz="6" w:space="0" w:color="auto"/>
              <w:bottom w:val="single" w:sz="4" w:space="0" w:color="000000"/>
              <w:right w:val="nil" w:sz="6" w:space="0" w:color="auto"/>
            </w:tcBorders>
          </w:tcPr>
          <w:p>
            <w:pPr>
              <w:pStyle w:val="TableParagraph"/>
              <w:spacing w:line="203" w:lineRule="exact"/>
              <w:ind w:right="34"/>
              <w:jc w:val="center"/>
              <w:rPr>
                <w:rFonts w:ascii="Calibri" w:hAnsi="Calibri" w:cs="Calibri" w:eastAsia="Calibri" w:hint="default"/>
                <w:sz w:val="20"/>
                <w:szCs w:val="20"/>
              </w:rPr>
            </w:pPr>
            <w:r>
              <w:rPr>
                <w:rFonts w:ascii="Calibri"/>
                <w:b/>
                <w:sz w:val="20"/>
              </w:rPr>
              <w:t>Year</w:t>
            </w:r>
            <w:r>
              <w:rPr>
                <w:rFonts w:ascii="Calibri"/>
                <w:sz w:val="20"/>
              </w:rPr>
            </w:r>
          </w:p>
        </w:tc>
        <w:tc>
          <w:tcPr>
            <w:tcW w:w="1360" w:type="dxa"/>
            <w:tcBorders>
              <w:top w:val="nil" w:sz="6" w:space="0" w:color="auto"/>
              <w:left w:val="nil" w:sz="6" w:space="0" w:color="auto"/>
              <w:bottom w:val="single" w:sz="4" w:space="0" w:color="000000"/>
              <w:right w:val="nil" w:sz="6" w:space="0" w:color="auto"/>
            </w:tcBorders>
          </w:tcPr>
          <w:p>
            <w:pPr>
              <w:pStyle w:val="TableParagraph"/>
              <w:spacing w:line="203" w:lineRule="exact"/>
              <w:ind w:left="32" w:right="0"/>
              <w:jc w:val="center"/>
              <w:rPr>
                <w:rFonts w:ascii="Calibri" w:hAnsi="Calibri" w:cs="Calibri" w:eastAsia="Calibri" w:hint="default"/>
                <w:sz w:val="20"/>
                <w:szCs w:val="20"/>
              </w:rPr>
            </w:pPr>
            <w:r>
              <w:rPr>
                <w:rFonts w:ascii="Calibri"/>
                <w:b/>
                <w:sz w:val="20"/>
              </w:rPr>
              <w:t>USA</w:t>
            </w:r>
            <w:r>
              <w:rPr>
                <w:rFonts w:ascii="Calibri"/>
                <w:sz w:val="20"/>
              </w:rPr>
            </w:r>
          </w:p>
        </w:tc>
        <w:tc>
          <w:tcPr>
            <w:tcW w:w="1718" w:type="dxa"/>
            <w:tcBorders>
              <w:top w:val="nil" w:sz="6" w:space="0" w:color="auto"/>
              <w:left w:val="nil" w:sz="6" w:space="0" w:color="auto"/>
              <w:bottom w:val="single" w:sz="4" w:space="0" w:color="000000"/>
              <w:right w:val="nil" w:sz="6" w:space="0" w:color="auto"/>
            </w:tcBorders>
          </w:tcPr>
          <w:p>
            <w:pPr>
              <w:pStyle w:val="TableParagraph"/>
              <w:spacing w:line="203" w:lineRule="exact"/>
              <w:ind w:left="78" w:right="0"/>
              <w:jc w:val="center"/>
              <w:rPr>
                <w:rFonts w:ascii="Calibri" w:hAnsi="Calibri" w:cs="Calibri" w:eastAsia="Calibri" w:hint="default"/>
                <w:sz w:val="20"/>
                <w:szCs w:val="20"/>
              </w:rPr>
            </w:pPr>
            <w:r>
              <w:rPr>
                <w:rFonts w:ascii="Calibri"/>
                <w:b/>
                <w:sz w:val="20"/>
              </w:rPr>
              <w:t>Netherlands</w:t>
            </w:r>
            <w:r>
              <w:rPr>
                <w:rFonts w:ascii="Calibri"/>
                <w:sz w:val="20"/>
              </w:rPr>
            </w:r>
          </w:p>
        </w:tc>
        <w:tc>
          <w:tcPr>
            <w:tcW w:w="1544" w:type="dxa"/>
            <w:tcBorders>
              <w:top w:val="nil" w:sz="6" w:space="0" w:color="auto"/>
              <w:left w:val="nil" w:sz="6" w:space="0" w:color="auto"/>
              <w:bottom w:val="single" w:sz="4" w:space="0" w:color="000000"/>
              <w:right w:val="nil" w:sz="6" w:space="0" w:color="auto"/>
            </w:tcBorders>
          </w:tcPr>
          <w:p>
            <w:pPr>
              <w:pStyle w:val="TableParagraph"/>
              <w:spacing w:line="203" w:lineRule="exact"/>
              <w:ind w:right="65"/>
              <w:jc w:val="center"/>
              <w:rPr>
                <w:rFonts w:ascii="Calibri" w:hAnsi="Calibri" w:cs="Calibri" w:eastAsia="Calibri" w:hint="default"/>
                <w:sz w:val="20"/>
                <w:szCs w:val="20"/>
              </w:rPr>
            </w:pPr>
            <w:r>
              <w:rPr>
                <w:rFonts w:ascii="Calibri"/>
                <w:b/>
                <w:sz w:val="20"/>
              </w:rPr>
              <w:t>Venezuela</w:t>
            </w:r>
            <w:r>
              <w:rPr>
                <w:rFonts w:ascii="Calibri"/>
                <w:sz w:val="20"/>
              </w:rPr>
            </w:r>
          </w:p>
        </w:tc>
        <w:tc>
          <w:tcPr>
            <w:tcW w:w="1438" w:type="dxa"/>
            <w:tcBorders>
              <w:top w:val="nil" w:sz="6" w:space="0" w:color="auto"/>
              <w:left w:val="nil" w:sz="6" w:space="0" w:color="auto"/>
              <w:bottom w:val="single" w:sz="4" w:space="0" w:color="000000"/>
              <w:right w:val="nil" w:sz="6" w:space="0" w:color="auto"/>
            </w:tcBorders>
          </w:tcPr>
          <w:p>
            <w:pPr>
              <w:pStyle w:val="TableParagraph"/>
              <w:spacing w:line="203" w:lineRule="exact"/>
              <w:ind w:right="122"/>
              <w:jc w:val="center"/>
              <w:rPr>
                <w:rFonts w:ascii="Calibri" w:hAnsi="Calibri" w:cs="Calibri" w:eastAsia="Calibri" w:hint="default"/>
                <w:sz w:val="20"/>
                <w:szCs w:val="20"/>
              </w:rPr>
            </w:pPr>
            <w:r>
              <w:rPr>
                <w:rFonts w:ascii="Calibri"/>
                <w:b/>
                <w:sz w:val="20"/>
              </w:rPr>
              <w:t>Others</w:t>
            </w:r>
            <w:r>
              <w:rPr>
                <w:rFonts w:ascii="Calibri"/>
                <w:sz w:val="20"/>
              </w:rPr>
            </w:r>
          </w:p>
        </w:tc>
        <w:tc>
          <w:tcPr>
            <w:tcW w:w="1608" w:type="dxa"/>
            <w:tcBorders>
              <w:top w:val="nil" w:sz="6" w:space="0" w:color="auto"/>
              <w:left w:val="nil" w:sz="6" w:space="0" w:color="auto"/>
              <w:bottom w:val="single" w:sz="4" w:space="0" w:color="000000"/>
              <w:right w:val="nil" w:sz="6" w:space="0" w:color="auto"/>
            </w:tcBorders>
          </w:tcPr>
          <w:p>
            <w:pPr>
              <w:pStyle w:val="TableParagraph"/>
              <w:spacing w:line="203" w:lineRule="exact"/>
              <w:ind w:right="49"/>
              <w:jc w:val="center"/>
              <w:rPr>
                <w:rFonts w:ascii="Calibri" w:hAnsi="Calibri" w:cs="Calibri" w:eastAsia="Calibri" w:hint="default"/>
                <w:sz w:val="20"/>
                <w:szCs w:val="20"/>
              </w:rPr>
            </w:pPr>
            <w:r>
              <w:rPr>
                <w:rFonts w:ascii="Calibri"/>
                <w:b/>
                <w:sz w:val="20"/>
              </w:rPr>
              <w:t>Total</w:t>
            </w:r>
            <w:r>
              <w:rPr>
                <w:rFonts w:ascii="Calibri"/>
                <w:sz w:val="20"/>
              </w:rPr>
            </w:r>
          </w:p>
        </w:tc>
      </w:tr>
      <w:tr>
        <w:trPr>
          <w:trHeight w:val="292" w:hRule="exact"/>
        </w:trPr>
        <w:tc>
          <w:tcPr>
            <w:tcW w:w="1221" w:type="dxa"/>
            <w:tcBorders>
              <w:top w:val="single" w:sz="4" w:space="0" w:color="000000"/>
              <w:left w:val="nil" w:sz="6" w:space="0" w:color="auto"/>
              <w:bottom w:val="nil" w:sz="6" w:space="0" w:color="auto"/>
              <w:right w:val="nil" w:sz="6" w:space="0" w:color="auto"/>
            </w:tcBorders>
          </w:tcPr>
          <w:p>
            <w:pPr>
              <w:pStyle w:val="TableParagraph"/>
              <w:spacing w:line="240" w:lineRule="auto" w:before="16"/>
              <w:ind w:right="32"/>
              <w:jc w:val="center"/>
              <w:rPr>
                <w:rFonts w:ascii="Calibri" w:hAnsi="Calibri" w:cs="Calibri" w:eastAsia="Calibri" w:hint="default"/>
                <w:sz w:val="20"/>
                <w:szCs w:val="20"/>
              </w:rPr>
            </w:pPr>
            <w:r>
              <w:rPr>
                <w:rFonts w:ascii="Calibri"/>
                <w:sz w:val="20"/>
              </w:rPr>
              <w:t>2016</w:t>
            </w:r>
          </w:p>
        </w:tc>
        <w:tc>
          <w:tcPr>
            <w:tcW w:w="1360" w:type="dxa"/>
            <w:tcBorders>
              <w:top w:val="single" w:sz="4" w:space="0" w:color="000000"/>
              <w:left w:val="nil" w:sz="6" w:space="0" w:color="auto"/>
              <w:bottom w:val="nil" w:sz="6" w:space="0" w:color="auto"/>
              <w:right w:val="nil" w:sz="6" w:space="0" w:color="auto"/>
            </w:tcBorders>
          </w:tcPr>
          <w:p>
            <w:pPr>
              <w:pStyle w:val="TableParagraph"/>
              <w:spacing w:line="240" w:lineRule="auto" w:before="16"/>
              <w:ind w:left="32" w:right="0"/>
              <w:jc w:val="center"/>
              <w:rPr>
                <w:rFonts w:ascii="Calibri" w:hAnsi="Calibri" w:cs="Calibri" w:eastAsia="Calibri" w:hint="default"/>
                <w:sz w:val="20"/>
                <w:szCs w:val="20"/>
              </w:rPr>
            </w:pPr>
            <w:r>
              <w:rPr>
                <w:rFonts w:ascii="Calibri"/>
                <w:sz w:val="20"/>
              </w:rPr>
              <w:t>7,390</w:t>
            </w:r>
          </w:p>
        </w:tc>
        <w:tc>
          <w:tcPr>
            <w:tcW w:w="1718" w:type="dxa"/>
            <w:tcBorders>
              <w:top w:val="single" w:sz="4" w:space="0" w:color="000000"/>
              <w:left w:val="nil" w:sz="6" w:space="0" w:color="auto"/>
              <w:bottom w:val="nil" w:sz="6" w:space="0" w:color="auto"/>
              <w:right w:val="nil" w:sz="6" w:space="0" w:color="auto"/>
            </w:tcBorders>
          </w:tcPr>
          <w:p>
            <w:pPr>
              <w:pStyle w:val="TableParagraph"/>
              <w:spacing w:line="240" w:lineRule="auto" w:before="16"/>
              <w:ind w:left="75" w:right="0"/>
              <w:jc w:val="center"/>
              <w:rPr>
                <w:rFonts w:ascii="Calibri" w:hAnsi="Calibri" w:cs="Calibri" w:eastAsia="Calibri" w:hint="default"/>
                <w:sz w:val="20"/>
                <w:szCs w:val="20"/>
              </w:rPr>
            </w:pPr>
            <w:r>
              <w:rPr>
                <w:rFonts w:ascii="Calibri"/>
                <w:sz w:val="20"/>
              </w:rPr>
              <w:t>2,505</w:t>
            </w:r>
          </w:p>
        </w:tc>
        <w:tc>
          <w:tcPr>
            <w:tcW w:w="1544" w:type="dxa"/>
            <w:tcBorders>
              <w:top w:val="single" w:sz="4" w:space="0" w:color="000000"/>
              <w:left w:val="nil" w:sz="6" w:space="0" w:color="auto"/>
              <w:bottom w:val="nil" w:sz="6" w:space="0" w:color="auto"/>
              <w:right w:val="nil" w:sz="6" w:space="0" w:color="auto"/>
            </w:tcBorders>
          </w:tcPr>
          <w:p>
            <w:pPr>
              <w:pStyle w:val="TableParagraph"/>
              <w:spacing w:line="240" w:lineRule="auto" w:before="16"/>
              <w:ind w:right="64"/>
              <w:jc w:val="center"/>
              <w:rPr>
                <w:rFonts w:ascii="Calibri" w:hAnsi="Calibri" w:cs="Calibri" w:eastAsia="Calibri" w:hint="default"/>
                <w:sz w:val="20"/>
                <w:szCs w:val="20"/>
              </w:rPr>
            </w:pPr>
            <w:r>
              <w:rPr>
                <w:rFonts w:ascii="Calibri"/>
                <w:sz w:val="20"/>
              </w:rPr>
              <w:t>4,148</w:t>
            </w:r>
          </w:p>
        </w:tc>
        <w:tc>
          <w:tcPr>
            <w:tcW w:w="1438" w:type="dxa"/>
            <w:tcBorders>
              <w:top w:val="single" w:sz="4" w:space="0" w:color="000000"/>
              <w:left w:val="nil" w:sz="6" w:space="0" w:color="auto"/>
              <w:bottom w:val="nil" w:sz="6" w:space="0" w:color="auto"/>
              <w:right w:val="nil" w:sz="6" w:space="0" w:color="auto"/>
            </w:tcBorders>
          </w:tcPr>
          <w:p>
            <w:pPr>
              <w:pStyle w:val="TableParagraph"/>
              <w:spacing w:line="240" w:lineRule="auto" w:before="16"/>
              <w:ind w:right="124"/>
              <w:jc w:val="center"/>
              <w:rPr>
                <w:rFonts w:ascii="Calibri" w:hAnsi="Calibri" w:cs="Calibri" w:eastAsia="Calibri" w:hint="default"/>
                <w:sz w:val="20"/>
                <w:szCs w:val="20"/>
              </w:rPr>
            </w:pPr>
            <w:r>
              <w:rPr>
                <w:rFonts w:ascii="Calibri"/>
                <w:sz w:val="20"/>
              </w:rPr>
              <w:t>741</w:t>
            </w:r>
          </w:p>
        </w:tc>
        <w:tc>
          <w:tcPr>
            <w:tcW w:w="1608" w:type="dxa"/>
            <w:tcBorders>
              <w:top w:val="single" w:sz="4" w:space="0" w:color="000000"/>
              <w:left w:val="nil" w:sz="6" w:space="0" w:color="auto"/>
              <w:bottom w:val="nil" w:sz="6" w:space="0" w:color="auto"/>
              <w:right w:val="nil" w:sz="6" w:space="0" w:color="auto"/>
            </w:tcBorders>
          </w:tcPr>
          <w:p>
            <w:pPr>
              <w:pStyle w:val="TableParagraph"/>
              <w:spacing w:line="240" w:lineRule="auto" w:before="16"/>
              <w:ind w:right="52"/>
              <w:jc w:val="center"/>
              <w:rPr>
                <w:rFonts w:ascii="Calibri" w:hAnsi="Calibri" w:cs="Calibri" w:eastAsia="Calibri" w:hint="default"/>
                <w:sz w:val="20"/>
                <w:szCs w:val="20"/>
              </w:rPr>
            </w:pPr>
            <w:r>
              <w:rPr>
                <w:rFonts w:ascii="Calibri"/>
                <w:sz w:val="20"/>
              </w:rPr>
              <w:t>14,782</w:t>
            </w:r>
          </w:p>
        </w:tc>
      </w:tr>
      <w:tr>
        <w:trPr>
          <w:trHeight w:val="260" w:hRule="exact"/>
        </w:trPr>
        <w:tc>
          <w:tcPr>
            <w:tcW w:w="1221" w:type="dxa"/>
            <w:tcBorders>
              <w:top w:val="nil" w:sz="6" w:space="0" w:color="auto"/>
              <w:left w:val="nil" w:sz="6" w:space="0" w:color="auto"/>
              <w:bottom w:val="nil" w:sz="6" w:space="0" w:color="auto"/>
              <w:right w:val="nil" w:sz="6" w:space="0" w:color="auto"/>
            </w:tcBorders>
          </w:tcPr>
          <w:p>
            <w:pPr>
              <w:pStyle w:val="TableParagraph"/>
              <w:spacing w:line="234" w:lineRule="exact"/>
              <w:ind w:right="32"/>
              <w:jc w:val="center"/>
              <w:rPr>
                <w:rFonts w:ascii="Calibri" w:hAnsi="Calibri" w:cs="Calibri" w:eastAsia="Calibri" w:hint="default"/>
                <w:sz w:val="20"/>
                <w:szCs w:val="20"/>
              </w:rPr>
            </w:pPr>
            <w:r>
              <w:rPr>
                <w:rFonts w:ascii="Calibri"/>
                <w:sz w:val="20"/>
              </w:rPr>
              <w:t>2017</w:t>
            </w:r>
          </w:p>
        </w:tc>
        <w:tc>
          <w:tcPr>
            <w:tcW w:w="1360" w:type="dxa"/>
            <w:tcBorders>
              <w:top w:val="nil" w:sz="6" w:space="0" w:color="auto"/>
              <w:left w:val="nil" w:sz="6" w:space="0" w:color="auto"/>
              <w:bottom w:val="nil" w:sz="6" w:space="0" w:color="auto"/>
              <w:right w:val="nil" w:sz="6" w:space="0" w:color="auto"/>
            </w:tcBorders>
          </w:tcPr>
          <w:p>
            <w:pPr>
              <w:pStyle w:val="TableParagraph"/>
              <w:spacing w:line="234" w:lineRule="exact"/>
              <w:ind w:left="32" w:right="0"/>
              <w:jc w:val="center"/>
              <w:rPr>
                <w:rFonts w:ascii="Calibri" w:hAnsi="Calibri" w:cs="Calibri" w:eastAsia="Calibri" w:hint="default"/>
                <w:sz w:val="20"/>
                <w:szCs w:val="20"/>
              </w:rPr>
            </w:pPr>
            <w:r>
              <w:rPr>
                <w:rFonts w:ascii="Calibri"/>
                <w:sz w:val="20"/>
              </w:rPr>
              <w:t>7,390</w:t>
            </w:r>
          </w:p>
        </w:tc>
        <w:tc>
          <w:tcPr>
            <w:tcW w:w="1718" w:type="dxa"/>
            <w:tcBorders>
              <w:top w:val="nil" w:sz="6" w:space="0" w:color="auto"/>
              <w:left w:val="nil" w:sz="6" w:space="0" w:color="auto"/>
              <w:bottom w:val="nil" w:sz="6" w:space="0" w:color="auto"/>
              <w:right w:val="nil" w:sz="6" w:space="0" w:color="auto"/>
            </w:tcBorders>
          </w:tcPr>
          <w:p>
            <w:pPr>
              <w:pStyle w:val="TableParagraph"/>
              <w:spacing w:line="234" w:lineRule="exact"/>
              <w:ind w:left="75" w:right="0"/>
              <w:jc w:val="center"/>
              <w:rPr>
                <w:rFonts w:ascii="Calibri" w:hAnsi="Calibri" w:cs="Calibri" w:eastAsia="Calibri" w:hint="default"/>
                <w:sz w:val="20"/>
                <w:szCs w:val="20"/>
              </w:rPr>
            </w:pPr>
            <w:r>
              <w:rPr>
                <w:rFonts w:ascii="Calibri"/>
                <w:sz w:val="20"/>
              </w:rPr>
              <w:t>1,878</w:t>
            </w:r>
          </w:p>
        </w:tc>
        <w:tc>
          <w:tcPr>
            <w:tcW w:w="1544" w:type="dxa"/>
            <w:tcBorders>
              <w:top w:val="nil" w:sz="6" w:space="0" w:color="auto"/>
              <w:left w:val="nil" w:sz="6" w:space="0" w:color="auto"/>
              <w:bottom w:val="nil" w:sz="6" w:space="0" w:color="auto"/>
              <w:right w:val="nil" w:sz="6" w:space="0" w:color="auto"/>
            </w:tcBorders>
          </w:tcPr>
          <w:p>
            <w:pPr>
              <w:pStyle w:val="TableParagraph"/>
              <w:spacing w:line="234" w:lineRule="exact"/>
              <w:ind w:right="64"/>
              <w:jc w:val="center"/>
              <w:rPr>
                <w:rFonts w:ascii="Calibri" w:hAnsi="Calibri" w:cs="Calibri" w:eastAsia="Calibri" w:hint="default"/>
                <w:sz w:val="20"/>
                <w:szCs w:val="20"/>
              </w:rPr>
            </w:pPr>
            <w:r>
              <w:rPr>
                <w:rFonts w:ascii="Calibri"/>
                <w:sz w:val="20"/>
              </w:rPr>
              <w:t>3,111</w:t>
            </w:r>
          </w:p>
        </w:tc>
        <w:tc>
          <w:tcPr>
            <w:tcW w:w="1438" w:type="dxa"/>
            <w:tcBorders>
              <w:top w:val="nil" w:sz="6" w:space="0" w:color="auto"/>
              <w:left w:val="nil" w:sz="6" w:space="0" w:color="auto"/>
              <w:bottom w:val="nil" w:sz="6" w:space="0" w:color="auto"/>
              <w:right w:val="nil" w:sz="6" w:space="0" w:color="auto"/>
            </w:tcBorders>
          </w:tcPr>
          <w:p>
            <w:pPr>
              <w:pStyle w:val="TableParagraph"/>
              <w:spacing w:line="234" w:lineRule="exact"/>
              <w:ind w:right="122"/>
              <w:jc w:val="center"/>
              <w:rPr>
                <w:rFonts w:ascii="Calibri" w:hAnsi="Calibri" w:cs="Calibri" w:eastAsia="Calibri" w:hint="default"/>
                <w:sz w:val="20"/>
                <w:szCs w:val="20"/>
              </w:rPr>
            </w:pPr>
            <w:r>
              <w:rPr>
                <w:rFonts w:ascii="Calibri"/>
                <w:sz w:val="20"/>
              </w:rPr>
              <w:t>1,111</w:t>
            </w:r>
          </w:p>
        </w:tc>
        <w:tc>
          <w:tcPr>
            <w:tcW w:w="1608" w:type="dxa"/>
            <w:tcBorders>
              <w:top w:val="nil" w:sz="6" w:space="0" w:color="auto"/>
              <w:left w:val="nil" w:sz="6" w:space="0" w:color="auto"/>
              <w:bottom w:val="nil" w:sz="6" w:space="0" w:color="auto"/>
              <w:right w:val="nil" w:sz="6" w:space="0" w:color="auto"/>
            </w:tcBorders>
          </w:tcPr>
          <w:p>
            <w:pPr>
              <w:pStyle w:val="TableParagraph"/>
              <w:spacing w:line="234" w:lineRule="exact"/>
              <w:ind w:right="52"/>
              <w:jc w:val="center"/>
              <w:rPr>
                <w:rFonts w:ascii="Calibri" w:hAnsi="Calibri" w:cs="Calibri" w:eastAsia="Calibri" w:hint="default"/>
                <w:sz w:val="20"/>
                <w:szCs w:val="20"/>
              </w:rPr>
            </w:pPr>
            <w:r>
              <w:rPr>
                <w:rFonts w:ascii="Calibri"/>
                <w:sz w:val="20"/>
              </w:rPr>
              <w:t>13,490</w:t>
            </w:r>
          </w:p>
        </w:tc>
      </w:tr>
      <w:tr>
        <w:trPr>
          <w:trHeight w:val="260" w:hRule="exact"/>
        </w:trPr>
        <w:tc>
          <w:tcPr>
            <w:tcW w:w="1221" w:type="dxa"/>
            <w:tcBorders>
              <w:top w:val="nil" w:sz="6" w:space="0" w:color="auto"/>
              <w:left w:val="nil" w:sz="6" w:space="0" w:color="auto"/>
              <w:bottom w:val="nil" w:sz="6" w:space="0" w:color="auto"/>
              <w:right w:val="nil" w:sz="6" w:space="0" w:color="auto"/>
            </w:tcBorders>
          </w:tcPr>
          <w:p>
            <w:pPr>
              <w:pStyle w:val="TableParagraph"/>
              <w:spacing w:line="233" w:lineRule="exact"/>
              <w:ind w:right="32"/>
              <w:jc w:val="center"/>
              <w:rPr>
                <w:rFonts w:ascii="Calibri" w:hAnsi="Calibri" w:cs="Calibri" w:eastAsia="Calibri" w:hint="default"/>
                <w:sz w:val="20"/>
                <w:szCs w:val="20"/>
              </w:rPr>
            </w:pPr>
            <w:r>
              <w:rPr>
                <w:rFonts w:ascii="Calibri"/>
                <w:sz w:val="20"/>
              </w:rPr>
              <w:t>2018</w:t>
            </w:r>
          </w:p>
        </w:tc>
        <w:tc>
          <w:tcPr>
            <w:tcW w:w="1360" w:type="dxa"/>
            <w:tcBorders>
              <w:top w:val="nil" w:sz="6" w:space="0" w:color="auto"/>
              <w:left w:val="nil" w:sz="6" w:space="0" w:color="auto"/>
              <w:bottom w:val="nil" w:sz="6" w:space="0" w:color="auto"/>
              <w:right w:val="nil" w:sz="6" w:space="0" w:color="auto"/>
            </w:tcBorders>
          </w:tcPr>
          <w:p>
            <w:pPr>
              <w:pStyle w:val="TableParagraph"/>
              <w:spacing w:line="233" w:lineRule="exact"/>
              <w:ind w:left="32" w:right="0"/>
              <w:jc w:val="center"/>
              <w:rPr>
                <w:rFonts w:ascii="Calibri" w:hAnsi="Calibri" w:cs="Calibri" w:eastAsia="Calibri" w:hint="default"/>
                <w:sz w:val="20"/>
                <w:szCs w:val="20"/>
              </w:rPr>
            </w:pPr>
            <w:r>
              <w:rPr>
                <w:rFonts w:ascii="Calibri"/>
                <w:sz w:val="20"/>
              </w:rPr>
              <w:t>2,526</w:t>
            </w:r>
          </w:p>
        </w:tc>
        <w:tc>
          <w:tcPr>
            <w:tcW w:w="1718" w:type="dxa"/>
            <w:tcBorders>
              <w:top w:val="nil" w:sz="6" w:space="0" w:color="auto"/>
              <w:left w:val="nil" w:sz="6" w:space="0" w:color="auto"/>
              <w:bottom w:val="nil" w:sz="6" w:space="0" w:color="auto"/>
              <w:right w:val="nil" w:sz="6" w:space="0" w:color="auto"/>
            </w:tcBorders>
          </w:tcPr>
          <w:p>
            <w:pPr>
              <w:pStyle w:val="TableParagraph"/>
              <w:spacing w:line="233" w:lineRule="exact"/>
              <w:ind w:left="72" w:right="0"/>
              <w:jc w:val="center"/>
              <w:rPr>
                <w:rFonts w:ascii="Calibri" w:hAnsi="Calibri" w:cs="Calibri" w:eastAsia="Calibri" w:hint="default"/>
                <w:sz w:val="20"/>
                <w:szCs w:val="20"/>
              </w:rPr>
            </w:pPr>
            <w:r>
              <w:rPr>
                <w:rFonts w:ascii="Calibri"/>
                <w:sz w:val="20"/>
              </w:rPr>
              <w:t>415</w:t>
            </w:r>
          </w:p>
        </w:tc>
        <w:tc>
          <w:tcPr>
            <w:tcW w:w="1544" w:type="dxa"/>
            <w:tcBorders>
              <w:top w:val="nil" w:sz="6" w:space="0" w:color="auto"/>
              <w:left w:val="nil" w:sz="6" w:space="0" w:color="auto"/>
              <w:bottom w:val="nil" w:sz="6" w:space="0" w:color="auto"/>
              <w:right w:val="nil" w:sz="6" w:space="0" w:color="auto"/>
            </w:tcBorders>
          </w:tcPr>
          <w:p>
            <w:pPr>
              <w:pStyle w:val="TableParagraph"/>
              <w:spacing w:line="233" w:lineRule="exact"/>
              <w:ind w:right="66"/>
              <w:jc w:val="center"/>
              <w:rPr>
                <w:rFonts w:ascii="Calibri" w:hAnsi="Calibri" w:cs="Calibri" w:eastAsia="Calibri" w:hint="default"/>
                <w:sz w:val="20"/>
                <w:szCs w:val="20"/>
              </w:rPr>
            </w:pPr>
            <w:r>
              <w:rPr>
                <w:rFonts w:ascii="Calibri"/>
                <w:sz w:val="20"/>
              </w:rPr>
              <w:t>818</w:t>
            </w:r>
          </w:p>
        </w:tc>
        <w:tc>
          <w:tcPr>
            <w:tcW w:w="1438" w:type="dxa"/>
            <w:tcBorders>
              <w:top w:val="nil" w:sz="6" w:space="0" w:color="auto"/>
              <w:left w:val="nil" w:sz="6" w:space="0" w:color="auto"/>
              <w:bottom w:val="nil" w:sz="6" w:space="0" w:color="auto"/>
              <w:right w:val="nil" w:sz="6" w:space="0" w:color="auto"/>
            </w:tcBorders>
          </w:tcPr>
          <w:p>
            <w:pPr>
              <w:pStyle w:val="TableParagraph"/>
              <w:spacing w:line="233" w:lineRule="exact"/>
              <w:ind w:right="124"/>
              <w:jc w:val="center"/>
              <w:rPr>
                <w:rFonts w:ascii="Calibri" w:hAnsi="Calibri" w:cs="Calibri" w:eastAsia="Calibri" w:hint="default"/>
                <w:sz w:val="20"/>
                <w:szCs w:val="20"/>
              </w:rPr>
            </w:pPr>
            <w:r>
              <w:rPr>
                <w:rFonts w:ascii="Calibri"/>
                <w:sz w:val="20"/>
              </w:rPr>
              <w:t>330</w:t>
            </w:r>
          </w:p>
        </w:tc>
        <w:tc>
          <w:tcPr>
            <w:tcW w:w="1608" w:type="dxa"/>
            <w:tcBorders>
              <w:top w:val="nil" w:sz="6" w:space="0" w:color="auto"/>
              <w:left w:val="nil" w:sz="6" w:space="0" w:color="auto"/>
              <w:bottom w:val="nil" w:sz="6" w:space="0" w:color="auto"/>
              <w:right w:val="nil" w:sz="6" w:space="0" w:color="auto"/>
            </w:tcBorders>
          </w:tcPr>
          <w:p>
            <w:pPr>
              <w:pStyle w:val="TableParagraph"/>
              <w:spacing w:line="233" w:lineRule="exact"/>
              <w:ind w:right="52"/>
              <w:jc w:val="center"/>
              <w:rPr>
                <w:rFonts w:ascii="Calibri" w:hAnsi="Calibri" w:cs="Calibri" w:eastAsia="Calibri" w:hint="default"/>
                <w:sz w:val="20"/>
                <w:szCs w:val="20"/>
              </w:rPr>
            </w:pPr>
            <w:r>
              <w:rPr>
                <w:rFonts w:ascii="Calibri"/>
                <w:sz w:val="20"/>
              </w:rPr>
              <w:t>4,090</w:t>
            </w:r>
          </w:p>
        </w:tc>
      </w:tr>
      <w:tr>
        <w:trPr>
          <w:trHeight w:val="261" w:hRule="exact"/>
        </w:trPr>
        <w:tc>
          <w:tcPr>
            <w:tcW w:w="1221" w:type="dxa"/>
            <w:tcBorders>
              <w:top w:val="nil" w:sz="6" w:space="0" w:color="auto"/>
              <w:left w:val="nil" w:sz="6" w:space="0" w:color="auto"/>
              <w:bottom w:val="nil" w:sz="6" w:space="0" w:color="auto"/>
              <w:right w:val="nil" w:sz="6" w:space="0" w:color="auto"/>
            </w:tcBorders>
          </w:tcPr>
          <w:p>
            <w:pPr>
              <w:pStyle w:val="TableParagraph"/>
              <w:spacing w:line="233" w:lineRule="exact"/>
              <w:ind w:right="32"/>
              <w:jc w:val="center"/>
              <w:rPr>
                <w:rFonts w:ascii="Calibri" w:hAnsi="Calibri" w:cs="Calibri" w:eastAsia="Calibri" w:hint="default"/>
                <w:sz w:val="20"/>
                <w:szCs w:val="20"/>
              </w:rPr>
            </w:pPr>
            <w:r>
              <w:rPr>
                <w:rFonts w:ascii="Calibri"/>
                <w:sz w:val="20"/>
              </w:rPr>
              <w:t>2019</w:t>
            </w:r>
          </w:p>
        </w:tc>
        <w:tc>
          <w:tcPr>
            <w:tcW w:w="1360" w:type="dxa"/>
            <w:tcBorders>
              <w:top w:val="nil" w:sz="6" w:space="0" w:color="auto"/>
              <w:left w:val="nil" w:sz="6" w:space="0" w:color="auto"/>
              <w:bottom w:val="nil" w:sz="6" w:space="0" w:color="auto"/>
              <w:right w:val="nil" w:sz="6" w:space="0" w:color="auto"/>
            </w:tcBorders>
          </w:tcPr>
          <w:p>
            <w:pPr>
              <w:pStyle w:val="TableParagraph"/>
              <w:spacing w:line="233" w:lineRule="exact"/>
              <w:ind w:left="32" w:right="0"/>
              <w:jc w:val="center"/>
              <w:rPr>
                <w:rFonts w:ascii="Calibri" w:hAnsi="Calibri" w:cs="Calibri" w:eastAsia="Calibri" w:hint="default"/>
                <w:sz w:val="20"/>
                <w:szCs w:val="20"/>
              </w:rPr>
            </w:pPr>
            <w:r>
              <w:rPr>
                <w:rFonts w:ascii="Calibri"/>
                <w:sz w:val="20"/>
              </w:rPr>
              <w:t>2,509</w:t>
            </w:r>
          </w:p>
        </w:tc>
        <w:tc>
          <w:tcPr>
            <w:tcW w:w="1718" w:type="dxa"/>
            <w:tcBorders>
              <w:top w:val="nil" w:sz="6" w:space="0" w:color="auto"/>
              <w:left w:val="nil" w:sz="6" w:space="0" w:color="auto"/>
              <w:bottom w:val="nil" w:sz="6" w:space="0" w:color="auto"/>
              <w:right w:val="nil" w:sz="6" w:space="0" w:color="auto"/>
            </w:tcBorders>
          </w:tcPr>
          <w:p>
            <w:pPr>
              <w:pStyle w:val="TableParagraph"/>
              <w:spacing w:line="233" w:lineRule="exact"/>
              <w:ind w:left="72" w:right="0"/>
              <w:jc w:val="center"/>
              <w:rPr>
                <w:rFonts w:ascii="Calibri" w:hAnsi="Calibri" w:cs="Calibri" w:eastAsia="Calibri" w:hint="default"/>
                <w:sz w:val="20"/>
                <w:szCs w:val="20"/>
              </w:rPr>
            </w:pPr>
            <w:r>
              <w:rPr>
                <w:rFonts w:ascii="Calibri"/>
                <w:sz w:val="20"/>
              </w:rPr>
              <w:t>277</w:t>
            </w:r>
          </w:p>
        </w:tc>
        <w:tc>
          <w:tcPr>
            <w:tcW w:w="1544" w:type="dxa"/>
            <w:tcBorders>
              <w:top w:val="nil" w:sz="6" w:space="0" w:color="auto"/>
              <w:left w:val="nil" w:sz="6" w:space="0" w:color="auto"/>
              <w:bottom w:val="nil" w:sz="6" w:space="0" w:color="auto"/>
              <w:right w:val="nil" w:sz="6" w:space="0" w:color="auto"/>
            </w:tcBorders>
          </w:tcPr>
          <w:p>
            <w:pPr>
              <w:pStyle w:val="TableParagraph"/>
              <w:spacing w:line="233" w:lineRule="exact"/>
              <w:ind w:right="66"/>
              <w:jc w:val="center"/>
              <w:rPr>
                <w:rFonts w:ascii="Calibri" w:hAnsi="Calibri" w:cs="Calibri" w:eastAsia="Calibri" w:hint="default"/>
                <w:sz w:val="20"/>
                <w:szCs w:val="20"/>
              </w:rPr>
            </w:pPr>
            <w:r>
              <w:rPr>
                <w:rFonts w:ascii="Calibri"/>
                <w:sz w:val="20"/>
              </w:rPr>
              <w:t>546</w:t>
            </w:r>
          </w:p>
        </w:tc>
        <w:tc>
          <w:tcPr>
            <w:tcW w:w="1438" w:type="dxa"/>
            <w:tcBorders>
              <w:top w:val="nil" w:sz="6" w:space="0" w:color="auto"/>
              <w:left w:val="nil" w:sz="6" w:space="0" w:color="auto"/>
              <w:bottom w:val="nil" w:sz="6" w:space="0" w:color="auto"/>
              <w:right w:val="nil" w:sz="6" w:space="0" w:color="auto"/>
            </w:tcBorders>
          </w:tcPr>
          <w:p>
            <w:pPr>
              <w:pStyle w:val="TableParagraph"/>
              <w:spacing w:line="233" w:lineRule="exact"/>
              <w:ind w:right="124"/>
              <w:jc w:val="center"/>
              <w:rPr>
                <w:rFonts w:ascii="Calibri" w:hAnsi="Calibri" w:cs="Calibri" w:eastAsia="Calibri" w:hint="default"/>
                <w:sz w:val="20"/>
                <w:szCs w:val="20"/>
              </w:rPr>
            </w:pPr>
            <w:r>
              <w:rPr>
                <w:rFonts w:ascii="Calibri"/>
                <w:sz w:val="20"/>
              </w:rPr>
              <w:t>420</w:t>
            </w:r>
          </w:p>
        </w:tc>
        <w:tc>
          <w:tcPr>
            <w:tcW w:w="1608" w:type="dxa"/>
            <w:tcBorders>
              <w:top w:val="nil" w:sz="6" w:space="0" w:color="auto"/>
              <w:left w:val="nil" w:sz="6" w:space="0" w:color="auto"/>
              <w:bottom w:val="nil" w:sz="6" w:space="0" w:color="auto"/>
              <w:right w:val="nil" w:sz="6" w:space="0" w:color="auto"/>
            </w:tcBorders>
          </w:tcPr>
          <w:p>
            <w:pPr>
              <w:pStyle w:val="TableParagraph"/>
              <w:spacing w:line="233" w:lineRule="exact"/>
              <w:ind w:right="52"/>
              <w:jc w:val="center"/>
              <w:rPr>
                <w:rFonts w:ascii="Calibri" w:hAnsi="Calibri" w:cs="Calibri" w:eastAsia="Calibri" w:hint="default"/>
                <w:sz w:val="20"/>
                <w:szCs w:val="20"/>
              </w:rPr>
            </w:pPr>
            <w:r>
              <w:rPr>
                <w:rFonts w:ascii="Calibri"/>
                <w:sz w:val="20"/>
              </w:rPr>
              <w:t>3,751</w:t>
            </w:r>
          </w:p>
        </w:tc>
      </w:tr>
      <w:tr>
        <w:trPr>
          <w:trHeight w:val="238" w:hRule="exact"/>
        </w:trPr>
        <w:tc>
          <w:tcPr>
            <w:tcW w:w="1221" w:type="dxa"/>
            <w:tcBorders>
              <w:top w:val="nil" w:sz="6" w:space="0" w:color="auto"/>
              <w:left w:val="nil" w:sz="6" w:space="0" w:color="auto"/>
              <w:bottom w:val="single" w:sz="4" w:space="0" w:color="000000"/>
              <w:right w:val="nil" w:sz="6" w:space="0" w:color="auto"/>
            </w:tcBorders>
          </w:tcPr>
          <w:p>
            <w:pPr>
              <w:pStyle w:val="TableParagraph"/>
              <w:spacing w:line="234" w:lineRule="exact"/>
              <w:ind w:right="32"/>
              <w:jc w:val="center"/>
              <w:rPr>
                <w:rFonts w:ascii="Calibri" w:hAnsi="Calibri" w:cs="Calibri" w:eastAsia="Calibri" w:hint="default"/>
                <w:sz w:val="20"/>
                <w:szCs w:val="20"/>
              </w:rPr>
            </w:pPr>
            <w:r>
              <w:rPr>
                <w:rFonts w:ascii="Calibri"/>
                <w:sz w:val="20"/>
              </w:rPr>
              <w:t>2020</w:t>
            </w:r>
          </w:p>
        </w:tc>
        <w:tc>
          <w:tcPr>
            <w:tcW w:w="1360" w:type="dxa"/>
            <w:tcBorders>
              <w:top w:val="nil" w:sz="6" w:space="0" w:color="auto"/>
              <w:left w:val="nil" w:sz="6" w:space="0" w:color="auto"/>
              <w:bottom w:val="single" w:sz="4" w:space="0" w:color="000000"/>
              <w:right w:val="nil" w:sz="6" w:space="0" w:color="auto"/>
            </w:tcBorders>
          </w:tcPr>
          <w:p>
            <w:pPr>
              <w:pStyle w:val="TableParagraph"/>
              <w:spacing w:line="234" w:lineRule="exact"/>
              <w:ind w:left="32" w:right="0"/>
              <w:jc w:val="center"/>
              <w:rPr>
                <w:rFonts w:ascii="Calibri" w:hAnsi="Calibri" w:cs="Calibri" w:eastAsia="Calibri" w:hint="default"/>
                <w:sz w:val="20"/>
                <w:szCs w:val="20"/>
              </w:rPr>
            </w:pPr>
            <w:r>
              <w:rPr>
                <w:rFonts w:ascii="Calibri"/>
                <w:sz w:val="20"/>
              </w:rPr>
              <w:t>2,579</w:t>
            </w:r>
          </w:p>
        </w:tc>
        <w:tc>
          <w:tcPr>
            <w:tcW w:w="1718" w:type="dxa"/>
            <w:tcBorders>
              <w:top w:val="nil" w:sz="6" w:space="0" w:color="auto"/>
              <w:left w:val="nil" w:sz="6" w:space="0" w:color="auto"/>
              <w:bottom w:val="single" w:sz="4" w:space="0" w:color="000000"/>
              <w:right w:val="nil" w:sz="6" w:space="0" w:color="auto"/>
            </w:tcBorders>
          </w:tcPr>
          <w:p>
            <w:pPr>
              <w:pStyle w:val="TableParagraph"/>
              <w:spacing w:line="234" w:lineRule="exact"/>
              <w:ind w:left="72" w:right="0"/>
              <w:jc w:val="center"/>
              <w:rPr>
                <w:rFonts w:ascii="Calibri" w:hAnsi="Calibri" w:cs="Calibri" w:eastAsia="Calibri" w:hint="default"/>
                <w:sz w:val="20"/>
                <w:szCs w:val="20"/>
              </w:rPr>
            </w:pPr>
            <w:r>
              <w:rPr>
                <w:rFonts w:ascii="Calibri"/>
                <w:sz w:val="20"/>
              </w:rPr>
              <w:t>138</w:t>
            </w:r>
          </w:p>
        </w:tc>
        <w:tc>
          <w:tcPr>
            <w:tcW w:w="1544" w:type="dxa"/>
            <w:tcBorders>
              <w:top w:val="nil" w:sz="6" w:space="0" w:color="auto"/>
              <w:left w:val="nil" w:sz="6" w:space="0" w:color="auto"/>
              <w:bottom w:val="single" w:sz="4" w:space="0" w:color="000000"/>
              <w:right w:val="nil" w:sz="6" w:space="0" w:color="auto"/>
            </w:tcBorders>
          </w:tcPr>
          <w:p>
            <w:pPr>
              <w:pStyle w:val="TableParagraph"/>
              <w:spacing w:line="234" w:lineRule="exact"/>
              <w:ind w:right="66"/>
              <w:jc w:val="center"/>
              <w:rPr>
                <w:rFonts w:ascii="Calibri" w:hAnsi="Calibri" w:cs="Calibri" w:eastAsia="Calibri" w:hint="default"/>
                <w:sz w:val="20"/>
                <w:szCs w:val="20"/>
              </w:rPr>
            </w:pPr>
            <w:r>
              <w:rPr>
                <w:rFonts w:ascii="Calibri"/>
                <w:sz w:val="20"/>
              </w:rPr>
              <w:t>273</w:t>
            </w:r>
          </w:p>
        </w:tc>
        <w:tc>
          <w:tcPr>
            <w:tcW w:w="1438" w:type="dxa"/>
            <w:tcBorders>
              <w:top w:val="nil" w:sz="6" w:space="0" w:color="auto"/>
              <w:left w:val="nil" w:sz="6" w:space="0" w:color="auto"/>
              <w:bottom w:val="single" w:sz="4" w:space="0" w:color="000000"/>
              <w:right w:val="nil" w:sz="6" w:space="0" w:color="auto"/>
            </w:tcBorders>
          </w:tcPr>
          <w:p>
            <w:pPr>
              <w:pStyle w:val="TableParagraph"/>
              <w:spacing w:line="234" w:lineRule="exact"/>
              <w:ind w:right="124"/>
              <w:jc w:val="center"/>
              <w:rPr>
                <w:rFonts w:ascii="Calibri" w:hAnsi="Calibri" w:cs="Calibri" w:eastAsia="Calibri" w:hint="default"/>
                <w:sz w:val="20"/>
                <w:szCs w:val="20"/>
              </w:rPr>
            </w:pPr>
            <w:r>
              <w:rPr>
                <w:rFonts w:ascii="Calibri"/>
                <w:sz w:val="20"/>
              </w:rPr>
              <w:t>460</w:t>
            </w:r>
          </w:p>
        </w:tc>
        <w:tc>
          <w:tcPr>
            <w:tcW w:w="1608" w:type="dxa"/>
            <w:tcBorders>
              <w:top w:val="nil" w:sz="6" w:space="0" w:color="auto"/>
              <w:left w:val="nil" w:sz="6" w:space="0" w:color="auto"/>
              <w:bottom w:val="single" w:sz="4" w:space="0" w:color="000000"/>
              <w:right w:val="nil" w:sz="6" w:space="0" w:color="auto"/>
            </w:tcBorders>
          </w:tcPr>
          <w:p>
            <w:pPr>
              <w:pStyle w:val="TableParagraph"/>
              <w:spacing w:line="234" w:lineRule="exact"/>
              <w:ind w:right="52"/>
              <w:jc w:val="center"/>
              <w:rPr>
                <w:rFonts w:ascii="Calibri" w:hAnsi="Calibri" w:cs="Calibri" w:eastAsia="Calibri" w:hint="default"/>
                <w:sz w:val="20"/>
                <w:szCs w:val="20"/>
              </w:rPr>
            </w:pPr>
            <w:r>
              <w:rPr>
                <w:rFonts w:ascii="Calibri"/>
                <w:sz w:val="20"/>
              </w:rPr>
              <w:t>3,451</w:t>
            </w:r>
          </w:p>
        </w:tc>
      </w:tr>
      <w:tr>
        <w:trPr>
          <w:trHeight w:val="271" w:hRule="exact"/>
        </w:trPr>
        <w:tc>
          <w:tcPr>
            <w:tcW w:w="1221" w:type="dxa"/>
            <w:tcBorders>
              <w:top w:val="single" w:sz="4" w:space="0" w:color="000000"/>
              <w:left w:val="nil" w:sz="6" w:space="0" w:color="auto"/>
              <w:bottom w:val="single" w:sz="4" w:space="0" w:color="000000"/>
              <w:right w:val="nil" w:sz="6" w:space="0" w:color="auto"/>
            </w:tcBorders>
          </w:tcPr>
          <w:p>
            <w:pPr>
              <w:pStyle w:val="TableParagraph"/>
              <w:spacing w:line="240" w:lineRule="auto" w:before="16"/>
              <w:ind w:right="32"/>
              <w:jc w:val="center"/>
              <w:rPr>
                <w:rFonts w:ascii="Calibri" w:hAnsi="Calibri" w:cs="Calibri" w:eastAsia="Calibri" w:hint="default"/>
                <w:sz w:val="20"/>
                <w:szCs w:val="20"/>
              </w:rPr>
            </w:pPr>
            <w:r>
              <w:rPr>
                <w:rFonts w:ascii="Calibri"/>
                <w:b/>
                <w:sz w:val="20"/>
              </w:rPr>
              <w:t>Total</w:t>
            </w:r>
            <w:r>
              <w:rPr>
                <w:rFonts w:ascii="Calibri"/>
                <w:sz w:val="20"/>
              </w:rPr>
            </w:r>
          </w:p>
        </w:tc>
        <w:tc>
          <w:tcPr>
            <w:tcW w:w="1360" w:type="dxa"/>
            <w:tcBorders>
              <w:top w:val="single" w:sz="4" w:space="0" w:color="000000"/>
              <w:left w:val="nil" w:sz="6" w:space="0" w:color="auto"/>
              <w:bottom w:val="single" w:sz="4" w:space="0" w:color="000000"/>
              <w:right w:val="nil" w:sz="6" w:space="0" w:color="auto"/>
            </w:tcBorders>
          </w:tcPr>
          <w:p>
            <w:pPr>
              <w:pStyle w:val="TableParagraph"/>
              <w:spacing w:line="240" w:lineRule="auto" w:before="16"/>
              <w:ind w:left="29" w:right="0"/>
              <w:jc w:val="center"/>
              <w:rPr>
                <w:rFonts w:ascii="Calibri" w:hAnsi="Calibri" w:cs="Calibri" w:eastAsia="Calibri" w:hint="default"/>
                <w:sz w:val="20"/>
                <w:szCs w:val="20"/>
              </w:rPr>
            </w:pPr>
            <w:r>
              <w:rPr>
                <w:rFonts w:ascii="Calibri"/>
                <w:b/>
                <w:sz w:val="20"/>
              </w:rPr>
              <w:t>22,394</w:t>
            </w:r>
            <w:r>
              <w:rPr>
                <w:rFonts w:ascii="Calibri"/>
                <w:sz w:val="20"/>
              </w:rPr>
            </w:r>
          </w:p>
        </w:tc>
        <w:tc>
          <w:tcPr>
            <w:tcW w:w="1718" w:type="dxa"/>
            <w:tcBorders>
              <w:top w:val="single" w:sz="4" w:space="0" w:color="000000"/>
              <w:left w:val="nil" w:sz="6" w:space="0" w:color="auto"/>
              <w:bottom w:val="single" w:sz="4" w:space="0" w:color="000000"/>
              <w:right w:val="nil" w:sz="6" w:space="0" w:color="auto"/>
            </w:tcBorders>
          </w:tcPr>
          <w:p>
            <w:pPr>
              <w:pStyle w:val="TableParagraph"/>
              <w:spacing w:line="240" w:lineRule="auto" w:before="16"/>
              <w:ind w:left="75" w:right="0"/>
              <w:jc w:val="center"/>
              <w:rPr>
                <w:rFonts w:ascii="Calibri" w:hAnsi="Calibri" w:cs="Calibri" w:eastAsia="Calibri" w:hint="default"/>
                <w:sz w:val="20"/>
                <w:szCs w:val="20"/>
              </w:rPr>
            </w:pPr>
            <w:r>
              <w:rPr>
                <w:rFonts w:ascii="Calibri"/>
                <w:b/>
                <w:sz w:val="20"/>
              </w:rPr>
              <w:t>5,214</w:t>
            </w:r>
            <w:r>
              <w:rPr>
                <w:rFonts w:ascii="Calibri"/>
                <w:sz w:val="20"/>
              </w:rPr>
            </w:r>
          </w:p>
        </w:tc>
        <w:tc>
          <w:tcPr>
            <w:tcW w:w="1544" w:type="dxa"/>
            <w:tcBorders>
              <w:top w:val="single" w:sz="4" w:space="0" w:color="000000"/>
              <w:left w:val="nil" w:sz="6" w:space="0" w:color="auto"/>
              <w:bottom w:val="single" w:sz="4" w:space="0" w:color="000000"/>
              <w:right w:val="nil" w:sz="6" w:space="0" w:color="auto"/>
            </w:tcBorders>
          </w:tcPr>
          <w:p>
            <w:pPr>
              <w:pStyle w:val="TableParagraph"/>
              <w:spacing w:line="240" w:lineRule="auto" w:before="16"/>
              <w:ind w:right="63"/>
              <w:jc w:val="center"/>
              <w:rPr>
                <w:rFonts w:ascii="Calibri" w:hAnsi="Calibri" w:cs="Calibri" w:eastAsia="Calibri" w:hint="default"/>
                <w:sz w:val="20"/>
                <w:szCs w:val="20"/>
              </w:rPr>
            </w:pPr>
            <w:r>
              <w:rPr>
                <w:rFonts w:ascii="Calibri"/>
                <w:b/>
                <w:sz w:val="20"/>
              </w:rPr>
              <w:t>8,895</w:t>
            </w:r>
            <w:r>
              <w:rPr>
                <w:rFonts w:ascii="Calibri"/>
                <w:sz w:val="20"/>
              </w:rPr>
            </w:r>
          </w:p>
        </w:tc>
        <w:tc>
          <w:tcPr>
            <w:tcW w:w="1438" w:type="dxa"/>
            <w:tcBorders>
              <w:top w:val="single" w:sz="4" w:space="0" w:color="000000"/>
              <w:left w:val="nil" w:sz="6" w:space="0" w:color="auto"/>
              <w:bottom w:val="single" w:sz="4" w:space="0" w:color="000000"/>
              <w:right w:val="nil" w:sz="6" w:space="0" w:color="auto"/>
            </w:tcBorders>
          </w:tcPr>
          <w:p>
            <w:pPr>
              <w:pStyle w:val="TableParagraph"/>
              <w:spacing w:line="240" w:lineRule="auto" w:before="16"/>
              <w:ind w:right="121"/>
              <w:jc w:val="center"/>
              <w:rPr>
                <w:rFonts w:ascii="Calibri" w:hAnsi="Calibri" w:cs="Calibri" w:eastAsia="Calibri" w:hint="default"/>
                <w:sz w:val="20"/>
                <w:szCs w:val="20"/>
              </w:rPr>
            </w:pPr>
            <w:r>
              <w:rPr>
                <w:rFonts w:ascii="Calibri"/>
                <w:b/>
                <w:sz w:val="20"/>
              </w:rPr>
              <w:t>3,061</w:t>
            </w:r>
            <w:r>
              <w:rPr>
                <w:rFonts w:ascii="Calibri"/>
                <w:sz w:val="20"/>
              </w:rPr>
            </w:r>
          </w:p>
        </w:tc>
        <w:tc>
          <w:tcPr>
            <w:tcW w:w="1608" w:type="dxa"/>
            <w:tcBorders>
              <w:top w:val="single" w:sz="4" w:space="0" w:color="000000"/>
              <w:left w:val="nil" w:sz="6" w:space="0" w:color="auto"/>
              <w:bottom w:val="single" w:sz="4" w:space="0" w:color="000000"/>
              <w:right w:val="nil" w:sz="6" w:space="0" w:color="auto"/>
            </w:tcBorders>
          </w:tcPr>
          <w:p>
            <w:pPr>
              <w:pStyle w:val="TableParagraph"/>
              <w:spacing w:line="240" w:lineRule="auto" w:before="16"/>
              <w:ind w:right="50"/>
              <w:jc w:val="center"/>
              <w:rPr>
                <w:rFonts w:ascii="Calibri" w:hAnsi="Calibri" w:cs="Calibri" w:eastAsia="Calibri" w:hint="default"/>
                <w:sz w:val="20"/>
                <w:szCs w:val="20"/>
              </w:rPr>
            </w:pPr>
            <w:r>
              <w:rPr>
                <w:rFonts w:ascii="Calibri"/>
                <w:b/>
                <w:sz w:val="20"/>
              </w:rPr>
              <w:t>39,564</w:t>
            </w:r>
            <w:r>
              <w:rPr>
                <w:rFonts w:ascii="Calibri"/>
                <w:sz w:val="20"/>
              </w:rPr>
            </w:r>
          </w:p>
        </w:tc>
      </w:tr>
    </w:tbl>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pStyle w:val="Heading2"/>
        <w:spacing w:line="240" w:lineRule="auto"/>
        <w:ind w:right="0"/>
        <w:jc w:val="both"/>
        <w:rPr>
          <w:b w:val="0"/>
          <w:bCs w:val="0"/>
        </w:rPr>
      </w:pPr>
      <w:bookmarkStart w:name="_bookmark122" w:id="123"/>
      <w:bookmarkEnd w:id="123"/>
      <w:r>
        <w:rPr>
          <w:b w:val="0"/>
        </w:rPr>
      </w:r>
      <w:r>
        <w:rPr/>
        <w:t>Phase 1:</w:t>
      </w:r>
      <w:r>
        <w:rPr>
          <w:spacing w:val="-9"/>
        </w:rPr>
        <w:t> </w:t>
      </w:r>
      <w:r>
        <w:rPr/>
        <w:t>Traction</w:t>
      </w:r>
      <w:r>
        <w:rPr>
          <w:b w:val="0"/>
        </w:rPr>
      </w:r>
    </w:p>
    <w:p>
      <w:pPr>
        <w:spacing w:line="240" w:lineRule="auto" w:before="9"/>
        <w:ind w:right="0"/>
        <w:rPr>
          <w:rFonts w:ascii="Calibri" w:hAnsi="Calibri" w:cs="Calibri" w:eastAsia="Calibri" w:hint="default"/>
          <w:b/>
          <w:bCs/>
          <w:sz w:val="35"/>
          <w:szCs w:val="35"/>
        </w:rPr>
      </w:pPr>
    </w:p>
    <w:p>
      <w:pPr>
        <w:pStyle w:val="BodyText"/>
        <w:spacing w:line="240" w:lineRule="auto"/>
        <w:ind w:right="1434"/>
        <w:jc w:val="both"/>
        <w:rPr>
          <w:sz w:val="12"/>
          <w:szCs w:val="12"/>
        </w:rPr>
      </w:pPr>
      <w:r>
        <w:rPr/>
        <w:t>The traction phase suggests a 10% increase in hotel occupancy rates by year 2. This means that, in the next two years,</w:t>
      </w:r>
      <w:r>
        <w:rPr>
          <w:spacing w:val="-9"/>
        </w:rPr>
        <w:t> </w:t>
      </w:r>
      <w:r>
        <w:rPr/>
        <w:t>hotels</w:t>
      </w:r>
      <w:r>
        <w:rPr>
          <w:spacing w:val="-8"/>
        </w:rPr>
        <w:t> </w:t>
      </w:r>
      <w:r>
        <w:rPr/>
        <w:t>will</w:t>
      </w:r>
      <w:r>
        <w:rPr>
          <w:spacing w:val="-10"/>
        </w:rPr>
        <w:t> </w:t>
      </w:r>
      <w:r>
        <w:rPr/>
        <w:t>need</w:t>
      </w:r>
      <w:r>
        <w:rPr>
          <w:spacing w:val="-9"/>
        </w:rPr>
        <w:t> </w:t>
      </w:r>
      <w:r>
        <w:rPr/>
        <w:t>to</w:t>
      </w:r>
      <w:r>
        <w:rPr>
          <w:spacing w:val="-9"/>
        </w:rPr>
        <w:t> </w:t>
      </w:r>
      <w:r>
        <w:rPr/>
        <w:t>achieve</w:t>
      </w:r>
      <w:r>
        <w:rPr>
          <w:spacing w:val="-10"/>
        </w:rPr>
        <w:t> </w:t>
      </w:r>
      <w:r>
        <w:rPr/>
        <w:t>an</w:t>
      </w:r>
      <w:r>
        <w:rPr>
          <w:spacing w:val="-8"/>
        </w:rPr>
        <w:t> </w:t>
      </w:r>
      <w:r>
        <w:rPr/>
        <w:t>80%</w:t>
      </w:r>
      <w:r>
        <w:rPr>
          <w:spacing w:val="-10"/>
        </w:rPr>
        <w:t> </w:t>
      </w:r>
      <w:r>
        <w:rPr/>
        <w:t>occupancy</w:t>
      </w:r>
      <w:r>
        <w:rPr>
          <w:spacing w:val="-9"/>
        </w:rPr>
        <w:t> </w:t>
      </w:r>
      <w:r>
        <w:rPr/>
        <w:t>rate,</w:t>
      </w:r>
      <w:r>
        <w:rPr>
          <w:spacing w:val="-9"/>
        </w:rPr>
        <w:t> </w:t>
      </w:r>
      <w:r>
        <w:rPr/>
        <w:t>which</w:t>
      </w:r>
      <w:r>
        <w:rPr>
          <w:spacing w:val="-9"/>
        </w:rPr>
        <w:t> </w:t>
      </w:r>
      <w:r>
        <w:rPr/>
        <w:t>will</w:t>
      </w:r>
      <w:r>
        <w:rPr>
          <w:spacing w:val="-10"/>
        </w:rPr>
        <w:t> </w:t>
      </w:r>
      <w:r>
        <w:rPr/>
        <w:t>increase</w:t>
      </w:r>
      <w:r>
        <w:rPr>
          <w:spacing w:val="-9"/>
        </w:rPr>
        <w:t> </w:t>
      </w:r>
      <w:r>
        <w:rPr/>
        <w:t>RevPAR</w:t>
      </w:r>
      <w:r>
        <w:rPr>
          <w:spacing w:val="-9"/>
        </w:rPr>
        <w:t> </w:t>
      </w:r>
      <w:r>
        <w:rPr/>
        <w:t>by</w:t>
      </w:r>
      <w:r>
        <w:rPr>
          <w:spacing w:val="-8"/>
        </w:rPr>
        <w:t> </w:t>
      </w:r>
      <w:r>
        <w:rPr/>
        <w:t>US$15,</w:t>
      </w:r>
      <w:r>
        <w:rPr>
          <w:spacing w:val="-9"/>
        </w:rPr>
        <w:t> </w:t>
      </w:r>
      <w:r>
        <w:rPr/>
        <w:t>thus</w:t>
      </w:r>
      <w:r>
        <w:rPr>
          <w:spacing w:val="-10"/>
        </w:rPr>
        <w:t> </w:t>
      </w:r>
      <w:r>
        <w:rPr/>
        <w:t>making</w:t>
      </w:r>
      <w:r>
        <w:rPr>
          <w:spacing w:val="-7"/>
        </w:rPr>
        <w:t> </w:t>
      </w:r>
      <w:r>
        <w:rPr/>
        <w:t>RevPAR </w:t>
      </w:r>
      <w:r>
        <w:rPr/>
        <w:t>approximately</w:t>
      </w:r>
      <w:r>
        <w:rPr>
          <w:spacing w:val="-9"/>
        </w:rPr>
        <w:t> </w:t>
      </w:r>
      <w:r>
        <w:rPr/>
        <w:t>US$114</w:t>
      </w:r>
      <w:r>
        <w:rPr>
          <w:spacing w:val="-10"/>
        </w:rPr>
        <w:t> </w:t>
      </w:r>
      <w:r>
        <w:rPr/>
        <w:t>in</w:t>
      </w:r>
      <w:r>
        <w:rPr>
          <w:spacing w:val="-10"/>
        </w:rPr>
        <w:t> </w:t>
      </w:r>
      <w:r>
        <w:rPr/>
        <w:t>two</w:t>
      </w:r>
      <w:r>
        <w:rPr>
          <w:spacing w:val="-10"/>
        </w:rPr>
        <w:t> </w:t>
      </w:r>
      <w:r>
        <w:rPr/>
        <w:t>years.</w:t>
      </w:r>
      <w:r>
        <w:rPr>
          <w:spacing w:val="26"/>
        </w:rPr>
        <w:t> </w:t>
      </w:r>
      <w:r>
        <w:rPr/>
        <w:t>This</w:t>
      </w:r>
      <w:r>
        <w:rPr>
          <w:spacing w:val="-12"/>
        </w:rPr>
        <w:t> </w:t>
      </w:r>
      <w:r>
        <w:rPr/>
        <w:t>increase</w:t>
      </w:r>
      <w:r>
        <w:rPr>
          <w:spacing w:val="-11"/>
        </w:rPr>
        <w:t> </w:t>
      </w:r>
      <w:r>
        <w:rPr/>
        <w:t>of</w:t>
      </w:r>
      <w:r>
        <w:rPr>
          <w:spacing w:val="-11"/>
        </w:rPr>
        <w:t> </w:t>
      </w:r>
      <w:r>
        <w:rPr/>
        <w:t>US$15</w:t>
      </w:r>
      <w:r>
        <w:rPr>
          <w:spacing w:val="-11"/>
        </w:rPr>
        <w:t> </w:t>
      </w:r>
      <w:r>
        <w:rPr/>
        <w:t>in</w:t>
      </w:r>
      <w:r>
        <w:rPr>
          <w:spacing w:val="-10"/>
        </w:rPr>
        <w:t> </w:t>
      </w:r>
      <w:r>
        <w:rPr/>
        <w:t>RevPAR</w:t>
      </w:r>
      <w:r>
        <w:rPr>
          <w:spacing w:val="-9"/>
        </w:rPr>
        <w:t> </w:t>
      </w:r>
      <w:r>
        <w:rPr/>
        <w:t>means</w:t>
      </w:r>
      <w:r>
        <w:rPr>
          <w:spacing w:val="-11"/>
        </w:rPr>
        <w:t> </w:t>
      </w:r>
      <w:r>
        <w:rPr/>
        <w:t>an</w:t>
      </w:r>
      <w:r>
        <w:rPr>
          <w:spacing w:val="-9"/>
        </w:rPr>
        <w:t> </w:t>
      </w:r>
      <w:r>
        <w:rPr/>
        <w:t>additional</w:t>
      </w:r>
      <w:r>
        <w:rPr>
          <w:spacing w:val="-12"/>
        </w:rPr>
        <w:t> </w:t>
      </w:r>
      <w:r>
        <w:rPr/>
        <w:t>US$133</w:t>
      </w:r>
      <w:r>
        <w:rPr>
          <w:spacing w:val="-11"/>
        </w:rPr>
        <w:t> </w:t>
      </w:r>
      <w:r>
        <w:rPr/>
        <w:t>million</w:t>
      </w:r>
      <w:r>
        <w:rPr>
          <w:spacing w:val="-10"/>
        </w:rPr>
        <w:t> </w:t>
      </w:r>
      <w:r>
        <w:rPr/>
        <w:t>in</w:t>
      </w:r>
      <w:r>
        <w:rPr>
          <w:spacing w:val="-10"/>
        </w:rPr>
        <w:t> </w:t>
      </w:r>
      <w:r>
        <w:rPr/>
        <w:t>foreign </w:t>
      </w:r>
      <w:r>
        <w:rPr/>
        <w:t>exchange, which will lead to an additional 1.8% real economic growth per year, and 1,918 direct and indirect jobs. These numbers do not include the multiplier effects </w:t>
      </w:r>
      <w:r>
        <w:rPr>
          <w:spacing w:val="2"/>
        </w:rPr>
        <w:t>of</w:t>
      </w:r>
      <w:r>
        <w:rPr>
          <w:spacing w:val="-30"/>
        </w:rPr>
        <w:t> </w:t>
      </w:r>
      <w:r>
        <w:rPr/>
        <w:t>tourism in the local economy.</w:t>
      </w:r>
      <w:r>
        <w:rPr>
          <w:position w:val="5"/>
          <w:sz w:val="12"/>
        </w:rPr>
        <w:t>60</w:t>
      </w:r>
      <w:r>
        <w:rPr>
          <w:sz w:val="12"/>
        </w:rPr>
      </w:r>
    </w:p>
    <w:p>
      <w:pPr>
        <w:spacing w:line="240" w:lineRule="auto" w:before="12"/>
        <w:ind w:right="0"/>
        <w:rPr>
          <w:rFonts w:ascii="Calibri" w:hAnsi="Calibri" w:cs="Calibri" w:eastAsia="Calibri" w:hint="default"/>
          <w:sz w:val="19"/>
          <w:szCs w:val="19"/>
        </w:rPr>
      </w:pPr>
    </w:p>
    <w:p>
      <w:pPr>
        <w:pStyle w:val="BodyText"/>
        <w:spacing w:line="240" w:lineRule="auto"/>
        <w:ind w:right="1437"/>
        <w:jc w:val="both"/>
      </w:pPr>
      <w:r>
        <w:rPr/>
        <w:t>The increased occupancy rate of 5% for each year in the first two years of the strategic plan may seem aggressive. This statistic is based on the information from the distribution of hotel stays that was previously alluded to in Table 11 of Chapter 3. When considering that the historic growth of arrivals to Curaçao has increased by 7% on average each</w:t>
      </w:r>
      <w:r>
        <w:rPr>
          <w:spacing w:val="-8"/>
        </w:rPr>
        <w:t> </w:t>
      </w:r>
      <w:r>
        <w:rPr/>
        <w:t>year</w:t>
      </w:r>
      <w:r>
        <w:rPr>
          <w:spacing w:val="-6"/>
        </w:rPr>
        <w:t> </w:t>
      </w:r>
      <w:r>
        <w:rPr/>
        <w:t>for</w:t>
      </w:r>
      <w:r>
        <w:rPr>
          <w:spacing w:val="-8"/>
        </w:rPr>
        <w:t> </w:t>
      </w:r>
      <w:r>
        <w:rPr/>
        <w:t>the</w:t>
      </w:r>
      <w:r>
        <w:rPr>
          <w:spacing w:val="-8"/>
        </w:rPr>
        <w:t> </w:t>
      </w:r>
      <w:r>
        <w:rPr/>
        <w:t>last</w:t>
      </w:r>
      <w:r>
        <w:rPr>
          <w:spacing w:val="-6"/>
        </w:rPr>
        <w:t> </w:t>
      </w:r>
      <w:r>
        <w:rPr/>
        <w:t>15</w:t>
      </w:r>
      <w:r>
        <w:rPr>
          <w:spacing w:val="-9"/>
        </w:rPr>
        <w:t> </w:t>
      </w:r>
      <w:r>
        <w:rPr/>
        <w:t>years,</w:t>
      </w:r>
      <w:r>
        <w:rPr>
          <w:spacing w:val="-8"/>
        </w:rPr>
        <w:t> </w:t>
      </w:r>
      <w:r>
        <w:rPr/>
        <w:t>a</w:t>
      </w:r>
      <w:r>
        <w:rPr>
          <w:spacing w:val="-8"/>
        </w:rPr>
        <w:t> </w:t>
      </w:r>
      <w:r>
        <w:rPr/>
        <w:t>10%</w:t>
      </w:r>
      <w:r>
        <w:rPr>
          <w:spacing w:val="-8"/>
        </w:rPr>
        <w:t> </w:t>
      </w:r>
      <w:r>
        <w:rPr/>
        <w:t>increase</w:t>
      </w:r>
      <w:r>
        <w:rPr>
          <w:spacing w:val="-8"/>
        </w:rPr>
        <w:t> </w:t>
      </w:r>
      <w:r>
        <w:rPr/>
        <w:t>in</w:t>
      </w:r>
      <w:r>
        <w:rPr>
          <w:spacing w:val="-8"/>
        </w:rPr>
        <w:t> </w:t>
      </w:r>
      <w:r>
        <w:rPr/>
        <w:t>two</w:t>
      </w:r>
      <w:r>
        <w:rPr>
          <w:spacing w:val="-7"/>
        </w:rPr>
        <w:t> </w:t>
      </w:r>
      <w:r>
        <w:rPr/>
        <w:t>years</w:t>
      </w:r>
      <w:r>
        <w:rPr>
          <w:spacing w:val="-9"/>
        </w:rPr>
        <w:t> </w:t>
      </w:r>
      <w:r>
        <w:rPr/>
        <w:t>is</w:t>
      </w:r>
      <w:r>
        <w:rPr>
          <w:spacing w:val="-8"/>
        </w:rPr>
        <w:t> </w:t>
      </w:r>
      <w:r>
        <w:rPr/>
        <w:t>not</w:t>
      </w:r>
      <w:r>
        <w:rPr>
          <w:spacing w:val="-8"/>
        </w:rPr>
        <w:t> </w:t>
      </w:r>
      <w:r>
        <w:rPr/>
        <w:t>only</w:t>
      </w:r>
      <w:r>
        <w:rPr>
          <w:spacing w:val="-8"/>
        </w:rPr>
        <w:t> </w:t>
      </w:r>
      <w:r>
        <w:rPr/>
        <w:t>feasible,</w:t>
      </w:r>
      <w:r>
        <w:rPr>
          <w:spacing w:val="-8"/>
        </w:rPr>
        <w:t> </w:t>
      </w:r>
      <w:r>
        <w:rPr/>
        <w:t>but</w:t>
      </w:r>
      <w:r>
        <w:rPr>
          <w:spacing w:val="-8"/>
        </w:rPr>
        <w:t> </w:t>
      </w:r>
      <w:r>
        <w:rPr/>
        <w:t>necessary.</w:t>
      </w:r>
      <w:r>
        <w:rPr>
          <w:spacing w:val="29"/>
        </w:rPr>
        <w:t> </w:t>
      </w:r>
      <w:r>
        <w:rPr/>
        <w:t>The</w:t>
      </w:r>
      <w:r>
        <w:rPr>
          <w:spacing w:val="-8"/>
        </w:rPr>
        <w:t> </w:t>
      </w:r>
      <w:r>
        <w:rPr/>
        <w:t>necessity</w:t>
      </w:r>
      <w:r>
        <w:rPr>
          <w:spacing w:val="-8"/>
        </w:rPr>
        <w:t> </w:t>
      </w:r>
      <w:r>
        <w:rPr/>
        <w:t>is</w:t>
      </w:r>
      <w:r>
        <w:rPr>
          <w:spacing w:val="-9"/>
        </w:rPr>
        <w:t> </w:t>
      </w:r>
      <w:r>
        <w:rPr/>
        <w:t>based </w:t>
      </w:r>
      <w:r>
        <w:rPr/>
        <w:t>on the precarious situation in Venezuela, which is the main trade partner for Curaçao, and is the second largest tourist market for the island. The Venezuelan market is already showing signs of decline. Therefore, it behooves destination managers to quickly consider and act upon the opportunities in the Colombian market stemming from the visa elimination applied to Colombian citizens on July 1,</w:t>
      </w:r>
      <w:r>
        <w:rPr>
          <w:spacing w:val="-23"/>
        </w:rPr>
        <w:t> </w:t>
      </w:r>
      <w:r>
        <w:rPr/>
        <w:t>2015.</w:t>
      </w:r>
    </w:p>
    <w:p>
      <w:pPr>
        <w:spacing w:line="240" w:lineRule="auto" w:before="2"/>
        <w:ind w:right="0"/>
        <w:rPr>
          <w:rFonts w:ascii="Calibri" w:hAnsi="Calibri" w:cs="Calibri" w:eastAsia="Calibri" w:hint="default"/>
          <w:sz w:val="23"/>
          <w:szCs w:val="23"/>
        </w:rPr>
      </w:pPr>
    </w:p>
    <w:p>
      <w:pPr>
        <w:pStyle w:val="Heading2"/>
        <w:spacing w:line="240" w:lineRule="auto" w:before="0"/>
        <w:ind w:right="0"/>
        <w:jc w:val="both"/>
        <w:rPr>
          <w:b w:val="0"/>
          <w:bCs w:val="0"/>
        </w:rPr>
      </w:pPr>
      <w:bookmarkStart w:name="_bookmark123" w:id="124"/>
      <w:bookmarkEnd w:id="124"/>
      <w:r>
        <w:rPr>
          <w:b w:val="0"/>
        </w:rPr>
      </w:r>
      <w:r>
        <w:rPr/>
        <w:t>Phase 2:</w:t>
      </w:r>
      <w:r>
        <w:rPr>
          <w:spacing w:val="-11"/>
        </w:rPr>
        <w:t> </w:t>
      </w:r>
      <w:r>
        <w:rPr/>
        <w:t>Solidification</w:t>
      </w:r>
      <w:r>
        <w:rPr>
          <w:b w:val="0"/>
        </w:rPr>
      </w:r>
    </w:p>
    <w:p>
      <w:pPr>
        <w:spacing w:line="240" w:lineRule="auto" w:before="7"/>
        <w:ind w:right="0"/>
        <w:rPr>
          <w:rFonts w:ascii="Calibri" w:hAnsi="Calibri" w:cs="Calibri" w:eastAsia="Calibri" w:hint="default"/>
          <w:b/>
          <w:bCs/>
          <w:sz w:val="35"/>
          <w:szCs w:val="35"/>
        </w:rPr>
      </w:pPr>
    </w:p>
    <w:p>
      <w:pPr>
        <w:pStyle w:val="BodyText"/>
        <w:spacing w:line="240" w:lineRule="auto"/>
        <w:ind w:right="1436"/>
        <w:jc w:val="both"/>
        <w:rPr>
          <w:rFonts w:ascii="Times New Roman" w:hAnsi="Times New Roman" w:cs="Times New Roman" w:eastAsia="Times New Roman" w:hint="default"/>
        </w:rPr>
      </w:pPr>
      <w:r>
        <w:rPr/>
        <w:t>The solidification phase includes years 3 and 4. During years 3 and </w:t>
      </w:r>
      <w:r>
        <w:rPr>
          <w:spacing w:val="2"/>
        </w:rPr>
        <w:t>4, </w:t>
      </w:r>
      <w:r>
        <w:rPr/>
        <w:t>the plan foresees a slowing of the arrivals </w:t>
      </w:r>
      <w:r>
        <w:rPr/>
        <w:t>growth rate of 4% in year 3, and 2% in year 4. In actual numbers, tourist arrivals are expected to drop from 50,000 in</w:t>
      </w:r>
      <w:r>
        <w:rPr>
          <w:spacing w:val="-9"/>
        </w:rPr>
        <w:t> </w:t>
      </w:r>
      <w:r>
        <w:rPr/>
        <w:t>both</w:t>
      </w:r>
      <w:r>
        <w:rPr>
          <w:spacing w:val="-10"/>
        </w:rPr>
        <w:t> </w:t>
      </w:r>
      <w:r>
        <w:rPr/>
        <w:t>years</w:t>
      </w:r>
      <w:r>
        <w:rPr>
          <w:spacing w:val="-10"/>
        </w:rPr>
        <w:t> </w:t>
      </w:r>
      <w:r>
        <w:rPr/>
        <w:t>1</w:t>
      </w:r>
      <w:r>
        <w:rPr>
          <w:spacing w:val="-9"/>
        </w:rPr>
        <w:t> </w:t>
      </w:r>
      <w:r>
        <w:rPr/>
        <w:t>and</w:t>
      </w:r>
      <w:r>
        <w:rPr>
          <w:spacing w:val="-9"/>
        </w:rPr>
        <w:t> </w:t>
      </w:r>
      <w:r>
        <w:rPr/>
        <w:t>2</w:t>
      </w:r>
      <w:r>
        <w:rPr>
          <w:spacing w:val="-12"/>
        </w:rPr>
        <w:t> </w:t>
      </w:r>
      <w:r>
        <w:rPr/>
        <w:t>to</w:t>
      </w:r>
      <w:r>
        <w:rPr>
          <w:spacing w:val="-9"/>
        </w:rPr>
        <w:t> </w:t>
      </w:r>
      <w:r>
        <w:rPr/>
        <w:t>15,000</w:t>
      </w:r>
      <w:r>
        <w:rPr>
          <w:spacing w:val="-10"/>
        </w:rPr>
        <w:t> </w:t>
      </w:r>
      <w:r>
        <w:rPr/>
        <w:t>in</w:t>
      </w:r>
      <w:r>
        <w:rPr>
          <w:spacing w:val="-7"/>
        </w:rPr>
        <w:t> </w:t>
      </w:r>
      <w:r>
        <w:rPr/>
        <w:t>both</w:t>
      </w:r>
      <w:r>
        <w:rPr>
          <w:spacing w:val="-10"/>
        </w:rPr>
        <w:t> </w:t>
      </w:r>
      <w:r>
        <w:rPr/>
        <w:t>years</w:t>
      </w:r>
      <w:r>
        <w:rPr>
          <w:spacing w:val="-10"/>
        </w:rPr>
        <w:t> </w:t>
      </w:r>
      <w:r>
        <w:rPr/>
        <w:t>3</w:t>
      </w:r>
      <w:r>
        <w:rPr>
          <w:spacing w:val="-9"/>
        </w:rPr>
        <w:t> </w:t>
      </w:r>
      <w:r>
        <w:rPr/>
        <w:t>and</w:t>
      </w:r>
      <w:r>
        <w:rPr>
          <w:spacing w:val="-9"/>
        </w:rPr>
        <w:t> </w:t>
      </w:r>
      <w:r>
        <w:rPr/>
        <w:t>4.</w:t>
      </w:r>
      <w:r>
        <w:rPr>
          <w:spacing w:val="25"/>
        </w:rPr>
        <w:t> </w:t>
      </w:r>
      <w:r>
        <w:rPr/>
        <w:t>The</w:t>
      </w:r>
      <w:r>
        <w:rPr>
          <w:spacing w:val="-10"/>
        </w:rPr>
        <w:t> </w:t>
      </w:r>
      <w:r>
        <w:rPr/>
        <w:t>anticipated</w:t>
      </w:r>
      <w:r>
        <w:rPr>
          <w:spacing w:val="-9"/>
        </w:rPr>
        <w:t> </w:t>
      </w:r>
      <w:r>
        <w:rPr/>
        <w:t>decrease</w:t>
      </w:r>
      <w:r>
        <w:rPr>
          <w:spacing w:val="-10"/>
        </w:rPr>
        <w:t> </w:t>
      </w:r>
      <w:r>
        <w:rPr/>
        <w:t>in</w:t>
      </w:r>
      <w:r>
        <w:rPr>
          <w:spacing w:val="-7"/>
        </w:rPr>
        <w:t> </w:t>
      </w:r>
      <w:r>
        <w:rPr/>
        <w:t>arrivals</w:t>
      </w:r>
      <w:r>
        <w:rPr>
          <w:spacing w:val="-7"/>
        </w:rPr>
        <w:t> </w:t>
      </w:r>
      <w:r>
        <w:rPr/>
        <w:t>is</w:t>
      </w:r>
      <w:r>
        <w:rPr>
          <w:spacing w:val="-11"/>
        </w:rPr>
        <w:t> </w:t>
      </w:r>
      <w:r>
        <w:rPr/>
        <w:t>based</w:t>
      </w:r>
      <w:r>
        <w:rPr>
          <w:spacing w:val="-9"/>
        </w:rPr>
        <w:t> </w:t>
      </w:r>
      <w:r>
        <w:rPr/>
        <w:t>on</w:t>
      </w:r>
      <w:r>
        <w:rPr>
          <w:spacing w:val="-9"/>
        </w:rPr>
        <w:t> </w:t>
      </w:r>
      <w:r>
        <w:rPr/>
        <w:t>the</w:t>
      </w:r>
      <w:r>
        <w:rPr>
          <w:spacing w:val="-10"/>
        </w:rPr>
        <w:t> </w:t>
      </w:r>
      <w:r>
        <w:rPr/>
        <w:t>Venezuelan </w:t>
      </w:r>
      <w:r>
        <w:rPr/>
        <w:t>situation, as well as the expectation that the plan will work, thereby accomplishing the 10% increase in hotel occupancy rates in years 1 and 2, but reaching a level of 85% occupancy rates in years 3 and 4. According to anecdotal evidence, the increased level of hotel occupancy rates (85%) in years 3 and 4 may show signs of diminishing</w:t>
      </w:r>
      <w:r>
        <w:rPr>
          <w:spacing w:val="-14"/>
        </w:rPr>
        <w:t> </w:t>
      </w:r>
      <w:r>
        <w:rPr/>
        <w:t>returns.</w:t>
      </w:r>
      <w:r>
        <w:rPr>
          <w:spacing w:val="21"/>
        </w:rPr>
        <w:t> </w:t>
      </w:r>
      <w:r>
        <w:rPr/>
        <w:t>The</w:t>
      </w:r>
      <w:r>
        <w:rPr>
          <w:spacing w:val="-12"/>
        </w:rPr>
        <w:t> </w:t>
      </w:r>
      <w:r>
        <w:rPr/>
        <w:t>economic</w:t>
      </w:r>
      <w:r>
        <w:rPr>
          <w:spacing w:val="-15"/>
        </w:rPr>
        <w:t> </w:t>
      </w:r>
      <w:r>
        <w:rPr/>
        <w:t>impact</w:t>
      </w:r>
      <w:r>
        <w:rPr>
          <w:spacing w:val="-13"/>
        </w:rPr>
        <w:t> </w:t>
      </w:r>
      <w:r>
        <w:rPr/>
        <w:t>of</w:t>
      </w:r>
      <w:r>
        <w:rPr>
          <w:spacing w:val="-15"/>
        </w:rPr>
        <w:t> </w:t>
      </w:r>
      <w:r>
        <w:rPr/>
        <w:t>this</w:t>
      </w:r>
      <w:r>
        <w:rPr>
          <w:spacing w:val="-10"/>
        </w:rPr>
        <w:t> </w:t>
      </w:r>
      <w:r>
        <w:rPr/>
        <w:t>solidification</w:t>
      </w:r>
      <w:r>
        <w:rPr>
          <w:spacing w:val="-12"/>
        </w:rPr>
        <w:t> </w:t>
      </w:r>
      <w:r>
        <w:rPr/>
        <w:t>phase</w:t>
      </w:r>
      <w:r>
        <w:rPr>
          <w:spacing w:val="-15"/>
        </w:rPr>
        <w:t> </w:t>
      </w:r>
      <w:r>
        <w:rPr/>
        <w:t>means</w:t>
      </w:r>
      <w:r>
        <w:rPr>
          <w:spacing w:val="-11"/>
        </w:rPr>
        <w:t> </w:t>
      </w:r>
      <w:r>
        <w:rPr/>
        <w:t>US$</w:t>
      </w:r>
      <w:r>
        <w:rPr>
          <w:rFonts w:ascii="Times New Roman"/>
        </w:rPr>
        <w:t>943.9</w:t>
      </w:r>
      <w:r>
        <w:rPr>
          <w:rFonts w:ascii="Times New Roman"/>
          <w:spacing w:val="-13"/>
        </w:rPr>
        <w:t> </w:t>
      </w:r>
      <w:r>
        <w:rPr>
          <w:rFonts w:ascii="Times New Roman"/>
        </w:rPr>
        <w:t>million</w:t>
      </w:r>
      <w:r>
        <w:rPr>
          <w:rFonts w:ascii="Times New Roman"/>
          <w:spacing w:val="-15"/>
        </w:rPr>
        <w:t> </w:t>
      </w:r>
      <w:r>
        <w:rPr>
          <w:rFonts w:ascii="Times New Roman"/>
        </w:rPr>
        <w:t>by</w:t>
      </w:r>
      <w:r>
        <w:rPr>
          <w:rFonts w:ascii="Times New Roman"/>
          <w:spacing w:val="-18"/>
        </w:rPr>
        <w:t> </w:t>
      </w:r>
      <w:r>
        <w:rPr>
          <w:rFonts w:ascii="Times New Roman"/>
        </w:rPr>
        <w:t>2018</w:t>
      </w:r>
      <w:r>
        <w:rPr>
          <w:rFonts w:ascii="Times New Roman"/>
          <w:spacing w:val="-13"/>
        </w:rPr>
        <w:t> </w:t>
      </w:r>
      <w:r>
        <w:rPr>
          <w:rFonts w:ascii="Times New Roman"/>
        </w:rPr>
        <w:t>and</w:t>
      </w:r>
      <w:r>
        <w:rPr>
          <w:rFonts w:ascii="Times New Roman"/>
          <w:spacing w:val="-13"/>
        </w:rPr>
        <w:t> </w:t>
      </w:r>
      <w:r>
        <w:rPr>
          <w:rFonts w:ascii="Times New Roman"/>
        </w:rPr>
        <w:t>US$989.1 </w:t>
      </w:r>
      <w:r>
        <w:rPr>
          <w:rFonts w:ascii="Times New Roman"/>
        </w:rPr>
        <w:t>by</w:t>
      </w:r>
      <w:r>
        <w:rPr>
          <w:rFonts w:ascii="Times New Roman"/>
          <w:spacing w:val="-2"/>
        </w:rPr>
        <w:t> </w:t>
      </w:r>
      <w:r>
        <w:rPr>
          <w:rFonts w:ascii="Times New Roman"/>
        </w:rPr>
        <w:t>2019.</w:t>
      </w:r>
    </w:p>
    <w:p>
      <w:pPr>
        <w:spacing w:line="240" w:lineRule="auto" w:before="3" w:after="0"/>
        <w:ind w:right="0"/>
        <w:rPr>
          <w:rFonts w:ascii="Times New Roman" w:hAnsi="Times New Roman" w:cs="Times New Roman" w:eastAsia="Times New Roman" w:hint="default"/>
          <w:sz w:val="25"/>
          <w:szCs w:val="25"/>
        </w:rPr>
      </w:pPr>
    </w:p>
    <w:p>
      <w:pPr>
        <w:spacing w:line="20" w:lineRule="exact"/>
        <w:ind w:left="1434" w:right="0" w:firstLine="0"/>
        <w:rPr>
          <w:rFonts w:ascii="Times New Roman" w:hAnsi="Times New Roman" w:cs="Times New Roman" w:eastAsia="Times New Roman" w:hint="default"/>
          <w:sz w:val="2"/>
          <w:szCs w:val="2"/>
        </w:rPr>
      </w:pPr>
      <w:r>
        <w:rPr>
          <w:rFonts w:ascii="Times New Roman" w:hAnsi="Times New Roman" w:cs="Times New Roman" w:eastAsia="Times New Roman"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Times New Roman" w:hAnsi="Times New Roman" w:cs="Times New Roman" w:eastAsia="Times New Roman" w:hint="default"/>
          <w:sz w:val="2"/>
          <w:szCs w:val="2"/>
        </w:rPr>
      </w:r>
    </w:p>
    <w:p>
      <w:pPr>
        <w:spacing w:line="247" w:lineRule="auto" w:before="91"/>
        <w:ind w:left="1440" w:right="1640" w:firstLine="0"/>
        <w:jc w:val="left"/>
        <w:rPr>
          <w:rFonts w:ascii="Calibri" w:hAnsi="Calibri" w:cs="Calibri" w:eastAsia="Calibri" w:hint="default"/>
          <w:sz w:val="16"/>
          <w:szCs w:val="16"/>
        </w:rPr>
      </w:pPr>
      <w:r>
        <w:rPr>
          <w:rFonts w:ascii="Calibri" w:hAnsi="Calibri"/>
          <w:position w:val="5"/>
          <w:sz w:val="12"/>
        </w:rPr>
        <w:t>60 </w:t>
      </w:r>
      <w:r>
        <w:rPr>
          <w:rFonts w:ascii="Calibri" w:hAnsi="Calibri"/>
          <w:sz w:val="16"/>
        </w:rPr>
        <w:t>The DPITS is indebted to the Ministry of Economic Development of Curaçao in facilitating the estimation of the impact of the forecast on </w:t>
      </w:r>
      <w:r>
        <w:rPr>
          <w:rFonts w:ascii="Calibri" w:hAnsi="Calibri"/>
          <w:sz w:val="16"/>
        </w:rPr>
        <w:t>economic growth and</w:t>
      </w:r>
      <w:r>
        <w:rPr>
          <w:rFonts w:ascii="Calibri" w:hAnsi="Calibri"/>
          <w:spacing w:val="-9"/>
          <w:sz w:val="16"/>
        </w:rPr>
        <w:t> </w:t>
      </w:r>
      <w:r>
        <w:rPr>
          <w:rFonts w:ascii="Calibri" w:hAnsi="Calibri"/>
          <w:sz w:val="16"/>
        </w:rPr>
        <w:t>taxes.</w:t>
      </w:r>
    </w:p>
    <w:p>
      <w:pPr>
        <w:spacing w:after="0" w:line="247"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2"/>
        <w:ind w:right="0"/>
        <w:rPr>
          <w:rFonts w:ascii="Calibri" w:hAnsi="Calibri" w:cs="Calibri" w:eastAsia="Calibri" w:hint="default"/>
          <w:sz w:val="28"/>
          <w:szCs w:val="28"/>
        </w:rPr>
      </w:pPr>
    </w:p>
    <w:p>
      <w:pPr>
        <w:pStyle w:val="Heading2"/>
        <w:spacing w:line="240" w:lineRule="auto"/>
        <w:ind w:right="0"/>
        <w:jc w:val="both"/>
        <w:rPr>
          <w:b w:val="0"/>
          <w:bCs w:val="0"/>
        </w:rPr>
      </w:pPr>
      <w:bookmarkStart w:name="_bookmark124" w:id="125"/>
      <w:bookmarkEnd w:id="125"/>
      <w:r>
        <w:rPr>
          <w:b w:val="0"/>
        </w:rPr>
      </w:r>
      <w:r>
        <w:rPr/>
        <w:t>Phase 3: New</w:t>
      </w:r>
      <w:r>
        <w:rPr>
          <w:spacing w:val="-13"/>
        </w:rPr>
        <w:t> </w:t>
      </w:r>
      <w:r>
        <w:rPr/>
        <w:t>horizons</w:t>
      </w:r>
      <w:r>
        <w:rPr>
          <w:b w:val="0"/>
        </w:rPr>
      </w:r>
    </w:p>
    <w:p>
      <w:pPr>
        <w:spacing w:line="240" w:lineRule="auto" w:before="7"/>
        <w:ind w:right="0"/>
        <w:rPr>
          <w:rFonts w:ascii="Calibri" w:hAnsi="Calibri" w:cs="Calibri" w:eastAsia="Calibri" w:hint="default"/>
          <w:b/>
          <w:bCs/>
          <w:sz w:val="35"/>
          <w:szCs w:val="35"/>
        </w:rPr>
      </w:pPr>
    </w:p>
    <w:p>
      <w:pPr>
        <w:pStyle w:val="BodyText"/>
        <w:spacing w:line="240" w:lineRule="auto"/>
        <w:ind w:right="1435"/>
        <w:jc w:val="both"/>
      </w:pPr>
      <w:r>
        <w:rPr/>
        <w:t>The new horizons phase differs from the first two phases. During the first two phases, the concentration has primarily fallen on aligning the existing supply with a necessary demand surge Moving into year 5 (new horizons phase), it will become necessary for Curaçao </w:t>
      </w:r>
      <w:r>
        <w:rPr>
          <w:rFonts w:ascii="Calibri" w:hAnsi="Calibri" w:cs="Calibri" w:eastAsia="Calibri" w:hint="default"/>
        </w:rPr>
        <w:t>to increase the island’s room inventory. This means that </w:t>
      </w:r>
      <w:r>
        <w:rPr/>
        <w:t>Curaçao will need to incorporate additional high-quality hotel rooms that are accompanied with additional high-quality supporting products. For example, if Curaçao is successful in recruiting luxury brand hotels, then other supporting products</w:t>
      </w:r>
      <w:r>
        <w:rPr>
          <w:spacing w:val="-5"/>
        </w:rPr>
        <w:t> </w:t>
      </w:r>
      <w:r>
        <w:rPr/>
        <w:t>(e.g.</w:t>
      </w:r>
      <w:r>
        <w:rPr>
          <w:spacing w:val="-3"/>
        </w:rPr>
        <w:t> </w:t>
      </w:r>
      <w:r>
        <w:rPr/>
        <w:t>restaurants</w:t>
      </w:r>
      <w:r>
        <w:rPr>
          <w:spacing w:val="-4"/>
        </w:rPr>
        <w:t> </w:t>
      </w:r>
      <w:r>
        <w:rPr/>
        <w:t>and</w:t>
      </w:r>
      <w:r>
        <w:rPr>
          <w:spacing w:val="-3"/>
        </w:rPr>
        <w:t> </w:t>
      </w:r>
      <w:r>
        <w:rPr/>
        <w:t>attractions)</w:t>
      </w:r>
      <w:r>
        <w:rPr>
          <w:spacing w:val="-4"/>
        </w:rPr>
        <w:t> </w:t>
      </w:r>
      <w:r>
        <w:rPr/>
        <w:t>must</w:t>
      </w:r>
      <w:r>
        <w:rPr>
          <w:spacing w:val="-3"/>
        </w:rPr>
        <w:t> </w:t>
      </w:r>
      <w:r>
        <w:rPr/>
        <w:t>cater</w:t>
      </w:r>
      <w:r>
        <w:rPr>
          <w:spacing w:val="-3"/>
        </w:rPr>
        <w:t> </w:t>
      </w:r>
      <w:r>
        <w:rPr/>
        <w:t>to</w:t>
      </w:r>
      <w:r>
        <w:rPr>
          <w:spacing w:val="-3"/>
        </w:rPr>
        <w:t> </w:t>
      </w:r>
      <w:r>
        <w:rPr/>
        <w:t>the</w:t>
      </w:r>
      <w:r>
        <w:rPr>
          <w:spacing w:val="-4"/>
        </w:rPr>
        <w:t> </w:t>
      </w:r>
      <w:r>
        <w:rPr/>
        <w:t>clientele</w:t>
      </w:r>
      <w:r>
        <w:rPr>
          <w:spacing w:val="-4"/>
        </w:rPr>
        <w:t> </w:t>
      </w:r>
      <w:r>
        <w:rPr/>
        <w:t>that</w:t>
      </w:r>
      <w:r>
        <w:rPr>
          <w:spacing w:val="-3"/>
        </w:rPr>
        <w:t> </w:t>
      </w:r>
      <w:r>
        <w:rPr/>
        <w:t>would</w:t>
      </w:r>
      <w:r>
        <w:rPr>
          <w:spacing w:val="-3"/>
        </w:rPr>
        <w:t> </w:t>
      </w:r>
      <w:r>
        <w:rPr/>
        <w:t>consume</w:t>
      </w:r>
      <w:r>
        <w:rPr>
          <w:spacing w:val="-2"/>
        </w:rPr>
        <w:t> </w:t>
      </w:r>
      <w:r>
        <w:rPr/>
        <w:t>the</w:t>
      </w:r>
      <w:r>
        <w:rPr>
          <w:spacing w:val="-4"/>
        </w:rPr>
        <w:t> </w:t>
      </w:r>
      <w:r>
        <w:rPr/>
        <w:t>luxury</w:t>
      </w:r>
      <w:r>
        <w:rPr>
          <w:spacing w:val="-3"/>
        </w:rPr>
        <w:t> </w:t>
      </w:r>
      <w:r>
        <w:rPr/>
        <w:t>hotel.</w:t>
      </w:r>
    </w:p>
    <w:p>
      <w:pPr>
        <w:spacing w:line="240" w:lineRule="auto" w:before="11"/>
        <w:ind w:right="0"/>
        <w:rPr>
          <w:rFonts w:ascii="Calibri" w:hAnsi="Calibri" w:cs="Calibri" w:eastAsia="Calibri" w:hint="default"/>
          <w:sz w:val="19"/>
          <w:szCs w:val="19"/>
        </w:rPr>
      </w:pPr>
    </w:p>
    <w:p>
      <w:pPr>
        <w:pStyle w:val="BodyText"/>
        <w:spacing w:line="240" w:lineRule="auto"/>
        <w:ind w:right="1437"/>
        <w:jc w:val="both"/>
      </w:pPr>
      <w:r>
        <w:rPr/>
        <w:t>By year 5, the plan expects that Curaçao will increase its competitive position within the Caribbean region. The increase in competitive position will be measured by Curaçao</w:t>
      </w:r>
      <w:r>
        <w:rPr>
          <w:rFonts w:ascii="Calibri" w:hAnsi="Calibri" w:cs="Calibri" w:eastAsia="Calibri" w:hint="default"/>
        </w:rPr>
        <w:t>’s RevPAR value in relation to its competitive set. The </w:t>
      </w:r>
      <w:r>
        <w:rPr/>
        <w:t>expectation</w:t>
      </w:r>
      <w:r>
        <w:rPr>
          <w:spacing w:val="-7"/>
        </w:rPr>
        <w:t> </w:t>
      </w:r>
      <w:r>
        <w:rPr/>
        <w:t>is</w:t>
      </w:r>
      <w:r>
        <w:rPr>
          <w:spacing w:val="-9"/>
        </w:rPr>
        <w:t> </w:t>
      </w:r>
      <w:r>
        <w:rPr/>
        <w:t>that</w:t>
      </w:r>
      <w:r>
        <w:rPr>
          <w:spacing w:val="-6"/>
        </w:rPr>
        <w:t> </w:t>
      </w:r>
      <w:r>
        <w:rPr/>
        <w:t>Curaçao</w:t>
      </w:r>
      <w:r>
        <w:rPr>
          <w:rFonts w:ascii="Calibri" w:hAnsi="Calibri" w:cs="Calibri" w:eastAsia="Calibri" w:hint="default"/>
        </w:rPr>
        <w:t>’s</w:t>
      </w:r>
      <w:r>
        <w:rPr>
          <w:rFonts w:ascii="Calibri" w:hAnsi="Calibri" w:cs="Calibri" w:eastAsia="Calibri" w:hint="default"/>
          <w:spacing w:val="-9"/>
        </w:rPr>
        <w:t> </w:t>
      </w:r>
      <w:r>
        <w:rPr>
          <w:rFonts w:ascii="Calibri" w:hAnsi="Calibri" w:cs="Calibri" w:eastAsia="Calibri" w:hint="default"/>
        </w:rPr>
        <w:t>RevPAR</w:t>
      </w:r>
      <w:r>
        <w:rPr>
          <w:rFonts w:ascii="Calibri" w:hAnsi="Calibri" w:cs="Calibri" w:eastAsia="Calibri" w:hint="default"/>
          <w:spacing w:val="-8"/>
        </w:rPr>
        <w:t> </w:t>
      </w:r>
      <w:r>
        <w:rPr>
          <w:rFonts w:ascii="Calibri" w:hAnsi="Calibri" w:cs="Calibri" w:eastAsia="Calibri" w:hint="default"/>
        </w:rPr>
        <w:t>must</w:t>
      </w:r>
      <w:r>
        <w:rPr>
          <w:rFonts w:ascii="Calibri" w:hAnsi="Calibri" w:cs="Calibri" w:eastAsia="Calibri" w:hint="default"/>
          <w:spacing w:val="-7"/>
        </w:rPr>
        <w:t> </w:t>
      </w:r>
      <w:r>
        <w:rPr>
          <w:rFonts w:ascii="Calibri" w:hAnsi="Calibri" w:cs="Calibri" w:eastAsia="Calibri" w:hint="default"/>
        </w:rPr>
        <w:t>be</w:t>
      </w:r>
      <w:r>
        <w:rPr>
          <w:rFonts w:ascii="Calibri" w:hAnsi="Calibri" w:cs="Calibri" w:eastAsia="Calibri" w:hint="default"/>
          <w:spacing w:val="-9"/>
        </w:rPr>
        <w:t> </w:t>
      </w:r>
      <w:r>
        <w:rPr>
          <w:rFonts w:ascii="Calibri" w:hAnsi="Calibri" w:cs="Calibri" w:eastAsia="Calibri" w:hint="default"/>
        </w:rPr>
        <w:t>at</w:t>
      </w:r>
      <w:r>
        <w:rPr>
          <w:rFonts w:ascii="Calibri" w:hAnsi="Calibri" w:cs="Calibri" w:eastAsia="Calibri" w:hint="default"/>
          <w:spacing w:val="-7"/>
        </w:rPr>
        <w:t> </w:t>
      </w:r>
      <w:r>
        <w:rPr>
          <w:rFonts w:ascii="Calibri" w:hAnsi="Calibri" w:cs="Calibri" w:eastAsia="Calibri" w:hint="default"/>
        </w:rPr>
        <w:t>the</w:t>
      </w:r>
      <w:r>
        <w:rPr>
          <w:rFonts w:ascii="Calibri" w:hAnsi="Calibri" w:cs="Calibri" w:eastAsia="Calibri" w:hint="default"/>
          <w:spacing w:val="-9"/>
        </w:rPr>
        <w:t> </w:t>
      </w:r>
      <w:r>
        <w:rPr>
          <w:rFonts w:ascii="Calibri" w:hAnsi="Calibri" w:cs="Calibri" w:eastAsia="Calibri" w:hint="default"/>
        </w:rPr>
        <w:t>same</w:t>
      </w:r>
      <w:r>
        <w:rPr>
          <w:rFonts w:ascii="Calibri" w:hAnsi="Calibri" w:cs="Calibri" w:eastAsia="Calibri" w:hint="default"/>
          <w:spacing w:val="-9"/>
        </w:rPr>
        <w:t> </w:t>
      </w:r>
      <w:r>
        <w:rPr>
          <w:rFonts w:ascii="Calibri" w:hAnsi="Calibri" w:cs="Calibri" w:eastAsia="Calibri" w:hint="default"/>
        </w:rPr>
        <w:t>level</w:t>
      </w:r>
      <w:r>
        <w:rPr/>
        <w:t>,</w:t>
      </w:r>
      <w:r>
        <w:rPr>
          <w:spacing w:val="-7"/>
        </w:rPr>
        <w:t> </w:t>
      </w:r>
      <w:r>
        <w:rPr/>
        <w:t>or</w:t>
      </w:r>
      <w:r>
        <w:rPr>
          <w:spacing w:val="-8"/>
        </w:rPr>
        <w:t> </w:t>
      </w:r>
      <w:r>
        <w:rPr/>
        <w:t>above</w:t>
      </w:r>
      <w:r>
        <w:rPr>
          <w:spacing w:val="-9"/>
        </w:rPr>
        <w:t> </w:t>
      </w:r>
      <w:r>
        <w:rPr/>
        <w:t>the</w:t>
      </w:r>
      <w:r>
        <w:rPr>
          <w:spacing w:val="-9"/>
        </w:rPr>
        <w:t> </w:t>
      </w:r>
      <w:r>
        <w:rPr/>
        <w:t>rest</w:t>
      </w:r>
      <w:r>
        <w:rPr>
          <w:spacing w:val="-7"/>
        </w:rPr>
        <w:t> </w:t>
      </w:r>
      <w:r>
        <w:rPr/>
        <w:t>of</w:t>
      </w:r>
      <w:r>
        <w:rPr>
          <w:spacing w:val="-9"/>
        </w:rPr>
        <w:t> </w:t>
      </w:r>
      <w:r>
        <w:rPr/>
        <w:t>the</w:t>
      </w:r>
      <w:r>
        <w:rPr>
          <w:spacing w:val="-9"/>
        </w:rPr>
        <w:t> </w:t>
      </w:r>
      <w:r>
        <w:rPr/>
        <w:t>Caribbean</w:t>
      </w:r>
      <w:r>
        <w:rPr>
          <w:spacing w:val="-7"/>
        </w:rPr>
        <w:t> </w:t>
      </w:r>
      <w:r>
        <w:rPr/>
        <w:t>region.</w:t>
      </w:r>
      <w:r>
        <w:rPr>
          <w:spacing w:val="33"/>
        </w:rPr>
        <w:t> </w:t>
      </w:r>
      <w:r>
        <w:rPr/>
        <w:t>This</w:t>
      </w:r>
      <w:r>
        <w:rPr>
          <w:spacing w:val="-9"/>
        </w:rPr>
        <w:t> </w:t>
      </w:r>
      <w:r>
        <w:rPr/>
        <w:t>plan </w:t>
      </w:r>
      <w:r>
        <w:rPr/>
        <w:t>requires an additional demand of 100,000 arrivals. Because the USA market has the largest proportion of arrivals staying in hotels (eight of every ten American tourists stay in hotels compared to four of every ten </w:t>
      </w:r>
      <w:r>
        <w:rPr>
          <w:spacing w:val="2"/>
        </w:rPr>
        <w:t>Dutch </w:t>
      </w:r>
      <w:r>
        <w:rPr/>
        <w:t>tourists), </w:t>
      </w:r>
      <w:r>
        <w:rPr/>
        <w:t>and the American segment spends the most per day, the plan suggests a strategic refocus of the demand structure for the Curaçao tourism industry, which means aggressive market penetration, brand awareness, and positioning essentially within the American</w:t>
      </w:r>
      <w:r>
        <w:rPr>
          <w:spacing w:val="-14"/>
        </w:rPr>
        <w:t> </w:t>
      </w:r>
      <w:r>
        <w:rPr/>
        <w:t>market.</w:t>
      </w:r>
    </w:p>
    <w:p>
      <w:pPr>
        <w:spacing w:line="240" w:lineRule="auto" w:before="1"/>
        <w:ind w:right="0"/>
        <w:rPr>
          <w:rFonts w:ascii="Calibri" w:hAnsi="Calibri" w:cs="Calibri" w:eastAsia="Calibri" w:hint="default"/>
          <w:sz w:val="20"/>
          <w:szCs w:val="20"/>
        </w:rPr>
      </w:pPr>
    </w:p>
    <w:p>
      <w:pPr>
        <w:pStyle w:val="BodyText"/>
        <w:spacing w:line="240" w:lineRule="auto"/>
        <w:ind w:right="1438"/>
        <w:jc w:val="both"/>
      </w:pPr>
      <w:r>
        <w:rPr/>
        <w:t>The</w:t>
      </w:r>
      <w:r>
        <w:rPr>
          <w:spacing w:val="-8"/>
        </w:rPr>
        <w:t> </w:t>
      </w:r>
      <w:r>
        <w:rPr/>
        <w:t>refocusing</w:t>
      </w:r>
      <w:r>
        <w:rPr>
          <w:spacing w:val="-7"/>
        </w:rPr>
        <w:t> </w:t>
      </w:r>
      <w:r>
        <w:rPr/>
        <w:t>on</w:t>
      </w:r>
      <w:r>
        <w:rPr>
          <w:spacing w:val="-6"/>
        </w:rPr>
        <w:t> </w:t>
      </w:r>
      <w:r>
        <w:rPr/>
        <w:t>the</w:t>
      </w:r>
      <w:r>
        <w:rPr>
          <w:spacing w:val="-8"/>
        </w:rPr>
        <w:t> </w:t>
      </w:r>
      <w:r>
        <w:rPr/>
        <w:t>American</w:t>
      </w:r>
      <w:r>
        <w:rPr>
          <w:spacing w:val="-6"/>
        </w:rPr>
        <w:t> </w:t>
      </w:r>
      <w:r>
        <w:rPr/>
        <w:t>market</w:t>
      </w:r>
      <w:r>
        <w:rPr>
          <w:spacing w:val="-7"/>
        </w:rPr>
        <w:t> </w:t>
      </w:r>
      <w:r>
        <w:rPr/>
        <w:t>does</w:t>
      </w:r>
      <w:r>
        <w:rPr>
          <w:spacing w:val="-8"/>
        </w:rPr>
        <w:t> </w:t>
      </w:r>
      <w:r>
        <w:rPr/>
        <w:t>not</w:t>
      </w:r>
      <w:r>
        <w:rPr>
          <w:spacing w:val="-6"/>
        </w:rPr>
        <w:t> </w:t>
      </w:r>
      <w:r>
        <w:rPr/>
        <w:t>mean</w:t>
      </w:r>
      <w:r>
        <w:rPr>
          <w:spacing w:val="-6"/>
        </w:rPr>
        <w:t> </w:t>
      </w:r>
      <w:r>
        <w:rPr/>
        <w:t>an</w:t>
      </w:r>
      <w:r>
        <w:rPr>
          <w:spacing w:val="-6"/>
        </w:rPr>
        <w:t> </w:t>
      </w:r>
      <w:r>
        <w:rPr/>
        <w:t>abandonment</w:t>
      </w:r>
      <w:r>
        <w:rPr>
          <w:spacing w:val="-6"/>
        </w:rPr>
        <w:t> </w:t>
      </w:r>
      <w:r>
        <w:rPr/>
        <w:t>of</w:t>
      </w:r>
      <w:r>
        <w:rPr>
          <w:spacing w:val="-8"/>
        </w:rPr>
        <w:t> </w:t>
      </w:r>
      <w:r>
        <w:rPr/>
        <w:t>the</w:t>
      </w:r>
      <w:r>
        <w:rPr>
          <w:spacing w:val="-8"/>
        </w:rPr>
        <w:t> </w:t>
      </w:r>
      <w:r>
        <w:rPr/>
        <w:t>Dutch</w:t>
      </w:r>
      <w:r>
        <w:rPr>
          <w:spacing w:val="-6"/>
        </w:rPr>
        <w:t> </w:t>
      </w:r>
      <w:r>
        <w:rPr/>
        <w:t>and</w:t>
      </w:r>
      <w:r>
        <w:rPr>
          <w:spacing w:val="-4"/>
        </w:rPr>
        <w:t> </w:t>
      </w:r>
      <w:r>
        <w:rPr/>
        <w:t>South</w:t>
      </w:r>
      <w:r>
        <w:rPr>
          <w:spacing w:val="-6"/>
        </w:rPr>
        <w:t> </w:t>
      </w:r>
      <w:r>
        <w:rPr/>
        <w:t>American</w:t>
      </w:r>
      <w:r>
        <w:rPr>
          <w:spacing w:val="-6"/>
        </w:rPr>
        <w:t> </w:t>
      </w:r>
      <w:r>
        <w:rPr/>
        <w:t>markets. </w:t>
      </w:r>
      <w:r>
        <w:rPr/>
        <w:t>Rather,</w:t>
      </w:r>
      <w:r>
        <w:rPr>
          <w:spacing w:val="-10"/>
        </w:rPr>
        <w:t> </w:t>
      </w:r>
      <w:r>
        <w:rPr/>
        <w:t>the</w:t>
      </w:r>
      <w:r>
        <w:rPr>
          <w:spacing w:val="-11"/>
        </w:rPr>
        <w:t> </w:t>
      </w:r>
      <w:r>
        <w:rPr/>
        <w:t>refocusing</w:t>
      </w:r>
      <w:r>
        <w:rPr>
          <w:spacing w:val="-10"/>
        </w:rPr>
        <w:t> </w:t>
      </w:r>
      <w:r>
        <w:rPr/>
        <w:t>efforts</w:t>
      </w:r>
      <w:r>
        <w:rPr>
          <w:spacing w:val="-11"/>
        </w:rPr>
        <w:t> </w:t>
      </w:r>
      <w:r>
        <w:rPr/>
        <w:t>on</w:t>
      </w:r>
      <w:r>
        <w:rPr>
          <w:spacing w:val="-10"/>
        </w:rPr>
        <w:t> </w:t>
      </w:r>
      <w:r>
        <w:rPr/>
        <w:t>the</w:t>
      </w:r>
      <w:r>
        <w:rPr>
          <w:spacing w:val="-11"/>
        </w:rPr>
        <w:t> </w:t>
      </w:r>
      <w:r>
        <w:rPr/>
        <w:t>American</w:t>
      </w:r>
      <w:r>
        <w:rPr>
          <w:spacing w:val="-9"/>
        </w:rPr>
        <w:t> </w:t>
      </w:r>
      <w:r>
        <w:rPr/>
        <w:t>market</w:t>
      </w:r>
      <w:r>
        <w:rPr>
          <w:spacing w:val="-10"/>
        </w:rPr>
        <w:t> </w:t>
      </w:r>
      <w:r>
        <w:rPr/>
        <w:t>is</w:t>
      </w:r>
      <w:r>
        <w:rPr>
          <w:spacing w:val="-12"/>
        </w:rPr>
        <w:t> </w:t>
      </w:r>
      <w:r>
        <w:rPr/>
        <w:t>a</w:t>
      </w:r>
      <w:r>
        <w:rPr>
          <w:spacing w:val="-10"/>
        </w:rPr>
        <w:t> </w:t>
      </w:r>
      <w:r>
        <w:rPr/>
        <w:t>shift</w:t>
      </w:r>
      <w:r>
        <w:rPr>
          <w:spacing w:val="-10"/>
        </w:rPr>
        <w:t> </w:t>
      </w:r>
      <w:r>
        <w:rPr/>
        <w:t>in</w:t>
      </w:r>
      <w:r>
        <w:rPr>
          <w:spacing w:val="-10"/>
        </w:rPr>
        <w:t> </w:t>
      </w:r>
      <w:r>
        <w:rPr/>
        <w:t>strategic</w:t>
      </w:r>
      <w:r>
        <w:rPr>
          <w:spacing w:val="-11"/>
        </w:rPr>
        <w:t> </w:t>
      </w:r>
      <w:r>
        <w:rPr/>
        <w:t>emphasis</w:t>
      </w:r>
      <w:r>
        <w:rPr>
          <w:spacing w:val="-11"/>
        </w:rPr>
        <w:t> </w:t>
      </w:r>
      <w:r>
        <w:rPr/>
        <w:t>from</w:t>
      </w:r>
      <w:r>
        <w:rPr>
          <w:spacing w:val="-9"/>
        </w:rPr>
        <w:t> </w:t>
      </w:r>
      <w:r>
        <w:rPr/>
        <w:t>the</w:t>
      </w:r>
      <w:r>
        <w:rPr>
          <w:spacing w:val="-11"/>
        </w:rPr>
        <w:t> </w:t>
      </w:r>
      <w:r>
        <w:rPr/>
        <w:t>existing</w:t>
      </w:r>
      <w:r>
        <w:rPr>
          <w:spacing w:val="-10"/>
        </w:rPr>
        <w:t> </w:t>
      </w:r>
      <w:r>
        <w:rPr/>
        <w:t>tertiary</w:t>
      </w:r>
      <w:r>
        <w:rPr>
          <w:spacing w:val="-9"/>
        </w:rPr>
        <w:t> </w:t>
      </w:r>
      <w:r>
        <w:rPr/>
        <w:t>target </w:t>
      </w:r>
      <w:r>
        <w:rPr/>
        <w:t>audience. This shift will allow for a stronger economic relationship between tourism expansion, economic growth </w:t>
      </w:r>
      <w:r>
        <w:rPr>
          <w:rFonts w:ascii="Calibri" w:hAnsi="Calibri" w:cs="Calibri" w:eastAsia="Calibri" w:hint="default"/>
        </w:rPr>
        <w:t>and</w:t>
      </w:r>
      <w:r>
        <w:rPr>
          <w:rFonts w:ascii="Calibri" w:hAnsi="Calibri" w:cs="Calibri" w:eastAsia="Calibri" w:hint="default"/>
          <w:spacing w:val="-8"/>
        </w:rPr>
        <w:t> </w:t>
      </w:r>
      <w:r>
        <w:rPr>
          <w:rFonts w:ascii="Calibri" w:hAnsi="Calibri" w:cs="Calibri" w:eastAsia="Calibri" w:hint="default"/>
        </w:rPr>
        <w:t>job</w:t>
      </w:r>
      <w:r>
        <w:rPr>
          <w:rFonts w:ascii="Calibri" w:hAnsi="Calibri" w:cs="Calibri" w:eastAsia="Calibri" w:hint="default"/>
          <w:spacing w:val="-8"/>
        </w:rPr>
        <w:t> </w:t>
      </w:r>
      <w:r>
        <w:rPr>
          <w:rFonts w:ascii="Calibri" w:hAnsi="Calibri" w:cs="Calibri" w:eastAsia="Calibri" w:hint="default"/>
        </w:rPr>
        <w:t>creation.</w:t>
      </w:r>
      <w:r>
        <w:rPr>
          <w:rFonts w:ascii="Calibri" w:hAnsi="Calibri" w:cs="Calibri" w:eastAsia="Calibri" w:hint="default"/>
          <w:spacing w:val="-9"/>
        </w:rPr>
        <w:t> </w:t>
      </w:r>
      <w:r>
        <w:rPr>
          <w:rFonts w:ascii="Calibri" w:hAnsi="Calibri" w:cs="Calibri" w:eastAsia="Calibri" w:hint="default"/>
        </w:rPr>
        <w:t>The</w:t>
      </w:r>
      <w:r>
        <w:rPr>
          <w:rFonts w:ascii="Calibri" w:hAnsi="Calibri" w:cs="Calibri" w:eastAsia="Calibri" w:hint="default"/>
          <w:spacing w:val="-8"/>
        </w:rPr>
        <w:t> </w:t>
      </w:r>
      <w:r>
        <w:rPr>
          <w:rFonts w:ascii="Calibri" w:hAnsi="Calibri" w:cs="Calibri" w:eastAsia="Calibri" w:hint="default"/>
        </w:rPr>
        <w:t>Dutch</w:t>
      </w:r>
      <w:r>
        <w:rPr>
          <w:rFonts w:ascii="Calibri" w:hAnsi="Calibri" w:cs="Calibri" w:eastAsia="Calibri" w:hint="default"/>
          <w:spacing w:val="-8"/>
        </w:rPr>
        <w:t> </w:t>
      </w:r>
      <w:r>
        <w:rPr>
          <w:rFonts w:ascii="Calibri" w:hAnsi="Calibri" w:cs="Calibri" w:eastAsia="Calibri" w:hint="default"/>
        </w:rPr>
        <w:t>and</w:t>
      </w:r>
      <w:r>
        <w:rPr>
          <w:rFonts w:ascii="Calibri" w:hAnsi="Calibri" w:cs="Calibri" w:eastAsia="Calibri" w:hint="default"/>
          <w:spacing w:val="-8"/>
        </w:rPr>
        <w:t> </w:t>
      </w:r>
      <w:r>
        <w:rPr>
          <w:rFonts w:ascii="Calibri" w:hAnsi="Calibri" w:cs="Calibri" w:eastAsia="Calibri" w:hint="default"/>
        </w:rPr>
        <w:t>South</w:t>
      </w:r>
      <w:r>
        <w:rPr>
          <w:rFonts w:ascii="Calibri" w:hAnsi="Calibri" w:cs="Calibri" w:eastAsia="Calibri" w:hint="default"/>
          <w:spacing w:val="-8"/>
        </w:rPr>
        <w:t> </w:t>
      </w:r>
      <w:r>
        <w:rPr>
          <w:rFonts w:ascii="Calibri" w:hAnsi="Calibri" w:cs="Calibri" w:eastAsia="Calibri" w:hint="default"/>
        </w:rPr>
        <w:t>American</w:t>
      </w:r>
      <w:r>
        <w:rPr>
          <w:rFonts w:ascii="Calibri" w:hAnsi="Calibri" w:cs="Calibri" w:eastAsia="Calibri" w:hint="default"/>
          <w:spacing w:val="-6"/>
        </w:rPr>
        <w:t> </w:t>
      </w:r>
      <w:r>
        <w:rPr>
          <w:rFonts w:ascii="Calibri" w:hAnsi="Calibri" w:cs="Calibri" w:eastAsia="Calibri" w:hint="default"/>
        </w:rPr>
        <w:t>markets</w:t>
      </w:r>
      <w:r>
        <w:rPr>
          <w:rFonts w:ascii="Calibri" w:hAnsi="Calibri" w:cs="Calibri" w:eastAsia="Calibri" w:hint="default"/>
          <w:spacing w:val="-10"/>
        </w:rPr>
        <w:t> </w:t>
      </w:r>
      <w:r>
        <w:rPr>
          <w:rFonts w:ascii="Calibri" w:hAnsi="Calibri" w:cs="Calibri" w:eastAsia="Calibri" w:hint="default"/>
        </w:rPr>
        <w:t>will</w:t>
      </w:r>
      <w:r>
        <w:rPr>
          <w:rFonts w:ascii="Calibri" w:hAnsi="Calibri" w:cs="Calibri" w:eastAsia="Calibri" w:hint="default"/>
          <w:spacing w:val="-10"/>
        </w:rPr>
        <w:t> </w:t>
      </w:r>
      <w:r>
        <w:rPr>
          <w:rFonts w:ascii="Calibri" w:hAnsi="Calibri" w:cs="Calibri" w:eastAsia="Calibri" w:hint="default"/>
        </w:rPr>
        <w:t>remain</w:t>
      </w:r>
      <w:r>
        <w:rPr>
          <w:rFonts w:ascii="Calibri" w:hAnsi="Calibri" w:cs="Calibri" w:eastAsia="Calibri" w:hint="default"/>
          <w:spacing w:val="-8"/>
        </w:rPr>
        <w:t> </w:t>
      </w:r>
      <w:r>
        <w:rPr>
          <w:rFonts w:ascii="Calibri" w:hAnsi="Calibri" w:cs="Calibri" w:eastAsia="Calibri" w:hint="default"/>
        </w:rPr>
        <w:t>within</w:t>
      </w:r>
      <w:r>
        <w:rPr>
          <w:rFonts w:ascii="Calibri" w:hAnsi="Calibri" w:cs="Calibri" w:eastAsia="Calibri" w:hint="default"/>
          <w:spacing w:val="-6"/>
        </w:rPr>
        <w:t> </w:t>
      </w:r>
      <w:r>
        <w:rPr>
          <w:rFonts w:ascii="Calibri" w:hAnsi="Calibri" w:cs="Calibri" w:eastAsia="Calibri" w:hint="default"/>
        </w:rPr>
        <w:t>Curaçao’s</w:t>
      </w:r>
      <w:r>
        <w:rPr>
          <w:rFonts w:ascii="Calibri" w:hAnsi="Calibri" w:cs="Calibri" w:eastAsia="Calibri" w:hint="default"/>
          <w:spacing w:val="-10"/>
        </w:rPr>
        <w:t> </w:t>
      </w:r>
      <w:r>
        <w:rPr>
          <w:rFonts w:ascii="Calibri" w:hAnsi="Calibri" w:cs="Calibri" w:eastAsia="Calibri" w:hint="default"/>
        </w:rPr>
        <w:t>primary</w:t>
      </w:r>
      <w:r>
        <w:rPr>
          <w:rFonts w:ascii="Calibri" w:hAnsi="Calibri" w:cs="Calibri" w:eastAsia="Calibri" w:hint="default"/>
          <w:spacing w:val="-8"/>
        </w:rPr>
        <w:t> </w:t>
      </w:r>
      <w:r>
        <w:rPr>
          <w:rFonts w:ascii="Calibri" w:hAnsi="Calibri" w:cs="Calibri" w:eastAsia="Calibri" w:hint="default"/>
        </w:rPr>
        <w:t>target</w:t>
      </w:r>
      <w:r>
        <w:rPr>
          <w:rFonts w:ascii="Calibri" w:hAnsi="Calibri" w:cs="Calibri" w:eastAsia="Calibri" w:hint="default"/>
          <w:spacing w:val="-9"/>
        </w:rPr>
        <w:t> </w:t>
      </w:r>
      <w:r>
        <w:rPr>
          <w:rFonts w:ascii="Calibri" w:hAnsi="Calibri" w:cs="Calibri" w:eastAsia="Calibri" w:hint="default"/>
        </w:rPr>
        <w:t>audiences</w:t>
      </w:r>
      <w:r>
        <w:rPr>
          <w:rFonts w:ascii="Calibri" w:hAnsi="Calibri" w:cs="Calibri" w:eastAsia="Calibri" w:hint="default"/>
          <w:spacing w:val="-1"/>
        </w:rPr>
        <w:t> </w:t>
      </w:r>
      <w:r>
        <w:rPr/>
        <w:t>(see Figure 28). Additional marketing resources beyond the resource level supporting these two markets as primary target</w:t>
      </w:r>
      <w:r>
        <w:rPr>
          <w:spacing w:val="-2"/>
        </w:rPr>
        <w:t> </w:t>
      </w:r>
      <w:r>
        <w:rPr/>
        <w:t>audiences</w:t>
      </w:r>
      <w:r>
        <w:rPr>
          <w:spacing w:val="-4"/>
        </w:rPr>
        <w:t> </w:t>
      </w:r>
      <w:r>
        <w:rPr/>
        <w:t>should</w:t>
      </w:r>
      <w:r>
        <w:rPr>
          <w:spacing w:val="-2"/>
        </w:rPr>
        <w:t> </w:t>
      </w:r>
      <w:r>
        <w:rPr/>
        <w:t>be</w:t>
      </w:r>
      <w:r>
        <w:rPr>
          <w:spacing w:val="-3"/>
        </w:rPr>
        <w:t> </w:t>
      </w:r>
      <w:r>
        <w:rPr/>
        <w:t>guided</w:t>
      </w:r>
      <w:r>
        <w:rPr>
          <w:spacing w:val="-2"/>
        </w:rPr>
        <w:t> </w:t>
      </w:r>
      <w:r>
        <w:rPr/>
        <w:t>by</w:t>
      </w:r>
      <w:r>
        <w:rPr>
          <w:spacing w:val="-2"/>
        </w:rPr>
        <w:t> </w:t>
      </w:r>
      <w:r>
        <w:rPr/>
        <w:t>their</w:t>
      </w:r>
      <w:r>
        <w:rPr>
          <w:spacing w:val="-3"/>
        </w:rPr>
        <w:t> </w:t>
      </w:r>
      <w:r>
        <w:rPr/>
        <w:t>direct</w:t>
      </w:r>
      <w:r>
        <w:rPr>
          <w:spacing w:val="-2"/>
        </w:rPr>
        <w:t> </w:t>
      </w:r>
      <w:r>
        <w:rPr/>
        <w:t>impact</w:t>
      </w:r>
      <w:r>
        <w:rPr>
          <w:spacing w:val="-2"/>
        </w:rPr>
        <w:t> </w:t>
      </w:r>
      <w:r>
        <w:rPr/>
        <w:t>on</w:t>
      </w:r>
      <w:r>
        <w:rPr>
          <w:spacing w:val="-2"/>
        </w:rPr>
        <w:t> </w:t>
      </w:r>
      <w:r>
        <w:rPr/>
        <w:t>the</w:t>
      </w:r>
      <w:r>
        <w:rPr>
          <w:spacing w:val="-3"/>
        </w:rPr>
        <w:t> </w:t>
      </w:r>
      <w:r>
        <w:rPr/>
        <w:t>occupancy</w:t>
      </w:r>
      <w:r>
        <w:rPr>
          <w:spacing w:val="-2"/>
        </w:rPr>
        <w:t> </w:t>
      </w:r>
      <w:r>
        <w:rPr/>
        <w:t>level</w:t>
      </w:r>
      <w:r>
        <w:rPr>
          <w:spacing w:val="-3"/>
        </w:rPr>
        <w:t> </w:t>
      </w:r>
      <w:r>
        <w:rPr/>
        <w:t>and</w:t>
      </w:r>
      <w:r>
        <w:rPr>
          <w:spacing w:val="-2"/>
        </w:rPr>
        <w:t> </w:t>
      </w:r>
      <w:r>
        <w:rPr/>
        <w:t>RevPAR</w:t>
      </w:r>
      <w:r>
        <w:rPr>
          <w:spacing w:val="-3"/>
        </w:rPr>
        <w:t> </w:t>
      </w:r>
      <w:r>
        <w:rPr/>
        <w:t>of</w:t>
      </w:r>
      <w:r>
        <w:rPr>
          <w:spacing w:val="-4"/>
        </w:rPr>
        <w:t> </w:t>
      </w:r>
      <w:r>
        <w:rPr/>
        <w:t>the</w:t>
      </w:r>
      <w:r>
        <w:rPr>
          <w:spacing w:val="-3"/>
        </w:rPr>
        <w:t> </w:t>
      </w:r>
      <w:r>
        <w:rPr/>
        <w:t>hotel</w:t>
      </w:r>
      <w:r>
        <w:rPr>
          <w:spacing w:val="-3"/>
        </w:rPr>
        <w:t> </w:t>
      </w:r>
      <w:r>
        <w:rPr/>
        <w:t>sector.</w:t>
      </w:r>
    </w:p>
    <w:p>
      <w:pPr>
        <w:spacing w:line="240" w:lineRule="auto" w:before="1" w:after="0"/>
        <w:ind w:right="0"/>
        <w:rPr>
          <w:rFonts w:ascii="Calibri" w:hAnsi="Calibri" w:cs="Calibri" w:eastAsia="Calibri" w:hint="default"/>
          <w:sz w:val="20"/>
          <w:szCs w:val="20"/>
        </w:rPr>
      </w:pPr>
    </w:p>
    <w:p>
      <w:pPr>
        <w:spacing w:line="240" w:lineRule="auto"/>
        <w:ind w:left="306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817784" cy="1668780"/>
            <wp:effectExtent l="0" t="0" r="0" b="0"/>
            <wp:docPr id="59" name="image32.png" descr=""/>
            <wp:cNvGraphicFramePr>
              <a:graphicFrameLocks noChangeAspect="1"/>
            </wp:cNvGraphicFramePr>
            <a:graphic>
              <a:graphicData uri="http://schemas.openxmlformats.org/drawingml/2006/picture">
                <pic:pic>
                  <pic:nvPicPr>
                    <pic:cNvPr id="60" name="image32.png"/>
                    <pic:cNvPicPr/>
                  </pic:nvPicPr>
                  <pic:blipFill>
                    <a:blip r:embed="rId58" cstate="print"/>
                    <a:stretch>
                      <a:fillRect/>
                    </a:stretch>
                  </pic:blipFill>
                  <pic:spPr>
                    <a:xfrm>
                      <a:off x="0" y="0"/>
                      <a:ext cx="3817784" cy="1668780"/>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41"/>
        <w:ind w:right="26"/>
        <w:jc w:val="center"/>
        <w:rPr>
          <w:b w:val="0"/>
          <w:bCs w:val="0"/>
        </w:rPr>
      </w:pPr>
      <w:bookmarkStart w:name="_bookmark125" w:id="126"/>
      <w:bookmarkEnd w:id="126"/>
      <w:r>
        <w:rPr>
          <w:b w:val="0"/>
        </w:rPr>
      </w:r>
      <w:r>
        <w:rPr/>
        <w:t>Figure 28: The strategic focus of target</w:t>
      </w:r>
      <w:r>
        <w:rPr>
          <w:spacing w:val="-23"/>
        </w:rPr>
        <w:t> </w:t>
      </w:r>
      <w:r>
        <w:rPr/>
        <w:t>audience</w:t>
      </w:r>
      <w:r>
        <w:rPr>
          <w:b w:val="0"/>
        </w:rPr>
      </w:r>
    </w:p>
    <w:p>
      <w:pPr>
        <w:spacing w:line="240" w:lineRule="auto" w:before="11"/>
        <w:ind w:right="0"/>
        <w:rPr>
          <w:rFonts w:ascii="Calibri" w:hAnsi="Calibri" w:cs="Calibri" w:eastAsia="Calibri" w:hint="default"/>
          <w:b/>
          <w:bCs/>
          <w:sz w:val="19"/>
          <w:szCs w:val="19"/>
        </w:rPr>
      </w:pPr>
    </w:p>
    <w:p>
      <w:pPr>
        <w:pStyle w:val="BodyText"/>
        <w:spacing w:line="240" w:lineRule="auto"/>
        <w:ind w:right="1436"/>
        <w:jc w:val="both"/>
      </w:pPr>
      <w:r>
        <w:rPr/>
        <w:t>While the first two years of the strategic plan are oriented toward the optimization of the current room inventory (the</w:t>
      </w:r>
      <w:r>
        <w:rPr>
          <w:spacing w:val="-5"/>
        </w:rPr>
        <w:t> </w:t>
      </w:r>
      <w:r>
        <w:rPr/>
        <w:t>efforts</w:t>
      </w:r>
      <w:r>
        <w:rPr>
          <w:spacing w:val="-5"/>
        </w:rPr>
        <w:t> </w:t>
      </w:r>
      <w:r>
        <w:rPr/>
        <w:t>are</w:t>
      </w:r>
      <w:r>
        <w:rPr>
          <w:spacing w:val="-3"/>
        </w:rPr>
        <w:t> </w:t>
      </w:r>
      <w:r>
        <w:rPr/>
        <w:t>not</w:t>
      </w:r>
      <w:r>
        <w:rPr>
          <w:spacing w:val="-4"/>
        </w:rPr>
        <w:t> </w:t>
      </w:r>
      <w:r>
        <w:rPr/>
        <w:t>geared</w:t>
      </w:r>
      <w:r>
        <w:rPr>
          <w:spacing w:val="-4"/>
        </w:rPr>
        <w:t> </w:t>
      </w:r>
      <w:r>
        <w:rPr/>
        <w:t>to</w:t>
      </w:r>
      <w:r>
        <w:rPr>
          <w:spacing w:val="-2"/>
        </w:rPr>
        <w:t> </w:t>
      </w:r>
      <w:r>
        <w:rPr/>
        <w:t>add</w:t>
      </w:r>
      <w:r>
        <w:rPr>
          <w:spacing w:val="-4"/>
        </w:rPr>
        <w:t> </w:t>
      </w:r>
      <w:r>
        <w:rPr/>
        <w:t>more</w:t>
      </w:r>
      <w:r>
        <w:rPr>
          <w:spacing w:val="-5"/>
        </w:rPr>
        <w:t> </w:t>
      </w:r>
      <w:r>
        <w:rPr/>
        <w:t>rooms),</w:t>
      </w:r>
      <w:r>
        <w:rPr>
          <w:spacing w:val="-2"/>
        </w:rPr>
        <w:t> </w:t>
      </w:r>
      <w:r>
        <w:rPr/>
        <w:t>current</w:t>
      </w:r>
      <w:r>
        <w:rPr>
          <w:spacing w:val="-4"/>
        </w:rPr>
        <w:t> </w:t>
      </w:r>
      <w:r>
        <w:rPr/>
        <w:t>airlift</w:t>
      </w:r>
      <w:r>
        <w:rPr>
          <w:spacing w:val="-4"/>
        </w:rPr>
        <w:t> </w:t>
      </w:r>
      <w:r>
        <w:rPr/>
        <w:t>from</w:t>
      </w:r>
      <w:r>
        <w:rPr>
          <w:spacing w:val="-5"/>
        </w:rPr>
        <w:t> </w:t>
      </w:r>
      <w:r>
        <w:rPr/>
        <w:t>the</w:t>
      </w:r>
      <w:r>
        <w:rPr>
          <w:spacing w:val="-3"/>
        </w:rPr>
        <w:t> </w:t>
      </w:r>
      <w:r>
        <w:rPr/>
        <w:t>USA</w:t>
      </w:r>
      <w:r>
        <w:rPr>
          <w:spacing w:val="-3"/>
        </w:rPr>
        <w:t> </w:t>
      </w:r>
      <w:r>
        <w:rPr/>
        <w:t>market</w:t>
      </w:r>
      <w:r>
        <w:rPr>
          <w:spacing w:val="-4"/>
        </w:rPr>
        <w:t> </w:t>
      </w:r>
      <w:r>
        <w:rPr/>
        <w:t>seems</w:t>
      </w:r>
      <w:r>
        <w:rPr>
          <w:spacing w:val="-3"/>
        </w:rPr>
        <w:t> </w:t>
      </w:r>
      <w:r>
        <w:rPr/>
        <w:t>deficient.</w:t>
      </w:r>
      <w:r>
        <w:rPr>
          <w:spacing w:val="-2"/>
        </w:rPr>
        <w:t> </w:t>
      </w:r>
      <w:r>
        <w:rPr/>
        <w:t>The</w:t>
      </w:r>
      <w:r>
        <w:rPr>
          <w:spacing w:val="-4"/>
        </w:rPr>
        <w:t> </w:t>
      </w:r>
      <w:r>
        <w:rPr/>
        <w:t>amount</w:t>
      </w:r>
      <w:r>
        <w:rPr>
          <w:spacing w:val="-4"/>
        </w:rPr>
        <w:t> </w:t>
      </w:r>
      <w:r>
        <w:rPr/>
        <w:t>of </w:t>
      </w:r>
      <w:r>
        <w:rPr/>
        <w:t>USA</w:t>
      </w:r>
      <w:r>
        <w:rPr>
          <w:spacing w:val="-7"/>
        </w:rPr>
        <w:t> </w:t>
      </w:r>
      <w:r>
        <w:rPr/>
        <w:t>tourists</w:t>
      </w:r>
      <w:r>
        <w:rPr>
          <w:spacing w:val="-8"/>
        </w:rPr>
        <w:t> </w:t>
      </w:r>
      <w:r>
        <w:rPr/>
        <w:t>required</w:t>
      </w:r>
      <w:r>
        <w:rPr>
          <w:spacing w:val="-6"/>
        </w:rPr>
        <w:t> </w:t>
      </w:r>
      <w:r>
        <w:rPr/>
        <w:t>to</w:t>
      </w:r>
      <w:r>
        <w:rPr>
          <w:spacing w:val="-6"/>
        </w:rPr>
        <w:t> </w:t>
      </w:r>
      <w:r>
        <w:rPr/>
        <w:t>realize</w:t>
      </w:r>
      <w:r>
        <w:rPr>
          <w:spacing w:val="-8"/>
        </w:rPr>
        <w:t> </w:t>
      </w:r>
      <w:r>
        <w:rPr/>
        <w:t>the</w:t>
      </w:r>
      <w:r>
        <w:rPr>
          <w:spacing w:val="-6"/>
        </w:rPr>
        <w:t> </w:t>
      </w:r>
      <w:r>
        <w:rPr/>
        <w:t>goals</w:t>
      </w:r>
      <w:r>
        <w:rPr>
          <w:spacing w:val="-8"/>
        </w:rPr>
        <w:t> </w:t>
      </w:r>
      <w:r>
        <w:rPr/>
        <w:t>of</w:t>
      </w:r>
      <w:r>
        <w:rPr>
          <w:spacing w:val="-8"/>
        </w:rPr>
        <w:t> </w:t>
      </w:r>
      <w:r>
        <w:rPr/>
        <w:t>the</w:t>
      </w:r>
      <w:r>
        <w:rPr>
          <w:spacing w:val="-7"/>
        </w:rPr>
        <w:t> </w:t>
      </w:r>
      <w:r>
        <w:rPr/>
        <w:t>plan</w:t>
      </w:r>
      <w:r>
        <w:rPr>
          <w:spacing w:val="-6"/>
        </w:rPr>
        <w:t> </w:t>
      </w:r>
      <w:r>
        <w:rPr/>
        <w:t>are</w:t>
      </w:r>
      <w:r>
        <w:rPr>
          <w:spacing w:val="-7"/>
        </w:rPr>
        <w:t> </w:t>
      </w:r>
      <w:r>
        <w:rPr/>
        <w:t>67,180</w:t>
      </w:r>
      <w:r>
        <w:rPr>
          <w:spacing w:val="-7"/>
        </w:rPr>
        <w:t> </w:t>
      </w:r>
      <w:r>
        <w:rPr/>
        <w:t>additional</w:t>
      </w:r>
      <w:r>
        <w:rPr>
          <w:spacing w:val="-6"/>
        </w:rPr>
        <w:t> </w:t>
      </w:r>
      <w:r>
        <w:rPr/>
        <w:t>arrivals,</w:t>
      </w:r>
      <w:r>
        <w:rPr>
          <w:spacing w:val="-6"/>
        </w:rPr>
        <w:t> </w:t>
      </w:r>
      <w:r>
        <w:rPr/>
        <w:t>which</w:t>
      </w:r>
      <w:r>
        <w:rPr>
          <w:spacing w:val="-7"/>
        </w:rPr>
        <w:t> </w:t>
      </w:r>
      <w:r>
        <w:rPr/>
        <w:t>is</w:t>
      </w:r>
      <w:r>
        <w:rPr>
          <w:spacing w:val="-8"/>
        </w:rPr>
        <w:t> </w:t>
      </w:r>
      <w:r>
        <w:rPr/>
        <w:t>the</w:t>
      </w:r>
      <w:r>
        <w:rPr>
          <w:spacing w:val="-7"/>
        </w:rPr>
        <w:t> </w:t>
      </w:r>
      <w:r>
        <w:rPr/>
        <w:t>equivalent</w:t>
      </w:r>
      <w:r>
        <w:rPr>
          <w:spacing w:val="-6"/>
        </w:rPr>
        <w:t> </w:t>
      </w:r>
      <w:r>
        <w:rPr/>
        <w:t>to</w:t>
      </w:r>
      <w:r>
        <w:rPr>
          <w:spacing w:val="-7"/>
        </w:rPr>
        <w:t> </w:t>
      </w:r>
      <w:r>
        <w:rPr/>
        <w:t>double </w:t>
      </w:r>
      <w:r>
        <w:rPr/>
        <w:t>the amount of current USA arrivals. This amount of arrivals entails an additional 1,500 seats per week to Curaçao. The current airlift from the JFK gateway with JetBlue is near full capacity (92%), while the Miami gateway with American Airlines is 76% and Charlotte with InselAir is 67%. Based on the current load factor level, Curaçao would need five additional flights per week in the first year, and six flights per week in the second year of the traction phase. Then, to continue accelerating demand, Curaçao would need another five flights per week in the consolidation</w:t>
      </w:r>
      <w:r>
        <w:rPr>
          <w:spacing w:val="-6"/>
        </w:rPr>
        <w:t> </w:t>
      </w:r>
      <w:r>
        <w:rPr/>
        <w:t>phase.</w:t>
      </w:r>
    </w:p>
    <w:p>
      <w:pPr>
        <w:spacing w:line="240" w:lineRule="auto" w:before="1"/>
        <w:ind w:right="0"/>
        <w:rPr>
          <w:rFonts w:ascii="Calibri" w:hAnsi="Calibri" w:cs="Calibri" w:eastAsia="Calibri" w:hint="default"/>
          <w:sz w:val="20"/>
          <w:szCs w:val="20"/>
        </w:rPr>
      </w:pPr>
    </w:p>
    <w:p>
      <w:pPr>
        <w:pStyle w:val="BodyText"/>
        <w:spacing w:line="240" w:lineRule="auto"/>
        <w:ind w:right="1435"/>
        <w:jc w:val="both"/>
      </w:pPr>
      <w:r>
        <w:rPr/>
        <w:t>The total economic impact of the plan is revealed in Table 40 and represents the change relative to the baseline. This representation  signifies  the  economic  impact  of the  yearly  additional  tourist  nights during 2016-2020. </w:t>
      </w:r>
      <w:r>
        <w:rPr>
          <w:spacing w:val="13"/>
        </w:rPr>
        <w:t> </w:t>
      </w:r>
      <w:r>
        <w:rPr/>
        <w:t>As</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2"/>
        <w:jc w:val="both"/>
      </w:pPr>
      <w:r>
        <w:rPr/>
        <w:t>evidenced</w:t>
      </w:r>
      <w:r>
        <w:rPr>
          <w:spacing w:val="-3"/>
        </w:rPr>
        <w:t> </w:t>
      </w:r>
      <w:r>
        <w:rPr/>
        <w:t>in</w:t>
      </w:r>
      <w:r>
        <w:rPr>
          <w:spacing w:val="-3"/>
        </w:rPr>
        <w:t> </w:t>
      </w:r>
      <w:r>
        <w:rPr/>
        <w:t>Table</w:t>
      </w:r>
      <w:r>
        <w:rPr>
          <w:spacing w:val="-4"/>
        </w:rPr>
        <w:t> </w:t>
      </w:r>
      <w:r>
        <w:rPr/>
        <w:t>40,</w:t>
      </w:r>
      <w:r>
        <w:rPr>
          <w:spacing w:val="-3"/>
        </w:rPr>
        <w:t> </w:t>
      </w:r>
      <w:r>
        <w:rPr/>
        <w:t>the</w:t>
      </w:r>
      <w:r>
        <w:rPr>
          <w:spacing w:val="-4"/>
        </w:rPr>
        <w:t> </w:t>
      </w:r>
      <w:r>
        <w:rPr/>
        <w:t>additional</w:t>
      </w:r>
      <w:r>
        <w:rPr>
          <w:spacing w:val="-3"/>
        </w:rPr>
        <w:t> </w:t>
      </w:r>
      <w:r>
        <w:rPr/>
        <w:t>tourist</w:t>
      </w:r>
      <w:r>
        <w:rPr>
          <w:spacing w:val="-3"/>
        </w:rPr>
        <w:t> </w:t>
      </w:r>
      <w:r>
        <w:rPr/>
        <w:t>nights</w:t>
      </w:r>
      <w:r>
        <w:rPr>
          <w:spacing w:val="-5"/>
        </w:rPr>
        <w:t> </w:t>
      </w:r>
      <w:r>
        <w:rPr/>
        <w:t>are</w:t>
      </w:r>
      <w:r>
        <w:rPr>
          <w:spacing w:val="-4"/>
        </w:rPr>
        <w:t> </w:t>
      </w:r>
      <w:r>
        <w:rPr/>
        <w:t>expected</w:t>
      </w:r>
      <w:r>
        <w:rPr>
          <w:spacing w:val="-3"/>
        </w:rPr>
        <w:t> </w:t>
      </w:r>
      <w:r>
        <w:rPr/>
        <w:t>to</w:t>
      </w:r>
      <w:r>
        <w:rPr>
          <w:spacing w:val="-3"/>
        </w:rPr>
        <w:t> </w:t>
      </w:r>
      <w:r>
        <w:rPr/>
        <w:t>have</w:t>
      </w:r>
      <w:r>
        <w:rPr>
          <w:spacing w:val="-4"/>
        </w:rPr>
        <w:t> </w:t>
      </w:r>
      <w:r>
        <w:rPr/>
        <w:t>a</w:t>
      </w:r>
      <w:r>
        <w:rPr>
          <w:spacing w:val="-3"/>
        </w:rPr>
        <w:t> </w:t>
      </w:r>
      <w:r>
        <w:rPr/>
        <w:t>positive</w:t>
      </w:r>
      <w:r>
        <w:rPr>
          <w:spacing w:val="-4"/>
        </w:rPr>
        <w:t> </w:t>
      </w:r>
      <w:r>
        <w:rPr/>
        <w:t>impact</w:t>
      </w:r>
      <w:r>
        <w:rPr>
          <w:spacing w:val="-3"/>
        </w:rPr>
        <w:t> </w:t>
      </w:r>
      <w:r>
        <w:rPr/>
        <w:t>on</w:t>
      </w:r>
      <w:r>
        <w:rPr>
          <w:spacing w:val="-3"/>
        </w:rPr>
        <w:t> </w:t>
      </w:r>
      <w:r>
        <w:rPr/>
        <w:t>the</w:t>
      </w:r>
      <w:r>
        <w:rPr>
          <w:spacing w:val="-4"/>
        </w:rPr>
        <w:t> </w:t>
      </w:r>
      <w:r>
        <w:rPr/>
        <w:t>economy</w:t>
      </w:r>
      <w:r>
        <w:rPr>
          <w:spacing w:val="-3"/>
        </w:rPr>
        <w:t> </w:t>
      </w:r>
      <w:r>
        <w:rPr/>
        <w:t>through </w:t>
      </w:r>
      <w:r>
        <w:rPr/>
        <w:t>the additional consumption, job opportunities, exports, and investments. The expected increase in these domestic economic</w:t>
      </w:r>
      <w:r>
        <w:rPr>
          <w:spacing w:val="-3"/>
        </w:rPr>
        <w:t> </w:t>
      </w:r>
      <w:r>
        <w:rPr/>
        <w:t>activities</w:t>
      </w:r>
      <w:r>
        <w:rPr>
          <w:spacing w:val="-4"/>
        </w:rPr>
        <w:t> </w:t>
      </w:r>
      <w:r>
        <w:rPr/>
        <w:t>results</w:t>
      </w:r>
      <w:r>
        <w:rPr>
          <w:spacing w:val="-3"/>
        </w:rPr>
        <w:t> </w:t>
      </w:r>
      <w:r>
        <w:rPr/>
        <w:t>in</w:t>
      </w:r>
      <w:r>
        <w:rPr>
          <w:spacing w:val="-2"/>
        </w:rPr>
        <w:t> </w:t>
      </w:r>
      <w:r>
        <w:rPr/>
        <w:t>an</w:t>
      </w:r>
      <w:r>
        <w:rPr>
          <w:spacing w:val="-2"/>
        </w:rPr>
        <w:t> </w:t>
      </w:r>
      <w:r>
        <w:rPr/>
        <w:t>average</w:t>
      </w:r>
      <w:r>
        <w:rPr>
          <w:spacing w:val="-4"/>
        </w:rPr>
        <w:t> </w:t>
      </w:r>
      <w:r>
        <w:rPr/>
        <w:t>increase</w:t>
      </w:r>
      <w:r>
        <w:rPr>
          <w:spacing w:val="-3"/>
        </w:rPr>
        <w:t> </w:t>
      </w:r>
      <w:r>
        <w:rPr/>
        <w:t>of</w:t>
      </w:r>
      <w:r>
        <w:rPr>
          <w:spacing w:val="-4"/>
        </w:rPr>
        <w:t> </w:t>
      </w:r>
      <w:r>
        <w:rPr/>
        <w:t>the</w:t>
      </w:r>
      <w:r>
        <w:rPr>
          <w:spacing w:val="-3"/>
        </w:rPr>
        <w:t> </w:t>
      </w:r>
      <w:r>
        <w:rPr/>
        <w:t>Real</w:t>
      </w:r>
      <w:r>
        <w:rPr>
          <w:spacing w:val="-2"/>
        </w:rPr>
        <w:t> </w:t>
      </w:r>
      <w:r>
        <w:rPr/>
        <w:t>GDP</w:t>
      </w:r>
      <w:r>
        <w:rPr>
          <w:spacing w:val="-2"/>
        </w:rPr>
        <w:t> </w:t>
      </w:r>
      <w:r>
        <w:rPr/>
        <w:t>growth</w:t>
      </w:r>
      <w:r>
        <w:rPr>
          <w:spacing w:val="-2"/>
        </w:rPr>
        <w:t> </w:t>
      </w:r>
      <w:r>
        <w:rPr/>
        <w:t>of</w:t>
      </w:r>
      <w:r>
        <w:rPr>
          <w:spacing w:val="-4"/>
        </w:rPr>
        <w:t> </w:t>
      </w:r>
      <w:r>
        <w:rPr/>
        <w:t>1.2</w:t>
      </w:r>
      <w:r>
        <w:rPr>
          <w:spacing w:val="-2"/>
        </w:rPr>
        <w:t> </w:t>
      </w:r>
      <w:r>
        <w:rPr/>
        <w:t>percentage</w:t>
      </w:r>
      <w:r>
        <w:rPr>
          <w:spacing w:val="-4"/>
        </w:rPr>
        <w:t> </w:t>
      </w:r>
      <w:r>
        <w:rPr/>
        <w:t>points</w:t>
      </w:r>
      <w:r>
        <w:rPr>
          <w:spacing w:val="-3"/>
        </w:rPr>
        <w:t> </w:t>
      </w:r>
      <w:r>
        <w:rPr/>
        <w:t>during</w:t>
      </w:r>
      <w:r>
        <w:rPr>
          <w:spacing w:val="-3"/>
        </w:rPr>
        <w:t> </w:t>
      </w:r>
      <w:r>
        <w:rPr/>
        <w:t>the</w:t>
      </w:r>
      <w:r>
        <w:rPr>
          <w:spacing w:val="-3"/>
        </w:rPr>
        <w:t> </w:t>
      </w:r>
      <w:r>
        <w:rPr/>
        <w:t>2016- </w:t>
      </w:r>
      <w:r>
        <w:rPr/>
        <w:t>2020</w:t>
      </w:r>
      <w:r>
        <w:rPr>
          <w:spacing w:val="-7"/>
        </w:rPr>
        <w:t> </w:t>
      </w:r>
      <w:r>
        <w:rPr/>
        <w:t>period.</w:t>
      </w:r>
    </w:p>
    <w:p>
      <w:pPr>
        <w:spacing w:line="240" w:lineRule="auto" w:before="1"/>
        <w:ind w:right="0"/>
        <w:rPr>
          <w:rFonts w:ascii="Calibri" w:hAnsi="Calibri" w:cs="Calibri" w:eastAsia="Calibri" w:hint="default"/>
          <w:sz w:val="20"/>
          <w:szCs w:val="20"/>
        </w:rPr>
      </w:pPr>
    </w:p>
    <w:p>
      <w:pPr>
        <w:pStyle w:val="BodyText"/>
        <w:spacing w:line="240" w:lineRule="auto"/>
        <w:ind w:right="1434"/>
        <w:jc w:val="both"/>
        <w:rPr>
          <w:sz w:val="12"/>
          <w:szCs w:val="12"/>
        </w:rPr>
      </w:pPr>
      <w:r>
        <w:rPr/>
        <w:t>The expected increase in tourism exports will result in higher employment, private consumption and investments, thus resulting in higher imports. An additional 3,700 jobs are projected in 5 years. These jobs are expected to positively impact the </w:t>
      </w:r>
      <w:r>
        <w:rPr>
          <w:rFonts w:ascii="Calibri" w:hAnsi="Calibri" w:cs="Calibri" w:eastAsia="Calibri" w:hint="default"/>
        </w:rPr>
        <w:t>locals’ </w:t>
      </w:r>
      <w:r>
        <w:rPr/>
        <w:t>disposable income. The projected increase in domestic spending will increase prices (export price and wage rate among others), resulting in a higher inflation level. The increase in the total tourism exports has a positive effect on the foreign reserves of US$</w:t>
      </w:r>
      <w:r>
        <w:rPr>
          <w:rFonts w:ascii="Calibri" w:hAnsi="Calibri" w:cs="Calibri" w:eastAsia="Calibri" w:hint="default"/>
        </w:rPr>
        <w:t>83.2 million in 5 years. The foreign reserves’ inflow from </w:t>
      </w:r>
      <w:r>
        <w:rPr/>
        <w:t>tourism exports fully exceeds the rese</w:t>
      </w:r>
      <w:r>
        <w:rPr>
          <w:rFonts w:ascii="Calibri" w:hAnsi="Calibri" w:cs="Calibri" w:eastAsia="Calibri" w:hint="default"/>
        </w:rPr>
        <w:t>rves’ outflow which is used for </w:t>
      </w:r>
      <w:r>
        <w:rPr/>
        <w:t>the required imports of goods. The higher tourism exports also have a positive effect on government revenues through an expected increase in indirect taxes as well as direct taxes, summing to US$58.5 million in five</w:t>
      </w:r>
      <w:r>
        <w:rPr>
          <w:spacing w:val="-21"/>
        </w:rPr>
        <w:t> </w:t>
      </w:r>
      <w:r>
        <w:rPr/>
        <w:t>years.</w:t>
      </w:r>
      <w:r>
        <w:rPr>
          <w:position w:val="5"/>
          <w:sz w:val="12"/>
          <w:szCs w:val="12"/>
        </w:rPr>
        <w:t>61</w:t>
      </w:r>
      <w:r>
        <w:rPr>
          <w:sz w:val="12"/>
          <w:szCs w:val="12"/>
        </w:rPr>
      </w:r>
    </w:p>
    <w:p>
      <w:pPr>
        <w:spacing w:line="240" w:lineRule="auto" w:before="11"/>
        <w:ind w:right="0"/>
        <w:rPr>
          <w:rFonts w:ascii="Calibri" w:hAnsi="Calibri" w:cs="Calibri" w:eastAsia="Calibri" w:hint="default"/>
          <w:sz w:val="19"/>
          <w:szCs w:val="19"/>
        </w:rPr>
      </w:pPr>
    </w:p>
    <w:p>
      <w:pPr>
        <w:pStyle w:val="Heading9"/>
        <w:spacing w:line="240" w:lineRule="auto"/>
        <w:ind w:left="27" w:right="26"/>
        <w:jc w:val="center"/>
        <w:rPr>
          <w:b w:val="0"/>
          <w:bCs w:val="0"/>
        </w:rPr>
      </w:pPr>
      <w:bookmarkStart w:name="_bookmark126" w:id="127"/>
      <w:bookmarkEnd w:id="127"/>
      <w:r>
        <w:rPr>
          <w:b w:val="0"/>
        </w:rPr>
      </w:r>
      <w:r>
        <w:rPr/>
        <w:t>Table 40:  Overall economic</w:t>
      </w:r>
      <w:r>
        <w:rPr>
          <w:spacing w:val="-18"/>
        </w:rPr>
        <w:t> </w:t>
      </w:r>
      <w:r>
        <w:rPr/>
        <w:t>impact</w:t>
      </w:r>
      <w:r>
        <w:rPr>
          <w:b w:val="0"/>
        </w:rPr>
      </w:r>
    </w:p>
    <w:p>
      <w:pPr>
        <w:spacing w:line="240" w:lineRule="auto"/>
        <w:ind w:left="252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4573206" cy="1276350"/>
            <wp:effectExtent l="0" t="0" r="0" b="0"/>
            <wp:docPr id="61" name="image33.png" descr=""/>
            <wp:cNvGraphicFramePr>
              <a:graphicFrameLocks noChangeAspect="1"/>
            </wp:cNvGraphicFramePr>
            <a:graphic>
              <a:graphicData uri="http://schemas.openxmlformats.org/drawingml/2006/picture">
                <pic:pic>
                  <pic:nvPicPr>
                    <pic:cNvPr id="62" name="image33.png"/>
                    <pic:cNvPicPr/>
                  </pic:nvPicPr>
                  <pic:blipFill>
                    <a:blip r:embed="rId59" cstate="print"/>
                    <a:stretch>
                      <a:fillRect/>
                    </a:stretch>
                  </pic:blipFill>
                  <pic:spPr>
                    <a:xfrm>
                      <a:off x="0" y="0"/>
                      <a:ext cx="4573206" cy="1276350"/>
                    </a:xfrm>
                    <a:prstGeom prst="rect">
                      <a:avLst/>
                    </a:prstGeom>
                  </pic:spPr>
                </pic:pic>
              </a:graphicData>
            </a:graphic>
          </wp:inline>
        </w:drawing>
      </w:r>
      <w:r>
        <w:rPr>
          <w:rFonts w:ascii="Calibri" w:hAnsi="Calibri" w:cs="Calibri" w:eastAsia="Calibri" w:hint="default"/>
          <w:sz w:val="20"/>
          <w:szCs w:val="20"/>
        </w:rPr>
      </w: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pStyle w:val="Heading2"/>
        <w:spacing w:line="240" w:lineRule="auto" w:before="126"/>
        <w:ind w:right="0"/>
        <w:jc w:val="both"/>
        <w:rPr>
          <w:b w:val="0"/>
          <w:bCs w:val="0"/>
        </w:rPr>
      </w:pPr>
      <w:bookmarkStart w:name="_bookmark127" w:id="128"/>
      <w:bookmarkEnd w:id="128"/>
      <w:r>
        <w:rPr>
          <w:b w:val="0"/>
        </w:rPr>
      </w:r>
      <w:r>
        <w:rPr/>
        <w:t>Getting the American tourists to</w:t>
      </w:r>
      <w:r>
        <w:rPr>
          <w:spacing w:val="-16"/>
        </w:rPr>
        <w:t> </w:t>
      </w:r>
      <w:r>
        <w:rPr/>
        <w:t>Curaçao</w:t>
      </w:r>
      <w:r>
        <w:rPr>
          <w:b w:val="0"/>
        </w:rPr>
      </w:r>
    </w:p>
    <w:p>
      <w:pPr>
        <w:pStyle w:val="BodyText"/>
        <w:spacing w:line="240" w:lineRule="auto" w:before="191"/>
        <w:ind w:right="1437"/>
        <w:jc w:val="both"/>
      </w:pPr>
      <w:r>
        <w:rPr/>
        <w:t>The</w:t>
      </w:r>
      <w:r>
        <w:rPr>
          <w:spacing w:val="-11"/>
        </w:rPr>
        <w:t> </w:t>
      </w:r>
      <w:r>
        <w:rPr/>
        <w:t>USA</w:t>
      </w:r>
      <w:r>
        <w:rPr>
          <w:spacing w:val="-10"/>
        </w:rPr>
        <w:t> </w:t>
      </w:r>
      <w:r>
        <w:rPr/>
        <w:t>continent</w:t>
      </w:r>
      <w:r>
        <w:rPr>
          <w:spacing w:val="-10"/>
        </w:rPr>
        <w:t> </w:t>
      </w:r>
      <w:r>
        <w:rPr/>
        <w:t>was</w:t>
      </w:r>
      <w:r>
        <w:rPr>
          <w:spacing w:val="-11"/>
        </w:rPr>
        <w:t> </w:t>
      </w:r>
      <w:r>
        <w:rPr/>
        <w:t>divided</w:t>
      </w:r>
      <w:r>
        <w:rPr>
          <w:spacing w:val="-10"/>
        </w:rPr>
        <w:t> </w:t>
      </w:r>
      <w:r>
        <w:rPr/>
        <w:t>into</w:t>
      </w:r>
      <w:r>
        <w:rPr>
          <w:spacing w:val="-12"/>
        </w:rPr>
        <w:t> </w:t>
      </w:r>
      <w:r>
        <w:rPr/>
        <w:t>six</w:t>
      </w:r>
      <w:r>
        <w:rPr>
          <w:spacing w:val="-11"/>
        </w:rPr>
        <w:t> </w:t>
      </w:r>
      <w:r>
        <w:rPr/>
        <w:t>regions:</w:t>
      </w:r>
      <w:r>
        <w:rPr>
          <w:spacing w:val="-11"/>
        </w:rPr>
        <w:t> </w:t>
      </w:r>
      <w:r>
        <w:rPr/>
        <w:t>New</w:t>
      </w:r>
      <w:r>
        <w:rPr>
          <w:spacing w:val="-11"/>
        </w:rPr>
        <w:t> </w:t>
      </w:r>
      <w:r>
        <w:rPr/>
        <w:t>England,</w:t>
      </w:r>
      <w:r>
        <w:rPr>
          <w:spacing w:val="-10"/>
        </w:rPr>
        <w:t> </w:t>
      </w:r>
      <w:r>
        <w:rPr/>
        <w:t>South,</w:t>
      </w:r>
      <w:r>
        <w:rPr>
          <w:spacing w:val="-12"/>
        </w:rPr>
        <w:t> </w:t>
      </w:r>
      <w:r>
        <w:rPr/>
        <w:t>Southwest,</w:t>
      </w:r>
      <w:r>
        <w:rPr>
          <w:spacing w:val="-9"/>
        </w:rPr>
        <w:t> </w:t>
      </w:r>
      <w:r>
        <w:rPr/>
        <w:t>Middle</w:t>
      </w:r>
      <w:r>
        <w:rPr>
          <w:spacing w:val="-11"/>
        </w:rPr>
        <w:t> </w:t>
      </w:r>
      <w:r>
        <w:rPr/>
        <w:t>Atlantic,</w:t>
      </w:r>
      <w:r>
        <w:rPr>
          <w:spacing w:val="-9"/>
        </w:rPr>
        <w:t> </w:t>
      </w:r>
      <w:r>
        <w:rPr/>
        <w:t>West</w:t>
      </w:r>
      <w:r>
        <w:rPr>
          <w:spacing w:val="-10"/>
        </w:rPr>
        <w:t> </w:t>
      </w:r>
      <w:r>
        <w:rPr/>
        <w:t>and</w:t>
      </w:r>
      <w:r>
        <w:rPr>
          <w:spacing w:val="-10"/>
        </w:rPr>
        <w:t> </w:t>
      </w:r>
      <w:r>
        <w:rPr/>
        <w:t>Midwest. </w:t>
      </w:r>
      <w:r>
        <w:rPr/>
        <w:t>The</w:t>
      </w:r>
      <w:r>
        <w:rPr>
          <w:spacing w:val="-5"/>
        </w:rPr>
        <w:t> </w:t>
      </w:r>
      <w:r>
        <w:rPr/>
        <w:t>map</w:t>
      </w:r>
      <w:r>
        <w:rPr>
          <w:spacing w:val="-3"/>
        </w:rPr>
        <w:t> </w:t>
      </w:r>
      <w:r>
        <w:rPr/>
        <w:t>in</w:t>
      </w:r>
      <w:r>
        <w:rPr>
          <w:spacing w:val="-4"/>
        </w:rPr>
        <w:t> </w:t>
      </w:r>
      <w:r>
        <w:rPr/>
        <w:t>the</w:t>
      </w:r>
      <w:r>
        <w:rPr>
          <w:spacing w:val="-5"/>
        </w:rPr>
        <w:t> </w:t>
      </w:r>
      <w:r>
        <w:rPr/>
        <w:t>Annex</w:t>
      </w:r>
      <w:r>
        <w:rPr>
          <w:spacing w:val="-4"/>
        </w:rPr>
        <w:t> </w:t>
      </w:r>
      <w:r>
        <w:rPr/>
        <w:t>reveals</w:t>
      </w:r>
      <w:r>
        <w:rPr>
          <w:spacing w:val="-5"/>
        </w:rPr>
        <w:t> </w:t>
      </w:r>
      <w:r>
        <w:rPr/>
        <w:t>which</w:t>
      </w:r>
      <w:r>
        <w:rPr>
          <w:spacing w:val="-4"/>
        </w:rPr>
        <w:t> </w:t>
      </w:r>
      <w:r>
        <w:rPr/>
        <w:t>states</w:t>
      </w:r>
      <w:r>
        <w:rPr>
          <w:spacing w:val="-5"/>
        </w:rPr>
        <w:t> </w:t>
      </w:r>
      <w:r>
        <w:rPr/>
        <w:t>belong</w:t>
      </w:r>
      <w:r>
        <w:rPr>
          <w:spacing w:val="-5"/>
        </w:rPr>
        <w:t> </w:t>
      </w:r>
      <w:r>
        <w:rPr/>
        <w:t>to</w:t>
      </w:r>
      <w:r>
        <w:rPr>
          <w:spacing w:val="-4"/>
        </w:rPr>
        <w:t> </w:t>
      </w:r>
      <w:r>
        <w:rPr/>
        <w:t>each</w:t>
      </w:r>
      <w:r>
        <w:rPr>
          <w:spacing w:val="-2"/>
        </w:rPr>
        <w:t> </w:t>
      </w:r>
      <w:r>
        <w:rPr/>
        <w:t>of</w:t>
      </w:r>
      <w:r>
        <w:rPr>
          <w:spacing w:val="-5"/>
        </w:rPr>
        <w:t> </w:t>
      </w:r>
      <w:r>
        <w:rPr/>
        <w:t>the</w:t>
      </w:r>
      <w:r>
        <w:rPr>
          <w:spacing w:val="-5"/>
        </w:rPr>
        <w:t> </w:t>
      </w:r>
      <w:r>
        <w:rPr/>
        <w:t>six</w:t>
      </w:r>
      <w:r>
        <w:rPr>
          <w:spacing w:val="-5"/>
        </w:rPr>
        <w:t> </w:t>
      </w:r>
      <w:r>
        <w:rPr/>
        <w:t>regions.</w:t>
      </w:r>
      <w:r>
        <w:rPr>
          <w:spacing w:val="-3"/>
        </w:rPr>
        <w:t> </w:t>
      </w:r>
      <w:r>
        <w:rPr/>
        <w:t>Through</w:t>
      </w:r>
      <w:r>
        <w:rPr>
          <w:spacing w:val="-4"/>
        </w:rPr>
        <w:t> </w:t>
      </w:r>
      <w:r>
        <w:rPr/>
        <w:t>a</w:t>
      </w:r>
      <w:r>
        <w:rPr>
          <w:spacing w:val="-4"/>
        </w:rPr>
        <w:t> </w:t>
      </w:r>
      <w:r>
        <w:rPr/>
        <w:t>factor</w:t>
      </w:r>
      <w:r>
        <w:rPr>
          <w:spacing w:val="-4"/>
        </w:rPr>
        <w:t> </w:t>
      </w:r>
      <w:r>
        <w:rPr/>
        <w:t>analysis</w:t>
      </w:r>
      <w:r>
        <w:rPr>
          <w:spacing w:val="-6"/>
        </w:rPr>
        <w:t> </w:t>
      </w:r>
      <w:r>
        <w:rPr/>
        <w:t>(see</w:t>
      </w:r>
      <w:r>
        <w:rPr>
          <w:spacing w:val="-5"/>
        </w:rPr>
        <w:t> </w:t>
      </w:r>
      <w:r>
        <w:rPr/>
        <w:t>Annex</w:t>
      </w:r>
      <w:r>
        <w:rPr>
          <w:spacing w:val="-4"/>
        </w:rPr>
        <w:t> </w:t>
      </w:r>
      <w:r>
        <w:rPr/>
        <w:t>3) </w:t>
      </w:r>
      <w:r>
        <w:rPr/>
        <w:t>four constructs were identified, i.e., positive attitudes, value and variety of attractions, shopping quality, and hospitality-related services. In addition, an ANOVA technique was conducted to compare differences among the regions in terms of these four</w:t>
      </w:r>
      <w:r>
        <w:rPr>
          <w:spacing w:val="-17"/>
        </w:rPr>
        <w:t> </w:t>
      </w:r>
      <w:r>
        <w:rPr/>
        <w:t>constructs.</w:t>
      </w:r>
    </w:p>
    <w:p>
      <w:pPr>
        <w:spacing w:line="240" w:lineRule="auto" w:before="11"/>
        <w:ind w:right="0"/>
        <w:rPr>
          <w:rFonts w:ascii="Calibri" w:hAnsi="Calibri" w:cs="Calibri" w:eastAsia="Calibri" w:hint="default"/>
          <w:sz w:val="19"/>
          <w:szCs w:val="19"/>
        </w:rPr>
      </w:pPr>
    </w:p>
    <w:p>
      <w:pPr>
        <w:pStyle w:val="BodyText"/>
        <w:spacing w:line="240" w:lineRule="auto"/>
        <w:ind w:right="1435"/>
        <w:jc w:val="both"/>
      </w:pPr>
      <w:r>
        <w:rPr/>
        <w:t>Table</w:t>
      </w:r>
      <w:r>
        <w:rPr>
          <w:spacing w:val="-5"/>
        </w:rPr>
        <w:t> </w:t>
      </w:r>
      <w:r>
        <w:rPr/>
        <w:t>41</w:t>
      </w:r>
      <w:r>
        <w:rPr>
          <w:spacing w:val="-5"/>
        </w:rPr>
        <w:t> </w:t>
      </w:r>
      <w:r>
        <w:rPr/>
        <w:t>reveals</w:t>
      </w:r>
      <w:r>
        <w:rPr>
          <w:spacing w:val="-6"/>
        </w:rPr>
        <w:t> </w:t>
      </w:r>
      <w:r>
        <w:rPr/>
        <w:t>the</w:t>
      </w:r>
      <w:r>
        <w:rPr>
          <w:spacing w:val="-5"/>
        </w:rPr>
        <w:t> </w:t>
      </w:r>
      <w:r>
        <w:rPr/>
        <w:t>position</w:t>
      </w:r>
      <w:r>
        <w:rPr>
          <w:spacing w:val="-3"/>
        </w:rPr>
        <w:t> </w:t>
      </w:r>
      <w:r>
        <w:rPr/>
        <w:t>of</w:t>
      </w:r>
      <w:r>
        <w:rPr>
          <w:spacing w:val="-3"/>
        </w:rPr>
        <w:t> </w:t>
      </w:r>
      <w:r>
        <w:rPr/>
        <w:t>Curaçao</w:t>
      </w:r>
      <w:r>
        <w:rPr>
          <w:spacing w:val="-4"/>
        </w:rPr>
        <w:t> </w:t>
      </w:r>
      <w:r>
        <w:rPr/>
        <w:t>in</w:t>
      </w:r>
      <w:r>
        <w:rPr>
          <w:spacing w:val="-4"/>
        </w:rPr>
        <w:t> </w:t>
      </w:r>
      <w:r>
        <w:rPr/>
        <w:t>each</w:t>
      </w:r>
      <w:r>
        <w:rPr>
          <w:spacing w:val="-3"/>
        </w:rPr>
        <w:t> </w:t>
      </w:r>
      <w:r>
        <w:rPr/>
        <w:t>one</w:t>
      </w:r>
      <w:r>
        <w:rPr>
          <w:spacing w:val="-5"/>
        </w:rPr>
        <w:t> </w:t>
      </w:r>
      <w:r>
        <w:rPr/>
        <w:t>of</w:t>
      </w:r>
      <w:r>
        <w:rPr>
          <w:spacing w:val="-5"/>
        </w:rPr>
        <w:t> </w:t>
      </w:r>
      <w:r>
        <w:rPr/>
        <w:t>the</w:t>
      </w:r>
      <w:r>
        <w:rPr>
          <w:spacing w:val="-5"/>
        </w:rPr>
        <w:t> </w:t>
      </w:r>
      <w:r>
        <w:rPr/>
        <w:t>regions</w:t>
      </w:r>
      <w:r>
        <w:rPr>
          <w:spacing w:val="-5"/>
        </w:rPr>
        <w:t> </w:t>
      </w:r>
      <w:r>
        <w:rPr/>
        <w:t>according</w:t>
      </w:r>
      <w:r>
        <w:rPr>
          <w:spacing w:val="-5"/>
        </w:rPr>
        <w:t> </w:t>
      </w:r>
      <w:r>
        <w:rPr/>
        <w:t>to</w:t>
      </w:r>
      <w:r>
        <w:rPr>
          <w:spacing w:val="-4"/>
        </w:rPr>
        <w:t> </w:t>
      </w:r>
      <w:r>
        <w:rPr/>
        <w:t>each</w:t>
      </w:r>
      <w:r>
        <w:rPr>
          <w:spacing w:val="-3"/>
        </w:rPr>
        <w:t> </w:t>
      </w:r>
      <w:r>
        <w:rPr/>
        <w:t>one</w:t>
      </w:r>
      <w:r>
        <w:rPr>
          <w:spacing w:val="-3"/>
        </w:rPr>
        <w:t> </w:t>
      </w:r>
      <w:r>
        <w:rPr/>
        <w:t>of</w:t>
      </w:r>
      <w:r>
        <w:rPr>
          <w:spacing w:val="-5"/>
        </w:rPr>
        <w:t> </w:t>
      </w:r>
      <w:r>
        <w:rPr/>
        <w:t>the</w:t>
      </w:r>
      <w:r>
        <w:rPr>
          <w:spacing w:val="-5"/>
        </w:rPr>
        <w:t> </w:t>
      </w:r>
      <w:r>
        <w:rPr/>
        <w:t>four</w:t>
      </w:r>
      <w:r>
        <w:rPr>
          <w:spacing w:val="-4"/>
        </w:rPr>
        <w:t> </w:t>
      </w:r>
      <w:r>
        <w:rPr/>
        <w:t>constructs.</w:t>
      </w:r>
      <w:r>
        <w:rPr>
          <w:spacing w:val="-4"/>
        </w:rPr>
        <w:t> </w:t>
      </w:r>
      <w:r>
        <w:rPr/>
        <w:t>For </w:t>
      </w:r>
      <w:r>
        <w:rPr/>
        <w:t>example, Curaçao reveals a lower positive attitude in the New England region (3.09) compared to the Midwest and West regions (3.36 and 3.32). Based on this analysis, Curaçao would have the greatest potential to attract tourists from the West and Midwest regions. However, it is crucial to connect positive attitudes with the intention to visit Curaçao in order to gauge more precisely which regions possess the highest likelihood of patronizing</w:t>
      </w:r>
      <w:r>
        <w:rPr>
          <w:spacing w:val="-30"/>
        </w:rPr>
        <w:t> </w:t>
      </w:r>
      <w:r>
        <w:rPr/>
        <w:t>Curaçao.</w:t>
      </w:r>
    </w:p>
    <w:p>
      <w:pPr>
        <w:pStyle w:val="Heading9"/>
        <w:spacing w:line="240" w:lineRule="auto"/>
        <w:ind w:right="26"/>
        <w:jc w:val="center"/>
        <w:rPr>
          <w:b w:val="0"/>
          <w:bCs w:val="0"/>
        </w:rPr>
      </w:pPr>
      <w:bookmarkStart w:name="_bookmark128" w:id="129"/>
      <w:bookmarkEnd w:id="129"/>
      <w:r>
        <w:rPr>
          <w:b w:val="0"/>
        </w:rPr>
      </w:r>
      <w:r>
        <w:rPr/>
        <w:t>Table 41:  Curaçao image in the US</w:t>
      </w:r>
      <w:r>
        <w:rPr>
          <w:spacing w:val="-17"/>
        </w:rPr>
        <w:t> </w:t>
      </w:r>
      <w:r>
        <w:rPr/>
        <w:t>regions</w:t>
      </w:r>
      <w:r>
        <w:rPr>
          <w:b w:val="0"/>
        </w:rPr>
      </w:r>
    </w:p>
    <w:tbl>
      <w:tblPr>
        <w:tblW w:w="0" w:type="auto"/>
        <w:jc w:val="left"/>
        <w:tblInd w:w="1440" w:type="dxa"/>
        <w:tblLayout w:type="fixed"/>
        <w:tblCellMar>
          <w:top w:w="0" w:type="dxa"/>
          <w:left w:w="0" w:type="dxa"/>
          <w:bottom w:w="0" w:type="dxa"/>
          <w:right w:w="0" w:type="dxa"/>
        </w:tblCellMar>
        <w:tblLook w:val="01E0"/>
      </w:tblPr>
      <w:tblGrid>
        <w:gridCol w:w="2297"/>
        <w:gridCol w:w="912"/>
        <w:gridCol w:w="1333"/>
        <w:gridCol w:w="1169"/>
        <w:gridCol w:w="1335"/>
        <w:gridCol w:w="1117"/>
        <w:gridCol w:w="1290"/>
      </w:tblGrid>
      <w:tr>
        <w:trPr>
          <w:trHeight w:val="422" w:hRule="exact"/>
        </w:trPr>
        <w:tc>
          <w:tcPr>
            <w:tcW w:w="2297" w:type="dxa"/>
            <w:tcBorders>
              <w:top w:val="single" w:sz="4" w:space="0" w:color="000000"/>
              <w:left w:val="nil" w:sz="6" w:space="0" w:color="auto"/>
              <w:bottom w:val="single" w:sz="4" w:space="0" w:color="000000"/>
              <w:right w:val="nil" w:sz="6" w:space="0" w:color="auto"/>
            </w:tcBorders>
          </w:tcPr>
          <w:p>
            <w:pPr>
              <w:pStyle w:val="TableParagraph"/>
              <w:spacing w:line="240" w:lineRule="auto" w:before="10"/>
              <w:ind w:right="0"/>
              <w:jc w:val="left"/>
              <w:rPr>
                <w:rFonts w:ascii="Calibri" w:hAnsi="Calibri" w:cs="Calibri" w:eastAsia="Calibri" w:hint="default"/>
                <w:b/>
                <w:bCs/>
                <w:sz w:val="15"/>
                <w:szCs w:val="15"/>
              </w:rPr>
            </w:pPr>
          </w:p>
          <w:p>
            <w:pPr>
              <w:pStyle w:val="TableParagraph"/>
              <w:spacing w:line="240" w:lineRule="auto"/>
              <w:ind w:left="765" w:right="0"/>
              <w:jc w:val="left"/>
              <w:rPr>
                <w:rFonts w:ascii="Calibri" w:hAnsi="Calibri" w:cs="Calibri" w:eastAsia="Calibri" w:hint="default"/>
                <w:sz w:val="18"/>
                <w:szCs w:val="18"/>
              </w:rPr>
            </w:pPr>
            <w:r>
              <w:rPr>
                <w:rFonts w:ascii="Calibri"/>
                <w:b/>
                <w:sz w:val="18"/>
              </w:rPr>
              <w:t>Construct</w:t>
            </w:r>
            <w:r>
              <w:rPr>
                <w:rFonts w:ascii="Calibri"/>
                <w:sz w:val="18"/>
              </w:rPr>
            </w:r>
          </w:p>
        </w:tc>
        <w:tc>
          <w:tcPr>
            <w:tcW w:w="912" w:type="dxa"/>
            <w:tcBorders>
              <w:top w:val="single" w:sz="4" w:space="0" w:color="000000"/>
              <w:left w:val="nil" w:sz="6" w:space="0" w:color="auto"/>
              <w:bottom w:val="single" w:sz="4" w:space="0" w:color="000000"/>
              <w:right w:val="nil" w:sz="6" w:space="0" w:color="auto"/>
            </w:tcBorders>
          </w:tcPr>
          <w:p>
            <w:pPr>
              <w:pStyle w:val="TableParagraph"/>
              <w:spacing w:line="240" w:lineRule="auto"/>
              <w:ind w:left="91" w:right="106" w:firstLine="171"/>
              <w:jc w:val="left"/>
              <w:rPr>
                <w:rFonts w:ascii="Arial" w:hAnsi="Arial" w:cs="Arial" w:eastAsia="Arial" w:hint="default"/>
                <w:sz w:val="18"/>
                <w:szCs w:val="18"/>
              </w:rPr>
            </w:pPr>
            <w:r>
              <w:rPr>
                <w:rFonts w:ascii="Arial"/>
                <w:b/>
                <w:sz w:val="18"/>
              </w:rPr>
              <w:t>New England</w:t>
            </w:r>
            <w:r>
              <w:rPr>
                <w:rFonts w:ascii="Arial"/>
                <w:sz w:val="18"/>
              </w:rPr>
            </w:r>
          </w:p>
        </w:tc>
        <w:tc>
          <w:tcPr>
            <w:tcW w:w="1333" w:type="dxa"/>
            <w:tcBorders>
              <w:top w:val="single" w:sz="4" w:space="0" w:color="000000"/>
              <w:left w:val="nil" w:sz="6" w:space="0" w:color="auto"/>
              <w:bottom w:val="single" w:sz="4" w:space="0" w:color="000000"/>
              <w:right w:val="nil" w:sz="6" w:space="0" w:color="auto"/>
            </w:tcBorders>
          </w:tcPr>
          <w:p>
            <w:pPr>
              <w:pStyle w:val="TableParagraph"/>
              <w:spacing w:line="240" w:lineRule="auto" w:before="5"/>
              <w:ind w:right="0"/>
              <w:jc w:val="left"/>
              <w:rPr>
                <w:rFonts w:ascii="Calibri" w:hAnsi="Calibri" w:cs="Calibri" w:eastAsia="Calibri" w:hint="default"/>
                <w:b/>
                <w:bCs/>
                <w:sz w:val="16"/>
                <w:szCs w:val="16"/>
              </w:rPr>
            </w:pPr>
          </w:p>
          <w:p>
            <w:pPr>
              <w:pStyle w:val="TableParagraph"/>
              <w:spacing w:line="240" w:lineRule="auto"/>
              <w:ind w:right="7"/>
              <w:jc w:val="center"/>
              <w:rPr>
                <w:rFonts w:ascii="Arial" w:hAnsi="Arial" w:cs="Arial" w:eastAsia="Arial" w:hint="default"/>
                <w:sz w:val="18"/>
                <w:szCs w:val="18"/>
              </w:rPr>
            </w:pPr>
            <w:r>
              <w:rPr>
                <w:rFonts w:ascii="Arial"/>
                <w:b/>
                <w:sz w:val="18"/>
              </w:rPr>
              <w:t>South</w:t>
            </w:r>
            <w:r>
              <w:rPr>
                <w:rFonts w:ascii="Arial"/>
                <w:sz w:val="18"/>
              </w:rPr>
            </w:r>
          </w:p>
        </w:tc>
        <w:tc>
          <w:tcPr>
            <w:tcW w:w="1169" w:type="dxa"/>
            <w:tcBorders>
              <w:top w:val="single" w:sz="4" w:space="0" w:color="000000"/>
              <w:left w:val="nil" w:sz="6" w:space="0" w:color="auto"/>
              <w:bottom w:val="single" w:sz="4" w:space="0" w:color="000000"/>
              <w:right w:val="nil" w:sz="6" w:space="0" w:color="auto"/>
            </w:tcBorders>
          </w:tcPr>
          <w:p>
            <w:pPr>
              <w:pStyle w:val="TableParagraph"/>
              <w:spacing w:line="240" w:lineRule="auto" w:before="5"/>
              <w:ind w:right="0"/>
              <w:jc w:val="left"/>
              <w:rPr>
                <w:rFonts w:ascii="Calibri" w:hAnsi="Calibri" w:cs="Calibri" w:eastAsia="Calibri" w:hint="default"/>
                <w:b/>
                <w:bCs/>
                <w:sz w:val="16"/>
                <w:szCs w:val="16"/>
              </w:rPr>
            </w:pPr>
          </w:p>
          <w:p>
            <w:pPr>
              <w:pStyle w:val="TableParagraph"/>
              <w:spacing w:line="240" w:lineRule="auto"/>
              <w:ind w:left="10" w:right="0"/>
              <w:jc w:val="center"/>
              <w:rPr>
                <w:rFonts w:ascii="Arial" w:hAnsi="Arial" w:cs="Arial" w:eastAsia="Arial" w:hint="default"/>
                <w:sz w:val="18"/>
                <w:szCs w:val="18"/>
              </w:rPr>
            </w:pPr>
            <w:r>
              <w:rPr>
                <w:rFonts w:ascii="Arial"/>
                <w:b/>
                <w:sz w:val="18"/>
              </w:rPr>
              <w:t>Southwest</w:t>
            </w:r>
            <w:r>
              <w:rPr>
                <w:rFonts w:ascii="Arial"/>
                <w:sz w:val="18"/>
              </w:rPr>
            </w:r>
          </w:p>
        </w:tc>
        <w:tc>
          <w:tcPr>
            <w:tcW w:w="1335" w:type="dxa"/>
            <w:tcBorders>
              <w:top w:val="single" w:sz="4" w:space="0" w:color="000000"/>
              <w:left w:val="nil" w:sz="6" w:space="0" w:color="auto"/>
              <w:bottom w:val="single" w:sz="4" w:space="0" w:color="000000"/>
              <w:right w:val="nil" w:sz="6" w:space="0" w:color="auto"/>
            </w:tcBorders>
          </w:tcPr>
          <w:p>
            <w:pPr>
              <w:pStyle w:val="TableParagraph"/>
              <w:spacing w:line="240" w:lineRule="auto"/>
              <w:ind w:left="349" w:right="323" w:firstLine="43"/>
              <w:jc w:val="left"/>
              <w:rPr>
                <w:rFonts w:ascii="Arial" w:hAnsi="Arial" w:cs="Arial" w:eastAsia="Arial" w:hint="default"/>
                <w:sz w:val="18"/>
                <w:szCs w:val="18"/>
              </w:rPr>
            </w:pPr>
            <w:r>
              <w:rPr>
                <w:rFonts w:ascii="Arial"/>
                <w:b/>
                <w:sz w:val="18"/>
              </w:rPr>
              <w:t>Middle Atlantic</w:t>
            </w:r>
            <w:r>
              <w:rPr>
                <w:rFonts w:ascii="Arial"/>
                <w:sz w:val="18"/>
              </w:rPr>
            </w:r>
          </w:p>
        </w:tc>
        <w:tc>
          <w:tcPr>
            <w:tcW w:w="1117" w:type="dxa"/>
            <w:tcBorders>
              <w:top w:val="single" w:sz="4" w:space="0" w:color="000000"/>
              <w:left w:val="nil" w:sz="6" w:space="0" w:color="auto"/>
              <w:bottom w:val="single" w:sz="4" w:space="0" w:color="000000"/>
              <w:right w:val="nil" w:sz="6" w:space="0" w:color="auto"/>
            </w:tcBorders>
          </w:tcPr>
          <w:p>
            <w:pPr>
              <w:pStyle w:val="TableParagraph"/>
              <w:spacing w:line="240" w:lineRule="auto" w:before="5"/>
              <w:ind w:right="0"/>
              <w:jc w:val="left"/>
              <w:rPr>
                <w:rFonts w:ascii="Calibri" w:hAnsi="Calibri" w:cs="Calibri" w:eastAsia="Calibri" w:hint="default"/>
                <w:b/>
                <w:bCs/>
                <w:sz w:val="16"/>
                <w:szCs w:val="16"/>
              </w:rPr>
            </w:pPr>
          </w:p>
          <w:p>
            <w:pPr>
              <w:pStyle w:val="TableParagraph"/>
              <w:spacing w:line="240" w:lineRule="auto"/>
              <w:ind w:left="3" w:right="0"/>
              <w:jc w:val="center"/>
              <w:rPr>
                <w:rFonts w:ascii="Arial" w:hAnsi="Arial" w:cs="Arial" w:eastAsia="Arial" w:hint="default"/>
                <w:sz w:val="18"/>
                <w:szCs w:val="18"/>
              </w:rPr>
            </w:pPr>
            <w:r>
              <w:rPr>
                <w:rFonts w:ascii="Arial"/>
                <w:b/>
                <w:sz w:val="18"/>
              </w:rPr>
              <w:t>West</w:t>
            </w:r>
            <w:r>
              <w:rPr>
                <w:rFonts w:ascii="Arial"/>
                <w:sz w:val="18"/>
              </w:rPr>
            </w:r>
          </w:p>
        </w:tc>
        <w:tc>
          <w:tcPr>
            <w:tcW w:w="1290" w:type="dxa"/>
            <w:tcBorders>
              <w:top w:val="single" w:sz="4" w:space="0" w:color="000000"/>
              <w:left w:val="nil" w:sz="6" w:space="0" w:color="auto"/>
              <w:bottom w:val="single" w:sz="4" w:space="0" w:color="000000"/>
              <w:right w:val="nil" w:sz="6" w:space="0" w:color="auto"/>
            </w:tcBorders>
          </w:tcPr>
          <w:p>
            <w:pPr>
              <w:pStyle w:val="TableParagraph"/>
              <w:spacing w:line="240" w:lineRule="auto" w:before="5"/>
              <w:ind w:right="0"/>
              <w:jc w:val="left"/>
              <w:rPr>
                <w:rFonts w:ascii="Calibri" w:hAnsi="Calibri" w:cs="Calibri" w:eastAsia="Calibri" w:hint="default"/>
                <w:b/>
                <w:bCs/>
                <w:sz w:val="16"/>
                <w:szCs w:val="16"/>
              </w:rPr>
            </w:pPr>
          </w:p>
          <w:p>
            <w:pPr>
              <w:pStyle w:val="TableParagraph"/>
              <w:spacing w:line="240" w:lineRule="auto"/>
              <w:ind w:left="24" w:right="0"/>
              <w:jc w:val="center"/>
              <w:rPr>
                <w:rFonts w:ascii="Arial" w:hAnsi="Arial" w:cs="Arial" w:eastAsia="Arial" w:hint="default"/>
                <w:sz w:val="18"/>
                <w:szCs w:val="18"/>
              </w:rPr>
            </w:pPr>
            <w:r>
              <w:rPr>
                <w:rFonts w:ascii="Arial"/>
                <w:b/>
                <w:sz w:val="18"/>
              </w:rPr>
              <w:t>Midwest</w:t>
            </w:r>
            <w:r>
              <w:rPr>
                <w:rFonts w:ascii="Arial"/>
                <w:sz w:val="18"/>
              </w:rPr>
            </w:r>
          </w:p>
        </w:tc>
      </w:tr>
      <w:tr>
        <w:trPr>
          <w:trHeight w:val="241" w:hRule="exact"/>
        </w:trPr>
        <w:tc>
          <w:tcPr>
            <w:tcW w:w="2297" w:type="dxa"/>
            <w:tcBorders>
              <w:top w:val="single" w:sz="4" w:space="0" w:color="000000"/>
              <w:left w:val="nil" w:sz="6" w:space="0" w:color="auto"/>
              <w:bottom w:val="nil" w:sz="6" w:space="0" w:color="auto"/>
              <w:right w:val="nil" w:sz="6" w:space="0" w:color="auto"/>
            </w:tcBorders>
          </w:tcPr>
          <w:p>
            <w:pPr>
              <w:pStyle w:val="TableParagraph"/>
              <w:spacing w:line="219" w:lineRule="exact"/>
              <w:ind w:left="14" w:right="0"/>
              <w:jc w:val="left"/>
              <w:rPr>
                <w:rFonts w:ascii="Calibri" w:hAnsi="Calibri" w:cs="Calibri" w:eastAsia="Calibri" w:hint="default"/>
                <w:sz w:val="18"/>
                <w:szCs w:val="18"/>
              </w:rPr>
            </w:pPr>
            <w:r>
              <w:rPr>
                <w:rFonts w:ascii="Calibri"/>
                <w:b/>
                <w:sz w:val="18"/>
              </w:rPr>
              <w:t>Positive</w:t>
            </w:r>
            <w:r>
              <w:rPr>
                <w:rFonts w:ascii="Calibri"/>
                <w:b/>
                <w:spacing w:val="-7"/>
                <w:sz w:val="18"/>
              </w:rPr>
              <w:t> </w:t>
            </w:r>
            <w:r>
              <w:rPr>
                <w:rFonts w:ascii="Calibri"/>
                <w:b/>
                <w:sz w:val="18"/>
              </w:rPr>
              <w:t>Attitudes</w:t>
            </w:r>
            <w:r>
              <w:rPr>
                <w:rFonts w:ascii="Calibri"/>
                <w:sz w:val="18"/>
              </w:rPr>
            </w:r>
          </w:p>
        </w:tc>
        <w:tc>
          <w:tcPr>
            <w:tcW w:w="912" w:type="dxa"/>
            <w:tcBorders>
              <w:top w:val="single" w:sz="4" w:space="0" w:color="000000"/>
              <w:left w:val="nil" w:sz="6" w:space="0" w:color="auto"/>
              <w:bottom w:val="nil" w:sz="6" w:space="0" w:color="auto"/>
              <w:right w:val="nil" w:sz="6" w:space="0" w:color="auto"/>
            </w:tcBorders>
          </w:tcPr>
          <w:p>
            <w:pPr>
              <w:pStyle w:val="TableParagraph"/>
              <w:spacing w:line="219" w:lineRule="exact"/>
              <w:ind w:left="62" w:right="0"/>
              <w:jc w:val="left"/>
              <w:rPr>
                <w:rFonts w:ascii="Calibri" w:hAnsi="Calibri" w:cs="Calibri" w:eastAsia="Calibri" w:hint="default"/>
                <w:sz w:val="18"/>
                <w:szCs w:val="18"/>
              </w:rPr>
            </w:pPr>
            <w:r>
              <w:rPr>
                <w:rFonts w:ascii="Calibri"/>
                <w:sz w:val="18"/>
              </w:rPr>
              <w:t>Low</w:t>
            </w:r>
            <w:r>
              <w:rPr>
                <w:rFonts w:ascii="Calibri"/>
                <w:spacing w:val="-1"/>
                <w:sz w:val="18"/>
              </w:rPr>
              <w:t> </w:t>
            </w:r>
            <w:r>
              <w:rPr>
                <w:rFonts w:ascii="Calibri"/>
                <w:sz w:val="18"/>
              </w:rPr>
              <w:t>(3.09)</w:t>
            </w:r>
          </w:p>
        </w:tc>
        <w:tc>
          <w:tcPr>
            <w:tcW w:w="1333" w:type="dxa"/>
            <w:tcBorders>
              <w:top w:val="single" w:sz="4" w:space="0" w:color="000000"/>
              <w:left w:val="nil" w:sz="6" w:space="0" w:color="auto"/>
              <w:bottom w:val="nil" w:sz="6" w:space="0" w:color="auto"/>
              <w:right w:val="nil" w:sz="6" w:space="0" w:color="auto"/>
            </w:tcBorders>
          </w:tcPr>
          <w:p>
            <w:pPr>
              <w:pStyle w:val="TableParagraph"/>
              <w:spacing w:line="219" w:lineRule="exact"/>
              <w:ind w:right="8"/>
              <w:jc w:val="center"/>
              <w:rPr>
                <w:rFonts w:ascii="Calibri" w:hAnsi="Calibri" w:cs="Calibri" w:eastAsia="Calibri" w:hint="default"/>
                <w:sz w:val="18"/>
                <w:szCs w:val="18"/>
              </w:rPr>
            </w:pPr>
            <w:r>
              <w:rPr>
                <w:rFonts w:ascii="Calibri"/>
                <w:sz w:val="18"/>
              </w:rPr>
              <w:t>Low</w:t>
            </w:r>
            <w:r>
              <w:rPr>
                <w:rFonts w:ascii="Calibri"/>
                <w:spacing w:val="-1"/>
                <w:sz w:val="18"/>
              </w:rPr>
              <w:t> </w:t>
            </w:r>
            <w:r>
              <w:rPr>
                <w:rFonts w:ascii="Calibri"/>
                <w:sz w:val="18"/>
              </w:rPr>
              <w:t>(3.10)</w:t>
            </w:r>
          </w:p>
        </w:tc>
        <w:tc>
          <w:tcPr>
            <w:tcW w:w="1169" w:type="dxa"/>
            <w:tcBorders>
              <w:top w:val="single" w:sz="4" w:space="0" w:color="000000"/>
              <w:left w:val="nil" w:sz="6" w:space="0" w:color="auto"/>
              <w:bottom w:val="nil" w:sz="6" w:space="0" w:color="auto"/>
              <w:right w:val="nil" w:sz="6" w:space="0" w:color="auto"/>
            </w:tcBorders>
          </w:tcPr>
          <w:p>
            <w:pPr>
              <w:pStyle w:val="TableParagraph"/>
              <w:spacing w:line="219" w:lineRule="exact"/>
              <w:ind w:left="9" w:right="0"/>
              <w:jc w:val="center"/>
              <w:rPr>
                <w:rFonts w:ascii="Calibri" w:hAnsi="Calibri" w:cs="Calibri" w:eastAsia="Calibri" w:hint="default"/>
                <w:sz w:val="18"/>
                <w:szCs w:val="18"/>
              </w:rPr>
            </w:pPr>
            <w:r>
              <w:rPr>
                <w:rFonts w:ascii="Calibri"/>
                <w:sz w:val="18"/>
              </w:rPr>
              <w:t>No-Diff</w:t>
            </w:r>
            <w:r>
              <w:rPr>
                <w:rFonts w:ascii="Calibri"/>
                <w:spacing w:val="-3"/>
                <w:sz w:val="18"/>
              </w:rPr>
              <w:t> </w:t>
            </w:r>
            <w:r>
              <w:rPr>
                <w:rFonts w:ascii="Calibri"/>
                <w:sz w:val="18"/>
              </w:rPr>
              <w:t>(3.25)</w:t>
            </w:r>
          </w:p>
        </w:tc>
        <w:tc>
          <w:tcPr>
            <w:tcW w:w="1335" w:type="dxa"/>
            <w:tcBorders>
              <w:top w:val="single" w:sz="4" w:space="0" w:color="000000"/>
              <w:left w:val="nil" w:sz="6" w:space="0" w:color="auto"/>
              <w:bottom w:val="nil" w:sz="6" w:space="0" w:color="auto"/>
              <w:right w:val="nil" w:sz="6" w:space="0" w:color="auto"/>
            </w:tcBorders>
          </w:tcPr>
          <w:p>
            <w:pPr>
              <w:pStyle w:val="TableParagraph"/>
              <w:spacing w:line="219" w:lineRule="exact"/>
              <w:ind w:left="26" w:right="0"/>
              <w:jc w:val="center"/>
              <w:rPr>
                <w:rFonts w:ascii="Calibri" w:hAnsi="Calibri" w:cs="Calibri" w:eastAsia="Calibri" w:hint="default"/>
                <w:sz w:val="18"/>
                <w:szCs w:val="18"/>
              </w:rPr>
            </w:pPr>
            <w:r>
              <w:rPr>
                <w:rFonts w:ascii="Calibri"/>
                <w:sz w:val="18"/>
              </w:rPr>
              <w:t>No-Diff</w:t>
            </w:r>
            <w:r>
              <w:rPr>
                <w:rFonts w:ascii="Calibri"/>
                <w:spacing w:val="-3"/>
                <w:sz w:val="18"/>
              </w:rPr>
              <w:t> </w:t>
            </w:r>
            <w:r>
              <w:rPr>
                <w:rFonts w:ascii="Calibri"/>
                <w:sz w:val="18"/>
              </w:rPr>
              <w:t>(3.25)</w:t>
            </w:r>
          </w:p>
        </w:tc>
        <w:tc>
          <w:tcPr>
            <w:tcW w:w="1117" w:type="dxa"/>
            <w:tcBorders>
              <w:top w:val="single" w:sz="4" w:space="0" w:color="000000"/>
              <w:left w:val="nil" w:sz="6" w:space="0" w:color="auto"/>
              <w:bottom w:val="nil" w:sz="6" w:space="0" w:color="auto"/>
              <w:right w:val="nil" w:sz="6" w:space="0" w:color="auto"/>
            </w:tcBorders>
          </w:tcPr>
          <w:p>
            <w:pPr>
              <w:pStyle w:val="TableParagraph"/>
              <w:spacing w:line="219" w:lineRule="exact"/>
              <w:ind w:left="3" w:right="0"/>
              <w:jc w:val="center"/>
              <w:rPr>
                <w:rFonts w:ascii="Calibri" w:hAnsi="Calibri" w:cs="Calibri" w:eastAsia="Calibri" w:hint="default"/>
                <w:sz w:val="18"/>
                <w:szCs w:val="18"/>
              </w:rPr>
            </w:pPr>
            <w:r>
              <w:rPr>
                <w:rFonts w:ascii="Calibri"/>
                <w:sz w:val="18"/>
              </w:rPr>
              <w:t>High</w:t>
            </w:r>
            <w:r>
              <w:rPr>
                <w:rFonts w:ascii="Calibri"/>
                <w:spacing w:val="-3"/>
                <w:sz w:val="18"/>
              </w:rPr>
              <w:t> </w:t>
            </w:r>
            <w:r>
              <w:rPr>
                <w:rFonts w:ascii="Calibri"/>
                <w:sz w:val="18"/>
              </w:rPr>
              <w:t>(3.32)</w:t>
            </w:r>
          </w:p>
        </w:tc>
        <w:tc>
          <w:tcPr>
            <w:tcW w:w="1290" w:type="dxa"/>
            <w:tcBorders>
              <w:top w:val="single" w:sz="4" w:space="0" w:color="000000"/>
              <w:left w:val="nil" w:sz="6" w:space="0" w:color="auto"/>
              <w:bottom w:val="nil" w:sz="6" w:space="0" w:color="auto"/>
              <w:right w:val="nil" w:sz="6" w:space="0" w:color="auto"/>
            </w:tcBorders>
          </w:tcPr>
          <w:p>
            <w:pPr>
              <w:pStyle w:val="TableParagraph"/>
              <w:spacing w:line="219" w:lineRule="exact"/>
              <w:ind w:left="21" w:right="0"/>
              <w:jc w:val="center"/>
              <w:rPr>
                <w:rFonts w:ascii="Calibri" w:hAnsi="Calibri" w:cs="Calibri" w:eastAsia="Calibri" w:hint="default"/>
                <w:sz w:val="18"/>
                <w:szCs w:val="18"/>
              </w:rPr>
            </w:pPr>
            <w:r>
              <w:rPr>
                <w:rFonts w:ascii="Calibri"/>
                <w:sz w:val="18"/>
              </w:rPr>
              <w:t>High</w:t>
            </w:r>
            <w:r>
              <w:rPr>
                <w:rFonts w:ascii="Calibri"/>
                <w:spacing w:val="-3"/>
                <w:sz w:val="18"/>
              </w:rPr>
              <w:t> </w:t>
            </w:r>
            <w:r>
              <w:rPr>
                <w:rFonts w:ascii="Calibri"/>
                <w:sz w:val="18"/>
              </w:rPr>
              <w:t>(3.36)</w:t>
            </w:r>
          </w:p>
        </w:tc>
      </w:tr>
      <w:tr>
        <w:trPr>
          <w:trHeight w:val="221" w:hRule="exact"/>
        </w:trPr>
        <w:tc>
          <w:tcPr>
            <w:tcW w:w="2297" w:type="dxa"/>
            <w:tcBorders>
              <w:top w:val="nil" w:sz="6" w:space="0" w:color="auto"/>
              <w:left w:val="nil" w:sz="6" w:space="0" w:color="auto"/>
              <w:bottom w:val="nil" w:sz="6" w:space="0" w:color="auto"/>
              <w:right w:val="nil" w:sz="6" w:space="0" w:color="auto"/>
            </w:tcBorders>
          </w:tcPr>
          <w:p>
            <w:pPr>
              <w:pStyle w:val="TableParagraph"/>
              <w:spacing w:line="204" w:lineRule="exact"/>
              <w:ind w:left="14" w:right="0"/>
              <w:jc w:val="left"/>
              <w:rPr>
                <w:rFonts w:ascii="Calibri" w:hAnsi="Calibri" w:cs="Calibri" w:eastAsia="Calibri" w:hint="default"/>
                <w:sz w:val="18"/>
                <w:szCs w:val="18"/>
              </w:rPr>
            </w:pPr>
            <w:r>
              <w:rPr>
                <w:rFonts w:ascii="Calibri"/>
                <w:b/>
                <w:sz w:val="18"/>
              </w:rPr>
              <w:t>Value</w:t>
            </w:r>
            <w:r>
              <w:rPr>
                <w:rFonts w:ascii="Calibri"/>
                <w:b/>
                <w:spacing w:val="-8"/>
                <w:sz w:val="18"/>
              </w:rPr>
              <w:t> </w:t>
            </w:r>
            <w:r>
              <w:rPr>
                <w:rFonts w:ascii="Calibri"/>
                <w:b/>
                <w:sz w:val="18"/>
              </w:rPr>
              <w:t>&amp;</w:t>
            </w:r>
            <w:r>
              <w:rPr>
                <w:rFonts w:ascii="Calibri"/>
                <w:b/>
                <w:spacing w:val="-8"/>
                <w:sz w:val="18"/>
              </w:rPr>
              <w:t> </w:t>
            </w:r>
            <w:r>
              <w:rPr>
                <w:rFonts w:ascii="Calibri"/>
                <w:b/>
                <w:sz w:val="18"/>
              </w:rPr>
              <w:t>Variety</w:t>
            </w:r>
            <w:r>
              <w:rPr>
                <w:rFonts w:ascii="Calibri"/>
                <w:b/>
                <w:spacing w:val="-8"/>
                <w:sz w:val="18"/>
              </w:rPr>
              <w:t> </w:t>
            </w:r>
            <w:r>
              <w:rPr>
                <w:rFonts w:ascii="Calibri"/>
                <w:b/>
                <w:sz w:val="18"/>
              </w:rPr>
              <w:t>of</w:t>
            </w:r>
            <w:r>
              <w:rPr>
                <w:rFonts w:ascii="Calibri"/>
                <w:b/>
                <w:spacing w:val="-10"/>
                <w:sz w:val="18"/>
              </w:rPr>
              <w:t> </w:t>
            </w:r>
            <w:r>
              <w:rPr>
                <w:rFonts w:ascii="Calibri"/>
                <w:b/>
                <w:sz w:val="18"/>
              </w:rPr>
              <w:t>Attractions</w:t>
            </w:r>
            <w:r>
              <w:rPr>
                <w:rFonts w:ascii="Calibri"/>
                <w:sz w:val="18"/>
              </w:rPr>
            </w:r>
          </w:p>
        </w:tc>
        <w:tc>
          <w:tcPr>
            <w:tcW w:w="912" w:type="dxa"/>
            <w:tcBorders>
              <w:top w:val="nil" w:sz="6" w:space="0" w:color="auto"/>
              <w:left w:val="nil" w:sz="6" w:space="0" w:color="auto"/>
              <w:bottom w:val="nil" w:sz="6" w:space="0" w:color="auto"/>
              <w:right w:val="nil" w:sz="6" w:space="0" w:color="auto"/>
            </w:tcBorders>
          </w:tcPr>
          <w:p>
            <w:pPr>
              <w:pStyle w:val="TableParagraph"/>
              <w:spacing w:line="204" w:lineRule="exact"/>
              <w:ind w:left="62" w:right="0"/>
              <w:jc w:val="left"/>
              <w:rPr>
                <w:rFonts w:ascii="Calibri" w:hAnsi="Calibri" w:cs="Calibri" w:eastAsia="Calibri" w:hint="default"/>
                <w:sz w:val="18"/>
                <w:szCs w:val="18"/>
              </w:rPr>
            </w:pPr>
            <w:r>
              <w:rPr>
                <w:rFonts w:ascii="Calibri"/>
                <w:sz w:val="18"/>
              </w:rPr>
              <w:t>Low</w:t>
            </w:r>
            <w:r>
              <w:rPr>
                <w:rFonts w:ascii="Calibri"/>
                <w:spacing w:val="-1"/>
                <w:sz w:val="18"/>
              </w:rPr>
              <w:t> </w:t>
            </w:r>
            <w:r>
              <w:rPr>
                <w:rFonts w:ascii="Calibri"/>
                <w:sz w:val="18"/>
              </w:rPr>
              <w:t>(3.34)</w:t>
            </w:r>
          </w:p>
        </w:tc>
        <w:tc>
          <w:tcPr>
            <w:tcW w:w="1333" w:type="dxa"/>
            <w:tcBorders>
              <w:top w:val="nil" w:sz="6" w:space="0" w:color="auto"/>
              <w:left w:val="nil" w:sz="6" w:space="0" w:color="auto"/>
              <w:bottom w:val="nil" w:sz="6" w:space="0" w:color="auto"/>
              <w:right w:val="nil" w:sz="6" w:space="0" w:color="auto"/>
            </w:tcBorders>
          </w:tcPr>
          <w:p>
            <w:pPr>
              <w:pStyle w:val="TableParagraph"/>
              <w:spacing w:line="204" w:lineRule="exact"/>
              <w:ind w:right="5"/>
              <w:jc w:val="center"/>
              <w:rPr>
                <w:rFonts w:ascii="Calibri" w:hAnsi="Calibri" w:cs="Calibri" w:eastAsia="Calibri" w:hint="default"/>
                <w:sz w:val="18"/>
                <w:szCs w:val="18"/>
              </w:rPr>
            </w:pPr>
            <w:r>
              <w:rPr>
                <w:rFonts w:ascii="Calibri"/>
                <w:sz w:val="18"/>
              </w:rPr>
              <w:t>No-Diff</w:t>
            </w:r>
            <w:r>
              <w:rPr>
                <w:rFonts w:ascii="Calibri"/>
                <w:spacing w:val="-3"/>
                <w:sz w:val="18"/>
              </w:rPr>
              <w:t> </w:t>
            </w:r>
            <w:r>
              <w:rPr>
                <w:rFonts w:ascii="Calibri"/>
                <w:sz w:val="18"/>
              </w:rPr>
              <w:t>(3.36)</w:t>
            </w:r>
          </w:p>
        </w:tc>
        <w:tc>
          <w:tcPr>
            <w:tcW w:w="1169" w:type="dxa"/>
            <w:tcBorders>
              <w:top w:val="nil" w:sz="6" w:space="0" w:color="auto"/>
              <w:left w:val="nil" w:sz="6" w:space="0" w:color="auto"/>
              <w:bottom w:val="nil" w:sz="6" w:space="0" w:color="auto"/>
              <w:right w:val="nil" w:sz="6" w:space="0" w:color="auto"/>
            </w:tcBorders>
          </w:tcPr>
          <w:p>
            <w:pPr>
              <w:pStyle w:val="TableParagraph"/>
              <w:spacing w:line="204" w:lineRule="exact"/>
              <w:ind w:left="9" w:right="0"/>
              <w:jc w:val="center"/>
              <w:rPr>
                <w:rFonts w:ascii="Calibri" w:hAnsi="Calibri" w:cs="Calibri" w:eastAsia="Calibri" w:hint="default"/>
                <w:sz w:val="18"/>
                <w:szCs w:val="18"/>
              </w:rPr>
            </w:pPr>
            <w:r>
              <w:rPr>
                <w:rFonts w:ascii="Calibri"/>
                <w:sz w:val="18"/>
              </w:rPr>
              <w:t>No-Diff</w:t>
            </w:r>
            <w:r>
              <w:rPr>
                <w:rFonts w:ascii="Calibri"/>
                <w:spacing w:val="-3"/>
                <w:sz w:val="18"/>
              </w:rPr>
              <w:t> </w:t>
            </w:r>
            <w:r>
              <w:rPr>
                <w:rFonts w:ascii="Calibri"/>
                <w:sz w:val="18"/>
              </w:rPr>
              <w:t>(3.37)</w:t>
            </w:r>
          </w:p>
        </w:tc>
        <w:tc>
          <w:tcPr>
            <w:tcW w:w="1335" w:type="dxa"/>
            <w:tcBorders>
              <w:top w:val="nil" w:sz="6" w:space="0" w:color="auto"/>
              <w:left w:val="nil" w:sz="6" w:space="0" w:color="auto"/>
              <w:bottom w:val="nil" w:sz="6" w:space="0" w:color="auto"/>
              <w:right w:val="nil" w:sz="6" w:space="0" w:color="auto"/>
            </w:tcBorders>
          </w:tcPr>
          <w:p>
            <w:pPr>
              <w:pStyle w:val="TableParagraph"/>
              <w:spacing w:line="204" w:lineRule="exact"/>
              <w:ind w:left="26" w:right="0"/>
              <w:jc w:val="center"/>
              <w:rPr>
                <w:rFonts w:ascii="Calibri" w:hAnsi="Calibri" w:cs="Calibri" w:eastAsia="Calibri" w:hint="default"/>
                <w:sz w:val="18"/>
                <w:szCs w:val="18"/>
              </w:rPr>
            </w:pPr>
            <w:r>
              <w:rPr>
                <w:rFonts w:ascii="Calibri"/>
                <w:sz w:val="18"/>
              </w:rPr>
              <w:t>No-Diff</w:t>
            </w:r>
            <w:r>
              <w:rPr>
                <w:rFonts w:ascii="Calibri"/>
                <w:spacing w:val="-3"/>
                <w:sz w:val="18"/>
              </w:rPr>
              <w:t> </w:t>
            </w:r>
            <w:r>
              <w:rPr>
                <w:rFonts w:ascii="Calibri"/>
                <w:sz w:val="18"/>
              </w:rPr>
              <w:t>(3.50)</w:t>
            </w:r>
          </w:p>
        </w:tc>
        <w:tc>
          <w:tcPr>
            <w:tcW w:w="1117" w:type="dxa"/>
            <w:tcBorders>
              <w:top w:val="nil" w:sz="6" w:space="0" w:color="auto"/>
              <w:left w:val="nil" w:sz="6" w:space="0" w:color="auto"/>
              <w:bottom w:val="nil" w:sz="6" w:space="0" w:color="auto"/>
              <w:right w:val="nil" w:sz="6" w:space="0" w:color="auto"/>
            </w:tcBorders>
          </w:tcPr>
          <w:p>
            <w:pPr>
              <w:pStyle w:val="TableParagraph"/>
              <w:spacing w:line="204" w:lineRule="exact"/>
              <w:ind w:left="3" w:right="0"/>
              <w:jc w:val="center"/>
              <w:rPr>
                <w:rFonts w:ascii="Calibri" w:hAnsi="Calibri" w:cs="Calibri" w:eastAsia="Calibri" w:hint="default"/>
                <w:sz w:val="18"/>
                <w:szCs w:val="18"/>
              </w:rPr>
            </w:pPr>
            <w:r>
              <w:rPr>
                <w:rFonts w:ascii="Calibri"/>
                <w:sz w:val="18"/>
              </w:rPr>
              <w:t>High</w:t>
            </w:r>
            <w:r>
              <w:rPr>
                <w:rFonts w:ascii="Calibri"/>
                <w:spacing w:val="-3"/>
                <w:sz w:val="18"/>
              </w:rPr>
              <w:t> </w:t>
            </w:r>
            <w:r>
              <w:rPr>
                <w:rFonts w:ascii="Calibri"/>
                <w:sz w:val="18"/>
              </w:rPr>
              <w:t>(3.54)</w:t>
            </w:r>
          </w:p>
        </w:tc>
        <w:tc>
          <w:tcPr>
            <w:tcW w:w="1290" w:type="dxa"/>
            <w:tcBorders>
              <w:top w:val="nil" w:sz="6" w:space="0" w:color="auto"/>
              <w:left w:val="nil" w:sz="6" w:space="0" w:color="auto"/>
              <w:bottom w:val="nil" w:sz="6" w:space="0" w:color="auto"/>
              <w:right w:val="nil" w:sz="6" w:space="0" w:color="auto"/>
            </w:tcBorders>
          </w:tcPr>
          <w:p>
            <w:pPr>
              <w:pStyle w:val="TableParagraph"/>
              <w:spacing w:line="204" w:lineRule="exact"/>
              <w:ind w:left="26" w:right="0"/>
              <w:jc w:val="center"/>
              <w:rPr>
                <w:rFonts w:ascii="Calibri" w:hAnsi="Calibri" w:cs="Calibri" w:eastAsia="Calibri" w:hint="default"/>
                <w:sz w:val="18"/>
                <w:szCs w:val="18"/>
              </w:rPr>
            </w:pPr>
            <w:r>
              <w:rPr>
                <w:rFonts w:ascii="Calibri"/>
                <w:sz w:val="18"/>
              </w:rPr>
              <w:t>No-Diff</w:t>
            </w:r>
            <w:r>
              <w:rPr>
                <w:rFonts w:ascii="Calibri"/>
                <w:spacing w:val="-3"/>
                <w:sz w:val="18"/>
              </w:rPr>
              <w:t> </w:t>
            </w:r>
            <w:r>
              <w:rPr>
                <w:rFonts w:ascii="Calibri"/>
                <w:sz w:val="18"/>
              </w:rPr>
              <w:t>(3.25)</w:t>
            </w:r>
          </w:p>
        </w:tc>
      </w:tr>
      <w:tr>
        <w:trPr>
          <w:trHeight w:val="220" w:hRule="exact"/>
        </w:trPr>
        <w:tc>
          <w:tcPr>
            <w:tcW w:w="2297" w:type="dxa"/>
            <w:tcBorders>
              <w:top w:val="nil" w:sz="6" w:space="0" w:color="auto"/>
              <w:left w:val="nil" w:sz="6" w:space="0" w:color="auto"/>
              <w:bottom w:val="nil" w:sz="6" w:space="0" w:color="auto"/>
              <w:right w:val="nil" w:sz="6" w:space="0" w:color="auto"/>
            </w:tcBorders>
          </w:tcPr>
          <w:p>
            <w:pPr>
              <w:pStyle w:val="TableParagraph"/>
              <w:spacing w:line="204" w:lineRule="exact"/>
              <w:ind w:left="14" w:right="0"/>
              <w:jc w:val="left"/>
              <w:rPr>
                <w:rFonts w:ascii="Calibri" w:hAnsi="Calibri" w:cs="Calibri" w:eastAsia="Calibri" w:hint="default"/>
                <w:sz w:val="18"/>
                <w:szCs w:val="18"/>
              </w:rPr>
            </w:pPr>
            <w:r>
              <w:rPr>
                <w:rFonts w:ascii="Calibri"/>
                <w:b/>
                <w:sz w:val="18"/>
              </w:rPr>
              <w:t>Shopping</w:t>
            </w:r>
            <w:r>
              <w:rPr>
                <w:rFonts w:ascii="Calibri"/>
                <w:b/>
                <w:spacing w:val="-7"/>
                <w:sz w:val="18"/>
              </w:rPr>
              <w:t> </w:t>
            </w:r>
            <w:r>
              <w:rPr>
                <w:rFonts w:ascii="Calibri"/>
                <w:b/>
                <w:sz w:val="18"/>
              </w:rPr>
              <w:t>Quality</w:t>
            </w:r>
            <w:r>
              <w:rPr>
                <w:rFonts w:ascii="Calibri"/>
                <w:sz w:val="18"/>
              </w:rPr>
            </w:r>
          </w:p>
        </w:tc>
        <w:tc>
          <w:tcPr>
            <w:tcW w:w="912" w:type="dxa"/>
            <w:tcBorders>
              <w:top w:val="nil" w:sz="6" w:space="0" w:color="auto"/>
              <w:left w:val="nil" w:sz="6" w:space="0" w:color="auto"/>
              <w:bottom w:val="nil" w:sz="6" w:space="0" w:color="auto"/>
              <w:right w:val="nil" w:sz="6" w:space="0" w:color="auto"/>
            </w:tcBorders>
          </w:tcPr>
          <w:p>
            <w:pPr>
              <w:pStyle w:val="TableParagraph"/>
              <w:spacing w:line="204" w:lineRule="exact"/>
              <w:ind w:left="62" w:right="0"/>
              <w:jc w:val="left"/>
              <w:rPr>
                <w:rFonts w:ascii="Calibri" w:hAnsi="Calibri" w:cs="Calibri" w:eastAsia="Calibri" w:hint="default"/>
                <w:sz w:val="18"/>
                <w:szCs w:val="18"/>
              </w:rPr>
            </w:pPr>
            <w:r>
              <w:rPr>
                <w:rFonts w:ascii="Calibri"/>
                <w:sz w:val="18"/>
              </w:rPr>
              <w:t>Low</w:t>
            </w:r>
            <w:r>
              <w:rPr>
                <w:rFonts w:ascii="Calibri"/>
                <w:spacing w:val="-1"/>
                <w:sz w:val="18"/>
              </w:rPr>
              <w:t> </w:t>
            </w:r>
            <w:r>
              <w:rPr>
                <w:rFonts w:ascii="Calibri"/>
                <w:sz w:val="18"/>
              </w:rPr>
              <w:t>(3.51)</w:t>
            </w:r>
          </w:p>
        </w:tc>
        <w:tc>
          <w:tcPr>
            <w:tcW w:w="1333" w:type="dxa"/>
            <w:tcBorders>
              <w:top w:val="nil" w:sz="6" w:space="0" w:color="auto"/>
              <w:left w:val="nil" w:sz="6" w:space="0" w:color="auto"/>
              <w:bottom w:val="nil" w:sz="6" w:space="0" w:color="auto"/>
              <w:right w:val="nil" w:sz="6" w:space="0" w:color="auto"/>
            </w:tcBorders>
          </w:tcPr>
          <w:p>
            <w:pPr>
              <w:pStyle w:val="TableParagraph"/>
              <w:spacing w:line="204" w:lineRule="exact"/>
              <w:ind w:right="5"/>
              <w:jc w:val="center"/>
              <w:rPr>
                <w:rFonts w:ascii="Calibri" w:hAnsi="Calibri" w:cs="Calibri" w:eastAsia="Calibri" w:hint="default"/>
                <w:sz w:val="18"/>
                <w:szCs w:val="18"/>
              </w:rPr>
            </w:pPr>
            <w:r>
              <w:rPr>
                <w:rFonts w:ascii="Calibri"/>
                <w:sz w:val="18"/>
              </w:rPr>
              <w:t>No-Diff</w:t>
            </w:r>
            <w:r>
              <w:rPr>
                <w:rFonts w:ascii="Calibri"/>
                <w:spacing w:val="-3"/>
                <w:sz w:val="18"/>
              </w:rPr>
              <w:t> </w:t>
            </w:r>
            <w:r>
              <w:rPr>
                <w:rFonts w:ascii="Calibri"/>
                <w:sz w:val="18"/>
              </w:rPr>
              <w:t>(3.55)</w:t>
            </w:r>
          </w:p>
        </w:tc>
        <w:tc>
          <w:tcPr>
            <w:tcW w:w="1169" w:type="dxa"/>
            <w:tcBorders>
              <w:top w:val="nil" w:sz="6" w:space="0" w:color="auto"/>
              <w:left w:val="nil" w:sz="6" w:space="0" w:color="auto"/>
              <w:bottom w:val="nil" w:sz="6" w:space="0" w:color="auto"/>
              <w:right w:val="nil" w:sz="6" w:space="0" w:color="auto"/>
            </w:tcBorders>
          </w:tcPr>
          <w:p>
            <w:pPr>
              <w:pStyle w:val="TableParagraph"/>
              <w:spacing w:line="204" w:lineRule="exact"/>
              <w:ind w:left="9" w:right="0"/>
              <w:jc w:val="center"/>
              <w:rPr>
                <w:rFonts w:ascii="Calibri" w:hAnsi="Calibri" w:cs="Calibri" w:eastAsia="Calibri" w:hint="default"/>
                <w:sz w:val="18"/>
                <w:szCs w:val="18"/>
              </w:rPr>
            </w:pPr>
            <w:r>
              <w:rPr>
                <w:rFonts w:ascii="Calibri"/>
                <w:sz w:val="18"/>
              </w:rPr>
              <w:t>No-Diff</w:t>
            </w:r>
            <w:r>
              <w:rPr>
                <w:rFonts w:ascii="Calibri"/>
                <w:spacing w:val="-3"/>
                <w:sz w:val="18"/>
              </w:rPr>
              <w:t> </w:t>
            </w:r>
            <w:r>
              <w:rPr>
                <w:rFonts w:ascii="Calibri"/>
                <w:sz w:val="18"/>
              </w:rPr>
              <w:t>(3.57)</w:t>
            </w:r>
          </w:p>
        </w:tc>
        <w:tc>
          <w:tcPr>
            <w:tcW w:w="1335" w:type="dxa"/>
            <w:tcBorders>
              <w:top w:val="nil" w:sz="6" w:space="0" w:color="auto"/>
              <w:left w:val="nil" w:sz="6" w:space="0" w:color="auto"/>
              <w:bottom w:val="nil" w:sz="6" w:space="0" w:color="auto"/>
              <w:right w:val="nil" w:sz="6" w:space="0" w:color="auto"/>
            </w:tcBorders>
          </w:tcPr>
          <w:p>
            <w:pPr>
              <w:pStyle w:val="TableParagraph"/>
              <w:spacing w:line="204" w:lineRule="exact"/>
              <w:ind w:left="26" w:right="0"/>
              <w:jc w:val="center"/>
              <w:rPr>
                <w:rFonts w:ascii="Calibri" w:hAnsi="Calibri" w:cs="Calibri" w:eastAsia="Calibri" w:hint="default"/>
                <w:sz w:val="18"/>
                <w:szCs w:val="18"/>
              </w:rPr>
            </w:pPr>
            <w:r>
              <w:rPr>
                <w:rFonts w:ascii="Calibri"/>
                <w:sz w:val="18"/>
              </w:rPr>
              <w:t>No-Diff</w:t>
            </w:r>
            <w:r>
              <w:rPr>
                <w:rFonts w:ascii="Calibri"/>
                <w:spacing w:val="-3"/>
                <w:sz w:val="18"/>
              </w:rPr>
              <w:t> </w:t>
            </w:r>
            <w:r>
              <w:rPr>
                <w:rFonts w:ascii="Calibri"/>
                <w:sz w:val="18"/>
              </w:rPr>
              <w:t>(3.69)</w:t>
            </w:r>
          </w:p>
        </w:tc>
        <w:tc>
          <w:tcPr>
            <w:tcW w:w="1117" w:type="dxa"/>
            <w:tcBorders>
              <w:top w:val="nil" w:sz="6" w:space="0" w:color="auto"/>
              <w:left w:val="nil" w:sz="6" w:space="0" w:color="auto"/>
              <w:bottom w:val="nil" w:sz="6" w:space="0" w:color="auto"/>
              <w:right w:val="nil" w:sz="6" w:space="0" w:color="auto"/>
            </w:tcBorders>
          </w:tcPr>
          <w:p>
            <w:pPr>
              <w:pStyle w:val="TableParagraph"/>
              <w:spacing w:line="204" w:lineRule="exact"/>
              <w:ind w:left="3" w:right="0"/>
              <w:jc w:val="center"/>
              <w:rPr>
                <w:rFonts w:ascii="Calibri" w:hAnsi="Calibri" w:cs="Calibri" w:eastAsia="Calibri" w:hint="default"/>
                <w:sz w:val="18"/>
                <w:szCs w:val="18"/>
              </w:rPr>
            </w:pPr>
            <w:r>
              <w:rPr>
                <w:rFonts w:ascii="Calibri"/>
                <w:sz w:val="18"/>
              </w:rPr>
              <w:t>No-Diff</w:t>
            </w:r>
            <w:r>
              <w:rPr>
                <w:rFonts w:ascii="Calibri"/>
                <w:spacing w:val="-3"/>
                <w:sz w:val="18"/>
              </w:rPr>
              <w:t> </w:t>
            </w:r>
            <w:r>
              <w:rPr>
                <w:rFonts w:ascii="Calibri"/>
                <w:sz w:val="18"/>
              </w:rPr>
              <w:t>(3.74)</w:t>
            </w:r>
          </w:p>
        </w:tc>
        <w:tc>
          <w:tcPr>
            <w:tcW w:w="1290" w:type="dxa"/>
            <w:tcBorders>
              <w:top w:val="nil" w:sz="6" w:space="0" w:color="auto"/>
              <w:left w:val="nil" w:sz="6" w:space="0" w:color="auto"/>
              <w:bottom w:val="nil" w:sz="6" w:space="0" w:color="auto"/>
              <w:right w:val="nil" w:sz="6" w:space="0" w:color="auto"/>
            </w:tcBorders>
          </w:tcPr>
          <w:p>
            <w:pPr>
              <w:pStyle w:val="TableParagraph"/>
              <w:spacing w:line="204" w:lineRule="exact"/>
              <w:ind w:left="21" w:right="0"/>
              <w:jc w:val="center"/>
              <w:rPr>
                <w:rFonts w:ascii="Calibri" w:hAnsi="Calibri" w:cs="Calibri" w:eastAsia="Calibri" w:hint="default"/>
                <w:sz w:val="18"/>
                <w:szCs w:val="18"/>
              </w:rPr>
            </w:pPr>
            <w:r>
              <w:rPr>
                <w:rFonts w:ascii="Calibri"/>
                <w:sz w:val="18"/>
              </w:rPr>
              <w:t>High</w:t>
            </w:r>
            <w:r>
              <w:rPr>
                <w:rFonts w:ascii="Calibri"/>
                <w:spacing w:val="-3"/>
                <w:sz w:val="18"/>
              </w:rPr>
              <w:t> </w:t>
            </w:r>
            <w:r>
              <w:rPr>
                <w:rFonts w:ascii="Calibri"/>
                <w:sz w:val="18"/>
              </w:rPr>
              <w:t>(3.75)</w:t>
            </w:r>
          </w:p>
        </w:tc>
      </w:tr>
      <w:tr>
        <w:trPr>
          <w:trHeight w:val="209" w:hRule="exact"/>
        </w:trPr>
        <w:tc>
          <w:tcPr>
            <w:tcW w:w="2297" w:type="dxa"/>
            <w:tcBorders>
              <w:top w:val="nil" w:sz="6" w:space="0" w:color="auto"/>
              <w:left w:val="nil" w:sz="6" w:space="0" w:color="auto"/>
              <w:bottom w:val="single" w:sz="4" w:space="0" w:color="000000"/>
              <w:right w:val="nil" w:sz="6" w:space="0" w:color="auto"/>
            </w:tcBorders>
          </w:tcPr>
          <w:p>
            <w:pPr>
              <w:pStyle w:val="TableParagraph"/>
              <w:spacing w:line="203" w:lineRule="exact"/>
              <w:ind w:left="14" w:right="0"/>
              <w:jc w:val="left"/>
              <w:rPr>
                <w:rFonts w:ascii="Calibri" w:hAnsi="Calibri" w:cs="Calibri" w:eastAsia="Calibri" w:hint="default"/>
                <w:sz w:val="18"/>
                <w:szCs w:val="18"/>
              </w:rPr>
            </w:pPr>
            <w:r>
              <w:rPr>
                <w:rFonts w:ascii="Calibri"/>
                <w:b/>
                <w:sz w:val="18"/>
              </w:rPr>
              <w:t>Hospitality</w:t>
            </w:r>
            <w:r>
              <w:rPr>
                <w:rFonts w:ascii="Calibri"/>
                <w:sz w:val="18"/>
              </w:rPr>
            </w:r>
          </w:p>
        </w:tc>
        <w:tc>
          <w:tcPr>
            <w:tcW w:w="912" w:type="dxa"/>
            <w:tcBorders>
              <w:top w:val="nil" w:sz="6" w:space="0" w:color="auto"/>
              <w:left w:val="nil" w:sz="6" w:space="0" w:color="auto"/>
              <w:bottom w:val="single" w:sz="4" w:space="0" w:color="000000"/>
              <w:right w:val="nil" w:sz="6" w:space="0" w:color="auto"/>
            </w:tcBorders>
          </w:tcPr>
          <w:p>
            <w:pPr>
              <w:pStyle w:val="TableParagraph"/>
              <w:spacing w:line="203" w:lineRule="exact"/>
              <w:ind w:left="62" w:right="0"/>
              <w:jc w:val="left"/>
              <w:rPr>
                <w:rFonts w:ascii="Calibri" w:hAnsi="Calibri" w:cs="Calibri" w:eastAsia="Calibri" w:hint="default"/>
                <w:sz w:val="18"/>
                <w:szCs w:val="18"/>
              </w:rPr>
            </w:pPr>
            <w:r>
              <w:rPr>
                <w:rFonts w:ascii="Calibri"/>
                <w:sz w:val="18"/>
              </w:rPr>
              <w:t>Low</w:t>
            </w:r>
            <w:r>
              <w:rPr>
                <w:rFonts w:ascii="Calibri"/>
                <w:spacing w:val="-1"/>
                <w:sz w:val="18"/>
              </w:rPr>
              <w:t> </w:t>
            </w:r>
            <w:r>
              <w:rPr>
                <w:rFonts w:ascii="Calibri"/>
                <w:sz w:val="18"/>
              </w:rPr>
              <w:t>(3.38)</w:t>
            </w:r>
          </w:p>
        </w:tc>
        <w:tc>
          <w:tcPr>
            <w:tcW w:w="1333" w:type="dxa"/>
            <w:tcBorders>
              <w:top w:val="nil" w:sz="6" w:space="0" w:color="auto"/>
              <w:left w:val="nil" w:sz="6" w:space="0" w:color="auto"/>
              <w:bottom w:val="single" w:sz="4" w:space="0" w:color="000000"/>
              <w:right w:val="nil" w:sz="6" w:space="0" w:color="auto"/>
            </w:tcBorders>
          </w:tcPr>
          <w:p>
            <w:pPr>
              <w:pStyle w:val="TableParagraph"/>
              <w:spacing w:line="203" w:lineRule="exact"/>
              <w:ind w:right="8"/>
              <w:jc w:val="center"/>
              <w:rPr>
                <w:rFonts w:ascii="Calibri" w:hAnsi="Calibri" w:cs="Calibri" w:eastAsia="Calibri" w:hint="default"/>
                <w:sz w:val="18"/>
                <w:szCs w:val="18"/>
              </w:rPr>
            </w:pPr>
            <w:r>
              <w:rPr>
                <w:rFonts w:ascii="Calibri"/>
                <w:sz w:val="18"/>
              </w:rPr>
              <w:t>Med-Low</w:t>
            </w:r>
            <w:r>
              <w:rPr>
                <w:rFonts w:ascii="Calibri"/>
                <w:spacing w:val="-2"/>
                <w:sz w:val="18"/>
              </w:rPr>
              <w:t> </w:t>
            </w:r>
            <w:r>
              <w:rPr>
                <w:rFonts w:ascii="Calibri"/>
                <w:sz w:val="18"/>
              </w:rPr>
              <w:t>(3.43)</w:t>
            </w:r>
          </w:p>
        </w:tc>
        <w:tc>
          <w:tcPr>
            <w:tcW w:w="1169" w:type="dxa"/>
            <w:tcBorders>
              <w:top w:val="nil" w:sz="6" w:space="0" w:color="auto"/>
              <w:left w:val="nil" w:sz="6" w:space="0" w:color="auto"/>
              <w:bottom w:val="single" w:sz="4" w:space="0" w:color="000000"/>
              <w:right w:val="nil" w:sz="6" w:space="0" w:color="auto"/>
            </w:tcBorders>
          </w:tcPr>
          <w:p>
            <w:pPr>
              <w:pStyle w:val="TableParagraph"/>
              <w:spacing w:line="203" w:lineRule="exact"/>
              <w:ind w:left="9" w:right="0"/>
              <w:jc w:val="center"/>
              <w:rPr>
                <w:rFonts w:ascii="Calibri" w:hAnsi="Calibri" w:cs="Calibri" w:eastAsia="Calibri" w:hint="default"/>
                <w:sz w:val="18"/>
                <w:szCs w:val="18"/>
              </w:rPr>
            </w:pPr>
            <w:r>
              <w:rPr>
                <w:rFonts w:ascii="Calibri"/>
                <w:sz w:val="18"/>
              </w:rPr>
              <w:t>No-Diff</w:t>
            </w:r>
            <w:r>
              <w:rPr>
                <w:rFonts w:ascii="Calibri"/>
                <w:spacing w:val="-3"/>
                <w:sz w:val="18"/>
              </w:rPr>
              <w:t> </w:t>
            </w:r>
            <w:r>
              <w:rPr>
                <w:rFonts w:ascii="Calibri"/>
                <w:sz w:val="18"/>
              </w:rPr>
              <w:t>(3.47)</w:t>
            </w:r>
          </w:p>
        </w:tc>
        <w:tc>
          <w:tcPr>
            <w:tcW w:w="1335" w:type="dxa"/>
            <w:tcBorders>
              <w:top w:val="nil" w:sz="6" w:space="0" w:color="auto"/>
              <w:left w:val="nil" w:sz="6" w:space="0" w:color="auto"/>
              <w:bottom w:val="single" w:sz="4" w:space="0" w:color="000000"/>
              <w:right w:val="nil" w:sz="6" w:space="0" w:color="auto"/>
            </w:tcBorders>
          </w:tcPr>
          <w:p>
            <w:pPr>
              <w:pStyle w:val="TableParagraph"/>
              <w:spacing w:line="203" w:lineRule="exact"/>
              <w:ind w:left="19" w:right="0"/>
              <w:jc w:val="center"/>
              <w:rPr>
                <w:rFonts w:ascii="Calibri" w:hAnsi="Calibri" w:cs="Calibri" w:eastAsia="Calibri" w:hint="default"/>
                <w:sz w:val="18"/>
                <w:szCs w:val="18"/>
              </w:rPr>
            </w:pPr>
            <w:r>
              <w:rPr>
                <w:rFonts w:ascii="Calibri"/>
                <w:sz w:val="18"/>
              </w:rPr>
              <w:t>Med-High</w:t>
            </w:r>
            <w:r>
              <w:rPr>
                <w:rFonts w:ascii="Calibri"/>
                <w:spacing w:val="-6"/>
                <w:sz w:val="18"/>
              </w:rPr>
              <w:t> </w:t>
            </w:r>
            <w:r>
              <w:rPr>
                <w:rFonts w:ascii="Calibri"/>
                <w:sz w:val="18"/>
              </w:rPr>
              <w:t>(3.61)</w:t>
            </w:r>
          </w:p>
        </w:tc>
        <w:tc>
          <w:tcPr>
            <w:tcW w:w="1117" w:type="dxa"/>
            <w:tcBorders>
              <w:top w:val="nil" w:sz="6" w:space="0" w:color="auto"/>
              <w:left w:val="nil" w:sz="6" w:space="0" w:color="auto"/>
              <w:bottom w:val="single" w:sz="4" w:space="0" w:color="000000"/>
              <w:right w:val="nil" w:sz="6" w:space="0" w:color="auto"/>
            </w:tcBorders>
          </w:tcPr>
          <w:p>
            <w:pPr>
              <w:pStyle w:val="TableParagraph"/>
              <w:spacing w:line="203" w:lineRule="exact"/>
              <w:ind w:left="3" w:right="0"/>
              <w:jc w:val="center"/>
              <w:rPr>
                <w:rFonts w:ascii="Calibri" w:hAnsi="Calibri" w:cs="Calibri" w:eastAsia="Calibri" w:hint="default"/>
                <w:sz w:val="18"/>
                <w:szCs w:val="18"/>
              </w:rPr>
            </w:pPr>
            <w:r>
              <w:rPr>
                <w:rFonts w:ascii="Calibri"/>
                <w:sz w:val="18"/>
              </w:rPr>
              <w:t>High</w:t>
            </w:r>
            <w:r>
              <w:rPr>
                <w:rFonts w:ascii="Calibri"/>
                <w:spacing w:val="-3"/>
                <w:sz w:val="18"/>
              </w:rPr>
              <w:t> </w:t>
            </w:r>
            <w:r>
              <w:rPr>
                <w:rFonts w:ascii="Calibri"/>
                <w:sz w:val="18"/>
              </w:rPr>
              <w:t>(3.63)</w:t>
            </w:r>
          </w:p>
        </w:tc>
        <w:tc>
          <w:tcPr>
            <w:tcW w:w="1290" w:type="dxa"/>
            <w:tcBorders>
              <w:top w:val="nil" w:sz="6" w:space="0" w:color="auto"/>
              <w:left w:val="nil" w:sz="6" w:space="0" w:color="auto"/>
              <w:bottom w:val="single" w:sz="4" w:space="0" w:color="000000"/>
              <w:right w:val="nil" w:sz="6" w:space="0" w:color="auto"/>
            </w:tcBorders>
          </w:tcPr>
          <w:p>
            <w:pPr>
              <w:pStyle w:val="TableParagraph"/>
              <w:spacing w:line="203" w:lineRule="exact"/>
              <w:ind w:left="19" w:right="0"/>
              <w:jc w:val="center"/>
              <w:rPr>
                <w:rFonts w:ascii="Calibri" w:hAnsi="Calibri" w:cs="Calibri" w:eastAsia="Calibri" w:hint="default"/>
                <w:sz w:val="18"/>
                <w:szCs w:val="18"/>
              </w:rPr>
            </w:pPr>
            <w:r>
              <w:rPr>
                <w:rFonts w:ascii="Calibri"/>
                <w:sz w:val="18"/>
              </w:rPr>
              <w:t>Med-High</w:t>
            </w:r>
            <w:r>
              <w:rPr>
                <w:rFonts w:ascii="Calibri"/>
                <w:spacing w:val="-6"/>
                <w:sz w:val="18"/>
              </w:rPr>
              <w:t> </w:t>
            </w:r>
            <w:r>
              <w:rPr>
                <w:rFonts w:ascii="Calibri"/>
                <w:sz w:val="18"/>
              </w:rPr>
              <w:t>(3.60)</w:t>
            </w:r>
          </w:p>
        </w:tc>
      </w:tr>
    </w:tbl>
    <w:p>
      <w:pPr>
        <w:spacing w:line="240" w:lineRule="auto" w:before="2"/>
        <w:ind w:right="0"/>
        <w:rPr>
          <w:rFonts w:ascii="Calibri" w:hAnsi="Calibri" w:cs="Calibri" w:eastAsia="Calibri" w:hint="default"/>
          <w:b/>
          <w:bCs/>
          <w:sz w:val="15"/>
          <w:szCs w:val="15"/>
        </w:rPr>
      </w:pPr>
    </w:p>
    <w:p>
      <w:pPr>
        <w:pStyle w:val="BodyText"/>
        <w:spacing w:line="240" w:lineRule="auto" w:before="59"/>
        <w:ind w:right="1437"/>
        <w:jc w:val="both"/>
      </w:pPr>
      <w:r>
        <w:rPr/>
        <w:t>The four constructs were used as predictors of intention to visit Curaçao. Among the four constructs, positive attitudes</w:t>
      </w:r>
      <w:r>
        <w:rPr>
          <w:spacing w:val="-7"/>
        </w:rPr>
        <w:t> </w:t>
      </w:r>
      <w:r>
        <w:rPr/>
        <w:t>was</w:t>
      </w:r>
      <w:r>
        <w:rPr>
          <w:spacing w:val="-8"/>
        </w:rPr>
        <w:t> </w:t>
      </w:r>
      <w:r>
        <w:rPr/>
        <w:t>shown</w:t>
      </w:r>
      <w:r>
        <w:rPr>
          <w:spacing w:val="-6"/>
        </w:rPr>
        <w:t> </w:t>
      </w:r>
      <w:r>
        <w:rPr/>
        <w:t>to</w:t>
      </w:r>
      <w:r>
        <w:rPr>
          <w:spacing w:val="-6"/>
        </w:rPr>
        <w:t> </w:t>
      </w:r>
      <w:r>
        <w:rPr/>
        <w:t>be</w:t>
      </w:r>
      <w:r>
        <w:rPr>
          <w:spacing w:val="-7"/>
        </w:rPr>
        <w:t> </w:t>
      </w:r>
      <w:r>
        <w:rPr/>
        <w:t>the</w:t>
      </w:r>
      <w:r>
        <w:rPr>
          <w:spacing w:val="-6"/>
        </w:rPr>
        <w:t> </w:t>
      </w:r>
      <w:r>
        <w:rPr/>
        <w:t>strongest</w:t>
      </w:r>
      <w:r>
        <w:rPr>
          <w:spacing w:val="-6"/>
        </w:rPr>
        <w:t> </w:t>
      </w:r>
      <w:r>
        <w:rPr/>
        <w:t>predictor</w:t>
      </w:r>
      <w:r>
        <w:rPr>
          <w:spacing w:val="-7"/>
        </w:rPr>
        <w:t> </w:t>
      </w:r>
      <w:r>
        <w:rPr/>
        <w:t>of</w:t>
      </w:r>
      <w:r>
        <w:rPr>
          <w:spacing w:val="-6"/>
        </w:rPr>
        <w:t> </w:t>
      </w:r>
      <w:r>
        <w:rPr/>
        <w:t>the</w:t>
      </w:r>
      <w:r>
        <w:rPr>
          <w:spacing w:val="-7"/>
        </w:rPr>
        <w:t> </w:t>
      </w:r>
      <w:r>
        <w:rPr/>
        <w:t>intention</w:t>
      </w:r>
      <w:r>
        <w:rPr>
          <w:spacing w:val="-6"/>
        </w:rPr>
        <w:t> </w:t>
      </w:r>
      <w:r>
        <w:rPr/>
        <w:t>to</w:t>
      </w:r>
      <w:r>
        <w:rPr>
          <w:spacing w:val="-6"/>
        </w:rPr>
        <w:t> </w:t>
      </w:r>
      <w:r>
        <w:rPr/>
        <w:t>visit</w:t>
      </w:r>
      <w:r>
        <w:rPr>
          <w:spacing w:val="-6"/>
        </w:rPr>
        <w:t> </w:t>
      </w:r>
      <w:r>
        <w:rPr/>
        <w:t>Curaçao</w:t>
      </w:r>
      <w:r>
        <w:rPr>
          <w:spacing w:val="-5"/>
        </w:rPr>
        <w:t> </w:t>
      </w:r>
      <w:r>
        <w:rPr/>
        <w:t>(R-square=0.433</w:t>
      </w:r>
      <w:r>
        <w:rPr>
          <w:spacing w:val="-6"/>
        </w:rPr>
        <w:t> </w:t>
      </w:r>
      <w:r>
        <w:rPr/>
        <w:t>with</w:t>
      </w:r>
      <w:r>
        <w:rPr>
          <w:spacing w:val="-6"/>
        </w:rPr>
        <w:t> </w:t>
      </w:r>
      <w:r>
        <w:rPr/>
        <w:t>F=518.686; </w:t>
      </w:r>
      <w:r>
        <w:rPr/>
        <w:t>t=22.775).  Positive attitudes refer to safety, good image, quality services and tourism products, and value, as </w:t>
      </w:r>
      <w:r>
        <w:rPr>
          <w:spacing w:val="35"/>
        </w:rPr>
        <w:t> </w:t>
      </w:r>
      <w:r>
        <w:rPr/>
        <w:t>well</w:t>
      </w:r>
    </w:p>
    <w:p>
      <w:pPr>
        <w:spacing w:line="240" w:lineRule="auto" w:before="1"/>
        <w:ind w:right="0"/>
        <w:rPr>
          <w:rFonts w:ascii="Calibri" w:hAnsi="Calibri" w:cs="Calibri" w:eastAsia="Calibri" w:hint="default"/>
          <w:sz w:val="12"/>
          <w:szCs w:val="12"/>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line="242" w:lineRule="auto" w:before="91"/>
        <w:ind w:left="1440" w:right="1533" w:firstLine="0"/>
        <w:jc w:val="left"/>
        <w:rPr>
          <w:rFonts w:ascii="Calibri" w:hAnsi="Calibri" w:cs="Calibri" w:eastAsia="Calibri" w:hint="default"/>
          <w:sz w:val="16"/>
          <w:szCs w:val="16"/>
        </w:rPr>
      </w:pPr>
      <w:r>
        <w:rPr>
          <w:rFonts w:ascii="Calibri"/>
          <w:position w:val="5"/>
          <w:sz w:val="12"/>
        </w:rPr>
        <w:t>61 </w:t>
      </w:r>
      <w:r>
        <w:rPr>
          <w:rFonts w:ascii="Calibri"/>
          <w:sz w:val="16"/>
        </w:rPr>
        <w:t>We are indebted to the team within the Ministry of Economic Development of Curacao for their assistance regarding the sectorial economic </w:t>
      </w:r>
      <w:r>
        <w:rPr>
          <w:rFonts w:ascii="Calibri"/>
          <w:sz w:val="16"/>
        </w:rPr>
        <w:t>impact analysis done with the application of the Turistika model and the macro economic impact analysis done with the application of the Curalyse</w:t>
      </w:r>
      <w:r>
        <w:rPr>
          <w:rFonts w:ascii="Calibri"/>
          <w:spacing w:val="-8"/>
          <w:sz w:val="16"/>
        </w:rPr>
        <w:t> </w:t>
      </w:r>
      <w:r>
        <w:rPr>
          <w:rFonts w:ascii="Calibri"/>
          <w:sz w:val="16"/>
        </w:rPr>
        <w:t>model.</w:t>
      </w:r>
    </w:p>
    <w:p>
      <w:pPr>
        <w:spacing w:after="0" w:line="242"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9"/>
        <w:jc w:val="both"/>
      </w:pPr>
      <w:r>
        <w:rPr/>
        <w:t>as activities and attractions that tourists enjoy. These dimensions are related to the human element (soft component</w:t>
      </w:r>
      <w:r>
        <w:rPr>
          <w:spacing w:val="-4"/>
        </w:rPr>
        <w:t> </w:t>
      </w:r>
      <w:r>
        <w:rPr/>
        <w:t>of</w:t>
      </w:r>
      <w:r>
        <w:rPr>
          <w:spacing w:val="-5"/>
        </w:rPr>
        <w:t> </w:t>
      </w:r>
      <w:r>
        <w:rPr/>
        <w:t>tourism)</w:t>
      </w:r>
      <w:r>
        <w:rPr>
          <w:spacing w:val="-3"/>
        </w:rPr>
        <w:t> </w:t>
      </w:r>
      <w:r>
        <w:rPr/>
        <w:t>in</w:t>
      </w:r>
      <w:r>
        <w:rPr>
          <w:spacing w:val="-4"/>
        </w:rPr>
        <w:t> </w:t>
      </w:r>
      <w:r>
        <w:rPr/>
        <w:t>the</w:t>
      </w:r>
      <w:r>
        <w:rPr>
          <w:spacing w:val="-1"/>
        </w:rPr>
        <w:t> </w:t>
      </w:r>
      <w:r>
        <w:rPr/>
        <w:t>creation</w:t>
      </w:r>
      <w:r>
        <w:rPr>
          <w:spacing w:val="-4"/>
        </w:rPr>
        <w:t> </w:t>
      </w:r>
      <w:r>
        <w:rPr/>
        <w:t>of</w:t>
      </w:r>
      <w:r>
        <w:rPr>
          <w:spacing w:val="-5"/>
        </w:rPr>
        <w:t> </w:t>
      </w:r>
      <w:r>
        <w:rPr/>
        <w:t>the</w:t>
      </w:r>
      <w:r>
        <w:rPr>
          <w:spacing w:val="-1"/>
        </w:rPr>
        <w:t> </w:t>
      </w:r>
      <w:r>
        <w:rPr/>
        <w:t>Curaçao</w:t>
      </w:r>
      <w:r>
        <w:rPr>
          <w:spacing w:val="-4"/>
        </w:rPr>
        <w:t> </w:t>
      </w:r>
      <w:r>
        <w:rPr/>
        <w:t>product,</w:t>
      </w:r>
      <w:r>
        <w:rPr>
          <w:spacing w:val="-4"/>
        </w:rPr>
        <w:t> </w:t>
      </w:r>
      <w:r>
        <w:rPr/>
        <w:t>again</w:t>
      </w:r>
      <w:r>
        <w:rPr>
          <w:spacing w:val="-4"/>
        </w:rPr>
        <w:t> </w:t>
      </w:r>
      <w:r>
        <w:rPr/>
        <w:t>stressing</w:t>
      </w:r>
      <w:r>
        <w:rPr>
          <w:spacing w:val="-2"/>
        </w:rPr>
        <w:t> </w:t>
      </w:r>
      <w:r>
        <w:rPr/>
        <w:t>the</w:t>
      </w:r>
      <w:r>
        <w:rPr>
          <w:spacing w:val="-5"/>
        </w:rPr>
        <w:t> </w:t>
      </w:r>
      <w:r>
        <w:rPr/>
        <w:t>centrality</w:t>
      </w:r>
      <w:r>
        <w:rPr>
          <w:spacing w:val="-3"/>
        </w:rPr>
        <w:t> </w:t>
      </w:r>
      <w:r>
        <w:rPr/>
        <w:t>of</w:t>
      </w:r>
      <w:r>
        <w:rPr>
          <w:spacing w:val="-5"/>
        </w:rPr>
        <w:t> </w:t>
      </w:r>
      <w:r>
        <w:rPr/>
        <w:t>human</w:t>
      </w:r>
      <w:r>
        <w:rPr>
          <w:spacing w:val="-3"/>
        </w:rPr>
        <w:t> </w:t>
      </w:r>
      <w:r>
        <w:rPr/>
        <w:t>capital</w:t>
      </w:r>
      <w:r>
        <w:rPr>
          <w:spacing w:val="-5"/>
        </w:rPr>
        <w:t> </w:t>
      </w:r>
      <w:r>
        <w:rPr/>
        <w:t>in</w:t>
      </w:r>
      <w:r>
        <w:rPr>
          <w:spacing w:val="-4"/>
        </w:rPr>
        <w:t> </w:t>
      </w:r>
      <w:r>
        <w:rPr/>
        <w:t>the </w:t>
      </w:r>
      <w:r>
        <w:rPr/>
        <w:t>consumption experience of the</w:t>
      </w:r>
      <w:r>
        <w:rPr>
          <w:spacing w:val="-15"/>
        </w:rPr>
        <w:t> </w:t>
      </w:r>
      <w:r>
        <w:rPr/>
        <w:t>destination.</w:t>
      </w:r>
    </w:p>
    <w:p>
      <w:pPr>
        <w:spacing w:line="240" w:lineRule="auto" w:before="1"/>
        <w:ind w:right="0"/>
        <w:rPr>
          <w:rFonts w:ascii="Calibri" w:hAnsi="Calibri" w:cs="Calibri" w:eastAsia="Calibri" w:hint="default"/>
          <w:sz w:val="20"/>
          <w:szCs w:val="20"/>
        </w:rPr>
      </w:pPr>
    </w:p>
    <w:p>
      <w:pPr>
        <w:pStyle w:val="BodyText"/>
        <w:spacing w:line="240" w:lineRule="auto"/>
        <w:ind w:right="0"/>
        <w:jc w:val="both"/>
      </w:pPr>
      <w:r>
        <w:rPr/>
        <w:t>Finally, a regression was conducted for each one of the six regions in the sample. The results are displayed in</w:t>
      </w:r>
      <w:r>
        <w:rPr>
          <w:spacing w:val="17"/>
        </w:rPr>
        <w:t> </w:t>
      </w:r>
      <w:r>
        <w:rPr/>
        <w:t>Table</w:t>
      </w:r>
    </w:p>
    <w:p>
      <w:pPr>
        <w:pStyle w:val="BodyText"/>
        <w:spacing w:line="240" w:lineRule="auto"/>
        <w:ind w:right="1435"/>
        <w:jc w:val="both"/>
      </w:pPr>
      <w:r>
        <w:rPr/>
        <w:t>43. Positive attitude was the strongest predictor in the New England (B=0.702) region followed by the Middle Atlantic (B=0.671), the South (B=0.667) and the Midwest (B=0.665). All the other predictors were non-significant except</w:t>
      </w:r>
      <w:r>
        <w:rPr>
          <w:spacing w:val="-5"/>
        </w:rPr>
        <w:t> </w:t>
      </w:r>
      <w:r>
        <w:rPr/>
        <w:t>for</w:t>
      </w:r>
      <w:r>
        <w:rPr>
          <w:spacing w:val="-3"/>
        </w:rPr>
        <w:t> </w:t>
      </w:r>
      <w:r>
        <w:rPr/>
        <w:t>shopping</w:t>
      </w:r>
      <w:r>
        <w:rPr>
          <w:spacing w:val="-6"/>
        </w:rPr>
        <w:t> </w:t>
      </w:r>
      <w:r>
        <w:rPr/>
        <w:t>quality,</w:t>
      </w:r>
      <w:r>
        <w:rPr>
          <w:spacing w:val="-5"/>
        </w:rPr>
        <w:t> </w:t>
      </w:r>
      <w:r>
        <w:rPr/>
        <w:t>which</w:t>
      </w:r>
      <w:r>
        <w:rPr>
          <w:spacing w:val="-5"/>
        </w:rPr>
        <w:t> </w:t>
      </w:r>
      <w:r>
        <w:rPr/>
        <w:t>was</w:t>
      </w:r>
      <w:r>
        <w:rPr>
          <w:spacing w:val="-6"/>
        </w:rPr>
        <w:t> </w:t>
      </w:r>
      <w:r>
        <w:rPr/>
        <w:t>significant</w:t>
      </w:r>
      <w:r>
        <w:rPr>
          <w:spacing w:val="-5"/>
        </w:rPr>
        <w:t> </w:t>
      </w:r>
      <w:r>
        <w:rPr/>
        <w:t>only</w:t>
      </w:r>
      <w:r>
        <w:rPr>
          <w:spacing w:val="-5"/>
        </w:rPr>
        <w:t> </w:t>
      </w:r>
      <w:r>
        <w:rPr/>
        <w:t>in</w:t>
      </w:r>
      <w:r>
        <w:rPr>
          <w:spacing w:val="-5"/>
        </w:rPr>
        <w:t> </w:t>
      </w:r>
      <w:r>
        <w:rPr/>
        <w:t>the</w:t>
      </w:r>
      <w:r>
        <w:rPr>
          <w:spacing w:val="-6"/>
        </w:rPr>
        <w:t> </w:t>
      </w:r>
      <w:r>
        <w:rPr/>
        <w:t>West</w:t>
      </w:r>
      <w:r>
        <w:rPr>
          <w:spacing w:val="-5"/>
        </w:rPr>
        <w:t> </w:t>
      </w:r>
      <w:r>
        <w:rPr/>
        <w:t>region.</w:t>
      </w:r>
      <w:r>
        <w:rPr>
          <w:spacing w:val="38"/>
        </w:rPr>
        <w:t> </w:t>
      </w:r>
      <w:r>
        <w:rPr/>
        <w:t>It</w:t>
      </w:r>
      <w:r>
        <w:rPr>
          <w:spacing w:val="-5"/>
        </w:rPr>
        <w:t> </w:t>
      </w:r>
      <w:r>
        <w:rPr/>
        <w:t>seems</w:t>
      </w:r>
      <w:r>
        <w:rPr>
          <w:spacing w:val="-6"/>
        </w:rPr>
        <w:t> </w:t>
      </w:r>
      <w:r>
        <w:rPr/>
        <w:t>clear</w:t>
      </w:r>
      <w:r>
        <w:rPr>
          <w:spacing w:val="-3"/>
        </w:rPr>
        <w:t> </w:t>
      </w:r>
      <w:r>
        <w:rPr/>
        <w:t>from</w:t>
      </w:r>
      <w:r>
        <w:rPr>
          <w:spacing w:val="-5"/>
        </w:rPr>
        <w:t> </w:t>
      </w:r>
      <w:r>
        <w:rPr/>
        <w:t>the</w:t>
      </w:r>
      <w:r>
        <w:rPr>
          <w:spacing w:val="-6"/>
        </w:rPr>
        <w:t> </w:t>
      </w:r>
      <w:r>
        <w:rPr/>
        <w:t>previous</w:t>
      </w:r>
      <w:r>
        <w:rPr>
          <w:spacing w:val="-6"/>
        </w:rPr>
        <w:t> </w:t>
      </w:r>
      <w:r>
        <w:rPr/>
        <w:t>analysis </w:t>
      </w:r>
      <w:r>
        <w:rPr/>
        <w:t>that Curaçao should focus on positive attitudes (human dimension) in the regions of New England, the Middle Atlantic, the South, and the</w:t>
      </w:r>
      <w:r>
        <w:rPr>
          <w:spacing w:val="-12"/>
        </w:rPr>
        <w:t> </w:t>
      </w:r>
      <w:r>
        <w:rPr/>
        <w:t>Midwest.</w:t>
      </w:r>
    </w:p>
    <w:p>
      <w:pPr>
        <w:pStyle w:val="Heading9"/>
        <w:spacing w:line="242" w:lineRule="exact" w:after="51"/>
        <w:ind w:right="26"/>
        <w:jc w:val="center"/>
        <w:rPr>
          <w:b w:val="0"/>
          <w:bCs w:val="0"/>
        </w:rPr>
      </w:pPr>
      <w:bookmarkStart w:name="_bookmark129" w:id="130"/>
      <w:bookmarkEnd w:id="130"/>
      <w:r>
        <w:rPr>
          <w:b w:val="0"/>
        </w:rPr>
      </w:r>
      <w:r>
        <w:rPr/>
        <w:t>Table 42:  Drives of intention to visit</w:t>
      </w:r>
      <w:r>
        <w:rPr>
          <w:spacing w:val="-20"/>
        </w:rPr>
        <w:t> </w:t>
      </w:r>
      <w:r>
        <w:rPr/>
        <w:t>Curaçao</w:t>
      </w:r>
      <w:r>
        <w:rPr>
          <w:b w:val="0"/>
        </w:rPr>
      </w:r>
    </w:p>
    <w:tbl>
      <w:tblPr>
        <w:tblW w:w="0" w:type="auto"/>
        <w:jc w:val="left"/>
        <w:tblInd w:w="1536" w:type="dxa"/>
        <w:tblLayout w:type="fixed"/>
        <w:tblCellMar>
          <w:top w:w="0" w:type="dxa"/>
          <w:left w:w="0" w:type="dxa"/>
          <w:bottom w:w="0" w:type="dxa"/>
          <w:right w:w="0" w:type="dxa"/>
        </w:tblCellMar>
        <w:tblLook w:val="01E0"/>
      </w:tblPr>
      <w:tblGrid>
        <w:gridCol w:w="1774"/>
        <w:gridCol w:w="1948"/>
        <w:gridCol w:w="2677"/>
        <w:gridCol w:w="2755"/>
      </w:tblGrid>
      <w:tr>
        <w:trPr>
          <w:trHeight w:val="224" w:hRule="exact"/>
        </w:trPr>
        <w:tc>
          <w:tcPr>
            <w:tcW w:w="1774" w:type="dxa"/>
            <w:tcBorders>
              <w:top w:val="nil" w:sz="6" w:space="0" w:color="auto"/>
              <w:left w:val="nil" w:sz="6" w:space="0" w:color="auto"/>
              <w:bottom w:val="single" w:sz="4" w:space="0" w:color="000000"/>
              <w:right w:val="nil" w:sz="6" w:space="0" w:color="auto"/>
            </w:tcBorders>
          </w:tcPr>
          <w:p>
            <w:pPr/>
          </w:p>
        </w:tc>
        <w:tc>
          <w:tcPr>
            <w:tcW w:w="1948" w:type="dxa"/>
            <w:tcBorders>
              <w:top w:val="nil" w:sz="6" w:space="0" w:color="auto"/>
              <w:left w:val="nil" w:sz="6" w:space="0" w:color="auto"/>
              <w:bottom w:val="single" w:sz="4" w:space="0" w:color="000000"/>
              <w:right w:val="nil" w:sz="6" w:space="0" w:color="auto"/>
            </w:tcBorders>
          </w:tcPr>
          <w:p>
            <w:pPr>
              <w:pStyle w:val="TableParagraph"/>
              <w:spacing w:line="221" w:lineRule="exact"/>
              <w:ind w:left="548" w:right="0"/>
              <w:jc w:val="left"/>
              <w:rPr>
                <w:rFonts w:ascii="Calibri" w:hAnsi="Calibri" w:cs="Calibri" w:eastAsia="Calibri" w:hint="default"/>
                <w:sz w:val="20"/>
                <w:szCs w:val="20"/>
              </w:rPr>
            </w:pPr>
            <w:r>
              <w:rPr>
                <w:rFonts w:ascii="Calibri"/>
                <w:b/>
                <w:i/>
                <w:sz w:val="20"/>
              </w:rPr>
              <w:t>R</w:t>
            </w:r>
            <w:r>
              <w:rPr>
                <w:rFonts w:ascii="Calibri"/>
                <w:b/>
                <w:i/>
                <w:position w:val="7"/>
                <w:sz w:val="13"/>
              </w:rPr>
              <w:t>2</w:t>
            </w:r>
            <w:r>
              <w:rPr>
                <w:rFonts w:ascii="Calibri"/>
                <w:b/>
                <w:i/>
                <w:spacing w:val="-9"/>
                <w:position w:val="7"/>
                <w:sz w:val="13"/>
              </w:rPr>
              <w:t> </w:t>
            </w:r>
            <w:r>
              <w:rPr>
                <w:rFonts w:ascii="Calibri"/>
                <w:b/>
                <w:i/>
                <w:sz w:val="20"/>
              </w:rPr>
              <w:t>(F-value)</w:t>
            </w:r>
            <w:r>
              <w:rPr>
                <w:rFonts w:ascii="Calibri"/>
                <w:sz w:val="20"/>
              </w:rPr>
            </w:r>
          </w:p>
        </w:tc>
        <w:tc>
          <w:tcPr>
            <w:tcW w:w="2677" w:type="dxa"/>
            <w:tcBorders>
              <w:top w:val="nil" w:sz="6" w:space="0" w:color="auto"/>
              <w:left w:val="nil" w:sz="6" w:space="0" w:color="auto"/>
              <w:bottom w:val="single" w:sz="4" w:space="0" w:color="000000"/>
              <w:right w:val="nil" w:sz="6" w:space="0" w:color="auto"/>
            </w:tcBorders>
          </w:tcPr>
          <w:p>
            <w:pPr>
              <w:pStyle w:val="TableParagraph"/>
              <w:spacing w:line="221" w:lineRule="exact"/>
              <w:ind w:right="40"/>
              <w:jc w:val="center"/>
              <w:rPr>
                <w:rFonts w:ascii="Calibri" w:hAnsi="Calibri" w:cs="Calibri" w:eastAsia="Calibri" w:hint="default"/>
                <w:sz w:val="20"/>
                <w:szCs w:val="20"/>
              </w:rPr>
            </w:pPr>
            <w:r>
              <w:rPr>
                <w:rFonts w:ascii="Calibri"/>
                <w:b/>
                <w:sz w:val="20"/>
              </w:rPr>
              <w:t>Positive Attitude</w:t>
            </w:r>
            <w:r>
              <w:rPr>
                <w:rFonts w:ascii="Calibri"/>
                <w:b/>
                <w:spacing w:val="-12"/>
                <w:sz w:val="20"/>
              </w:rPr>
              <w:t> </w:t>
            </w:r>
            <w:r>
              <w:rPr>
                <w:rFonts w:ascii="Calibri"/>
                <w:b/>
                <w:sz w:val="20"/>
              </w:rPr>
              <w:t>(t-value)</w:t>
            </w:r>
            <w:r>
              <w:rPr>
                <w:rFonts w:ascii="Calibri"/>
                <w:sz w:val="20"/>
              </w:rPr>
            </w:r>
          </w:p>
        </w:tc>
        <w:tc>
          <w:tcPr>
            <w:tcW w:w="2755" w:type="dxa"/>
            <w:tcBorders>
              <w:top w:val="nil" w:sz="6" w:space="0" w:color="auto"/>
              <w:left w:val="nil" w:sz="6" w:space="0" w:color="auto"/>
              <w:bottom w:val="single" w:sz="4" w:space="0" w:color="000000"/>
              <w:right w:val="nil" w:sz="6" w:space="0" w:color="auto"/>
            </w:tcBorders>
          </w:tcPr>
          <w:p>
            <w:pPr>
              <w:pStyle w:val="TableParagraph"/>
              <w:spacing w:line="221" w:lineRule="exact"/>
              <w:ind w:right="4"/>
              <w:jc w:val="center"/>
              <w:rPr>
                <w:rFonts w:ascii="Calibri" w:hAnsi="Calibri" w:cs="Calibri" w:eastAsia="Calibri" w:hint="default"/>
                <w:sz w:val="20"/>
                <w:szCs w:val="20"/>
              </w:rPr>
            </w:pPr>
            <w:r>
              <w:rPr>
                <w:rFonts w:ascii="Calibri"/>
                <w:b/>
                <w:sz w:val="20"/>
              </w:rPr>
              <w:t>Shopping Quality</w:t>
            </w:r>
            <w:r>
              <w:rPr>
                <w:rFonts w:ascii="Calibri"/>
                <w:b/>
                <w:spacing w:val="-13"/>
                <w:sz w:val="20"/>
              </w:rPr>
              <w:t> </w:t>
            </w:r>
            <w:r>
              <w:rPr>
                <w:rFonts w:ascii="Calibri"/>
                <w:b/>
                <w:sz w:val="20"/>
              </w:rPr>
              <w:t>(t-value)</w:t>
            </w:r>
            <w:r>
              <w:rPr>
                <w:rFonts w:ascii="Calibri"/>
                <w:sz w:val="20"/>
              </w:rPr>
            </w:r>
          </w:p>
        </w:tc>
      </w:tr>
      <w:tr>
        <w:trPr>
          <w:trHeight w:val="284" w:hRule="exact"/>
        </w:trPr>
        <w:tc>
          <w:tcPr>
            <w:tcW w:w="1774" w:type="dxa"/>
            <w:tcBorders>
              <w:top w:val="single" w:sz="4" w:space="0" w:color="000000"/>
              <w:left w:val="nil" w:sz="6" w:space="0" w:color="auto"/>
              <w:bottom w:val="nil" w:sz="6" w:space="0" w:color="auto"/>
              <w:right w:val="nil" w:sz="6" w:space="0" w:color="auto"/>
            </w:tcBorders>
          </w:tcPr>
          <w:p>
            <w:pPr>
              <w:pStyle w:val="TableParagraph"/>
              <w:spacing w:line="240" w:lineRule="auto" w:before="13"/>
              <w:ind w:left="122" w:right="0"/>
              <w:jc w:val="left"/>
              <w:rPr>
                <w:rFonts w:ascii="Calibri" w:hAnsi="Calibri" w:cs="Calibri" w:eastAsia="Calibri" w:hint="default"/>
                <w:sz w:val="20"/>
                <w:szCs w:val="20"/>
              </w:rPr>
            </w:pPr>
            <w:r>
              <w:rPr>
                <w:rFonts w:ascii="Calibri"/>
                <w:b/>
                <w:sz w:val="20"/>
              </w:rPr>
              <w:t>New</w:t>
            </w:r>
            <w:r>
              <w:rPr>
                <w:rFonts w:ascii="Calibri"/>
                <w:b/>
                <w:spacing w:val="-9"/>
                <w:sz w:val="20"/>
              </w:rPr>
              <w:t> </w:t>
            </w:r>
            <w:r>
              <w:rPr>
                <w:rFonts w:ascii="Calibri"/>
                <w:b/>
                <w:sz w:val="20"/>
              </w:rPr>
              <w:t>England</w:t>
            </w:r>
            <w:r>
              <w:rPr>
                <w:rFonts w:ascii="Calibri"/>
                <w:sz w:val="20"/>
              </w:rPr>
            </w:r>
          </w:p>
        </w:tc>
        <w:tc>
          <w:tcPr>
            <w:tcW w:w="1948" w:type="dxa"/>
            <w:tcBorders>
              <w:top w:val="single" w:sz="4" w:space="0" w:color="000000"/>
              <w:left w:val="nil" w:sz="6" w:space="0" w:color="auto"/>
              <w:bottom w:val="nil" w:sz="6" w:space="0" w:color="auto"/>
              <w:right w:val="nil" w:sz="6" w:space="0" w:color="auto"/>
            </w:tcBorders>
          </w:tcPr>
          <w:p>
            <w:pPr>
              <w:pStyle w:val="TableParagraph"/>
              <w:spacing w:line="240" w:lineRule="auto" w:before="6"/>
              <w:ind w:left="428" w:right="0"/>
              <w:jc w:val="left"/>
              <w:rPr>
                <w:rFonts w:ascii="Calibri" w:hAnsi="Calibri" w:cs="Calibri" w:eastAsia="Calibri" w:hint="default"/>
                <w:sz w:val="20"/>
                <w:szCs w:val="20"/>
              </w:rPr>
            </w:pPr>
            <w:r>
              <w:rPr>
                <w:rFonts w:ascii="Calibri"/>
                <w:sz w:val="20"/>
              </w:rPr>
              <w:t>0.479</w:t>
            </w:r>
            <w:r>
              <w:rPr>
                <w:rFonts w:ascii="Calibri"/>
                <w:spacing w:val="-5"/>
                <w:sz w:val="20"/>
              </w:rPr>
              <w:t> </w:t>
            </w:r>
            <w:r>
              <w:rPr>
                <w:rFonts w:ascii="Calibri"/>
                <w:sz w:val="20"/>
              </w:rPr>
              <w:t>(35.900)</w:t>
            </w:r>
          </w:p>
        </w:tc>
        <w:tc>
          <w:tcPr>
            <w:tcW w:w="2677" w:type="dxa"/>
            <w:tcBorders>
              <w:top w:val="single" w:sz="4" w:space="0" w:color="000000"/>
              <w:left w:val="nil" w:sz="6" w:space="0" w:color="auto"/>
              <w:bottom w:val="nil" w:sz="6" w:space="0" w:color="auto"/>
              <w:right w:val="nil" w:sz="6" w:space="0" w:color="auto"/>
            </w:tcBorders>
          </w:tcPr>
          <w:p>
            <w:pPr>
              <w:pStyle w:val="TableParagraph"/>
              <w:spacing w:line="240" w:lineRule="auto" w:before="6"/>
              <w:ind w:right="43"/>
              <w:jc w:val="center"/>
              <w:rPr>
                <w:rFonts w:ascii="Calibri" w:hAnsi="Calibri" w:cs="Calibri" w:eastAsia="Calibri" w:hint="default"/>
                <w:sz w:val="20"/>
                <w:szCs w:val="20"/>
              </w:rPr>
            </w:pPr>
            <w:r>
              <w:rPr>
                <w:rFonts w:ascii="Calibri"/>
                <w:sz w:val="20"/>
              </w:rPr>
              <w:t>0.702</w:t>
            </w:r>
            <w:r>
              <w:rPr>
                <w:rFonts w:ascii="Calibri"/>
                <w:spacing w:val="-7"/>
                <w:sz w:val="20"/>
              </w:rPr>
              <w:t> </w:t>
            </w:r>
            <w:r>
              <w:rPr>
                <w:rFonts w:ascii="Calibri"/>
                <w:sz w:val="20"/>
              </w:rPr>
              <w:t>(5.992)</w:t>
            </w:r>
          </w:p>
        </w:tc>
        <w:tc>
          <w:tcPr>
            <w:tcW w:w="2755" w:type="dxa"/>
            <w:tcBorders>
              <w:top w:val="single" w:sz="4" w:space="0" w:color="000000"/>
              <w:left w:val="nil" w:sz="6" w:space="0" w:color="auto"/>
              <w:bottom w:val="nil" w:sz="6" w:space="0" w:color="auto"/>
              <w:right w:val="nil" w:sz="6" w:space="0" w:color="auto"/>
            </w:tcBorders>
          </w:tcPr>
          <w:p>
            <w:pPr>
              <w:pStyle w:val="TableParagraph"/>
              <w:spacing w:line="240" w:lineRule="auto" w:before="6"/>
              <w:ind w:right="2"/>
              <w:jc w:val="center"/>
              <w:rPr>
                <w:rFonts w:ascii="Calibri" w:hAnsi="Calibri" w:cs="Calibri" w:eastAsia="Calibri" w:hint="default"/>
                <w:sz w:val="20"/>
                <w:szCs w:val="20"/>
              </w:rPr>
            </w:pPr>
            <w:r>
              <w:rPr>
                <w:rFonts w:ascii="Calibri"/>
                <w:sz w:val="20"/>
              </w:rPr>
              <w:t>NA</w:t>
            </w:r>
          </w:p>
        </w:tc>
      </w:tr>
      <w:tr>
        <w:trPr>
          <w:trHeight w:val="257" w:hRule="exact"/>
        </w:trPr>
        <w:tc>
          <w:tcPr>
            <w:tcW w:w="1774" w:type="dxa"/>
            <w:tcBorders>
              <w:top w:val="nil" w:sz="6" w:space="0" w:color="auto"/>
              <w:left w:val="nil" w:sz="6" w:space="0" w:color="auto"/>
              <w:bottom w:val="nil" w:sz="6" w:space="0" w:color="auto"/>
              <w:right w:val="nil" w:sz="6" w:space="0" w:color="auto"/>
            </w:tcBorders>
          </w:tcPr>
          <w:p>
            <w:pPr>
              <w:pStyle w:val="TableParagraph"/>
              <w:spacing w:line="236" w:lineRule="exact"/>
              <w:ind w:left="122" w:right="0"/>
              <w:jc w:val="left"/>
              <w:rPr>
                <w:rFonts w:ascii="Calibri" w:hAnsi="Calibri" w:cs="Calibri" w:eastAsia="Calibri" w:hint="default"/>
                <w:sz w:val="20"/>
                <w:szCs w:val="20"/>
              </w:rPr>
            </w:pPr>
            <w:r>
              <w:rPr>
                <w:rFonts w:ascii="Calibri"/>
                <w:b/>
                <w:sz w:val="20"/>
              </w:rPr>
              <w:t>Middle</w:t>
            </w:r>
            <w:r>
              <w:rPr>
                <w:rFonts w:ascii="Calibri"/>
                <w:b/>
                <w:spacing w:val="-7"/>
                <w:sz w:val="20"/>
              </w:rPr>
              <w:t> </w:t>
            </w:r>
            <w:r>
              <w:rPr>
                <w:rFonts w:ascii="Calibri"/>
                <w:b/>
                <w:sz w:val="20"/>
              </w:rPr>
              <w:t>Atlantic</w:t>
            </w:r>
            <w:r>
              <w:rPr>
                <w:rFonts w:ascii="Calibri"/>
                <w:sz w:val="20"/>
              </w:rPr>
            </w:r>
          </w:p>
        </w:tc>
        <w:tc>
          <w:tcPr>
            <w:tcW w:w="1948" w:type="dxa"/>
            <w:tcBorders>
              <w:top w:val="nil" w:sz="6" w:space="0" w:color="auto"/>
              <w:left w:val="nil" w:sz="6" w:space="0" w:color="auto"/>
              <w:bottom w:val="nil" w:sz="6" w:space="0" w:color="auto"/>
              <w:right w:val="nil" w:sz="6" w:space="0" w:color="auto"/>
            </w:tcBorders>
          </w:tcPr>
          <w:p>
            <w:pPr>
              <w:pStyle w:val="TableParagraph"/>
              <w:spacing w:line="228" w:lineRule="exact"/>
              <w:ind w:left="424" w:right="0"/>
              <w:jc w:val="left"/>
              <w:rPr>
                <w:rFonts w:ascii="Calibri" w:hAnsi="Calibri" w:cs="Calibri" w:eastAsia="Calibri" w:hint="default"/>
                <w:sz w:val="20"/>
                <w:szCs w:val="20"/>
              </w:rPr>
            </w:pPr>
            <w:r>
              <w:rPr>
                <w:rFonts w:ascii="Calibri"/>
                <w:sz w:val="20"/>
              </w:rPr>
              <w:t>0.446</w:t>
            </w:r>
            <w:r>
              <w:rPr>
                <w:rFonts w:ascii="Calibri"/>
                <w:spacing w:val="-6"/>
                <w:sz w:val="20"/>
              </w:rPr>
              <w:t> </w:t>
            </w:r>
            <w:r>
              <w:rPr>
                <w:rFonts w:ascii="Calibri"/>
                <w:sz w:val="20"/>
              </w:rPr>
              <w:t>(135.655)</w:t>
            </w:r>
          </w:p>
        </w:tc>
        <w:tc>
          <w:tcPr>
            <w:tcW w:w="2677" w:type="dxa"/>
            <w:tcBorders>
              <w:top w:val="nil" w:sz="6" w:space="0" w:color="auto"/>
              <w:left w:val="nil" w:sz="6" w:space="0" w:color="auto"/>
              <w:bottom w:val="nil" w:sz="6" w:space="0" w:color="auto"/>
              <w:right w:val="nil" w:sz="6" w:space="0" w:color="auto"/>
            </w:tcBorders>
          </w:tcPr>
          <w:p>
            <w:pPr>
              <w:pStyle w:val="TableParagraph"/>
              <w:spacing w:line="228" w:lineRule="exact"/>
              <w:ind w:left="45" w:right="0"/>
              <w:jc w:val="center"/>
              <w:rPr>
                <w:rFonts w:ascii="Calibri" w:hAnsi="Calibri" w:cs="Calibri" w:eastAsia="Calibri" w:hint="default"/>
                <w:sz w:val="20"/>
                <w:szCs w:val="20"/>
              </w:rPr>
            </w:pPr>
            <w:r>
              <w:rPr>
                <w:rFonts w:ascii="Calibri"/>
                <w:sz w:val="20"/>
              </w:rPr>
              <w:t>0.671</w:t>
            </w:r>
            <w:r>
              <w:rPr>
                <w:rFonts w:ascii="Calibri"/>
                <w:spacing w:val="-7"/>
                <w:sz w:val="20"/>
              </w:rPr>
              <w:t> </w:t>
            </w:r>
            <w:r>
              <w:rPr>
                <w:rFonts w:ascii="Calibri"/>
                <w:sz w:val="20"/>
              </w:rPr>
              <w:t>(11.647)</w:t>
            </w:r>
          </w:p>
        </w:tc>
        <w:tc>
          <w:tcPr>
            <w:tcW w:w="2755" w:type="dxa"/>
            <w:tcBorders>
              <w:top w:val="nil" w:sz="6" w:space="0" w:color="auto"/>
              <w:left w:val="nil" w:sz="6" w:space="0" w:color="auto"/>
              <w:bottom w:val="nil" w:sz="6" w:space="0" w:color="auto"/>
              <w:right w:val="nil" w:sz="6" w:space="0" w:color="auto"/>
            </w:tcBorders>
          </w:tcPr>
          <w:p>
            <w:pPr>
              <w:pStyle w:val="TableParagraph"/>
              <w:spacing w:line="228" w:lineRule="exact"/>
              <w:ind w:right="2"/>
              <w:jc w:val="center"/>
              <w:rPr>
                <w:rFonts w:ascii="Calibri" w:hAnsi="Calibri" w:cs="Calibri" w:eastAsia="Calibri" w:hint="default"/>
                <w:sz w:val="20"/>
                <w:szCs w:val="20"/>
              </w:rPr>
            </w:pPr>
            <w:r>
              <w:rPr>
                <w:rFonts w:ascii="Calibri"/>
                <w:sz w:val="20"/>
              </w:rPr>
              <w:t>NA</w:t>
            </w:r>
          </w:p>
        </w:tc>
      </w:tr>
      <w:tr>
        <w:trPr>
          <w:trHeight w:val="258" w:hRule="exact"/>
        </w:trPr>
        <w:tc>
          <w:tcPr>
            <w:tcW w:w="1774" w:type="dxa"/>
            <w:tcBorders>
              <w:top w:val="nil" w:sz="6" w:space="0" w:color="auto"/>
              <w:left w:val="nil" w:sz="6" w:space="0" w:color="auto"/>
              <w:bottom w:val="nil" w:sz="6" w:space="0" w:color="auto"/>
              <w:right w:val="nil" w:sz="6" w:space="0" w:color="auto"/>
            </w:tcBorders>
          </w:tcPr>
          <w:p>
            <w:pPr>
              <w:pStyle w:val="TableParagraph"/>
              <w:spacing w:line="236" w:lineRule="exact"/>
              <w:ind w:left="122" w:right="0"/>
              <w:jc w:val="left"/>
              <w:rPr>
                <w:rFonts w:ascii="Calibri" w:hAnsi="Calibri" w:cs="Calibri" w:eastAsia="Calibri" w:hint="default"/>
                <w:sz w:val="20"/>
                <w:szCs w:val="20"/>
              </w:rPr>
            </w:pPr>
            <w:r>
              <w:rPr>
                <w:rFonts w:ascii="Calibri"/>
                <w:b/>
                <w:sz w:val="20"/>
              </w:rPr>
              <w:t>South</w:t>
            </w:r>
            <w:r>
              <w:rPr>
                <w:rFonts w:ascii="Calibri"/>
                <w:sz w:val="20"/>
              </w:rPr>
            </w:r>
          </w:p>
        </w:tc>
        <w:tc>
          <w:tcPr>
            <w:tcW w:w="1948" w:type="dxa"/>
            <w:tcBorders>
              <w:top w:val="nil" w:sz="6" w:space="0" w:color="auto"/>
              <w:left w:val="nil" w:sz="6" w:space="0" w:color="auto"/>
              <w:bottom w:val="nil" w:sz="6" w:space="0" w:color="auto"/>
              <w:right w:val="nil" w:sz="6" w:space="0" w:color="auto"/>
            </w:tcBorders>
          </w:tcPr>
          <w:p>
            <w:pPr>
              <w:pStyle w:val="TableParagraph"/>
              <w:spacing w:line="229" w:lineRule="exact"/>
              <w:ind w:left="424" w:right="0"/>
              <w:jc w:val="left"/>
              <w:rPr>
                <w:rFonts w:ascii="Calibri" w:hAnsi="Calibri" w:cs="Calibri" w:eastAsia="Calibri" w:hint="default"/>
                <w:sz w:val="20"/>
                <w:szCs w:val="20"/>
              </w:rPr>
            </w:pPr>
            <w:r>
              <w:rPr>
                <w:rFonts w:ascii="Calibri"/>
                <w:sz w:val="20"/>
              </w:rPr>
              <w:t>0.441</w:t>
            </w:r>
            <w:r>
              <w:rPr>
                <w:rFonts w:ascii="Calibri"/>
                <w:spacing w:val="-6"/>
                <w:sz w:val="20"/>
              </w:rPr>
              <w:t> </w:t>
            </w:r>
            <w:r>
              <w:rPr>
                <w:rFonts w:ascii="Calibri"/>
                <w:sz w:val="20"/>
              </w:rPr>
              <w:t>(123.167)</w:t>
            </w:r>
          </w:p>
        </w:tc>
        <w:tc>
          <w:tcPr>
            <w:tcW w:w="2677" w:type="dxa"/>
            <w:tcBorders>
              <w:top w:val="nil" w:sz="6" w:space="0" w:color="auto"/>
              <w:left w:val="nil" w:sz="6" w:space="0" w:color="auto"/>
              <w:bottom w:val="nil" w:sz="6" w:space="0" w:color="auto"/>
              <w:right w:val="nil" w:sz="6" w:space="0" w:color="auto"/>
            </w:tcBorders>
          </w:tcPr>
          <w:p>
            <w:pPr>
              <w:pStyle w:val="TableParagraph"/>
              <w:spacing w:line="229" w:lineRule="exact"/>
              <w:ind w:left="45" w:right="0"/>
              <w:jc w:val="center"/>
              <w:rPr>
                <w:rFonts w:ascii="Calibri" w:hAnsi="Calibri" w:cs="Calibri" w:eastAsia="Calibri" w:hint="default"/>
                <w:sz w:val="20"/>
                <w:szCs w:val="20"/>
              </w:rPr>
            </w:pPr>
            <w:r>
              <w:rPr>
                <w:rFonts w:ascii="Calibri"/>
                <w:sz w:val="20"/>
              </w:rPr>
              <w:t>0.667</w:t>
            </w:r>
            <w:r>
              <w:rPr>
                <w:rFonts w:ascii="Calibri"/>
                <w:spacing w:val="-7"/>
                <w:sz w:val="20"/>
              </w:rPr>
              <w:t> </w:t>
            </w:r>
            <w:r>
              <w:rPr>
                <w:rFonts w:ascii="Calibri"/>
                <w:sz w:val="20"/>
              </w:rPr>
              <w:t>(11.098)</w:t>
            </w:r>
          </w:p>
        </w:tc>
        <w:tc>
          <w:tcPr>
            <w:tcW w:w="2755" w:type="dxa"/>
            <w:tcBorders>
              <w:top w:val="nil" w:sz="6" w:space="0" w:color="auto"/>
              <w:left w:val="nil" w:sz="6" w:space="0" w:color="auto"/>
              <w:bottom w:val="nil" w:sz="6" w:space="0" w:color="auto"/>
              <w:right w:val="nil" w:sz="6" w:space="0" w:color="auto"/>
            </w:tcBorders>
          </w:tcPr>
          <w:p>
            <w:pPr>
              <w:pStyle w:val="TableParagraph"/>
              <w:spacing w:line="229" w:lineRule="exact"/>
              <w:ind w:right="2"/>
              <w:jc w:val="center"/>
              <w:rPr>
                <w:rFonts w:ascii="Calibri" w:hAnsi="Calibri" w:cs="Calibri" w:eastAsia="Calibri" w:hint="default"/>
                <w:sz w:val="20"/>
                <w:szCs w:val="20"/>
              </w:rPr>
            </w:pPr>
            <w:r>
              <w:rPr>
                <w:rFonts w:ascii="Calibri"/>
                <w:sz w:val="20"/>
              </w:rPr>
              <w:t>NA</w:t>
            </w:r>
          </w:p>
        </w:tc>
      </w:tr>
      <w:tr>
        <w:trPr>
          <w:trHeight w:val="257" w:hRule="exact"/>
        </w:trPr>
        <w:tc>
          <w:tcPr>
            <w:tcW w:w="1774" w:type="dxa"/>
            <w:tcBorders>
              <w:top w:val="nil" w:sz="6" w:space="0" w:color="auto"/>
              <w:left w:val="nil" w:sz="6" w:space="0" w:color="auto"/>
              <w:bottom w:val="nil" w:sz="6" w:space="0" w:color="auto"/>
              <w:right w:val="nil" w:sz="6" w:space="0" w:color="auto"/>
            </w:tcBorders>
          </w:tcPr>
          <w:p>
            <w:pPr>
              <w:pStyle w:val="TableParagraph"/>
              <w:spacing w:line="234" w:lineRule="exact"/>
              <w:ind w:left="122" w:right="0"/>
              <w:jc w:val="left"/>
              <w:rPr>
                <w:rFonts w:ascii="Calibri" w:hAnsi="Calibri" w:cs="Calibri" w:eastAsia="Calibri" w:hint="default"/>
                <w:sz w:val="20"/>
                <w:szCs w:val="20"/>
              </w:rPr>
            </w:pPr>
            <w:r>
              <w:rPr>
                <w:rFonts w:ascii="Calibri"/>
                <w:b/>
                <w:sz w:val="20"/>
              </w:rPr>
              <w:t>Midwest</w:t>
            </w:r>
            <w:r>
              <w:rPr>
                <w:rFonts w:ascii="Calibri"/>
                <w:sz w:val="20"/>
              </w:rPr>
            </w:r>
          </w:p>
        </w:tc>
        <w:tc>
          <w:tcPr>
            <w:tcW w:w="1948" w:type="dxa"/>
            <w:tcBorders>
              <w:top w:val="nil" w:sz="6" w:space="0" w:color="auto"/>
              <w:left w:val="nil" w:sz="6" w:space="0" w:color="auto"/>
              <w:bottom w:val="nil" w:sz="6" w:space="0" w:color="auto"/>
              <w:right w:val="nil" w:sz="6" w:space="0" w:color="auto"/>
            </w:tcBorders>
          </w:tcPr>
          <w:p>
            <w:pPr>
              <w:pStyle w:val="TableParagraph"/>
              <w:spacing w:line="230" w:lineRule="exact"/>
              <w:ind w:left="373" w:right="0"/>
              <w:jc w:val="left"/>
              <w:rPr>
                <w:rFonts w:ascii="Calibri" w:hAnsi="Calibri" w:cs="Calibri" w:eastAsia="Calibri" w:hint="default"/>
                <w:sz w:val="20"/>
                <w:szCs w:val="20"/>
              </w:rPr>
            </w:pPr>
            <w:r>
              <w:rPr>
                <w:rFonts w:ascii="Calibri"/>
                <w:sz w:val="20"/>
              </w:rPr>
              <w:t>0.437(81.819)</w:t>
            </w:r>
          </w:p>
        </w:tc>
        <w:tc>
          <w:tcPr>
            <w:tcW w:w="2677" w:type="dxa"/>
            <w:tcBorders>
              <w:top w:val="nil" w:sz="6" w:space="0" w:color="auto"/>
              <w:left w:val="nil" w:sz="6" w:space="0" w:color="auto"/>
              <w:bottom w:val="nil" w:sz="6" w:space="0" w:color="auto"/>
              <w:right w:val="nil" w:sz="6" w:space="0" w:color="auto"/>
            </w:tcBorders>
          </w:tcPr>
          <w:p>
            <w:pPr>
              <w:pStyle w:val="TableParagraph"/>
              <w:spacing w:line="230" w:lineRule="exact"/>
              <w:ind w:right="43"/>
              <w:jc w:val="center"/>
              <w:rPr>
                <w:rFonts w:ascii="Calibri" w:hAnsi="Calibri" w:cs="Calibri" w:eastAsia="Calibri" w:hint="default"/>
                <w:sz w:val="20"/>
                <w:szCs w:val="20"/>
              </w:rPr>
            </w:pPr>
            <w:r>
              <w:rPr>
                <w:rFonts w:ascii="Calibri"/>
                <w:sz w:val="20"/>
              </w:rPr>
              <w:t>0.665</w:t>
            </w:r>
            <w:r>
              <w:rPr>
                <w:rFonts w:ascii="Calibri"/>
                <w:spacing w:val="-7"/>
                <w:sz w:val="20"/>
              </w:rPr>
              <w:t> </w:t>
            </w:r>
            <w:r>
              <w:rPr>
                <w:rFonts w:ascii="Calibri"/>
                <w:sz w:val="20"/>
              </w:rPr>
              <w:t>(9.045)</w:t>
            </w:r>
          </w:p>
        </w:tc>
        <w:tc>
          <w:tcPr>
            <w:tcW w:w="2755" w:type="dxa"/>
            <w:tcBorders>
              <w:top w:val="nil" w:sz="6" w:space="0" w:color="auto"/>
              <w:left w:val="nil" w:sz="6" w:space="0" w:color="auto"/>
              <w:bottom w:val="nil" w:sz="6" w:space="0" w:color="auto"/>
              <w:right w:val="nil" w:sz="6" w:space="0" w:color="auto"/>
            </w:tcBorders>
          </w:tcPr>
          <w:p>
            <w:pPr>
              <w:pStyle w:val="TableParagraph"/>
              <w:spacing w:line="230" w:lineRule="exact"/>
              <w:ind w:right="2"/>
              <w:jc w:val="center"/>
              <w:rPr>
                <w:rFonts w:ascii="Calibri" w:hAnsi="Calibri" w:cs="Calibri" w:eastAsia="Calibri" w:hint="default"/>
                <w:sz w:val="20"/>
                <w:szCs w:val="20"/>
              </w:rPr>
            </w:pPr>
            <w:r>
              <w:rPr>
                <w:rFonts w:ascii="Calibri"/>
                <w:sz w:val="20"/>
              </w:rPr>
              <w:t>NA</w:t>
            </w:r>
          </w:p>
        </w:tc>
      </w:tr>
      <w:tr>
        <w:trPr>
          <w:trHeight w:val="259" w:hRule="exact"/>
        </w:trPr>
        <w:tc>
          <w:tcPr>
            <w:tcW w:w="1774" w:type="dxa"/>
            <w:tcBorders>
              <w:top w:val="nil" w:sz="6" w:space="0" w:color="auto"/>
              <w:left w:val="nil" w:sz="6" w:space="0" w:color="auto"/>
              <w:bottom w:val="nil" w:sz="6" w:space="0" w:color="auto"/>
              <w:right w:val="nil" w:sz="6" w:space="0" w:color="auto"/>
            </w:tcBorders>
          </w:tcPr>
          <w:p>
            <w:pPr>
              <w:pStyle w:val="TableParagraph"/>
              <w:spacing w:line="234" w:lineRule="exact"/>
              <w:ind w:left="122" w:right="0"/>
              <w:jc w:val="left"/>
              <w:rPr>
                <w:rFonts w:ascii="Calibri" w:hAnsi="Calibri" w:cs="Calibri" w:eastAsia="Calibri" w:hint="default"/>
                <w:sz w:val="20"/>
                <w:szCs w:val="20"/>
              </w:rPr>
            </w:pPr>
            <w:r>
              <w:rPr>
                <w:rFonts w:ascii="Calibri"/>
                <w:b/>
                <w:sz w:val="20"/>
              </w:rPr>
              <w:t>Southwest</w:t>
            </w:r>
            <w:r>
              <w:rPr>
                <w:rFonts w:ascii="Calibri"/>
                <w:sz w:val="20"/>
              </w:rPr>
            </w:r>
          </w:p>
        </w:tc>
        <w:tc>
          <w:tcPr>
            <w:tcW w:w="1948" w:type="dxa"/>
            <w:tcBorders>
              <w:top w:val="nil" w:sz="6" w:space="0" w:color="auto"/>
              <w:left w:val="nil" w:sz="6" w:space="0" w:color="auto"/>
              <w:bottom w:val="nil" w:sz="6" w:space="0" w:color="auto"/>
              <w:right w:val="nil" w:sz="6" w:space="0" w:color="auto"/>
            </w:tcBorders>
          </w:tcPr>
          <w:p>
            <w:pPr>
              <w:pStyle w:val="TableParagraph"/>
              <w:spacing w:line="230" w:lineRule="exact"/>
              <w:ind w:left="428" w:right="0"/>
              <w:jc w:val="left"/>
              <w:rPr>
                <w:rFonts w:ascii="Calibri" w:hAnsi="Calibri" w:cs="Calibri" w:eastAsia="Calibri" w:hint="default"/>
                <w:sz w:val="20"/>
                <w:szCs w:val="20"/>
              </w:rPr>
            </w:pPr>
            <w:r>
              <w:rPr>
                <w:rFonts w:ascii="Calibri"/>
                <w:sz w:val="20"/>
              </w:rPr>
              <w:t>0.384</w:t>
            </w:r>
            <w:r>
              <w:rPr>
                <w:rFonts w:ascii="Calibri"/>
                <w:spacing w:val="-5"/>
                <w:sz w:val="20"/>
              </w:rPr>
              <w:t> </w:t>
            </w:r>
            <w:r>
              <w:rPr>
                <w:rFonts w:ascii="Calibri"/>
                <w:sz w:val="20"/>
              </w:rPr>
              <w:t>(36.522)</w:t>
            </w:r>
          </w:p>
        </w:tc>
        <w:tc>
          <w:tcPr>
            <w:tcW w:w="2677" w:type="dxa"/>
            <w:tcBorders>
              <w:top w:val="nil" w:sz="6" w:space="0" w:color="auto"/>
              <w:left w:val="nil" w:sz="6" w:space="0" w:color="auto"/>
              <w:bottom w:val="nil" w:sz="6" w:space="0" w:color="auto"/>
              <w:right w:val="nil" w:sz="6" w:space="0" w:color="auto"/>
            </w:tcBorders>
          </w:tcPr>
          <w:p>
            <w:pPr>
              <w:pStyle w:val="TableParagraph"/>
              <w:spacing w:line="230" w:lineRule="exact"/>
              <w:ind w:right="43"/>
              <w:jc w:val="center"/>
              <w:rPr>
                <w:rFonts w:ascii="Calibri" w:hAnsi="Calibri" w:cs="Calibri" w:eastAsia="Calibri" w:hint="default"/>
                <w:sz w:val="20"/>
                <w:szCs w:val="20"/>
              </w:rPr>
            </w:pPr>
            <w:r>
              <w:rPr>
                <w:rFonts w:ascii="Calibri"/>
                <w:sz w:val="20"/>
              </w:rPr>
              <w:t>0.628</w:t>
            </w:r>
            <w:r>
              <w:rPr>
                <w:rFonts w:ascii="Calibri"/>
                <w:spacing w:val="-7"/>
                <w:sz w:val="20"/>
              </w:rPr>
              <w:t> </w:t>
            </w:r>
            <w:r>
              <w:rPr>
                <w:rFonts w:ascii="Calibri"/>
                <w:sz w:val="20"/>
              </w:rPr>
              <w:t>(6.043)</w:t>
            </w:r>
          </w:p>
        </w:tc>
        <w:tc>
          <w:tcPr>
            <w:tcW w:w="2755" w:type="dxa"/>
            <w:tcBorders>
              <w:top w:val="nil" w:sz="6" w:space="0" w:color="auto"/>
              <w:left w:val="nil" w:sz="6" w:space="0" w:color="auto"/>
              <w:bottom w:val="nil" w:sz="6" w:space="0" w:color="auto"/>
              <w:right w:val="nil" w:sz="6" w:space="0" w:color="auto"/>
            </w:tcBorders>
          </w:tcPr>
          <w:p>
            <w:pPr>
              <w:pStyle w:val="TableParagraph"/>
              <w:spacing w:line="230" w:lineRule="exact"/>
              <w:ind w:right="2"/>
              <w:jc w:val="center"/>
              <w:rPr>
                <w:rFonts w:ascii="Calibri" w:hAnsi="Calibri" w:cs="Calibri" w:eastAsia="Calibri" w:hint="default"/>
                <w:sz w:val="20"/>
                <w:szCs w:val="20"/>
              </w:rPr>
            </w:pPr>
            <w:r>
              <w:rPr>
                <w:rFonts w:ascii="Calibri"/>
                <w:sz w:val="20"/>
              </w:rPr>
              <w:t>NA</w:t>
            </w:r>
          </w:p>
        </w:tc>
      </w:tr>
      <w:tr>
        <w:trPr>
          <w:trHeight w:val="253" w:hRule="exact"/>
        </w:trPr>
        <w:tc>
          <w:tcPr>
            <w:tcW w:w="1774" w:type="dxa"/>
            <w:tcBorders>
              <w:top w:val="nil" w:sz="6" w:space="0" w:color="auto"/>
              <w:left w:val="nil" w:sz="6" w:space="0" w:color="auto"/>
              <w:bottom w:val="single" w:sz="4" w:space="0" w:color="000000"/>
              <w:right w:val="nil" w:sz="6" w:space="0" w:color="auto"/>
            </w:tcBorders>
          </w:tcPr>
          <w:p>
            <w:pPr>
              <w:pStyle w:val="TableParagraph"/>
              <w:spacing w:line="240" w:lineRule="auto" w:before="2"/>
              <w:ind w:left="122" w:right="0"/>
              <w:jc w:val="left"/>
              <w:rPr>
                <w:rFonts w:ascii="Calibri" w:hAnsi="Calibri" w:cs="Calibri" w:eastAsia="Calibri" w:hint="default"/>
                <w:sz w:val="20"/>
                <w:szCs w:val="20"/>
              </w:rPr>
            </w:pPr>
            <w:r>
              <w:rPr>
                <w:rFonts w:ascii="Calibri"/>
                <w:b/>
                <w:sz w:val="20"/>
              </w:rPr>
              <w:t>West</w:t>
            </w:r>
            <w:r>
              <w:rPr>
                <w:rFonts w:ascii="Calibri"/>
                <w:sz w:val="20"/>
              </w:rPr>
            </w:r>
          </w:p>
        </w:tc>
        <w:tc>
          <w:tcPr>
            <w:tcW w:w="1948" w:type="dxa"/>
            <w:tcBorders>
              <w:top w:val="nil" w:sz="6" w:space="0" w:color="auto"/>
              <w:left w:val="nil" w:sz="6" w:space="0" w:color="auto"/>
              <w:bottom w:val="single" w:sz="4" w:space="0" w:color="000000"/>
              <w:right w:val="nil" w:sz="6" w:space="0" w:color="auto"/>
            </w:tcBorders>
          </w:tcPr>
          <w:p>
            <w:pPr>
              <w:pStyle w:val="TableParagraph"/>
              <w:spacing w:line="232" w:lineRule="exact"/>
              <w:ind w:left="428" w:right="0"/>
              <w:jc w:val="left"/>
              <w:rPr>
                <w:rFonts w:ascii="Calibri" w:hAnsi="Calibri" w:cs="Calibri" w:eastAsia="Calibri" w:hint="default"/>
                <w:sz w:val="20"/>
                <w:szCs w:val="20"/>
              </w:rPr>
            </w:pPr>
            <w:r>
              <w:rPr>
                <w:rFonts w:ascii="Calibri"/>
                <w:sz w:val="20"/>
              </w:rPr>
              <w:t>0.423</w:t>
            </w:r>
            <w:r>
              <w:rPr>
                <w:rFonts w:ascii="Calibri"/>
                <w:spacing w:val="-5"/>
                <w:sz w:val="20"/>
              </w:rPr>
              <w:t> </w:t>
            </w:r>
            <w:r>
              <w:rPr>
                <w:rFonts w:ascii="Calibri"/>
                <w:sz w:val="20"/>
              </w:rPr>
              <w:t>(56.236)</w:t>
            </w:r>
          </w:p>
        </w:tc>
        <w:tc>
          <w:tcPr>
            <w:tcW w:w="2677" w:type="dxa"/>
            <w:tcBorders>
              <w:top w:val="nil" w:sz="6" w:space="0" w:color="auto"/>
              <w:left w:val="nil" w:sz="6" w:space="0" w:color="auto"/>
              <w:bottom w:val="single" w:sz="4" w:space="0" w:color="000000"/>
              <w:right w:val="nil" w:sz="6" w:space="0" w:color="auto"/>
            </w:tcBorders>
          </w:tcPr>
          <w:p>
            <w:pPr>
              <w:pStyle w:val="TableParagraph"/>
              <w:spacing w:line="232" w:lineRule="exact"/>
              <w:ind w:right="43"/>
              <w:jc w:val="center"/>
              <w:rPr>
                <w:rFonts w:ascii="Calibri" w:hAnsi="Calibri" w:cs="Calibri" w:eastAsia="Calibri" w:hint="default"/>
                <w:sz w:val="20"/>
                <w:szCs w:val="20"/>
              </w:rPr>
            </w:pPr>
            <w:r>
              <w:rPr>
                <w:rFonts w:ascii="Calibri"/>
                <w:sz w:val="20"/>
              </w:rPr>
              <w:t>0.523</w:t>
            </w:r>
            <w:r>
              <w:rPr>
                <w:rFonts w:ascii="Calibri"/>
                <w:spacing w:val="-7"/>
                <w:sz w:val="20"/>
              </w:rPr>
              <w:t> </w:t>
            </w:r>
            <w:r>
              <w:rPr>
                <w:rFonts w:ascii="Calibri"/>
                <w:sz w:val="20"/>
              </w:rPr>
              <w:t>(6.642)</w:t>
            </w:r>
          </w:p>
        </w:tc>
        <w:tc>
          <w:tcPr>
            <w:tcW w:w="2755" w:type="dxa"/>
            <w:tcBorders>
              <w:top w:val="nil" w:sz="6" w:space="0" w:color="auto"/>
              <w:left w:val="nil" w:sz="6" w:space="0" w:color="auto"/>
              <w:bottom w:val="single" w:sz="4" w:space="0" w:color="000000"/>
              <w:right w:val="nil" w:sz="6" w:space="0" w:color="auto"/>
            </w:tcBorders>
          </w:tcPr>
          <w:p>
            <w:pPr>
              <w:pStyle w:val="TableParagraph"/>
              <w:spacing w:line="232" w:lineRule="exact"/>
              <w:ind w:right="3"/>
              <w:jc w:val="center"/>
              <w:rPr>
                <w:rFonts w:ascii="Calibri" w:hAnsi="Calibri" w:cs="Calibri" w:eastAsia="Calibri" w:hint="default"/>
                <w:sz w:val="20"/>
                <w:szCs w:val="20"/>
              </w:rPr>
            </w:pPr>
            <w:r>
              <w:rPr>
                <w:rFonts w:ascii="Calibri"/>
                <w:sz w:val="20"/>
              </w:rPr>
              <w:t>0.188</w:t>
            </w:r>
            <w:r>
              <w:rPr>
                <w:rFonts w:ascii="Calibri"/>
                <w:spacing w:val="-7"/>
                <w:sz w:val="20"/>
              </w:rPr>
              <w:t> </w:t>
            </w:r>
            <w:r>
              <w:rPr>
                <w:rFonts w:ascii="Calibri"/>
                <w:sz w:val="20"/>
              </w:rPr>
              <w:t>(2.392)</w:t>
            </w:r>
          </w:p>
        </w:tc>
      </w:tr>
    </w:tbl>
    <w:p>
      <w:pPr>
        <w:spacing w:line="240" w:lineRule="auto" w:before="12"/>
        <w:ind w:right="0"/>
        <w:rPr>
          <w:rFonts w:ascii="Calibri" w:hAnsi="Calibri" w:cs="Calibri" w:eastAsia="Calibri" w:hint="default"/>
          <w:b/>
          <w:bCs/>
          <w:sz w:val="19"/>
          <w:szCs w:val="19"/>
        </w:rPr>
      </w:pPr>
    </w:p>
    <w:p>
      <w:pPr>
        <w:pStyle w:val="Heading2"/>
        <w:spacing w:line="240" w:lineRule="auto"/>
        <w:ind w:right="0"/>
        <w:jc w:val="both"/>
        <w:rPr>
          <w:b w:val="0"/>
          <w:bCs w:val="0"/>
        </w:rPr>
      </w:pPr>
      <w:bookmarkStart w:name="_bookmark130" w:id="131"/>
      <w:bookmarkEnd w:id="131"/>
      <w:r>
        <w:rPr>
          <w:b w:val="0"/>
          <w:bCs w:val="0"/>
        </w:rPr>
      </w:r>
      <w:r>
        <w:rPr/>
        <w:t>Curaçao</w:t>
      </w:r>
      <w:r>
        <w:rPr>
          <w:rFonts w:ascii="Calibri" w:hAnsi="Calibri" w:cs="Calibri" w:eastAsia="Calibri" w:hint="default"/>
        </w:rPr>
        <w:t>’s </w:t>
      </w:r>
      <w:r>
        <w:rPr/>
        <w:t>American market</w:t>
      </w:r>
      <w:r>
        <w:rPr>
          <w:spacing w:val="-22"/>
        </w:rPr>
        <w:t> </w:t>
      </w:r>
      <w:r>
        <w:rPr/>
        <w:t>competitors</w:t>
      </w:r>
      <w:r>
        <w:rPr>
          <w:b w:val="0"/>
          <w:bCs w:val="0"/>
        </w:rPr>
      </w:r>
    </w:p>
    <w:p>
      <w:pPr>
        <w:pStyle w:val="BodyText"/>
        <w:spacing w:line="240" w:lineRule="auto" w:before="191"/>
        <w:ind w:right="1434"/>
        <w:jc w:val="both"/>
      </w:pPr>
      <w:r>
        <w:rPr/>
        <w:t>It is critical at this juncture to examine Curaçao</w:t>
      </w:r>
      <w:r>
        <w:rPr>
          <w:rFonts w:ascii="Calibri" w:hAnsi="Calibri" w:cs="Calibri" w:eastAsia="Calibri" w:hint="default"/>
        </w:rPr>
        <w:t>’s competitors in each one of the potential regions identifi</w:t>
      </w:r>
      <w:r>
        <w:rPr/>
        <w:t>ed. Table 43</w:t>
      </w:r>
      <w:r>
        <w:rPr>
          <w:spacing w:val="-5"/>
        </w:rPr>
        <w:t> </w:t>
      </w:r>
      <w:r>
        <w:rPr/>
        <w:t>shows</w:t>
      </w:r>
      <w:r>
        <w:rPr>
          <w:spacing w:val="-3"/>
        </w:rPr>
        <w:t> </w:t>
      </w:r>
      <w:r>
        <w:rPr/>
        <w:t>Curaçao</w:t>
      </w:r>
      <w:r>
        <w:rPr>
          <w:rFonts w:ascii="Calibri" w:hAnsi="Calibri" w:cs="Calibri" w:eastAsia="Calibri" w:hint="default"/>
        </w:rPr>
        <w:t>’s</w:t>
      </w:r>
      <w:r>
        <w:rPr>
          <w:rFonts w:ascii="Calibri" w:hAnsi="Calibri" w:cs="Calibri" w:eastAsia="Calibri" w:hint="default"/>
          <w:spacing w:val="-5"/>
        </w:rPr>
        <w:t> </w:t>
      </w:r>
      <w:r>
        <w:rPr>
          <w:rFonts w:ascii="Calibri" w:hAnsi="Calibri" w:cs="Calibri" w:eastAsia="Calibri" w:hint="default"/>
        </w:rPr>
        <w:t>competitors</w:t>
      </w:r>
      <w:r>
        <w:rPr>
          <w:rFonts w:ascii="Calibri" w:hAnsi="Calibri" w:cs="Calibri" w:eastAsia="Calibri" w:hint="default"/>
          <w:spacing w:val="-5"/>
        </w:rPr>
        <w:t> </w:t>
      </w:r>
      <w:r>
        <w:rPr>
          <w:rFonts w:ascii="Calibri" w:hAnsi="Calibri" w:cs="Calibri" w:eastAsia="Calibri" w:hint="default"/>
        </w:rPr>
        <w:t>within</w:t>
      </w:r>
      <w:r>
        <w:rPr>
          <w:rFonts w:ascii="Calibri" w:hAnsi="Calibri" w:cs="Calibri" w:eastAsia="Calibri" w:hint="default"/>
          <w:spacing w:val="-4"/>
        </w:rPr>
        <w:t> </w:t>
      </w:r>
      <w:r>
        <w:rPr>
          <w:rFonts w:ascii="Calibri" w:hAnsi="Calibri" w:cs="Calibri" w:eastAsia="Calibri" w:hint="default"/>
        </w:rPr>
        <w:t>the</w:t>
      </w:r>
      <w:r>
        <w:rPr>
          <w:rFonts w:ascii="Calibri" w:hAnsi="Calibri" w:cs="Calibri" w:eastAsia="Calibri" w:hint="default"/>
          <w:spacing w:val="-5"/>
        </w:rPr>
        <w:t> </w:t>
      </w:r>
      <w:r>
        <w:rPr>
          <w:rFonts w:ascii="Calibri" w:hAnsi="Calibri" w:cs="Calibri" w:eastAsia="Calibri" w:hint="default"/>
        </w:rPr>
        <w:t>region</w:t>
      </w:r>
      <w:r>
        <w:rPr/>
        <w:t>,</w:t>
      </w:r>
      <w:r>
        <w:rPr>
          <w:spacing w:val="-4"/>
        </w:rPr>
        <w:t> </w:t>
      </w:r>
      <w:r>
        <w:rPr/>
        <w:t>and</w:t>
      </w:r>
      <w:r>
        <w:rPr>
          <w:spacing w:val="-4"/>
        </w:rPr>
        <w:t> </w:t>
      </w:r>
      <w:r>
        <w:rPr/>
        <w:t>reveals</w:t>
      </w:r>
      <w:r>
        <w:rPr>
          <w:spacing w:val="-5"/>
        </w:rPr>
        <w:t> </w:t>
      </w:r>
      <w:r>
        <w:rPr/>
        <w:t>the</w:t>
      </w:r>
      <w:r>
        <w:rPr>
          <w:spacing w:val="-5"/>
        </w:rPr>
        <w:t> </w:t>
      </w:r>
      <w:r>
        <w:rPr/>
        <w:t>ranking</w:t>
      </w:r>
      <w:r>
        <w:rPr>
          <w:spacing w:val="-5"/>
        </w:rPr>
        <w:t> </w:t>
      </w:r>
      <w:r>
        <w:rPr/>
        <w:t>of</w:t>
      </w:r>
      <w:r>
        <w:rPr>
          <w:spacing w:val="-5"/>
        </w:rPr>
        <w:t> </w:t>
      </w:r>
      <w:r>
        <w:rPr/>
        <w:t>Caribbean</w:t>
      </w:r>
      <w:r>
        <w:rPr>
          <w:spacing w:val="-2"/>
        </w:rPr>
        <w:t> </w:t>
      </w:r>
      <w:r>
        <w:rPr/>
        <w:t>destinations.</w:t>
      </w:r>
      <w:r>
        <w:rPr>
          <w:spacing w:val="1"/>
        </w:rPr>
        <w:t> </w:t>
      </w:r>
      <w:r>
        <w:rPr/>
        <w:t>The</w:t>
      </w:r>
      <w:r>
        <w:rPr>
          <w:spacing w:val="-5"/>
        </w:rPr>
        <w:t> </w:t>
      </w:r>
      <w:r>
        <w:rPr/>
        <w:t>arrows</w:t>
      </w:r>
      <w:r>
        <w:rPr>
          <w:spacing w:val="-5"/>
        </w:rPr>
        <w:t> </w:t>
      </w:r>
      <w:r>
        <w:rPr/>
        <w:t>in </w:t>
      </w:r>
      <w:r>
        <w:rPr/>
        <w:t>the table and the horizontal sign represent positive, negative, or neutral movements from each of the six regions with regard to </w:t>
      </w:r>
      <w:r>
        <w:rPr>
          <w:rFonts w:ascii="Calibri" w:hAnsi="Calibri" w:cs="Calibri" w:eastAsia="Calibri" w:hint="default"/>
        </w:rPr>
        <w:t>tourists’ </w:t>
      </w:r>
      <w:r>
        <w:rPr/>
        <w:t>impressions about destinations they enjoyed in the Caribbean. An up arrow means that the impression has improved, while a down arrow means that the positive impression has deteriorated. A horizontal line</w:t>
      </w:r>
      <w:r>
        <w:rPr>
          <w:spacing w:val="-15"/>
        </w:rPr>
        <w:t> </w:t>
      </w:r>
      <w:r>
        <w:rPr/>
        <w:t>means</w:t>
      </w:r>
      <w:r>
        <w:rPr>
          <w:spacing w:val="-15"/>
        </w:rPr>
        <w:t> </w:t>
      </w:r>
      <w:r>
        <w:rPr/>
        <w:t>that</w:t>
      </w:r>
      <w:r>
        <w:rPr>
          <w:spacing w:val="-13"/>
        </w:rPr>
        <w:t> </w:t>
      </w:r>
      <w:r>
        <w:rPr/>
        <w:t>the</w:t>
      </w:r>
      <w:r>
        <w:rPr>
          <w:spacing w:val="-13"/>
        </w:rPr>
        <w:t> </w:t>
      </w:r>
      <w:r>
        <w:rPr/>
        <w:t>impression</w:t>
      </w:r>
      <w:r>
        <w:rPr>
          <w:spacing w:val="-13"/>
        </w:rPr>
        <w:t> </w:t>
      </w:r>
      <w:r>
        <w:rPr/>
        <w:t>has</w:t>
      </w:r>
      <w:r>
        <w:rPr>
          <w:spacing w:val="-15"/>
        </w:rPr>
        <w:t> </w:t>
      </w:r>
      <w:r>
        <w:rPr/>
        <w:t>remained</w:t>
      </w:r>
      <w:r>
        <w:rPr>
          <w:spacing w:val="-13"/>
        </w:rPr>
        <w:t> </w:t>
      </w:r>
      <w:r>
        <w:rPr/>
        <w:t>the</w:t>
      </w:r>
      <w:r>
        <w:rPr>
          <w:spacing w:val="-9"/>
        </w:rPr>
        <w:t> </w:t>
      </w:r>
      <w:r>
        <w:rPr/>
        <w:t>same.</w:t>
      </w:r>
      <w:r>
        <w:rPr>
          <w:spacing w:val="21"/>
        </w:rPr>
        <w:t> </w:t>
      </w:r>
      <w:r>
        <w:rPr/>
        <w:t>For</w:t>
      </w:r>
      <w:r>
        <w:rPr>
          <w:spacing w:val="-11"/>
        </w:rPr>
        <w:t> </w:t>
      </w:r>
      <w:r>
        <w:rPr/>
        <w:t>example,</w:t>
      </w:r>
      <w:r>
        <w:rPr>
          <w:spacing w:val="-10"/>
        </w:rPr>
        <w:t> </w:t>
      </w:r>
      <w:r>
        <w:rPr/>
        <w:t>in</w:t>
      </w:r>
      <w:r>
        <w:rPr>
          <w:spacing w:val="-14"/>
        </w:rPr>
        <w:t> </w:t>
      </w:r>
      <w:r>
        <w:rPr/>
        <w:t>New</w:t>
      </w:r>
      <w:r>
        <w:rPr>
          <w:spacing w:val="-15"/>
        </w:rPr>
        <w:t> </w:t>
      </w:r>
      <w:r>
        <w:rPr/>
        <w:t>England,</w:t>
      </w:r>
      <w:r>
        <w:rPr>
          <w:spacing w:val="-14"/>
        </w:rPr>
        <w:t> </w:t>
      </w:r>
      <w:r>
        <w:rPr/>
        <w:t>the</w:t>
      </w:r>
      <w:r>
        <w:rPr>
          <w:spacing w:val="-15"/>
        </w:rPr>
        <w:t> </w:t>
      </w:r>
      <w:r>
        <w:rPr/>
        <w:t>impression</w:t>
      </w:r>
      <w:r>
        <w:rPr>
          <w:spacing w:val="-13"/>
        </w:rPr>
        <w:t> </w:t>
      </w:r>
      <w:r>
        <w:rPr/>
        <w:t>about</w:t>
      </w:r>
      <w:r>
        <w:rPr>
          <w:spacing w:val="-14"/>
        </w:rPr>
        <w:t> </w:t>
      </w:r>
      <w:r>
        <w:rPr/>
        <w:t>Mex</w:t>
      </w:r>
      <w:r>
        <w:rPr>
          <w:rFonts w:ascii="Calibri" w:hAnsi="Calibri" w:cs="Calibri" w:eastAsia="Calibri" w:hint="default"/>
        </w:rPr>
        <w:t>ico’s </w:t>
      </w:r>
      <w:r>
        <w:rPr/>
        <w:t>Caribbean</w:t>
      </w:r>
      <w:r>
        <w:rPr>
          <w:spacing w:val="-2"/>
        </w:rPr>
        <w:t> </w:t>
      </w:r>
      <w:r>
        <w:rPr/>
        <w:t>coast</w:t>
      </w:r>
      <w:r>
        <w:rPr>
          <w:spacing w:val="-4"/>
        </w:rPr>
        <w:t> </w:t>
      </w:r>
      <w:r>
        <w:rPr/>
        <w:t>has</w:t>
      </w:r>
      <w:r>
        <w:rPr>
          <w:spacing w:val="-4"/>
        </w:rPr>
        <w:t> </w:t>
      </w:r>
      <w:r>
        <w:rPr/>
        <w:t>decreased,</w:t>
      </w:r>
      <w:r>
        <w:rPr>
          <w:spacing w:val="-3"/>
        </w:rPr>
        <w:t> </w:t>
      </w:r>
      <w:r>
        <w:rPr/>
        <w:t>the</w:t>
      </w:r>
      <w:r>
        <w:rPr>
          <w:spacing w:val="-4"/>
        </w:rPr>
        <w:t> </w:t>
      </w:r>
      <w:r>
        <w:rPr/>
        <w:t>Bahamas</w:t>
      </w:r>
      <w:r>
        <w:rPr>
          <w:spacing w:val="-4"/>
        </w:rPr>
        <w:t> </w:t>
      </w:r>
      <w:r>
        <w:rPr/>
        <w:t>has</w:t>
      </w:r>
      <w:r>
        <w:rPr>
          <w:spacing w:val="-4"/>
        </w:rPr>
        <w:t> </w:t>
      </w:r>
      <w:r>
        <w:rPr/>
        <w:t>improved,</w:t>
      </w:r>
      <w:r>
        <w:rPr>
          <w:spacing w:val="-3"/>
        </w:rPr>
        <w:t> </w:t>
      </w:r>
      <w:r>
        <w:rPr/>
        <w:t>and</w:t>
      </w:r>
      <w:r>
        <w:rPr>
          <w:spacing w:val="-3"/>
        </w:rPr>
        <w:t> </w:t>
      </w:r>
      <w:r>
        <w:rPr/>
        <w:t>Aruba</w:t>
      </w:r>
      <w:r>
        <w:rPr>
          <w:spacing w:val="-5"/>
        </w:rPr>
        <w:t> </w:t>
      </w:r>
      <w:r>
        <w:rPr/>
        <w:t>has</w:t>
      </w:r>
      <w:r>
        <w:rPr>
          <w:spacing w:val="-4"/>
        </w:rPr>
        <w:t> </w:t>
      </w:r>
      <w:r>
        <w:rPr/>
        <w:t>remained</w:t>
      </w:r>
      <w:r>
        <w:rPr>
          <w:spacing w:val="-3"/>
        </w:rPr>
        <w:t> </w:t>
      </w:r>
      <w:r>
        <w:rPr/>
        <w:t>the</w:t>
      </w:r>
      <w:r>
        <w:rPr>
          <w:spacing w:val="-2"/>
        </w:rPr>
        <w:t> </w:t>
      </w:r>
      <w:r>
        <w:rPr/>
        <w:t>same.</w:t>
      </w:r>
    </w:p>
    <w:p>
      <w:pPr>
        <w:spacing w:line="240" w:lineRule="auto" w:before="2"/>
        <w:ind w:right="0"/>
        <w:rPr>
          <w:rFonts w:ascii="Calibri" w:hAnsi="Calibri" w:cs="Calibri" w:eastAsia="Calibri" w:hint="default"/>
          <w:sz w:val="20"/>
          <w:szCs w:val="20"/>
        </w:rPr>
      </w:pPr>
    </w:p>
    <w:p>
      <w:pPr>
        <w:pStyle w:val="BodyText"/>
        <w:spacing w:line="240" w:lineRule="auto"/>
        <w:ind w:right="1432"/>
        <w:jc w:val="both"/>
        <w:rPr>
          <w:rFonts w:ascii="Calibri" w:hAnsi="Calibri" w:cs="Calibri" w:eastAsia="Calibri" w:hint="default"/>
        </w:rPr>
      </w:pPr>
      <w:r>
        <w:rPr/>
        <w:t>Table 44 deciphers impressions about the top destinations in the potential four regions where Curaçao should seek a</w:t>
      </w:r>
      <w:r>
        <w:rPr>
          <w:spacing w:val="-11"/>
        </w:rPr>
        <w:t> </w:t>
      </w:r>
      <w:r>
        <w:rPr/>
        <w:t>more</w:t>
      </w:r>
      <w:r>
        <w:rPr>
          <w:spacing w:val="-12"/>
        </w:rPr>
        <w:t> </w:t>
      </w:r>
      <w:r>
        <w:rPr/>
        <w:t>prominent</w:t>
      </w:r>
      <w:r>
        <w:rPr>
          <w:spacing w:val="-11"/>
        </w:rPr>
        <w:t> </w:t>
      </w:r>
      <w:r>
        <w:rPr/>
        <w:t>competitive</w:t>
      </w:r>
      <w:r>
        <w:rPr>
          <w:spacing w:val="-12"/>
        </w:rPr>
        <w:t> </w:t>
      </w:r>
      <w:r>
        <w:rPr/>
        <w:t>position.</w:t>
      </w:r>
      <w:r>
        <w:rPr>
          <w:spacing w:val="-12"/>
        </w:rPr>
        <w:t> </w:t>
      </w:r>
      <w:r>
        <w:rPr/>
        <w:t>The</w:t>
      </w:r>
      <w:r>
        <w:rPr>
          <w:spacing w:val="-12"/>
        </w:rPr>
        <w:t> </w:t>
      </w:r>
      <w:r>
        <w:rPr/>
        <w:t>table</w:t>
      </w:r>
      <w:r>
        <w:rPr>
          <w:spacing w:val="-13"/>
        </w:rPr>
        <w:t> </w:t>
      </w:r>
      <w:r>
        <w:rPr/>
        <w:t>reveals</w:t>
      </w:r>
      <w:r>
        <w:rPr>
          <w:spacing w:val="-13"/>
        </w:rPr>
        <w:t> </w:t>
      </w:r>
      <w:r>
        <w:rPr/>
        <w:t>the</w:t>
      </w:r>
      <w:r>
        <w:rPr>
          <w:spacing w:val="-12"/>
        </w:rPr>
        <w:t> </w:t>
      </w:r>
      <w:r>
        <w:rPr/>
        <w:t>competitors</w:t>
      </w:r>
      <w:r>
        <w:rPr>
          <w:spacing w:val="-13"/>
        </w:rPr>
        <w:t> </w:t>
      </w:r>
      <w:r>
        <w:rPr/>
        <w:t>of</w:t>
      </w:r>
      <w:r>
        <w:rPr>
          <w:spacing w:val="-11"/>
        </w:rPr>
        <w:t> </w:t>
      </w:r>
      <w:r>
        <w:rPr/>
        <w:t>Curaçao</w:t>
      </w:r>
      <w:r>
        <w:rPr>
          <w:spacing w:val="-11"/>
        </w:rPr>
        <w:t> </w:t>
      </w:r>
      <w:r>
        <w:rPr/>
        <w:t>in</w:t>
      </w:r>
      <w:r>
        <w:rPr>
          <w:spacing w:val="-11"/>
        </w:rPr>
        <w:t> </w:t>
      </w:r>
      <w:r>
        <w:rPr/>
        <w:t>each</w:t>
      </w:r>
      <w:r>
        <w:rPr>
          <w:spacing w:val="-11"/>
        </w:rPr>
        <w:t> </w:t>
      </w:r>
      <w:r>
        <w:rPr/>
        <w:t>one</w:t>
      </w:r>
      <w:r>
        <w:rPr>
          <w:spacing w:val="-12"/>
        </w:rPr>
        <w:t> </w:t>
      </w:r>
      <w:r>
        <w:rPr/>
        <w:t>of</w:t>
      </w:r>
      <w:r>
        <w:rPr>
          <w:spacing w:val="-12"/>
        </w:rPr>
        <w:t> </w:t>
      </w:r>
      <w:r>
        <w:rPr/>
        <w:t>the</w:t>
      </w:r>
      <w:r>
        <w:rPr>
          <w:spacing w:val="-12"/>
        </w:rPr>
        <w:t> </w:t>
      </w:r>
      <w:r>
        <w:rPr/>
        <w:t>four</w:t>
      </w:r>
      <w:r>
        <w:rPr>
          <w:spacing w:val="-12"/>
        </w:rPr>
        <w:t> </w:t>
      </w:r>
      <w:r>
        <w:rPr/>
        <w:t>regions. </w:t>
      </w:r>
      <w:r>
        <w:rPr/>
        <w:t>In the New England region: the Bahamas, Bermuda, Cayman Islands, St. Maarten and Aruba are Curaçao</w:t>
      </w:r>
      <w:r>
        <w:rPr>
          <w:rFonts w:ascii="Calibri" w:hAnsi="Calibri" w:cs="Calibri" w:eastAsia="Calibri" w:hint="default"/>
        </w:rPr>
        <w:t>’s </w:t>
      </w:r>
      <w:r>
        <w:rPr/>
        <w:t>competitors, while for the Middle Atlantic region: the Bahamas, Aruba, and US Virgin Islands are the competitors. For</w:t>
      </w:r>
      <w:r>
        <w:rPr>
          <w:spacing w:val="-6"/>
        </w:rPr>
        <w:t> </w:t>
      </w:r>
      <w:r>
        <w:rPr/>
        <w:t>the</w:t>
      </w:r>
      <w:r>
        <w:rPr>
          <w:spacing w:val="-8"/>
        </w:rPr>
        <w:t> </w:t>
      </w:r>
      <w:r>
        <w:rPr/>
        <w:t>South</w:t>
      </w:r>
      <w:r>
        <w:rPr>
          <w:spacing w:val="-5"/>
        </w:rPr>
        <w:t> </w:t>
      </w:r>
      <w:r>
        <w:rPr/>
        <w:t>region:</w:t>
      </w:r>
      <w:r>
        <w:rPr>
          <w:spacing w:val="-7"/>
        </w:rPr>
        <w:t> </w:t>
      </w:r>
      <w:r>
        <w:rPr/>
        <w:t>the</w:t>
      </w:r>
      <w:r>
        <w:rPr>
          <w:spacing w:val="-5"/>
        </w:rPr>
        <w:t> </w:t>
      </w:r>
      <w:r>
        <w:rPr/>
        <w:t>Bahamas,</w:t>
      </w:r>
      <w:r>
        <w:rPr>
          <w:spacing w:val="-6"/>
        </w:rPr>
        <w:t> </w:t>
      </w:r>
      <w:r>
        <w:rPr/>
        <w:t>US</w:t>
      </w:r>
      <w:r>
        <w:rPr>
          <w:spacing w:val="-7"/>
        </w:rPr>
        <w:t> </w:t>
      </w:r>
      <w:r>
        <w:rPr/>
        <w:t>Virgin</w:t>
      </w:r>
      <w:r>
        <w:rPr>
          <w:spacing w:val="-6"/>
        </w:rPr>
        <w:t> </w:t>
      </w:r>
      <w:r>
        <w:rPr/>
        <w:t>Islands,</w:t>
      </w:r>
      <w:r>
        <w:rPr>
          <w:spacing w:val="-6"/>
        </w:rPr>
        <w:t> </w:t>
      </w:r>
      <w:r>
        <w:rPr/>
        <w:t>and</w:t>
      </w:r>
      <w:r>
        <w:rPr>
          <w:spacing w:val="-6"/>
        </w:rPr>
        <w:t> </w:t>
      </w:r>
      <w:r>
        <w:rPr/>
        <w:t>Jamaica</w:t>
      </w:r>
      <w:r>
        <w:rPr>
          <w:spacing w:val="-6"/>
        </w:rPr>
        <w:t> </w:t>
      </w:r>
      <w:r>
        <w:rPr/>
        <w:t>are</w:t>
      </w:r>
      <w:r>
        <w:rPr>
          <w:spacing w:val="-5"/>
        </w:rPr>
        <w:t> </w:t>
      </w:r>
      <w:r>
        <w:rPr/>
        <w:t>competitors,</w:t>
      </w:r>
      <w:r>
        <w:rPr>
          <w:spacing w:val="-1"/>
        </w:rPr>
        <w:t> </w:t>
      </w:r>
      <w:r>
        <w:rPr/>
        <w:t>while</w:t>
      </w:r>
      <w:r>
        <w:rPr>
          <w:spacing w:val="-6"/>
        </w:rPr>
        <w:t> </w:t>
      </w:r>
      <w:r>
        <w:rPr/>
        <w:t>in</w:t>
      </w:r>
      <w:r>
        <w:rPr>
          <w:spacing w:val="-6"/>
        </w:rPr>
        <w:t> </w:t>
      </w:r>
      <w:r>
        <w:rPr/>
        <w:t>the</w:t>
      </w:r>
      <w:r>
        <w:rPr>
          <w:spacing w:val="-8"/>
        </w:rPr>
        <w:t> </w:t>
      </w:r>
      <w:r>
        <w:rPr/>
        <w:t>Midwest</w:t>
      </w:r>
      <w:r>
        <w:rPr>
          <w:spacing w:val="-6"/>
        </w:rPr>
        <w:t> </w:t>
      </w:r>
      <w:r>
        <w:rPr/>
        <w:t>region:</w:t>
      </w:r>
      <w:r>
        <w:rPr>
          <w:spacing w:val="-7"/>
        </w:rPr>
        <w:t> </w:t>
      </w:r>
      <w:r>
        <w:rPr/>
        <w:t>the </w:t>
      </w:r>
      <w:r>
        <w:rPr/>
        <w:t>Bahamas and US Virgin Islands are Curaçao</w:t>
      </w:r>
      <w:r>
        <w:rPr>
          <w:rFonts w:ascii="Calibri" w:hAnsi="Calibri" w:cs="Calibri" w:eastAsia="Calibri" w:hint="default"/>
        </w:rPr>
        <w:t>’s</w:t>
      </w:r>
      <w:r>
        <w:rPr>
          <w:rFonts w:ascii="Calibri" w:hAnsi="Calibri" w:cs="Calibri" w:eastAsia="Calibri" w:hint="default"/>
          <w:spacing w:val="-21"/>
        </w:rPr>
        <w:t> </w:t>
      </w:r>
      <w:r>
        <w:rPr>
          <w:rFonts w:ascii="Calibri" w:hAnsi="Calibri" w:cs="Calibri" w:eastAsia="Calibri" w:hint="default"/>
        </w:rPr>
        <w:t>competitors.</w:t>
      </w:r>
    </w:p>
    <w:p>
      <w:pPr>
        <w:spacing w:after="0" w:line="240" w:lineRule="auto"/>
        <w:jc w:val="both"/>
        <w:rPr>
          <w:rFonts w:ascii="Calibri" w:hAnsi="Calibri" w:cs="Calibri" w:eastAsia="Calibri" w:hint="default"/>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Heading9"/>
        <w:spacing w:line="240" w:lineRule="auto" w:before="59"/>
        <w:ind w:right="26"/>
        <w:jc w:val="center"/>
        <w:rPr>
          <w:b w:val="0"/>
          <w:bCs w:val="0"/>
        </w:rPr>
      </w:pPr>
      <w:bookmarkStart w:name="_bookmark131" w:id="132"/>
      <w:bookmarkEnd w:id="132"/>
      <w:r>
        <w:rPr>
          <w:b w:val="0"/>
          <w:bCs w:val="0"/>
        </w:rPr>
      </w:r>
      <w:r>
        <w:rPr/>
        <w:t>Table 43:  Curaçao</w:t>
      </w:r>
      <w:r>
        <w:rPr>
          <w:rFonts w:ascii="Calibri" w:hAnsi="Calibri" w:cs="Calibri" w:eastAsia="Calibri" w:hint="default"/>
        </w:rPr>
        <w:t>’s </w:t>
      </w:r>
      <w:r>
        <w:rPr/>
        <w:t>US market</w:t>
      </w:r>
      <w:r>
        <w:rPr>
          <w:spacing w:val="-16"/>
        </w:rPr>
        <w:t> </w:t>
      </w:r>
      <w:r>
        <w:rPr/>
        <w:t>competitors</w:t>
      </w:r>
      <w:r>
        <w:rPr>
          <w:b w:val="0"/>
          <w:bCs w:val="0"/>
        </w:rPr>
      </w:r>
    </w:p>
    <w:p>
      <w:pPr>
        <w:tabs>
          <w:tab w:pos="6521" w:val="left" w:leader="none"/>
          <w:tab w:pos="9861" w:val="left" w:leader="none"/>
        </w:tabs>
        <w:spacing w:before="23" w:after="38"/>
        <w:ind w:left="4543" w:right="0" w:firstLine="0"/>
        <w:jc w:val="left"/>
        <w:rPr>
          <w:rFonts w:ascii="Calibri" w:hAnsi="Calibri" w:cs="Calibri" w:eastAsia="Calibri" w:hint="default"/>
          <w:sz w:val="16"/>
          <w:szCs w:val="16"/>
        </w:rPr>
      </w:pPr>
      <w:r>
        <w:rPr/>
        <w:pict>
          <v:group style="position:absolute;margin-left:228.32692pt;margin-top:23.491779pt;width:9.35pt;height:161.450pt;mso-position-horizontal-relative:page;mso-position-vertical-relative:paragraph;z-index:-451288" coordorigin="4567,470" coordsize="187,3229">
            <v:shape style="position:absolute;left:4567;top:470;width:186;height:174" type="#_x0000_t75" stroked="false">
              <v:imagedata r:id="rId60" o:title=""/>
            </v:shape>
            <v:shape style="position:absolute;left:4567;top:688;width:186;height:174" type="#_x0000_t75" stroked="false">
              <v:imagedata r:id="rId61" o:title=""/>
            </v:shape>
            <v:shape style="position:absolute;left:4567;top:906;width:186;height:174" type="#_x0000_t75" stroked="false">
              <v:imagedata r:id="rId62" o:title=""/>
            </v:shape>
            <v:shape style="position:absolute;left:4567;top:1124;width:186;height:174" type="#_x0000_t75" stroked="false">
              <v:imagedata r:id="rId60" o:title=""/>
            </v:shape>
            <v:shape style="position:absolute;left:4567;top:1342;width:186;height:174" type="#_x0000_t75" stroked="false">
              <v:imagedata r:id="rId60" o:title=""/>
            </v:shape>
            <v:shape style="position:absolute;left:4567;top:1561;width:186;height:174" type="#_x0000_t75" stroked="false">
              <v:imagedata r:id="rId62" o:title=""/>
            </v:shape>
            <v:shape style="position:absolute;left:4567;top:1779;width:186;height:174" type="#_x0000_t75" stroked="false">
              <v:imagedata r:id="rId60" o:title=""/>
            </v:shape>
            <v:shape style="position:absolute;left:4567;top:1997;width:186;height:174" type="#_x0000_t75" stroked="false">
              <v:imagedata r:id="rId60" o:title=""/>
            </v:shape>
            <v:shape style="position:absolute;left:4567;top:2215;width:186;height:174" type="#_x0000_t75" stroked="false">
              <v:imagedata r:id="rId61" o:title=""/>
            </v:shape>
            <v:shape style="position:absolute;left:4567;top:2433;width:186;height:174" type="#_x0000_t75" stroked="false">
              <v:imagedata r:id="rId61" o:title=""/>
            </v:shape>
            <v:shape style="position:absolute;left:4567;top:2651;width:186;height:174" type="#_x0000_t75" stroked="false">
              <v:imagedata r:id="rId60" o:title=""/>
            </v:shape>
            <v:shape style="position:absolute;left:4567;top:2869;width:186;height:175" type="#_x0000_t75" stroked="false">
              <v:imagedata r:id="rId61" o:title=""/>
            </v:shape>
            <v:shape style="position:absolute;left:4567;top:3088;width:186;height:174" type="#_x0000_t75" stroked="false">
              <v:imagedata r:id="rId62" o:title=""/>
            </v:shape>
            <v:shape style="position:absolute;left:4567;top:3306;width:186;height:175" type="#_x0000_t75" stroked="false">
              <v:imagedata r:id="rId61" o:title=""/>
            </v:shape>
            <v:shape style="position:absolute;left:4567;top:3524;width:186;height:174" type="#_x0000_t75" stroked="false">
              <v:imagedata r:id="rId61" o:title=""/>
            </v:shape>
            <w10:wrap type="none"/>
          </v:group>
        </w:pict>
      </w:r>
      <w:r>
        <w:rPr/>
        <w:pict>
          <v:group style="position:absolute;margin-left:283.018768pt;margin-top:23.491787pt;width:9.35pt;height:194.2pt;mso-position-horizontal-relative:page;mso-position-vertical-relative:paragraph;z-index:-451264" coordorigin="5660,470" coordsize="187,3884">
            <v:shape style="position:absolute;left:5660;top:470;width:186;height:174" type="#_x0000_t75" stroked="false">
              <v:imagedata r:id="rId60" o:title=""/>
            </v:shape>
            <v:shape style="position:absolute;left:5660;top:688;width:186;height:174" type="#_x0000_t75" stroked="false">
              <v:imagedata r:id="rId61" o:title=""/>
            </v:shape>
            <v:shape style="position:absolute;left:5660;top:906;width:186;height:174" type="#_x0000_t75" stroked="false">
              <v:imagedata r:id="rId62" o:title=""/>
            </v:shape>
            <v:shape style="position:absolute;left:5660;top:1124;width:186;height:174" type="#_x0000_t75" stroked="false">
              <v:imagedata r:id="rId60" o:title=""/>
            </v:shape>
            <v:shape style="position:absolute;left:5660;top:1342;width:186;height:174" type="#_x0000_t75" stroked="false">
              <v:imagedata r:id="rId62" o:title=""/>
            </v:shape>
            <v:shape style="position:absolute;left:5660;top:1561;width:186;height:174" type="#_x0000_t75" stroked="false">
              <v:imagedata r:id="rId61" o:title=""/>
            </v:shape>
            <v:shape style="position:absolute;left:5660;top:1779;width:186;height:174" type="#_x0000_t75" stroked="false">
              <v:imagedata r:id="rId60" o:title=""/>
            </v:shape>
            <v:shape style="position:absolute;left:5660;top:1997;width:186;height:174" type="#_x0000_t75" stroked="false">
              <v:imagedata r:id="rId61" o:title=""/>
            </v:shape>
            <v:shape style="position:absolute;left:5660;top:2215;width:186;height:174" type="#_x0000_t75" stroked="false">
              <v:imagedata r:id="rId62" o:title=""/>
            </v:shape>
            <v:shape style="position:absolute;left:5660;top:2433;width:186;height:174" type="#_x0000_t75" stroked="false">
              <v:imagedata r:id="rId60" o:title=""/>
            </v:shape>
            <v:shape style="position:absolute;left:5660;top:2651;width:186;height:174" type="#_x0000_t75" stroked="false">
              <v:imagedata r:id="rId62" o:title=""/>
            </v:shape>
            <v:shape style="position:absolute;left:5660;top:2869;width:186;height:175" type="#_x0000_t75" stroked="false">
              <v:imagedata r:id="rId61" o:title=""/>
            </v:shape>
            <v:shape style="position:absolute;left:5660;top:3088;width:186;height:174" type="#_x0000_t75" stroked="false">
              <v:imagedata r:id="rId61" o:title=""/>
            </v:shape>
            <v:shape style="position:absolute;left:5660;top:3306;width:186;height:175" type="#_x0000_t75" stroked="false">
              <v:imagedata r:id="rId61" o:title=""/>
            </v:shape>
            <v:shape style="position:absolute;left:5660;top:3524;width:186;height:174" type="#_x0000_t75" stroked="false">
              <v:imagedata r:id="rId61" o:title=""/>
            </v:shape>
            <v:shape style="position:absolute;left:5660;top:3742;width:186;height:175" type="#_x0000_t75" stroked="false">
              <v:imagedata r:id="rId61" o:title=""/>
            </v:shape>
            <v:shape style="position:absolute;left:5660;top:3960;width:186;height:174" type="#_x0000_t75" stroked="false">
              <v:imagedata r:id="rId62" o:title=""/>
            </v:shape>
            <v:shape style="position:absolute;left:5660;top:4178;width:186;height:175" type="#_x0000_t75" stroked="false">
              <v:imagedata r:id="rId62" o:title=""/>
            </v:shape>
            <w10:wrap type="none"/>
          </v:group>
        </w:pict>
      </w:r>
      <w:r>
        <w:rPr/>
        <w:pict>
          <v:group style="position:absolute;margin-left:348.788422pt;margin-top:23.491796pt;width:9.3pt;height:194.2pt;mso-position-horizontal-relative:page;mso-position-vertical-relative:paragraph;z-index:-451240" coordorigin="6976,470" coordsize="186,3884">
            <v:shape style="position:absolute;left:6976;top:470;width:186;height:174" type="#_x0000_t75" stroked="false">
              <v:imagedata r:id="rId60" o:title=""/>
            </v:shape>
            <v:shape style="position:absolute;left:6976;top:688;width:186;height:174" type="#_x0000_t75" stroked="false">
              <v:imagedata r:id="rId61" o:title=""/>
            </v:shape>
            <v:shape style="position:absolute;left:6976;top:906;width:186;height:174" type="#_x0000_t75" stroked="false">
              <v:imagedata r:id="rId60" o:title=""/>
            </v:shape>
            <v:shape style="position:absolute;left:6976;top:1124;width:186;height:174" type="#_x0000_t75" stroked="false">
              <v:imagedata r:id="rId60" o:title=""/>
            </v:shape>
            <v:shape style="position:absolute;left:6976;top:1342;width:186;height:174" type="#_x0000_t75" stroked="false">
              <v:imagedata r:id="rId61" o:title=""/>
            </v:shape>
            <v:shape style="position:absolute;left:6976;top:1561;width:186;height:174" type="#_x0000_t75" stroked="false">
              <v:imagedata r:id="rId61" o:title=""/>
            </v:shape>
            <v:shape style="position:absolute;left:6976;top:1779;width:186;height:174" type="#_x0000_t75" stroked="false">
              <v:imagedata r:id="rId60" o:title=""/>
            </v:shape>
            <v:shape style="position:absolute;left:6976;top:1997;width:186;height:174" type="#_x0000_t75" stroked="false">
              <v:imagedata r:id="rId61" o:title=""/>
            </v:shape>
            <v:shape style="position:absolute;left:6976;top:2215;width:186;height:174" type="#_x0000_t75" stroked="false">
              <v:imagedata r:id="rId61" o:title=""/>
            </v:shape>
            <v:shape style="position:absolute;left:6976;top:2433;width:186;height:174" type="#_x0000_t75" stroked="false">
              <v:imagedata r:id="rId61" o:title=""/>
            </v:shape>
            <v:shape style="position:absolute;left:6976;top:2651;width:186;height:174" type="#_x0000_t75" stroked="false">
              <v:imagedata r:id="rId61" o:title=""/>
            </v:shape>
            <v:shape style="position:absolute;left:6976;top:2869;width:186;height:175" type="#_x0000_t75" stroked="false">
              <v:imagedata r:id="rId61" o:title=""/>
            </v:shape>
            <v:shape style="position:absolute;left:6976;top:3088;width:186;height:174" type="#_x0000_t75" stroked="false">
              <v:imagedata r:id="rId62" o:title=""/>
            </v:shape>
            <v:shape style="position:absolute;left:6976;top:3306;width:186;height:175" type="#_x0000_t75" stroked="false">
              <v:imagedata r:id="rId61" o:title=""/>
            </v:shape>
            <v:shape style="position:absolute;left:6976;top:3524;width:186;height:174" type="#_x0000_t75" stroked="false">
              <v:imagedata r:id="rId62" o:title=""/>
            </v:shape>
            <v:shape style="position:absolute;left:6976;top:3742;width:186;height:175" type="#_x0000_t75" stroked="false">
              <v:imagedata r:id="rId61" o:title=""/>
            </v:shape>
            <v:shape style="position:absolute;left:6976;top:3960;width:186;height:174" type="#_x0000_t75" stroked="false">
              <v:imagedata r:id="rId62" o:title=""/>
            </v:shape>
            <v:shape style="position:absolute;left:6976;top:4178;width:186;height:175" type="#_x0000_t75" stroked="false">
              <v:imagedata r:id="rId62" o:title=""/>
            </v:shape>
            <w10:wrap type="none"/>
          </v:group>
        </w:pict>
      </w:r>
      <w:r>
        <w:rPr/>
        <w:pict>
          <v:group style="position:absolute;margin-left:376.707611pt;margin-top:23.4918pt;width:9.35pt;height:194.2pt;mso-position-horizontal-relative:page;mso-position-vertical-relative:paragraph;z-index:-451216" coordorigin="7534,470" coordsize="187,3884">
            <v:shape style="position:absolute;left:7534;top:470;width:186;height:174" type="#_x0000_t75" stroked="false">
              <v:imagedata r:id="rId60" o:title=""/>
            </v:shape>
            <v:shape style="position:absolute;left:7534;top:688;width:186;height:174" type="#_x0000_t75" stroked="false">
              <v:imagedata r:id="rId61" o:title=""/>
            </v:shape>
            <v:shape style="position:absolute;left:7534;top:906;width:186;height:174" type="#_x0000_t75" stroked="false">
              <v:imagedata r:id="rId60" o:title=""/>
            </v:shape>
            <v:shape style="position:absolute;left:7534;top:1124;width:186;height:174" type="#_x0000_t75" stroked="false">
              <v:imagedata r:id="rId60" o:title=""/>
            </v:shape>
            <v:shape style="position:absolute;left:7534;top:1342;width:186;height:174" type="#_x0000_t75" stroked="false">
              <v:imagedata r:id="rId60" o:title=""/>
            </v:shape>
            <v:shape style="position:absolute;left:7534;top:1561;width:186;height:174" type="#_x0000_t75" stroked="false">
              <v:imagedata r:id="rId61" o:title=""/>
            </v:shape>
            <v:shape style="position:absolute;left:7534;top:1779;width:186;height:174" type="#_x0000_t75" stroked="false">
              <v:imagedata r:id="rId60" o:title=""/>
            </v:shape>
            <v:shape style="position:absolute;left:7534;top:1997;width:186;height:174" type="#_x0000_t75" stroked="false">
              <v:imagedata r:id="rId61" o:title=""/>
            </v:shape>
            <v:shape style="position:absolute;left:7534;top:2215;width:186;height:174" type="#_x0000_t75" stroked="false">
              <v:imagedata r:id="rId61" o:title=""/>
            </v:shape>
            <v:shape style="position:absolute;left:7534;top:2433;width:186;height:174" type="#_x0000_t75" stroked="false">
              <v:imagedata r:id="rId61" o:title=""/>
            </v:shape>
            <v:shape style="position:absolute;left:7534;top:2651;width:186;height:174" type="#_x0000_t75" stroked="false">
              <v:imagedata r:id="rId62" o:title=""/>
            </v:shape>
            <v:shape style="position:absolute;left:7534;top:2869;width:186;height:175" type="#_x0000_t75" stroked="false">
              <v:imagedata r:id="rId60" o:title=""/>
            </v:shape>
            <v:shape style="position:absolute;left:7534;top:3088;width:186;height:174" type="#_x0000_t75" stroked="false">
              <v:imagedata r:id="rId61" o:title=""/>
            </v:shape>
            <v:shape style="position:absolute;left:7534;top:3306;width:186;height:175" type="#_x0000_t75" stroked="false">
              <v:imagedata r:id="rId61" o:title=""/>
            </v:shape>
            <v:shape style="position:absolute;left:7534;top:3524;width:186;height:174" type="#_x0000_t75" stroked="false">
              <v:imagedata r:id="rId62" o:title=""/>
            </v:shape>
            <v:shape style="position:absolute;left:7534;top:3742;width:186;height:175" type="#_x0000_t75" stroked="false">
              <v:imagedata r:id="rId60" o:title=""/>
            </v:shape>
            <v:shape style="position:absolute;left:7534;top:3960;width:186;height:174" type="#_x0000_t75" stroked="false">
              <v:imagedata r:id="rId61" o:title=""/>
            </v:shape>
            <v:shape style="position:absolute;left:7534;top:4178;width:186;height:175" type="#_x0000_t75" stroked="false">
              <v:imagedata r:id="rId61" o:title=""/>
            </v:shape>
            <w10:wrap type="none"/>
          </v:group>
        </w:pict>
      </w:r>
      <w:r>
        <w:rPr/>
        <w:pict>
          <v:group style="position:absolute;margin-left:415.696838pt;margin-top:23.491806pt;width:9.35pt;height:183.25pt;mso-position-horizontal-relative:page;mso-position-vertical-relative:paragraph;z-index:-451192" coordorigin="8314,470" coordsize="187,3665">
            <v:shape style="position:absolute;left:8314;top:470;width:186;height:174" type="#_x0000_t75" stroked="false">
              <v:imagedata r:id="rId62" o:title=""/>
            </v:shape>
            <v:shape style="position:absolute;left:8314;top:688;width:186;height:174" type="#_x0000_t75" stroked="false">
              <v:imagedata r:id="rId62" o:title=""/>
            </v:shape>
            <v:shape style="position:absolute;left:8314;top:906;width:186;height:174" type="#_x0000_t75" stroked="false">
              <v:imagedata r:id="rId60" o:title=""/>
            </v:shape>
            <v:shape style="position:absolute;left:8314;top:1124;width:186;height:174" type="#_x0000_t75" stroked="false">
              <v:imagedata r:id="rId60" o:title=""/>
            </v:shape>
            <v:shape style="position:absolute;left:8314;top:1342;width:186;height:174" type="#_x0000_t75" stroked="false">
              <v:imagedata r:id="rId62" o:title=""/>
            </v:shape>
            <v:shape style="position:absolute;left:8314;top:1561;width:186;height:174" type="#_x0000_t75" stroked="false">
              <v:imagedata r:id="rId61" o:title=""/>
            </v:shape>
            <v:shape style="position:absolute;left:8314;top:1779;width:186;height:174" type="#_x0000_t75" stroked="false">
              <v:imagedata r:id="rId60" o:title=""/>
            </v:shape>
            <v:shape style="position:absolute;left:8314;top:1997;width:186;height:174" type="#_x0000_t75" stroked="false">
              <v:imagedata r:id="rId61" o:title=""/>
            </v:shape>
            <v:shape style="position:absolute;left:8314;top:2215;width:186;height:174" type="#_x0000_t75" stroked="false">
              <v:imagedata r:id="rId61" o:title=""/>
            </v:shape>
            <v:shape style="position:absolute;left:8314;top:2433;width:186;height:174" type="#_x0000_t75" stroked="false">
              <v:imagedata r:id="rId60" o:title=""/>
            </v:shape>
            <v:shape style="position:absolute;left:8314;top:2651;width:186;height:174" type="#_x0000_t75" stroked="false">
              <v:imagedata r:id="rId61" o:title=""/>
            </v:shape>
            <v:shape style="position:absolute;left:8314;top:2869;width:186;height:175" type="#_x0000_t75" stroked="false">
              <v:imagedata r:id="rId61" o:title=""/>
            </v:shape>
            <v:shape style="position:absolute;left:8314;top:3088;width:186;height:174" type="#_x0000_t75" stroked="false">
              <v:imagedata r:id="rId61" o:title=""/>
            </v:shape>
            <v:shape style="position:absolute;left:8314;top:3306;width:186;height:175" type="#_x0000_t75" stroked="false">
              <v:imagedata r:id="rId61" o:title=""/>
            </v:shape>
            <v:shape style="position:absolute;left:8314;top:3524;width:186;height:174" type="#_x0000_t75" stroked="false">
              <v:imagedata r:id="rId60" o:title=""/>
            </v:shape>
            <v:shape style="position:absolute;left:8314;top:3742;width:186;height:175" type="#_x0000_t75" stroked="false">
              <v:imagedata r:id="rId61" o:title=""/>
            </v:shape>
            <v:shape style="position:absolute;left:8314;top:3960;width:186;height:174" type="#_x0000_t75" stroked="false">
              <v:imagedata r:id="rId61" o:title=""/>
            </v:shape>
            <w10:wrap type="none"/>
          </v:group>
        </w:pict>
      </w:r>
      <w:r>
        <w:rPr/>
        <w:pict>
          <v:group style="position:absolute;margin-left:464.578644pt;margin-top:23.491814pt;width:9.35pt;height:194.2pt;mso-position-horizontal-relative:page;mso-position-vertical-relative:paragraph;z-index:-451168" coordorigin="9292,470" coordsize="187,3884">
            <v:shape style="position:absolute;left:9292;top:470;width:186;height:174" type="#_x0000_t75" stroked="false">
              <v:imagedata r:id="rId60" o:title=""/>
            </v:shape>
            <v:shape style="position:absolute;left:9292;top:688;width:186;height:174" type="#_x0000_t75" stroked="false">
              <v:imagedata r:id="rId61" o:title=""/>
            </v:shape>
            <v:shape style="position:absolute;left:9292;top:906;width:186;height:174" type="#_x0000_t75" stroked="false">
              <v:imagedata r:id="rId60" o:title=""/>
            </v:shape>
            <v:shape style="position:absolute;left:9292;top:1124;width:186;height:174" type="#_x0000_t75" stroked="false">
              <v:imagedata r:id="rId60" o:title=""/>
            </v:shape>
            <v:shape style="position:absolute;left:9292;top:1342;width:186;height:174" type="#_x0000_t75" stroked="false">
              <v:imagedata r:id="rId62" o:title=""/>
            </v:shape>
            <v:shape style="position:absolute;left:9292;top:1561;width:186;height:174" type="#_x0000_t75" stroked="false">
              <v:imagedata r:id="rId61" o:title=""/>
            </v:shape>
            <v:shape style="position:absolute;left:9292;top:1779;width:186;height:174" type="#_x0000_t75" stroked="false">
              <v:imagedata r:id="rId60" o:title=""/>
            </v:shape>
            <v:shape style="position:absolute;left:9292;top:1997;width:186;height:174" type="#_x0000_t75" stroked="false">
              <v:imagedata r:id="rId61" o:title=""/>
            </v:shape>
            <v:shape style="position:absolute;left:9292;top:2215;width:186;height:174" type="#_x0000_t75" stroked="false">
              <v:imagedata r:id="rId61" o:title=""/>
            </v:shape>
            <v:shape style="position:absolute;left:9292;top:2433;width:186;height:174" type="#_x0000_t75" stroked="false">
              <v:imagedata r:id="rId61" o:title=""/>
            </v:shape>
            <v:shape style="position:absolute;left:9292;top:2651;width:186;height:174" type="#_x0000_t75" stroked="false">
              <v:imagedata r:id="rId61" o:title=""/>
            </v:shape>
            <v:shape style="position:absolute;left:9292;top:2869;width:186;height:175" type="#_x0000_t75" stroked="false">
              <v:imagedata r:id="rId60" o:title=""/>
            </v:shape>
            <v:shape style="position:absolute;left:9292;top:3088;width:186;height:174" type="#_x0000_t75" stroked="false">
              <v:imagedata r:id="rId61" o:title=""/>
            </v:shape>
            <v:shape style="position:absolute;left:9292;top:3306;width:186;height:175" type="#_x0000_t75" stroked="false">
              <v:imagedata r:id="rId60" o:title=""/>
            </v:shape>
            <v:shape style="position:absolute;left:9292;top:3524;width:186;height:174" type="#_x0000_t75" stroked="false">
              <v:imagedata r:id="rId61" o:title=""/>
            </v:shape>
            <v:shape style="position:absolute;left:9292;top:3742;width:186;height:175" type="#_x0000_t75" stroked="false">
              <v:imagedata r:id="rId62" o:title=""/>
            </v:shape>
            <v:shape style="position:absolute;left:9292;top:3960;width:186;height:174" type="#_x0000_t75" stroked="false">
              <v:imagedata r:id="rId61" o:title=""/>
            </v:shape>
            <v:shape style="position:absolute;left:9292;top:4178;width:186;height:175" type="#_x0000_t75" stroked="false">
              <v:imagedata r:id="rId61" o:title=""/>
            </v:shape>
            <w10:wrap type="none"/>
          </v:group>
        </w:pict>
      </w:r>
      <w:r>
        <w:rPr>
          <w:rFonts w:ascii="Calibri"/>
          <w:b/>
          <w:w w:val="109"/>
          <w:sz w:val="16"/>
        </w:rPr>
      </w:r>
      <w:r>
        <w:rPr>
          <w:rFonts w:ascii="Calibri"/>
          <w:b/>
          <w:w w:val="109"/>
          <w:sz w:val="16"/>
          <w:u w:val="single" w:color="000000"/>
        </w:rPr>
        <w:t> </w:t>
      </w:r>
      <w:r>
        <w:rPr>
          <w:rFonts w:ascii="Calibri"/>
          <w:b/>
          <w:sz w:val="16"/>
          <w:u w:val="single" w:color="000000"/>
        </w:rPr>
        <w:tab/>
      </w:r>
      <w:r>
        <w:rPr>
          <w:rFonts w:ascii="Calibri"/>
          <w:b/>
          <w:spacing w:val="-3"/>
          <w:w w:val="110"/>
          <w:sz w:val="16"/>
          <w:u w:val="single" w:color="000000"/>
        </w:rPr>
        <w:t>Rank </w:t>
      </w:r>
      <w:r>
        <w:rPr>
          <w:rFonts w:ascii="Calibri"/>
          <w:b/>
          <w:w w:val="110"/>
          <w:sz w:val="16"/>
          <w:u w:val="single" w:color="000000"/>
        </w:rPr>
        <w:t>in US</w:t>
      </w:r>
      <w:r>
        <w:rPr>
          <w:rFonts w:ascii="Calibri"/>
          <w:b/>
          <w:spacing w:val="-26"/>
          <w:w w:val="110"/>
          <w:sz w:val="16"/>
          <w:u w:val="single" w:color="000000"/>
        </w:rPr>
        <w:t> </w:t>
      </w:r>
      <w:r>
        <w:rPr>
          <w:rFonts w:ascii="Calibri"/>
          <w:b/>
          <w:w w:val="110"/>
          <w:sz w:val="16"/>
          <w:u w:val="single" w:color="000000"/>
        </w:rPr>
        <w:t>Regions</w:t>
      </w:r>
      <w:r>
        <w:rPr>
          <w:rFonts w:ascii="Calibri"/>
          <w:b/>
          <w:sz w:val="16"/>
          <w:u w:val="single" w:color="000000"/>
        </w:rPr>
        <w:tab/>
      </w:r>
      <w:r>
        <w:rPr>
          <w:rFonts w:ascii="Calibri"/>
          <w:b/>
          <w:sz w:val="16"/>
        </w:rPr>
      </w:r>
      <w:r>
        <w:rPr>
          <w:rFonts w:ascii="Calibri"/>
          <w:sz w:val="16"/>
        </w:rPr>
      </w:r>
    </w:p>
    <w:tbl>
      <w:tblPr>
        <w:tblW w:w="0" w:type="auto"/>
        <w:jc w:val="left"/>
        <w:tblInd w:w="2378" w:type="dxa"/>
        <w:tblLayout w:type="fixed"/>
        <w:tblCellMar>
          <w:top w:w="0" w:type="dxa"/>
          <w:left w:w="0" w:type="dxa"/>
          <w:bottom w:w="0" w:type="dxa"/>
          <w:right w:w="0" w:type="dxa"/>
        </w:tblCellMar>
        <w:tblLook w:val="01E0"/>
      </w:tblPr>
      <w:tblGrid>
        <w:gridCol w:w="2046"/>
        <w:gridCol w:w="1230"/>
        <w:gridCol w:w="1293"/>
        <w:gridCol w:w="575"/>
        <w:gridCol w:w="798"/>
        <w:gridCol w:w="954"/>
        <w:gridCol w:w="587"/>
      </w:tblGrid>
      <w:tr>
        <w:trPr>
          <w:trHeight w:val="186" w:hRule="exact"/>
        </w:trPr>
        <w:tc>
          <w:tcPr>
            <w:tcW w:w="2046" w:type="dxa"/>
            <w:tcBorders>
              <w:top w:val="nil" w:sz="6" w:space="0" w:color="auto"/>
              <w:left w:val="nil" w:sz="6" w:space="0" w:color="auto"/>
              <w:bottom w:val="single" w:sz="4" w:space="0" w:color="000000"/>
              <w:right w:val="nil" w:sz="6" w:space="0" w:color="auto"/>
            </w:tcBorders>
          </w:tcPr>
          <w:p>
            <w:pPr>
              <w:pStyle w:val="TableParagraph"/>
              <w:spacing w:line="180" w:lineRule="exact"/>
              <w:ind w:left="675" w:right="0"/>
              <w:jc w:val="left"/>
              <w:rPr>
                <w:rFonts w:ascii="Calibri" w:hAnsi="Calibri" w:cs="Calibri" w:eastAsia="Calibri" w:hint="default"/>
                <w:sz w:val="16"/>
                <w:szCs w:val="16"/>
              </w:rPr>
            </w:pPr>
            <w:r>
              <w:rPr>
                <w:rFonts w:ascii="Calibri"/>
                <w:b/>
                <w:w w:val="110"/>
                <w:sz w:val="16"/>
              </w:rPr>
              <w:t>Destination</w:t>
            </w:r>
            <w:r>
              <w:rPr>
                <w:rFonts w:ascii="Calibri"/>
                <w:sz w:val="16"/>
              </w:rPr>
            </w:r>
          </w:p>
        </w:tc>
        <w:tc>
          <w:tcPr>
            <w:tcW w:w="1230" w:type="dxa"/>
            <w:tcBorders>
              <w:top w:val="nil" w:sz="6" w:space="0" w:color="auto"/>
              <w:left w:val="nil" w:sz="6" w:space="0" w:color="auto"/>
              <w:bottom w:val="single" w:sz="4" w:space="0" w:color="000000"/>
              <w:right w:val="nil" w:sz="6" w:space="0" w:color="auto"/>
            </w:tcBorders>
          </w:tcPr>
          <w:p>
            <w:pPr>
              <w:pStyle w:val="TableParagraph"/>
              <w:spacing w:line="180" w:lineRule="exact"/>
              <w:ind w:left="112" w:right="0"/>
              <w:jc w:val="center"/>
              <w:rPr>
                <w:rFonts w:ascii="Calibri" w:hAnsi="Calibri" w:cs="Calibri" w:eastAsia="Calibri" w:hint="default"/>
                <w:sz w:val="16"/>
                <w:szCs w:val="16"/>
              </w:rPr>
            </w:pPr>
            <w:r>
              <w:rPr>
                <w:rFonts w:ascii="Calibri"/>
                <w:b/>
                <w:w w:val="110"/>
                <w:sz w:val="16"/>
              </w:rPr>
              <w:t>New</w:t>
            </w:r>
            <w:r>
              <w:rPr>
                <w:rFonts w:ascii="Calibri"/>
                <w:b/>
                <w:spacing w:val="-20"/>
                <w:w w:val="110"/>
                <w:sz w:val="16"/>
              </w:rPr>
              <w:t> </w:t>
            </w:r>
            <w:r>
              <w:rPr>
                <w:rFonts w:ascii="Calibri"/>
                <w:b/>
                <w:w w:val="110"/>
                <w:sz w:val="16"/>
              </w:rPr>
              <w:t>England</w:t>
            </w:r>
            <w:r>
              <w:rPr>
                <w:rFonts w:ascii="Calibri"/>
                <w:sz w:val="16"/>
              </w:rPr>
            </w:r>
          </w:p>
        </w:tc>
        <w:tc>
          <w:tcPr>
            <w:tcW w:w="1293" w:type="dxa"/>
            <w:tcBorders>
              <w:top w:val="nil" w:sz="6" w:space="0" w:color="auto"/>
              <w:left w:val="nil" w:sz="6" w:space="0" w:color="auto"/>
              <w:bottom w:val="single" w:sz="4" w:space="0" w:color="000000"/>
              <w:right w:val="nil" w:sz="6" w:space="0" w:color="auto"/>
            </w:tcBorders>
          </w:tcPr>
          <w:p>
            <w:pPr>
              <w:pStyle w:val="TableParagraph"/>
              <w:spacing w:line="180" w:lineRule="exact"/>
              <w:ind w:right="0"/>
              <w:jc w:val="center"/>
              <w:rPr>
                <w:rFonts w:ascii="Calibri" w:hAnsi="Calibri" w:cs="Calibri" w:eastAsia="Calibri" w:hint="default"/>
                <w:sz w:val="16"/>
                <w:szCs w:val="16"/>
              </w:rPr>
            </w:pPr>
            <w:r>
              <w:rPr>
                <w:rFonts w:ascii="Calibri"/>
                <w:b/>
                <w:w w:val="110"/>
                <w:sz w:val="16"/>
              </w:rPr>
              <w:t>Middle</w:t>
            </w:r>
            <w:r>
              <w:rPr>
                <w:rFonts w:ascii="Calibri"/>
                <w:b/>
                <w:spacing w:val="-15"/>
                <w:w w:val="110"/>
                <w:sz w:val="16"/>
              </w:rPr>
              <w:t> </w:t>
            </w:r>
            <w:r>
              <w:rPr>
                <w:rFonts w:ascii="Calibri"/>
                <w:b/>
                <w:w w:val="110"/>
                <w:sz w:val="16"/>
              </w:rPr>
              <w:t>Atlantic</w:t>
            </w:r>
            <w:r>
              <w:rPr>
                <w:rFonts w:ascii="Calibri"/>
                <w:sz w:val="16"/>
              </w:rPr>
            </w:r>
          </w:p>
        </w:tc>
        <w:tc>
          <w:tcPr>
            <w:tcW w:w="575" w:type="dxa"/>
            <w:tcBorders>
              <w:top w:val="nil" w:sz="6" w:space="0" w:color="auto"/>
              <w:left w:val="nil" w:sz="6" w:space="0" w:color="auto"/>
              <w:bottom w:val="single" w:sz="4" w:space="0" w:color="000000"/>
              <w:right w:val="nil" w:sz="6" w:space="0" w:color="auto"/>
            </w:tcBorders>
          </w:tcPr>
          <w:p>
            <w:pPr>
              <w:pStyle w:val="TableParagraph"/>
              <w:spacing w:line="180" w:lineRule="exact"/>
              <w:ind w:left="17" w:right="0"/>
              <w:jc w:val="center"/>
              <w:rPr>
                <w:rFonts w:ascii="Calibri" w:hAnsi="Calibri" w:cs="Calibri" w:eastAsia="Calibri" w:hint="default"/>
                <w:sz w:val="16"/>
                <w:szCs w:val="16"/>
              </w:rPr>
            </w:pPr>
            <w:r>
              <w:rPr>
                <w:rFonts w:ascii="Calibri"/>
                <w:b/>
                <w:w w:val="110"/>
                <w:sz w:val="16"/>
              </w:rPr>
              <w:t>South</w:t>
            </w:r>
            <w:r>
              <w:rPr>
                <w:rFonts w:ascii="Calibri"/>
                <w:sz w:val="16"/>
              </w:rPr>
            </w:r>
          </w:p>
        </w:tc>
        <w:tc>
          <w:tcPr>
            <w:tcW w:w="798" w:type="dxa"/>
            <w:tcBorders>
              <w:top w:val="nil" w:sz="6" w:space="0" w:color="auto"/>
              <w:left w:val="nil" w:sz="6" w:space="0" w:color="auto"/>
              <w:bottom w:val="single" w:sz="4" w:space="0" w:color="000000"/>
              <w:right w:val="nil" w:sz="6" w:space="0" w:color="auto"/>
            </w:tcBorders>
          </w:tcPr>
          <w:p>
            <w:pPr>
              <w:pStyle w:val="TableParagraph"/>
              <w:spacing w:line="180" w:lineRule="exact"/>
              <w:ind w:right="16"/>
              <w:jc w:val="center"/>
              <w:rPr>
                <w:rFonts w:ascii="Calibri" w:hAnsi="Calibri" w:cs="Calibri" w:eastAsia="Calibri" w:hint="default"/>
                <w:sz w:val="16"/>
                <w:szCs w:val="16"/>
              </w:rPr>
            </w:pPr>
            <w:r>
              <w:rPr>
                <w:rFonts w:ascii="Calibri"/>
                <w:b/>
                <w:w w:val="110"/>
                <w:sz w:val="16"/>
              </w:rPr>
              <w:t>Midwest</w:t>
            </w:r>
            <w:r>
              <w:rPr>
                <w:rFonts w:ascii="Calibri"/>
                <w:sz w:val="16"/>
              </w:rPr>
            </w:r>
          </w:p>
        </w:tc>
        <w:tc>
          <w:tcPr>
            <w:tcW w:w="954" w:type="dxa"/>
            <w:tcBorders>
              <w:top w:val="nil" w:sz="6" w:space="0" w:color="auto"/>
              <w:left w:val="nil" w:sz="6" w:space="0" w:color="auto"/>
              <w:bottom w:val="single" w:sz="4" w:space="0" w:color="000000"/>
              <w:right w:val="nil" w:sz="6" w:space="0" w:color="auto"/>
            </w:tcBorders>
          </w:tcPr>
          <w:p>
            <w:pPr>
              <w:pStyle w:val="TableParagraph"/>
              <w:spacing w:line="180" w:lineRule="exact"/>
              <w:ind w:right="9"/>
              <w:jc w:val="center"/>
              <w:rPr>
                <w:rFonts w:ascii="Calibri" w:hAnsi="Calibri" w:cs="Calibri" w:eastAsia="Calibri" w:hint="default"/>
                <w:sz w:val="16"/>
                <w:szCs w:val="16"/>
              </w:rPr>
            </w:pPr>
            <w:r>
              <w:rPr>
                <w:rFonts w:ascii="Calibri"/>
                <w:b/>
                <w:w w:val="110"/>
                <w:sz w:val="16"/>
              </w:rPr>
              <w:t>Southwest</w:t>
            </w:r>
            <w:r>
              <w:rPr>
                <w:rFonts w:ascii="Calibri"/>
                <w:sz w:val="16"/>
              </w:rPr>
            </w:r>
          </w:p>
        </w:tc>
        <w:tc>
          <w:tcPr>
            <w:tcW w:w="587" w:type="dxa"/>
            <w:tcBorders>
              <w:top w:val="nil" w:sz="6" w:space="0" w:color="auto"/>
              <w:left w:val="nil" w:sz="6" w:space="0" w:color="auto"/>
              <w:bottom w:val="single" w:sz="4" w:space="0" w:color="000000"/>
              <w:right w:val="nil" w:sz="6" w:space="0" w:color="auto"/>
            </w:tcBorders>
          </w:tcPr>
          <w:p>
            <w:pPr>
              <w:pStyle w:val="TableParagraph"/>
              <w:spacing w:line="180" w:lineRule="exact"/>
              <w:ind w:right="3"/>
              <w:jc w:val="center"/>
              <w:rPr>
                <w:rFonts w:ascii="Calibri" w:hAnsi="Calibri" w:cs="Calibri" w:eastAsia="Calibri" w:hint="default"/>
                <w:sz w:val="16"/>
                <w:szCs w:val="16"/>
              </w:rPr>
            </w:pPr>
            <w:r>
              <w:rPr>
                <w:rFonts w:ascii="Calibri"/>
                <w:b/>
                <w:w w:val="110"/>
                <w:sz w:val="16"/>
              </w:rPr>
              <w:t>West</w:t>
            </w:r>
            <w:r>
              <w:rPr>
                <w:rFonts w:ascii="Calibri"/>
                <w:sz w:val="16"/>
              </w:rPr>
            </w:r>
          </w:p>
        </w:tc>
      </w:tr>
      <w:tr>
        <w:trPr>
          <w:trHeight w:val="237" w:hRule="exact"/>
        </w:trPr>
        <w:tc>
          <w:tcPr>
            <w:tcW w:w="2046" w:type="dxa"/>
            <w:tcBorders>
              <w:top w:val="single" w:sz="4" w:space="0" w:color="000000"/>
              <w:left w:val="nil" w:sz="6" w:space="0" w:color="auto"/>
              <w:bottom w:val="nil" w:sz="6" w:space="0" w:color="auto"/>
              <w:right w:val="nil" w:sz="6" w:space="0" w:color="auto"/>
            </w:tcBorders>
          </w:tcPr>
          <w:p>
            <w:pPr>
              <w:pStyle w:val="TableParagraph"/>
              <w:spacing w:line="240" w:lineRule="auto" w:before="11"/>
              <w:ind w:left="34" w:right="0"/>
              <w:jc w:val="left"/>
              <w:rPr>
                <w:rFonts w:ascii="Calibri" w:hAnsi="Calibri" w:cs="Calibri" w:eastAsia="Calibri" w:hint="default"/>
                <w:sz w:val="16"/>
                <w:szCs w:val="16"/>
              </w:rPr>
            </w:pPr>
            <w:r>
              <w:rPr>
                <w:rFonts w:ascii="Calibri" w:hAnsi="Calibri" w:cs="Calibri" w:eastAsia="Calibri" w:hint="default"/>
                <w:w w:val="110"/>
                <w:sz w:val="16"/>
                <w:szCs w:val="16"/>
              </w:rPr>
              <w:t>Mexico’s Caribbean</w:t>
            </w:r>
            <w:r>
              <w:rPr>
                <w:rFonts w:ascii="Calibri" w:hAnsi="Calibri" w:cs="Calibri" w:eastAsia="Calibri" w:hint="default"/>
                <w:spacing w:val="-22"/>
                <w:w w:val="110"/>
                <w:sz w:val="16"/>
                <w:szCs w:val="16"/>
              </w:rPr>
              <w:t> </w:t>
            </w:r>
            <w:r>
              <w:rPr>
                <w:rFonts w:ascii="Calibri" w:hAnsi="Calibri" w:cs="Calibri" w:eastAsia="Calibri" w:hint="default"/>
                <w:w w:val="110"/>
                <w:sz w:val="16"/>
                <w:szCs w:val="16"/>
              </w:rPr>
              <w:t>coast</w:t>
            </w:r>
            <w:r>
              <w:rPr>
                <w:rFonts w:ascii="Calibri" w:hAnsi="Calibri" w:cs="Calibri" w:eastAsia="Calibri" w:hint="default"/>
                <w:sz w:val="16"/>
                <w:szCs w:val="16"/>
              </w:rPr>
            </w:r>
          </w:p>
        </w:tc>
        <w:tc>
          <w:tcPr>
            <w:tcW w:w="1230" w:type="dxa"/>
            <w:tcBorders>
              <w:top w:val="single" w:sz="4" w:space="0" w:color="000000"/>
              <w:left w:val="nil" w:sz="6" w:space="0" w:color="auto"/>
              <w:bottom w:val="nil" w:sz="6" w:space="0" w:color="auto"/>
              <w:right w:val="nil" w:sz="6" w:space="0" w:color="auto"/>
            </w:tcBorders>
          </w:tcPr>
          <w:p>
            <w:pPr>
              <w:pStyle w:val="TableParagraph"/>
              <w:spacing w:line="240" w:lineRule="auto" w:before="11"/>
              <w:ind w:left="119" w:right="0"/>
              <w:jc w:val="center"/>
              <w:rPr>
                <w:rFonts w:ascii="Calibri" w:hAnsi="Calibri" w:cs="Calibri" w:eastAsia="Calibri" w:hint="default"/>
                <w:sz w:val="16"/>
                <w:szCs w:val="16"/>
              </w:rPr>
            </w:pPr>
            <w:r>
              <w:rPr>
                <w:rFonts w:ascii="Calibri"/>
                <w:w w:val="110"/>
                <w:sz w:val="16"/>
              </w:rPr>
              <w:t>7</w:t>
            </w:r>
            <w:r>
              <w:rPr>
                <w:rFonts w:ascii="Calibri"/>
                <w:sz w:val="16"/>
              </w:rPr>
            </w:r>
          </w:p>
        </w:tc>
        <w:tc>
          <w:tcPr>
            <w:tcW w:w="1293" w:type="dxa"/>
            <w:tcBorders>
              <w:top w:val="single" w:sz="4" w:space="0" w:color="000000"/>
              <w:left w:val="nil" w:sz="6" w:space="0" w:color="auto"/>
              <w:bottom w:val="nil" w:sz="6" w:space="0" w:color="auto"/>
              <w:right w:val="nil" w:sz="6" w:space="0" w:color="auto"/>
            </w:tcBorders>
          </w:tcPr>
          <w:p>
            <w:pPr>
              <w:pStyle w:val="TableParagraph"/>
              <w:spacing w:line="240" w:lineRule="auto" w:before="11"/>
              <w:ind w:left="18" w:right="0"/>
              <w:jc w:val="center"/>
              <w:rPr>
                <w:rFonts w:ascii="Calibri" w:hAnsi="Calibri" w:cs="Calibri" w:eastAsia="Calibri" w:hint="default"/>
                <w:sz w:val="16"/>
                <w:szCs w:val="16"/>
              </w:rPr>
            </w:pPr>
            <w:r>
              <w:rPr>
                <w:rFonts w:ascii="Calibri"/>
                <w:w w:val="110"/>
                <w:sz w:val="16"/>
              </w:rPr>
              <w:t>2</w:t>
            </w:r>
            <w:r>
              <w:rPr>
                <w:rFonts w:ascii="Calibri"/>
                <w:sz w:val="16"/>
              </w:rPr>
            </w:r>
          </w:p>
        </w:tc>
        <w:tc>
          <w:tcPr>
            <w:tcW w:w="575" w:type="dxa"/>
            <w:tcBorders>
              <w:top w:val="single" w:sz="4" w:space="0" w:color="000000"/>
              <w:left w:val="nil" w:sz="6" w:space="0" w:color="auto"/>
              <w:bottom w:val="nil" w:sz="6" w:space="0" w:color="auto"/>
              <w:right w:val="nil" w:sz="6" w:space="0" w:color="auto"/>
            </w:tcBorders>
          </w:tcPr>
          <w:p>
            <w:pPr>
              <w:pStyle w:val="TableParagraph"/>
              <w:spacing w:line="240" w:lineRule="auto" w:before="11"/>
              <w:ind w:left="12" w:right="0"/>
              <w:jc w:val="center"/>
              <w:rPr>
                <w:rFonts w:ascii="Calibri" w:hAnsi="Calibri" w:cs="Calibri" w:eastAsia="Calibri" w:hint="default"/>
                <w:sz w:val="16"/>
                <w:szCs w:val="16"/>
              </w:rPr>
            </w:pPr>
            <w:r>
              <w:rPr>
                <w:rFonts w:ascii="Calibri"/>
                <w:w w:val="110"/>
                <w:sz w:val="16"/>
              </w:rPr>
              <w:t>2</w:t>
            </w:r>
            <w:r>
              <w:rPr>
                <w:rFonts w:ascii="Calibri"/>
                <w:sz w:val="16"/>
              </w:rPr>
            </w:r>
          </w:p>
        </w:tc>
        <w:tc>
          <w:tcPr>
            <w:tcW w:w="798" w:type="dxa"/>
            <w:tcBorders>
              <w:top w:val="single" w:sz="4" w:space="0" w:color="000000"/>
              <w:left w:val="nil" w:sz="6" w:space="0" w:color="auto"/>
              <w:bottom w:val="nil" w:sz="6" w:space="0" w:color="auto"/>
              <w:right w:val="nil" w:sz="6" w:space="0" w:color="auto"/>
            </w:tcBorders>
          </w:tcPr>
          <w:p>
            <w:pPr>
              <w:pStyle w:val="TableParagraph"/>
              <w:spacing w:line="240" w:lineRule="auto" w:before="11"/>
              <w:ind w:right="9"/>
              <w:jc w:val="center"/>
              <w:rPr>
                <w:rFonts w:ascii="Calibri" w:hAnsi="Calibri" w:cs="Calibri" w:eastAsia="Calibri" w:hint="default"/>
                <w:sz w:val="16"/>
                <w:szCs w:val="16"/>
              </w:rPr>
            </w:pPr>
            <w:r>
              <w:rPr>
                <w:rFonts w:ascii="Calibri"/>
                <w:w w:val="110"/>
                <w:sz w:val="16"/>
              </w:rPr>
              <w:t>2</w:t>
            </w:r>
            <w:r>
              <w:rPr>
                <w:rFonts w:ascii="Calibri"/>
                <w:sz w:val="16"/>
              </w:rPr>
            </w:r>
          </w:p>
        </w:tc>
        <w:tc>
          <w:tcPr>
            <w:tcW w:w="954" w:type="dxa"/>
            <w:tcBorders>
              <w:top w:val="single" w:sz="4" w:space="0" w:color="000000"/>
              <w:left w:val="nil" w:sz="6" w:space="0" w:color="auto"/>
              <w:bottom w:val="nil" w:sz="6" w:space="0" w:color="auto"/>
              <w:right w:val="nil" w:sz="6" w:space="0" w:color="auto"/>
            </w:tcBorders>
          </w:tcPr>
          <w:p>
            <w:pPr>
              <w:pStyle w:val="TableParagraph"/>
              <w:spacing w:line="240" w:lineRule="auto" w:before="11"/>
              <w:ind w:right="15"/>
              <w:jc w:val="center"/>
              <w:rPr>
                <w:rFonts w:ascii="Calibri" w:hAnsi="Calibri" w:cs="Calibri" w:eastAsia="Calibri" w:hint="default"/>
                <w:sz w:val="16"/>
                <w:szCs w:val="16"/>
              </w:rPr>
            </w:pPr>
            <w:r>
              <w:rPr>
                <w:rFonts w:ascii="Calibri"/>
                <w:w w:val="110"/>
                <w:sz w:val="16"/>
              </w:rPr>
              <w:t>1</w:t>
            </w:r>
            <w:r>
              <w:rPr>
                <w:rFonts w:ascii="Calibri"/>
                <w:sz w:val="16"/>
              </w:rPr>
            </w:r>
          </w:p>
        </w:tc>
        <w:tc>
          <w:tcPr>
            <w:tcW w:w="587" w:type="dxa"/>
            <w:tcBorders>
              <w:top w:val="single" w:sz="4" w:space="0" w:color="000000"/>
              <w:left w:val="nil" w:sz="6" w:space="0" w:color="auto"/>
              <w:bottom w:val="nil" w:sz="6" w:space="0" w:color="auto"/>
              <w:right w:val="nil" w:sz="6" w:space="0" w:color="auto"/>
            </w:tcBorders>
          </w:tcPr>
          <w:p>
            <w:pPr>
              <w:pStyle w:val="TableParagraph"/>
              <w:spacing w:line="240" w:lineRule="auto" w:before="11"/>
              <w:ind w:right="0"/>
              <w:jc w:val="center"/>
              <w:rPr>
                <w:rFonts w:ascii="Calibri" w:hAnsi="Calibri" w:cs="Calibri" w:eastAsia="Calibri" w:hint="default"/>
                <w:sz w:val="16"/>
                <w:szCs w:val="16"/>
              </w:rPr>
            </w:pPr>
            <w:r>
              <w:rPr>
                <w:rFonts w:ascii="Calibri"/>
                <w:w w:val="110"/>
                <w:sz w:val="16"/>
              </w:rPr>
              <w:t>2</w:t>
            </w:r>
            <w:r>
              <w:rPr>
                <w:rFonts w:ascii="Calibri"/>
                <w:sz w:val="16"/>
              </w:rPr>
            </w:r>
          </w:p>
        </w:tc>
      </w:tr>
      <w:tr>
        <w:trPr>
          <w:trHeight w:val="218" w:hRule="exact"/>
        </w:trPr>
        <w:tc>
          <w:tcPr>
            <w:tcW w:w="2046" w:type="dxa"/>
            <w:tcBorders>
              <w:top w:val="nil" w:sz="6" w:space="0" w:color="auto"/>
              <w:left w:val="nil" w:sz="6" w:space="0" w:color="auto"/>
              <w:bottom w:val="nil" w:sz="6" w:space="0" w:color="auto"/>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w w:val="110"/>
                <w:sz w:val="16"/>
              </w:rPr>
              <w:t>Bahamas</w:t>
            </w:r>
            <w:r>
              <w:rPr>
                <w:rFonts w:ascii="Calibri"/>
                <w:sz w:val="16"/>
              </w:rPr>
            </w:r>
          </w:p>
        </w:tc>
        <w:tc>
          <w:tcPr>
            <w:tcW w:w="1230" w:type="dxa"/>
            <w:tcBorders>
              <w:top w:val="nil" w:sz="6" w:space="0" w:color="auto"/>
              <w:left w:val="nil" w:sz="6" w:space="0" w:color="auto"/>
              <w:bottom w:val="nil" w:sz="6" w:space="0" w:color="auto"/>
              <w:right w:val="nil" w:sz="6" w:space="0" w:color="auto"/>
            </w:tcBorders>
          </w:tcPr>
          <w:p>
            <w:pPr>
              <w:pStyle w:val="TableParagraph"/>
              <w:spacing w:line="193" w:lineRule="exact"/>
              <w:ind w:left="119" w:right="0"/>
              <w:jc w:val="center"/>
              <w:rPr>
                <w:rFonts w:ascii="Calibri" w:hAnsi="Calibri" w:cs="Calibri" w:eastAsia="Calibri" w:hint="default"/>
                <w:sz w:val="16"/>
                <w:szCs w:val="16"/>
              </w:rPr>
            </w:pPr>
            <w:r>
              <w:rPr>
                <w:rFonts w:ascii="Calibri"/>
                <w:w w:val="110"/>
                <w:sz w:val="16"/>
              </w:rPr>
              <w:t>1</w:t>
            </w:r>
            <w:r>
              <w:rPr>
                <w:rFonts w:ascii="Calibri"/>
                <w:sz w:val="16"/>
              </w:rPr>
            </w:r>
          </w:p>
        </w:tc>
        <w:tc>
          <w:tcPr>
            <w:tcW w:w="1293" w:type="dxa"/>
            <w:tcBorders>
              <w:top w:val="nil" w:sz="6" w:space="0" w:color="auto"/>
              <w:left w:val="nil" w:sz="6" w:space="0" w:color="auto"/>
              <w:bottom w:val="nil" w:sz="6" w:space="0" w:color="auto"/>
              <w:right w:val="nil" w:sz="6" w:space="0" w:color="auto"/>
            </w:tcBorders>
          </w:tcPr>
          <w:p>
            <w:pPr>
              <w:pStyle w:val="TableParagraph"/>
              <w:spacing w:line="193" w:lineRule="exact"/>
              <w:ind w:left="18" w:right="0"/>
              <w:jc w:val="center"/>
              <w:rPr>
                <w:rFonts w:ascii="Calibri" w:hAnsi="Calibri" w:cs="Calibri" w:eastAsia="Calibri" w:hint="default"/>
                <w:sz w:val="16"/>
                <w:szCs w:val="16"/>
              </w:rPr>
            </w:pPr>
            <w:r>
              <w:rPr>
                <w:rFonts w:ascii="Calibri"/>
                <w:w w:val="110"/>
                <w:sz w:val="16"/>
              </w:rPr>
              <w:t>1</w:t>
            </w:r>
            <w:r>
              <w:rPr>
                <w:rFonts w:ascii="Calibri"/>
                <w:sz w:val="16"/>
              </w:rPr>
            </w:r>
          </w:p>
        </w:tc>
        <w:tc>
          <w:tcPr>
            <w:tcW w:w="575" w:type="dxa"/>
            <w:tcBorders>
              <w:top w:val="nil" w:sz="6" w:space="0" w:color="auto"/>
              <w:left w:val="nil" w:sz="6" w:space="0" w:color="auto"/>
              <w:bottom w:val="nil" w:sz="6" w:space="0" w:color="auto"/>
              <w:right w:val="nil" w:sz="6" w:space="0" w:color="auto"/>
            </w:tcBorders>
          </w:tcPr>
          <w:p>
            <w:pPr>
              <w:pStyle w:val="TableParagraph"/>
              <w:spacing w:line="193" w:lineRule="exact"/>
              <w:ind w:left="12" w:right="0"/>
              <w:jc w:val="center"/>
              <w:rPr>
                <w:rFonts w:ascii="Calibri" w:hAnsi="Calibri" w:cs="Calibri" w:eastAsia="Calibri" w:hint="default"/>
                <w:sz w:val="16"/>
                <w:szCs w:val="16"/>
              </w:rPr>
            </w:pPr>
            <w:r>
              <w:rPr>
                <w:rFonts w:ascii="Calibri"/>
                <w:w w:val="110"/>
                <w:sz w:val="16"/>
              </w:rPr>
              <w:t>1</w:t>
            </w:r>
            <w:r>
              <w:rPr>
                <w:rFonts w:ascii="Calibri"/>
                <w:sz w:val="16"/>
              </w:rPr>
            </w:r>
          </w:p>
        </w:tc>
        <w:tc>
          <w:tcPr>
            <w:tcW w:w="798" w:type="dxa"/>
            <w:tcBorders>
              <w:top w:val="nil" w:sz="6" w:space="0" w:color="auto"/>
              <w:left w:val="nil" w:sz="6" w:space="0" w:color="auto"/>
              <w:bottom w:val="nil" w:sz="6" w:space="0" w:color="auto"/>
              <w:right w:val="nil" w:sz="6" w:space="0" w:color="auto"/>
            </w:tcBorders>
          </w:tcPr>
          <w:p>
            <w:pPr>
              <w:pStyle w:val="TableParagraph"/>
              <w:spacing w:line="193" w:lineRule="exact"/>
              <w:ind w:right="9"/>
              <w:jc w:val="center"/>
              <w:rPr>
                <w:rFonts w:ascii="Calibri" w:hAnsi="Calibri" w:cs="Calibri" w:eastAsia="Calibri" w:hint="default"/>
                <w:sz w:val="16"/>
                <w:szCs w:val="16"/>
              </w:rPr>
            </w:pPr>
            <w:r>
              <w:rPr>
                <w:rFonts w:ascii="Calibri"/>
                <w:w w:val="110"/>
                <w:sz w:val="16"/>
              </w:rPr>
              <w:t>1</w:t>
            </w:r>
            <w:r>
              <w:rPr>
                <w:rFonts w:ascii="Calibri"/>
                <w:sz w:val="16"/>
              </w:rPr>
            </w:r>
          </w:p>
        </w:tc>
        <w:tc>
          <w:tcPr>
            <w:tcW w:w="954" w:type="dxa"/>
            <w:tcBorders>
              <w:top w:val="nil" w:sz="6" w:space="0" w:color="auto"/>
              <w:left w:val="nil" w:sz="6" w:space="0" w:color="auto"/>
              <w:bottom w:val="nil" w:sz="6" w:space="0" w:color="auto"/>
              <w:right w:val="nil" w:sz="6" w:space="0" w:color="auto"/>
            </w:tcBorders>
          </w:tcPr>
          <w:p>
            <w:pPr>
              <w:pStyle w:val="TableParagraph"/>
              <w:spacing w:line="193" w:lineRule="exact"/>
              <w:ind w:right="15"/>
              <w:jc w:val="center"/>
              <w:rPr>
                <w:rFonts w:ascii="Calibri" w:hAnsi="Calibri" w:cs="Calibri" w:eastAsia="Calibri" w:hint="default"/>
                <w:sz w:val="16"/>
                <w:szCs w:val="16"/>
              </w:rPr>
            </w:pPr>
            <w:r>
              <w:rPr>
                <w:rFonts w:ascii="Calibri"/>
                <w:w w:val="110"/>
                <w:sz w:val="16"/>
              </w:rPr>
              <w:t>2</w:t>
            </w:r>
            <w:r>
              <w:rPr>
                <w:rFonts w:ascii="Calibri"/>
                <w:sz w:val="16"/>
              </w:rPr>
            </w:r>
          </w:p>
        </w:tc>
        <w:tc>
          <w:tcPr>
            <w:tcW w:w="587" w:type="dxa"/>
            <w:tcBorders>
              <w:top w:val="nil" w:sz="6" w:space="0" w:color="auto"/>
              <w:left w:val="nil" w:sz="6" w:space="0" w:color="auto"/>
              <w:bottom w:val="nil" w:sz="6" w:space="0" w:color="auto"/>
              <w:right w:val="nil" w:sz="6" w:space="0" w:color="auto"/>
            </w:tcBorders>
          </w:tcPr>
          <w:p>
            <w:pPr>
              <w:pStyle w:val="TableParagraph"/>
              <w:spacing w:line="193" w:lineRule="exact"/>
              <w:ind w:right="0"/>
              <w:jc w:val="center"/>
              <w:rPr>
                <w:rFonts w:ascii="Calibri" w:hAnsi="Calibri" w:cs="Calibri" w:eastAsia="Calibri" w:hint="default"/>
                <w:sz w:val="16"/>
                <w:szCs w:val="16"/>
              </w:rPr>
            </w:pPr>
            <w:r>
              <w:rPr>
                <w:rFonts w:ascii="Calibri"/>
                <w:w w:val="110"/>
                <w:sz w:val="16"/>
              </w:rPr>
              <w:t>1</w:t>
            </w:r>
            <w:r>
              <w:rPr>
                <w:rFonts w:ascii="Calibri"/>
                <w:sz w:val="16"/>
              </w:rPr>
            </w:r>
          </w:p>
        </w:tc>
      </w:tr>
      <w:tr>
        <w:trPr>
          <w:trHeight w:val="218" w:hRule="exact"/>
        </w:trPr>
        <w:tc>
          <w:tcPr>
            <w:tcW w:w="2046" w:type="dxa"/>
            <w:tcBorders>
              <w:top w:val="nil" w:sz="6" w:space="0" w:color="auto"/>
              <w:left w:val="nil" w:sz="6" w:space="0" w:color="auto"/>
              <w:bottom w:val="nil" w:sz="6" w:space="0" w:color="auto"/>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w w:val="110"/>
                <w:sz w:val="16"/>
              </w:rPr>
              <w:t>Aruba</w:t>
            </w:r>
            <w:r>
              <w:rPr>
                <w:rFonts w:ascii="Calibri"/>
                <w:sz w:val="16"/>
              </w:rPr>
            </w:r>
          </w:p>
        </w:tc>
        <w:tc>
          <w:tcPr>
            <w:tcW w:w="1230" w:type="dxa"/>
            <w:tcBorders>
              <w:top w:val="nil" w:sz="6" w:space="0" w:color="auto"/>
              <w:left w:val="nil" w:sz="6" w:space="0" w:color="auto"/>
              <w:bottom w:val="nil" w:sz="6" w:space="0" w:color="auto"/>
              <w:right w:val="nil" w:sz="6" w:space="0" w:color="auto"/>
            </w:tcBorders>
          </w:tcPr>
          <w:p>
            <w:pPr>
              <w:pStyle w:val="TableParagraph"/>
              <w:spacing w:line="193" w:lineRule="exact"/>
              <w:ind w:left="119" w:right="0"/>
              <w:jc w:val="center"/>
              <w:rPr>
                <w:rFonts w:ascii="Calibri" w:hAnsi="Calibri" w:cs="Calibri" w:eastAsia="Calibri" w:hint="default"/>
                <w:sz w:val="16"/>
                <w:szCs w:val="16"/>
              </w:rPr>
            </w:pPr>
            <w:r>
              <w:rPr>
                <w:rFonts w:ascii="Calibri"/>
                <w:w w:val="110"/>
                <w:sz w:val="16"/>
              </w:rPr>
              <w:t>3</w:t>
            </w:r>
            <w:r>
              <w:rPr>
                <w:rFonts w:ascii="Calibri"/>
                <w:sz w:val="16"/>
              </w:rPr>
            </w:r>
          </w:p>
        </w:tc>
        <w:tc>
          <w:tcPr>
            <w:tcW w:w="1293" w:type="dxa"/>
            <w:tcBorders>
              <w:top w:val="nil" w:sz="6" w:space="0" w:color="auto"/>
              <w:left w:val="nil" w:sz="6" w:space="0" w:color="auto"/>
              <w:bottom w:val="nil" w:sz="6" w:space="0" w:color="auto"/>
              <w:right w:val="nil" w:sz="6" w:space="0" w:color="auto"/>
            </w:tcBorders>
          </w:tcPr>
          <w:p>
            <w:pPr>
              <w:pStyle w:val="TableParagraph"/>
              <w:spacing w:line="193" w:lineRule="exact"/>
              <w:ind w:left="18" w:right="0"/>
              <w:jc w:val="center"/>
              <w:rPr>
                <w:rFonts w:ascii="Calibri" w:hAnsi="Calibri" w:cs="Calibri" w:eastAsia="Calibri" w:hint="default"/>
                <w:sz w:val="16"/>
                <w:szCs w:val="16"/>
              </w:rPr>
            </w:pPr>
            <w:r>
              <w:rPr>
                <w:rFonts w:ascii="Calibri"/>
                <w:w w:val="110"/>
                <w:sz w:val="16"/>
              </w:rPr>
              <w:t>3</w:t>
            </w:r>
            <w:r>
              <w:rPr>
                <w:rFonts w:ascii="Calibri"/>
                <w:sz w:val="16"/>
              </w:rPr>
            </w:r>
          </w:p>
        </w:tc>
        <w:tc>
          <w:tcPr>
            <w:tcW w:w="575" w:type="dxa"/>
            <w:tcBorders>
              <w:top w:val="nil" w:sz="6" w:space="0" w:color="auto"/>
              <w:left w:val="nil" w:sz="6" w:space="0" w:color="auto"/>
              <w:bottom w:val="nil" w:sz="6" w:space="0" w:color="auto"/>
              <w:right w:val="nil" w:sz="6" w:space="0" w:color="auto"/>
            </w:tcBorders>
          </w:tcPr>
          <w:p>
            <w:pPr>
              <w:pStyle w:val="TableParagraph"/>
              <w:spacing w:line="193" w:lineRule="exact"/>
              <w:ind w:left="12" w:right="0"/>
              <w:jc w:val="center"/>
              <w:rPr>
                <w:rFonts w:ascii="Calibri" w:hAnsi="Calibri" w:cs="Calibri" w:eastAsia="Calibri" w:hint="default"/>
                <w:sz w:val="16"/>
                <w:szCs w:val="16"/>
              </w:rPr>
            </w:pPr>
            <w:r>
              <w:rPr>
                <w:rFonts w:ascii="Calibri"/>
                <w:w w:val="110"/>
                <w:sz w:val="16"/>
              </w:rPr>
              <w:t>7</w:t>
            </w:r>
            <w:r>
              <w:rPr>
                <w:rFonts w:ascii="Calibri"/>
                <w:sz w:val="16"/>
              </w:rPr>
            </w:r>
          </w:p>
        </w:tc>
        <w:tc>
          <w:tcPr>
            <w:tcW w:w="798" w:type="dxa"/>
            <w:tcBorders>
              <w:top w:val="nil" w:sz="6" w:space="0" w:color="auto"/>
              <w:left w:val="nil" w:sz="6" w:space="0" w:color="auto"/>
              <w:bottom w:val="nil" w:sz="6" w:space="0" w:color="auto"/>
              <w:right w:val="nil" w:sz="6" w:space="0" w:color="auto"/>
            </w:tcBorders>
          </w:tcPr>
          <w:p>
            <w:pPr>
              <w:pStyle w:val="TableParagraph"/>
              <w:spacing w:line="193" w:lineRule="exact"/>
              <w:ind w:right="9"/>
              <w:jc w:val="center"/>
              <w:rPr>
                <w:rFonts w:ascii="Calibri" w:hAnsi="Calibri" w:cs="Calibri" w:eastAsia="Calibri" w:hint="default"/>
                <w:sz w:val="16"/>
                <w:szCs w:val="16"/>
              </w:rPr>
            </w:pPr>
            <w:r>
              <w:rPr>
                <w:rFonts w:ascii="Calibri"/>
                <w:w w:val="110"/>
                <w:sz w:val="16"/>
              </w:rPr>
              <w:t>4</w:t>
            </w:r>
            <w:r>
              <w:rPr>
                <w:rFonts w:ascii="Calibri"/>
                <w:sz w:val="16"/>
              </w:rPr>
            </w:r>
          </w:p>
        </w:tc>
        <w:tc>
          <w:tcPr>
            <w:tcW w:w="954" w:type="dxa"/>
            <w:tcBorders>
              <w:top w:val="nil" w:sz="6" w:space="0" w:color="auto"/>
              <w:left w:val="nil" w:sz="6" w:space="0" w:color="auto"/>
              <w:bottom w:val="nil" w:sz="6" w:space="0" w:color="auto"/>
              <w:right w:val="nil" w:sz="6" w:space="0" w:color="auto"/>
            </w:tcBorders>
          </w:tcPr>
          <w:p>
            <w:pPr>
              <w:pStyle w:val="TableParagraph"/>
              <w:spacing w:line="193" w:lineRule="exact"/>
              <w:ind w:right="15"/>
              <w:jc w:val="center"/>
              <w:rPr>
                <w:rFonts w:ascii="Calibri" w:hAnsi="Calibri" w:cs="Calibri" w:eastAsia="Calibri" w:hint="default"/>
                <w:sz w:val="16"/>
                <w:szCs w:val="16"/>
              </w:rPr>
            </w:pPr>
            <w:r>
              <w:rPr>
                <w:rFonts w:ascii="Calibri"/>
                <w:w w:val="110"/>
                <w:sz w:val="16"/>
              </w:rPr>
              <w:t>6</w:t>
            </w:r>
            <w:r>
              <w:rPr>
                <w:rFonts w:ascii="Calibri"/>
                <w:sz w:val="16"/>
              </w:rPr>
            </w:r>
          </w:p>
        </w:tc>
        <w:tc>
          <w:tcPr>
            <w:tcW w:w="587" w:type="dxa"/>
            <w:tcBorders>
              <w:top w:val="nil" w:sz="6" w:space="0" w:color="auto"/>
              <w:left w:val="nil" w:sz="6" w:space="0" w:color="auto"/>
              <w:bottom w:val="nil" w:sz="6" w:space="0" w:color="auto"/>
              <w:right w:val="nil" w:sz="6" w:space="0" w:color="auto"/>
            </w:tcBorders>
          </w:tcPr>
          <w:p>
            <w:pPr>
              <w:pStyle w:val="TableParagraph"/>
              <w:spacing w:line="193" w:lineRule="exact"/>
              <w:ind w:right="0"/>
              <w:jc w:val="center"/>
              <w:rPr>
                <w:rFonts w:ascii="Calibri" w:hAnsi="Calibri" w:cs="Calibri" w:eastAsia="Calibri" w:hint="default"/>
                <w:sz w:val="16"/>
                <w:szCs w:val="16"/>
              </w:rPr>
            </w:pPr>
            <w:r>
              <w:rPr>
                <w:rFonts w:ascii="Calibri"/>
                <w:w w:val="110"/>
                <w:sz w:val="16"/>
              </w:rPr>
              <w:t>8</w:t>
            </w:r>
            <w:r>
              <w:rPr>
                <w:rFonts w:ascii="Calibri"/>
                <w:sz w:val="16"/>
              </w:rPr>
            </w:r>
          </w:p>
        </w:tc>
      </w:tr>
      <w:tr>
        <w:trPr>
          <w:trHeight w:val="218" w:hRule="exact"/>
        </w:trPr>
        <w:tc>
          <w:tcPr>
            <w:tcW w:w="2046" w:type="dxa"/>
            <w:tcBorders>
              <w:top w:val="nil" w:sz="6" w:space="0" w:color="auto"/>
              <w:left w:val="nil" w:sz="6" w:space="0" w:color="auto"/>
              <w:bottom w:val="nil" w:sz="6" w:space="0" w:color="auto"/>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w w:val="110"/>
                <w:sz w:val="16"/>
              </w:rPr>
              <w:t>Dominican</w:t>
            </w:r>
            <w:r>
              <w:rPr>
                <w:rFonts w:ascii="Calibri"/>
                <w:spacing w:val="1"/>
                <w:w w:val="110"/>
                <w:sz w:val="16"/>
              </w:rPr>
              <w:t> </w:t>
            </w:r>
            <w:r>
              <w:rPr>
                <w:rFonts w:ascii="Calibri"/>
                <w:w w:val="110"/>
                <w:sz w:val="16"/>
              </w:rPr>
              <w:t>Republic</w:t>
            </w:r>
            <w:r>
              <w:rPr>
                <w:rFonts w:ascii="Calibri"/>
                <w:sz w:val="16"/>
              </w:rPr>
            </w:r>
          </w:p>
        </w:tc>
        <w:tc>
          <w:tcPr>
            <w:tcW w:w="1230" w:type="dxa"/>
            <w:tcBorders>
              <w:top w:val="nil" w:sz="6" w:space="0" w:color="auto"/>
              <w:left w:val="nil" w:sz="6" w:space="0" w:color="auto"/>
              <w:bottom w:val="nil" w:sz="6" w:space="0" w:color="auto"/>
              <w:right w:val="nil" w:sz="6" w:space="0" w:color="auto"/>
            </w:tcBorders>
          </w:tcPr>
          <w:p>
            <w:pPr>
              <w:pStyle w:val="TableParagraph"/>
              <w:spacing w:line="193" w:lineRule="exact"/>
              <w:ind w:left="119" w:right="0"/>
              <w:jc w:val="center"/>
              <w:rPr>
                <w:rFonts w:ascii="Calibri" w:hAnsi="Calibri" w:cs="Calibri" w:eastAsia="Calibri" w:hint="default"/>
                <w:sz w:val="16"/>
                <w:szCs w:val="16"/>
              </w:rPr>
            </w:pPr>
            <w:r>
              <w:rPr>
                <w:rFonts w:ascii="Calibri"/>
                <w:w w:val="110"/>
                <w:sz w:val="16"/>
              </w:rPr>
              <w:t>8</w:t>
            </w:r>
            <w:r>
              <w:rPr>
                <w:rFonts w:ascii="Calibri"/>
                <w:sz w:val="16"/>
              </w:rPr>
            </w:r>
          </w:p>
        </w:tc>
        <w:tc>
          <w:tcPr>
            <w:tcW w:w="1293" w:type="dxa"/>
            <w:tcBorders>
              <w:top w:val="nil" w:sz="6" w:space="0" w:color="auto"/>
              <w:left w:val="nil" w:sz="6" w:space="0" w:color="auto"/>
              <w:bottom w:val="nil" w:sz="6" w:space="0" w:color="auto"/>
              <w:right w:val="nil" w:sz="6" w:space="0" w:color="auto"/>
            </w:tcBorders>
          </w:tcPr>
          <w:p>
            <w:pPr>
              <w:pStyle w:val="TableParagraph"/>
              <w:spacing w:line="193" w:lineRule="exact"/>
              <w:ind w:left="18" w:right="0"/>
              <w:jc w:val="center"/>
              <w:rPr>
                <w:rFonts w:ascii="Calibri" w:hAnsi="Calibri" w:cs="Calibri" w:eastAsia="Calibri" w:hint="default"/>
                <w:sz w:val="16"/>
                <w:szCs w:val="16"/>
              </w:rPr>
            </w:pPr>
            <w:r>
              <w:rPr>
                <w:rFonts w:ascii="Calibri"/>
                <w:w w:val="110"/>
                <w:sz w:val="16"/>
              </w:rPr>
              <w:t>8</w:t>
            </w:r>
            <w:r>
              <w:rPr>
                <w:rFonts w:ascii="Calibri"/>
                <w:sz w:val="16"/>
              </w:rPr>
            </w:r>
          </w:p>
        </w:tc>
        <w:tc>
          <w:tcPr>
            <w:tcW w:w="575" w:type="dxa"/>
            <w:tcBorders>
              <w:top w:val="nil" w:sz="6" w:space="0" w:color="auto"/>
              <w:left w:val="nil" w:sz="6" w:space="0" w:color="auto"/>
              <w:bottom w:val="nil" w:sz="6" w:space="0" w:color="auto"/>
              <w:right w:val="nil" w:sz="6" w:space="0" w:color="auto"/>
            </w:tcBorders>
          </w:tcPr>
          <w:p>
            <w:pPr>
              <w:pStyle w:val="TableParagraph"/>
              <w:spacing w:line="193" w:lineRule="exact"/>
              <w:ind w:left="15" w:right="0"/>
              <w:jc w:val="center"/>
              <w:rPr>
                <w:rFonts w:ascii="Calibri" w:hAnsi="Calibri" w:cs="Calibri" w:eastAsia="Calibri" w:hint="default"/>
                <w:sz w:val="16"/>
                <w:szCs w:val="16"/>
              </w:rPr>
            </w:pPr>
            <w:r>
              <w:rPr>
                <w:rFonts w:ascii="Calibri"/>
                <w:spacing w:val="-8"/>
                <w:w w:val="110"/>
                <w:sz w:val="16"/>
              </w:rPr>
              <w:t>10</w:t>
            </w:r>
            <w:r>
              <w:rPr>
                <w:rFonts w:ascii="Calibri"/>
                <w:sz w:val="16"/>
              </w:rPr>
            </w:r>
          </w:p>
        </w:tc>
        <w:tc>
          <w:tcPr>
            <w:tcW w:w="798" w:type="dxa"/>
            <w:tcBorders>
              <w:top w:val="nil" w:sz="6" w:space="0" w:color="auto"/>
              <w:left w:val="nil" w:sz="6" w:space="0" w:color="auto"/>
              <w:bottom w:val="nil" w:sz="6" w:space="0" w:color="auto"/>
              <w:right w:val="nil" w:sz="6" w:space="0" w:color="auto"/>
            </w:tcBorders>
          </w:tcPr>
          <w:p>
            <w:pPr>
              <w:pStyle w:val="TableParagraph"/>
              <w:spacing w:line="193" w:lineRule="exact"/>
              <w:ind w:right="9"/>
              <w:jc w:val="center"/>
              <w:rPr>
                <w:rFonts w:ascii="Calibri" w:hAnsi="Calibri" w:cs="Calibri" w:eastAsia="Calibri" w:hint="default"/>
                <w:sz w:val="16"/>
                <w:szCs w:val="16"/>
              </w:rPr>
            </w:pPr>
            <w:r>
              <w:rPr>
                <w:rFonts w:ascii="Calibri"/>
                <w:w w:val="110"/>
                <w:sz w:val="16"/>
              </w:rPr>
              <w:t>9</w:t>
            </w:r>
            <w:r>
              <w:rPr>
                <w:rFonts w:ascii="Calibri"/>
                <w:sz w:val="16"/>
              </w:rPr>
            </w:r>
          </w:p>
        </w:tc>
        <w:tc>
          <w:tcPr>
            <w:tcW w:w="954" w:type="dxa"/>
            <w:tcBorders>
              <w:top w:val="nil" w:sz="6" w:space="0" w:color="auto"/>
              <w:left w:val="nil" w:sz="6" w:space="0" w:color="auto"/>
              <w:bottom w:val="nil" w:sz="6" w:space="0" w:color="auto"/>
              <w:right w:val="nil" w:sz="6" w:space="0" w:color="auto"/>
            </w:tcBorders>
          </w:tcPr>
          <w:p>
            <w:pPr>
              <w:pStyle w:val="TableParagraph"/>
              <w:spacing w:line="193" w:lineRule="exact"/>
              <w:ind w:right="15"/>
              <w:jc w:val="center"/>
              <w:rPr>
                <w:rFonts w:ascii="Calibri" w:hAnsi="Calibri" w:cs="Calibri" w:eastAsia="Calibri" w:hint="default"/>
                <w:sz w:val="16"/>
                <w:szCs w:val="16"/>
              </w:rPr>
            </w:pPr>
            <w:r>
              <w:rPr>
                <w:rFonts w:ascii="Calibri"/>
                <w:w w:val="110"/>
                <w:sz w:val="16"/>
              </w:rPr>
              <w:t>9</w:t>
            </w:r>
            <w:r>
              <w:rPr>
                <w:rFonts w:ascii="Calibri"/>
                <w:sz w:val="16"/>
              </w:rPr>
            </w:r>
          </w:p>
        </w:tc>
        <w:tc>
          <w:tcPr>
            <w:tcW w:w="587" w:type="dxa"/>
            <w:tcBorders>
              <w:top w:val="nil" w:sz="6" w:space="0" w:color="auto"/>
              <w:left w:val="nil" w:sz="6" w:space="0" w:color="auto"/>
              <w:bottom w:val="nil" w:sz="6" w:space="0" w:color="auto"/>
              <w:right w:val="nil" w:sz="6" w:space="0" w:color="auto"/>
            </w:tcBorders>
          </w:tcPr>
          <w:p>
            <w:pPr>
              <w:pStyle w:val="TableParagraph"/>
              <w:spacing w:line="193" w:lineRule="exact"/>
              <w:ind w:right="0"/>
              <w:jc w:val="center"/>
              <w:rPr>
                <w:rFonts w:ascii="Calibri" w:hAnsi="Calibri" w:cs="Calibri" w:eastAsia="Calibri" w:hint="default"/>
                <w:sz w:val="16"/>
                <w:szCs w:val="16"/>
              </w:rPr>
            </w:pPr>
            <w:r>
              <w:rPr>
                <w:rFonts w:ascii="Calibri"/>
                <w:w w:val="110"/>
                <w:sz w:val="16"/>
              </w:rPr>
              <w:t>9</w:t>
            </w:r>
            <w:r>
              <w:rPr>
                <w:rFonts w:ascii="Calibri"/>
                <w:sz w:val="16"/>
              </w:rPr>
            </w:r>
          </w:p>
        </w:tc>
      </w:tr>
      <w:tr>
        <w:trPr>
          <w:trHeight w:val="218" w:hRule="exact"/>
        </w:trPr>
        <w:tc>
          <w:tcPr>
            <w:tcW w:w="2046" w:type="dxa"/>
            <w:tcBorders>
              <w:top w:val="nil" w:sz="6" w:space="0" w:color="auto"/>
              <w:left w:val="nil" w:sz="6" w:space="0" w:color="auto"/>
              <w:bottom w:val="nil" w:sz="6" w:space="0" w:color="auto"/>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w w:val="110"/>
                <w:sz w:val="16"/>
              </w:rPr>
              <w:t>Jamaica</w:t>
            </w:r>
            <w:r>
              <w:rPr>
                <w:rFonts w:ascii="Calibri"/>
                <w:sz w:val="16"/>
              </w:rPr>
            </w:r>
          </w:p>
        </w:tc>
        <w:tc>
          <w:tcPr>
            <w:tcW w:w="1230" w:type="dxa"/>
            <w:tcBorders>
              <w:top w:val="nil" w:sz="6" w:space="0" w:color="auto"/>
              <w:left w:val="nil" w:sz="6" w:space="0" w:color="auto"/>
              <w:bottom w:val="nil" w:sz="6" w:space="0" w:color="auto"/>
              <w:right w:val="nil" w:sz="6" w:space="0" w:color="auto"/>
            </w:tcBorders>
          </w:tcPr>
          <w:p>
            <w:pPr>
              <w:pStyle w:val="TableParagraph"/>
              <w:spacing w:line="193" w:lineRule="exact"/>
              <w:ind w:left="119" w:right="0"/>
              <w:jc w:val="center"/>
              <w:rPr>
                <w:rFonts w:ascii="Calibri" w:hAnsi="Calibri" w:cs="Calibri" w:eastAsia="Calibri" w:hint="default"/>
                <w:sz w:val="16"/>
                <w:szCs w:val="16"/>
              </w:rPr>
            </w:pPr>
            <w:r>
              <w:rPr>
                <w:rFonts w:ascii="Calibri"/>
                <w:w w:val="110"/>
                <w:sz w:val="16"/>
              </w:rPr>
              <w:t>8</w:t>
            </w:r>
            <w:r>
              <w:rPr>
                <w:rFonts w:ascii="Calibri"/>
                <w:sz w:val="16"/>
              </w:rPr>
            </w:r>
          </w:p>
        </w:tc>
        <w:tc>
          <w:tcPr>
            <w:tcW w:w="1293" w:type="dxa"/>
            <w:tcBorders>
              <w:top w:val="nil" w:sz="6" w:space="0" w:color="auto"/>
              <w:left w:val="nil" w:sz="6" w:space="0" w:color="auto"/>
              <w:bottom w:val="nil" w:sz="6" w:space="0" w:color="auto"/>
              <w:right w:val="nil" w:sz="6" w:space="0" w:color="auto"/>
            </w:tcBorders>
          </w:tcPr>
          <w:p>
            <w:pPr>
              <w:pStyle w:val="TableParagraph"/>
              <w:spacing w:line="193" w:lineRule="exact"/>
              <w:ind w:left="18" w:right="0"/>
              <w:jc w:val="center"/>
              <w:rPr>
                <w:rFonts w:ascii="Calibri" w:hAnsi="Calibri" w:cs="Calibri" w:eastAsia="Calibri" w:hint="default"/>
                <w:sz w:val="16"/>
                <w:szCs w:val="16"/>
              </w:rPr>
            </w:pPr>
            <w:r>
              <w:rPr>
                <w:rFonts w:ascii="Calibri"/>
                <w:w w:val="110"/>
                <w:sz w:val="16"/>
              </w:rPr>
              <w:t>5</w:t>
            </w:r>
            <w:r>
              <w:rPr>
                <w:rFonts w:ascii="Calibri"/>
                <w:sz w:val="16"/>
              </w:rPr>
            </w:r>
          </w:p>
        </w:tc>
        <w:tc>
          <w:tcPr>
            <w:tcW w:w="575" w:type="dxa"/>
            <w:tcBorders>
              <w:top w:val="nil" w:sz="6" w:space="0" w:color="auto"/>
              <w:left w:val="nil" w:sz="6" w:space="0" w:color="auto"/>
              <w:bottom w:val="nil" w:sz="6" w:space="0" w:color="auto"/>
              <w:right w:val="nil" w:sz="6" w:space="0" w:color="auto"/>
            </w:tcBorders>
          </w:tcPr>
          <w:p>
            <w:pPr>
              <w:pStyle w:val="TableParagraph"/>
              <w:spacing w:line="193" w:lineRule="exact"/>
              <w:ind w:left="12" w:right="0"/>
              <w:jc w:val="center"/>
              <w:rPr>
                <w:rFonts w:ascii="Calibri" w:hAnsi="Calibri" w:cs="Calibri" w:eastAsia="Calibri" w:hint="default"/>
                <w:sz w:val="16"/>
                <w:szCs w:val="16"/>
              </w:rPr>
            </w:pPr>
            <w:r>
              <w:rPr>
                <w:rFonts w:ascii="Calibri"/>
                <w:w w:val="110"/>
                <w:sz w:val="16"/>
              </w:rPr>
              <w:t>4</w:t>
            </w:r>
            <w:r>
              <w:rPr>
                <w:rFonts w:ascii="Calibri"/>
                <w:sz w:val="16"/>
              </w:rPr>
            </w:r>
          </w:p>
        </w:tc>
        <w:tc>
          <w:tcPr>
            <w:tcW w:w="798" w:type="dxa"/>
            <w:tcBorders>
              <w:top w:val="nil" w:sz="6" w:space="0" w:color="auto"/>
              <w:left w:val="nil" w:sz="6" w:space="0" w:color="auto"/>
              <w:bottom w:val="nil" w:sz="6" w:space="0" w:color="auto"/>
              <w:right w:val="nil" w:sz="6" w:space="0" w:color="auto"/>
            </w:tcBorders>
          </w:tcPr>
          <w:p>
            <w:pPr>
              <w:pStyle w:val="TableParagraph"/>
              <w:spacing w:line="193" w:lineRule="exact"/>
              <w:ind w:right="9"/>
              <w:jc w:val="center"/>
              <w:rPr>
                <w:rFonts w:ascii="Calibri" w:hAnsi="Calibri" w:cs="Calibri" w:eastAsia="Calibri" w:hint="default"/>
                <w:sz w:val="16"/>
                <w:szCs w:val="16"/>
              </w:rPr>
            </w:pPr>
            <w:r>
              <w:rPr>
                <w:rFonts w:ascii="Calibri"/>
                <w:w w:val="110"/>
                <w:sz w:val="16"/>
              </w:rPr>
              <w:t>7</w:t>
            </w:r>
            <w:r>
              <w:rPr>
                <w:rFonts w:ascii="Calibri"/>
                <w:sz w:val="16"/>
              </w:rPr>
            </w:r>
          </w:p>
        </w:tc>
        <w:tc>
          <w:tcPr>
            <w:tcW w:w="954" w:type="dxa"/>
            <w:tcBorders>
              <w:top w:val="nil" w:sz="6" w:space="0" w:color="auto"/>
              <w:left w:val="nil" w:sz="6" w:space="0" w:color="auto"/>
              <w:bottom w:val="nil" w:sz="6" w:space="0" w:color="auto"/>
              <w:right w:val="nil" w:sz="6" w:space="0" w:color="auto"/>
            </w:tcBorders>
          </w:tcPr>
          <w:p>
            <w:pPr>
              <w:pStyle w:val="TableParagraph"/>
              <w:spacing w:line="193" w:lineRule="exact"/>
              <w:ind w:right="15"/>
              <w:jc w:val="center"/>
              <w:rPr>
                <w:rFonts w:ascii="Calibri" w:hAnsi="Calibri" w:cs="Calibri" w:eastAsia="Calibri" w:hint="default"/>
                <w:sz w:val="16"/>
                <w:szCs w:val="16"/>
              </w:rPr>
            </w:pPr>
            <w:r>
              <w:rPr>
                <w:rFonts w:ascii="Calibri"/>
                <w:w w:val="110"/>
                <w:sz w:val="16"/>
              </w:rPr>
              <w:t>5</w:t>
            </w:r>
            <w:r>
              <w:rPr>
                <w:rFonts w:ascii="Calibri"/>
                <w:sz w:val="16"/>
              </w:rPr>
            </w:r>
          </w:p>
        </w:tc>
        <w:tc>
          <w:tcPr>
            <w:tcW w:w="587" w:type="dxa"/>
            <w:tcBorders>
              <w:top w:val="nil" w:sz="6" w:space="0" w:color="auto"/>
              <w:left w:val="nil" w:sz="6" w:space="0" w:color="auto"/>
              <w:bottom w:val="nil" w:sz="6" w:space="0" w:color="auto"/>
              <w:right w:val="nil" w:sz="6" w:space="0" w:color="auto"/>
            </w:tcBorders>
          </w:tcPr>
          <w:p>
            <w:pPr>
              <w:pStyle w:val="TableParagraph"/>
              <w:spacing w:line="193" w:lineRule="exact"/>
              <w:ind w:right="0"/>
              <w:jc w:val="center"/>
              <w:rPr>
                <w:rFonts w:ascii="Calibri" w:hAnsi="Calibri" w:cs="Calibri" w:eastAsia="Calibri" w:hint="default"/>
                <w:sz w:val="16"/>
                <w:szCs w:val="16"/>
              </w:rPr>
            </w:pPr>
            <w:r>
              <w:rPr>
                <w:rFonts w:ascii="Calibri"/>
                <w:w w:val="110"/>
                <w:sz w:val="16"/>
              </w:rPr>
              <w:t>5</w:t>
            </w:r>
            <w:r>
              <w:rPr>
                <w:rFonts w:ascii="Calibri"/>
                <w:sz w:val="16"/>
              </w:rPr>
            </w:r>
          </w:p>
        </w:tc>
      </w:tr>
      <w:tr>
        <w:trPr>
          <w:trHeight w:val="218" w:hRule="exact"/>
        </w:trPr>
        <w:tc>
          <w:tcPr>
            <w:tcW w:w="2046" w:type="dxa"/>
            <w:tcBorders>
              <w:top w:val="nil" w:sz="6" w:space="0" w:color="auto"/>
              <w:left w:val="nil" w:sz="6" w:space="0" w:color="auto"/>
              <w:bottom w:val="nil" w:sz="6" w:space="0" w:color="auto"/>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spacing w:val="-4"/>
                <w:w w:val="110"/>
                <w:sz w:val="16"/>
              </w:rPr>
              <w:t>US </w:t>
            </w:r>
            <w:r>
              <w:rPr>
                <w:rFonts w:ascii="Calibri"/>
                <w:w w:val="110"/>
                <w:sz w:val="16"/>
              </w:rPr>
              <w:t>Virgin</w:t>
            </w:r>
            <w:r>
              <w:rPr>
                <w:rFonts w:ascii="Calibri"/>
                <w:spacing w:val="5"/>
                <w:w w:val="110"/>
                <w:sz w:val="16"/>
              </w:rPr>
              <w:t> </w:t>
            </w:r>
            <w:r>
              <w:rPr>
                <w:rFonts w:ascii="Calibri"/>
                <w:w w:val="110"/>
                <w:sz w:val="16"/>
              </w:rPr>
              <w:t>Islands</w:t>
            </w:r>
            <w:r>
              <w:rPr>
                <w:rFonts w:ascii="Calibri"/>
                <w:sz w:val="16"/>
              </w:rPr>
            </w:r>
          </w:p>
        </w:tc>
        <w:tc>
          <w:tcPr>
            <w:tcW w:w="1230" w:type="dxa"/>
            <w:tcBorders>
              <w:top w:val="nil" w:sz="6" w:space="0" w:color="auto"/>
              <w:left w:val="nil" w:sz="6" w:space="0" w:color="auto"/>
              <w:bottom w:val="nil" w:sz="6" w:space="0" w:color="auto"/>
              <w:right w:val="nil" w:sz="6" w:space="0" w:color="auto"/>
            </w:tcBorders>
          </w:tcPr>
          <w:p>
            <w:pPr>
              <w:pStyle w:val="TableParagraph"/>
              <w:spacing w:line="193" w:lineRule="exact"/>
              <w:ind w:left="119" w:right="0"/>
              <w:jc w:val="center"/>
              <w:rPr>
                <w:rFonts w:ascii="Calibri" w:hAnsi="Calibri" w:cs="Calibri" w:eastAsia="Calibri" w:hint="default"/>
                <w:sz w:val="16"/>
                <w:szCs w:val="16"/>
              </w:rPr>
            </w:pPr>
            <w:r>
              <w:rPr>
                <w:rFonts w:ascii="Calibri"/>
                <w:w w:val="110"/>
                <w:sz w:val="16"/>
              </w:rPr>
              <w:t>6</w:t>
            </w:r>
            <w:r>
              <w:rPr>
                <w:rFonts w:ascii="Calibri"/>
                <w:sz w:val="16"/>
              </w:rPr>
            </w:r>
          </w:p>
        </w:tc>
        <w:tc>
          <w:tcPr>
            <w:tcW w:w="1293" w:type="dxa"/>
            <w:tcBorders>
              <w:top w:val="nil" w:sz="6" w:space="0" w:color="auto"/>
              <w:left w:val="nil" w:sz="6" w:space="0" w:color="auto"/>
              <w:bottom w:val="nil" w:sz="6" w:space="0" w:color="auto"/>
              <w:right w:val="nil" w:sz="6" w:space="0" w:color="auto"/>
            </w:tcBorders>
          </w:tcPr>
          <w:p>
            <w:pPr>
              <w:pStyle w:val="TableParagraph"/>
              <w:spacing w:line="193" w:lineRule="exact"/>
              <w:ind w:left="18" w:right="0"/>
              <w:jc w:val="center"/>
              <w:rPr>
                <w:rFonts w:ascii="Calibri" w:hAnsi="Calibri" w:cs="Calibri" w:eastAsia="Calibri" w:hint="default"/>
                <w:sz w:val="16"/>
                <w:szCs w:val="16"/>
              </w:rPr>
            </w:pPr>
            <w:r>
              <w:rPr>
                <w:rFonts w:ascii="Calibri"/>
                <w:w w:val="110"/>
                <w:sz w:val="16"/>
              </w:rPr>
              <w:t>4</w:t>
            </w:r>
            <w:r>
              <w:rPr>
                <w:rFonts w:ascii="Calibri"/>
                <w:sz w:val="16"/>
              </w:rPr>
            </w:r>
          </w:p>
        </w:tc>
        <w:tc>
          <w:tcPr>
            <w:tcW w:w="575" w:type="dxa"/>
            <w:tcBorders>
              <w:top w:val="nil" w:sz="6" w:space="0" w:color="auto"/>
              <w:left w:val="nil" w:sz="6" w:space="0" w:color="auto"/>
              <w:bottom w:val="nil" w:sz="6" w:space="0" w:color="auto"/>
              <w:right w:val="nil" w:sz="6" w:space="0" w:color="auto"/>
            </w:tcBorders>
          </w:tcPr>
          <w:p>
            <w:pPr>
              <w:pStyle w:val="TableParagraph"/>
              <w:spacing w:line="193" w:lineRule="exact"/>
              <w:ind w:left="12" w:right="0"/>
              <w:jc w:val="center"/>
              <w:rPr>
                <w:rFonts w:ascii="Calibri" w:hAnsi="Calibri" w:cs="Calibri" w:eastAsia="Calibri" w:hint="default"/>
                <w:sz w:val="16"/>
                <w:szCs w:val="16"/>
              </w:rPr>
            </w:pPr>
            <w:r>
              <w:rPr>
                <w:rFonts w:ascii="Calibri"/>
                <w:w w:val="110"/>
                <w:sz w:val="16"/>
              </w:rPr>
              <w:t>2</w:t>
            </w:r>
            <w:r>
              <w:rPr>
                <w:rFonts w:ascii="Calibri"/>
                <w:sz w:val="16"/>
              </w:rPr>
            </w:r>
          </w:p>
        </w:tc>
        <w:tc>
          <w:tcPr>
            <w:tcW w:w="798" w:type="dxa"/>
            <w:tcBorders>
              <w:top w:val="nil" w:sz="6" w:space="0" w:color="auto"/>
              <w:left w:val="nil" w:sz="6" w:space="0" w:color="auto"/>
              <w:bottom w:val="nil" w:sz="6" w:space="0" w:color="auto"/>
              <w:right w:val="nil" w:sz="6" w:space="0" w:color="auto"/>
            </w:tcBorders>
          </w:tcPr>
          <w:p>
            <w:pPr>
              <w:pStyle w:val="TableParagraph"/>
              <w:spacing w:line="193" w:lineRule="exact"/>
              <w:ind w:right="9"/>
              <w:jc w:val="center"/>
              <w:rPr>
                <w:rFonts w:ascii="Calibri" w:hAnsi="Calibri" w:cs="Calibri" w:eastAsia="Calibri" w:hint="default"/>
                <w:sz w:val="16"/>
                <w:szCs w:val="16"/>
              </w:rPr>
            </w:pPr>
            <w:r>
              <w:rPr>
                <w:rFonts w:ascii="Calibri"/>
                <w:w w:val="110"/>
                <w:sz w:val="16"/>
              </w:rPr>
              <w:t>3</w:t>
            </w:r>
            <w:r>
              <w:rPr>
                <w:rFonts w:ascii="Calibri"/>
                <w:sz w:val="16"/>
              </w:rPr>
            </w:r>
          </w:p>
        </w:tc>
        <w:tc>
          <w:tcPr>
            <w:tcW w:w="954" w:type="dxa"/>
            <w:tcBorders>
              <w:top w:val="nil" w:sz="6" w:space="0" w:color="auto"/>
              <w:left w:val="nil" w:sz="6" w:space="0" w:color="auto"/>
              <w:bottom w:val="nil" w:sz="6" w:space="0" w:color="auto"/>
              <w:right w:val="nil" w:sz="6" w:space="0" w:color="auto"/>
            </w:tcBorders>
          </w:tcPr>
          <w:p>
            <w:pPr>
              <w:pStyle w:val="TableParagraph"/>
              <w:spacing w:line="193" w:lineRule="exact"/>
              <w:ind w:right="15"/>
              <w:jc w:val="center"/>
              <w:rPr>
                <w:rFonts w:ascii="Calibri" w:hAnsi="Calibri" w:cs="Calibri" w:eastAsia="Calibri" w:hint="default"/>
                <w:sz w:val="16"/>
                <w:szCs w:val="16"/>
              </w:rPr>
            </w:pPr>
            <w:r>
              <w:rPr>
                <w:rFonts w:ascii="Calibri"/>
                <w:w w:val="110"/>
                <w:sz w:val="16"/>
              </w:rPr>
              <w:t>4</w:t>
            </w:r>
            <w:r>
              <w:rPr>
                <w:rFonts w:ascii="Calibri"/>
                <w:sz w:val="16"/>
              </w:rPr>
            </w:r>
          </w:p>
        </w:tc>
        <w:tc>
          <w:tcPr>
            <w:tcW w:w="587" w:type="dxa"/>
            <w:tcBorders>
              <w:top w:val="nil" w:sz="6" w:space="0" w:color="auto"/>
              <w:left w:val="nil" w:sz="6" w:space="0" w:color="auto"/>
              <w:bottom w:val="nil" w:sz="6" w:space="0" w:color="auto"/>
              <w:right w:val="nil" w:sz="6" w:space="0" w:color="auto"/>
            </w:tcBorders>
          </w:tcPr>
          <w:p>
            <w:pPr>
              <w:pStyle w:val="TableParagraph"/>
              <w:spacing w:line="193" w:lineRule="exact"/>
              <w:ind w:right="0"/>
              <w:jc w:val="center"/>
              <w:rPr>
                <w:rFonts w:ascii="Calibri" w:hAnsi="Calibri" w:cs="Calibri" w:eastAsia="Calibri" w:hint="default"/>
                <w:sz w:val="16"/>
                <w:szCs w:val="16"/>
              </w:rPr>
            </w:pPr>
            <w:r>
              <w:rPr>
                <w:rFonts w:ascii="Calibri"/>
                <w:w w:val="110"/>
                <w:sz w:val="16"/>
              </w:rPr>
              <w:t>3</w:t>
            </w:r>
            <w:r>
              <w:rPr>
                <w:rFonts w:ascii="Calibri"/>
                <w:sz w:val="16"/>
              </w:rPr>
            </w:r>
          </w:p>
        </w:tc>
      </w:tr>
      <w:tr>
        <w:trPr>
          <w:trHeight w:val="218" w:hRule="exact"/>
        </w:trPr>
        <w:tc>
          <w:tcPr>
            <w:tcW w:w="2046" w:type="dxa"/>
            <w:tcBorders>
              <w:top w:val="nil" w:sz="6" w:space="0" w:color="auto"/>
              <w:left w:val="nil" w:sz="6" w:space="0" w:color="auto"/>
              <w:bottom w:val="nil" w:sz="6" w:space="0" w:color="auto"/>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w w:val="110"/>
                <w:sz w:val="16"/>
              </w:rPr>
              <w:t>Cuba</w:t>
            </w:r>
            <w:r>
              <w:rPr>
                <w:rFonts w:ascii="Calibri"/>
                <w:sz w:val="16"/>
              </w:rPr>
            </w:r>
          </w:p>
        </w:tc>
        <w:tc>
          <w:tcPr>
            <w:tcW w:w="1230" w:type="dxa"/>
            <w:tcBorders>
              <w:top w:val="nil" w:sz="6" w:space="0" w:color="auto"/>
              <w:left w:val="nil" w:sz="6" w:space="0" w:color="auto"/>
              <w:bottom w:val="nil" w:sz="6" w:space="0" w:color="auto"/>
              <w:right w:val="nil" w:sz="6" w:space="0" w:color="auto"/>
            </w:tcBorders>
          </w:tcPr>
          <w:p>
            <w:pPr>
              <w:pStyle w:val="TableParagraph"/>
              <w:spacing w:line="193" w:lineRule="exact"/>
              <w:ind w:left="124" w:right="0"/>
              <w:jc w:val="center"/>
              <w:rPr>
                <w:rFonts w:ascii="Calibri" w:hAnsi="Calibri" w:cs="Calibri" w:eastAsia="Calibri" w:hint="default"/>
                <w:sz w:val="16"/>
                <w:szCs w:val="16"/>
              </w:rPr>
            </w:pPr>
            <w:r>
              <w:rPr>
                <w:rFonts w:ascii="Calibri"/>
                <w:spacing w:val="-8"/>
                <w:w w:val="110"/>
                <w:sz w:val="16"/>
              </w:rPr>
              <w:t>15</w:t>
            </w:r>
            <w:r>
              <w:rPr>
                <w:rFonts w:ascii="Calibri"/>
                <w:sz w:val="16"/>
              </w:rPr>
            </w:r>
          </w:p>
        </w:tc>
        <w:tc>
          <w:tcPr>
            <w:tcW w:w="1293" w:type="dxa"/>
            <w:tcBorders>
              <w:top w:val="nil" w:sz="6" w:space="0" w:color="auto"/>
              <w:left w:val="nil" w:sz="6" w:space="0" w:color="auto"/>
              <w:bottom w:val="nil" w:sz="6" w:space="0" w:color="auto"/>
              <w:right w:val="nil" w:sz="6" w:space="0" w:color="auto"/>
            </w:tcBorders>
          </w:tcPr>
          <w:p>
            <w:pPr>
              <w:pStyle w:val="TableParagraph"/>
              <w:spacing w:line="193" w:lineRule="exact"/>
              <w:ind w:right="0"/>
              <w:jc w:val="center"/>
              <w:rPr>
                <w:rFonts w:ascii="Calibri" w:hAnsi="Calibri" w:cs="Calibri" w:eastAsia="Calibri" w:hint="default"/>
                <w:sz w:val="16"/>
                <w:szCs w:val="16"/>
              </w:rPr>
            </w:pPr>
            <w:r>
              <w:rPr>
                <w:rFonts w:ascii="Calibri"/>
                <w:spacing w:val="-8"/>
                <w:w w:val="110"/>
                <w:sz w:val="16"/>
              </w:rPr>
              <w:t>16</w:t>
            </w:r>
            <w:r>
              <w:rPr>
                <w:rFonts w:ascii="Calibri"/>
                <w:sz w:val="16"/>
              </w:rPr>
            </w:r>
          </w:p>
        </w:tc>
        <w:tc>
          <w:tcPr>
            <w:tcW w:w="575" w:type="dxa"/>
            <w:tcBorders>
              <w:top w:val="nil" w:sz="6" w:space="0" w:color="auto"/>
              <w:left w:val="nil" w:sz="6" w:space="0" w:color="auto"/>
              <w:bottom w:val="nil" w:sz="6" w:space="0" w:color="auto"/>
              <w:right w:val="nil" w:sz="6" w:space="0" w:color="auto"/>
            </w:tcBorders>
          </w:tcPr>
          <w:p>
            <w:pPr>
              <w:pStyle w:val="TableParagraph"/>
              <w:spacing w:line="193" w:lineRule="exact"/>
              <w:ind w:left="15" w:right="0"/>
              <w:jc w:val="center"/>
              <w:rPr>
                <w:rFonts w:ascii="Calibri" w:hAnsi="Calibri" w:cs="Calibri" w:eastAsia="Calibri" w:hint="default"/>
                <w:sz w:val="16"/>
                <w:szCs w:val="16"/>
              </w:rPr>
            </w:pPr>
            <w:r>
              <w:rPr>
                <w:rFonts w:ascii="Calibri"/>
                <w:spacing w:val="-8"/>
                <w:w w:val="110"/>
                <w:sz w:val="16"/>
              </w:rPr>
              <w:t>15</w:t>
            </w:r>
            <w:r>
              <w:rPr>
                <w:rFonts w:ascii="Calibri"/>
                <w:sz w:val="16"/>
              </w:rPr>
            </w:r>
          </w:p>
        </w:tc>
        <w:tc>
          <w:tcPr>
            <w:tcW w:w="798" w:type="dxa"/>
            <w:tcBorders>
              <w:top w:val="nil" w:sz="6" w:space="0" w:color="auto"/>
              <w:left w:val="nil" w:sz="6" w:space="0" w:color="auto"/>
              <w:bottom w:val="nil" w:sz="6" w:space="0" w:color="auto"/>
              <w:right w:val="nil" w:sz="6" w:space="0" w:color="auto"/>
            </w:tcBorders>
          </w:tcPr>
          <w:p>
            <w:pPr>
              <w:pStyle w:val="TableParagraph"/>
              <w:spacing w:line="193" w:lineRule="exact"/>
              <w:ind w:right="28"/>
              <w:jc w:val="center"/>
              <w:rPr>
                <w:rFonts w:ascii="Calibri" w:hAnsi="Calibri" w:cs="Calibri" w:eastAsia="Calibri" w:hint="default"/>
                <w:sz w:val="16"/>
                <w:szCs w:val="16"/>
              </w:rPr>
            </w:pPr>
            <w:r>
              <w:rPr>
                <w:rFonts w:ascii="Calibri"/>
                <w:spacing w:val="-8"/>
                <w:w w:val="110"/>
                <w:sz w:val="16"/>
              </w:rPr>
              <w:t>13</w:t>
            </w:r>
            <w:r>
              <w:rPr>
                <w:rFonts w:ascii="Calibri"/>
                <w:sz w:val="16"/>
              </w:rPr>
            </w:r>
          </w:p>
        </w:tc>
        <w:tc>
          <w:tcPr>
            <w:tcW w:w="954" w:type="dxa"/>
            <w:tcBorders>
              <w:top w:val="nil" w:sz="6" w:space="0" w:color="auto"/>
              <w:left w:val="nil" w:sz="6" w:space="0" w:color="auto"/>
              <w:bottom w:val="nil" w:sz="6" w:space="0" w:color="auto"/>
              <w:right w:val="nil" w:sz="6" w:space="0" w:color="auto"/>
            </w:tcBorders>
          </w:tcPr>
          <w:p>
            <w:pPr>
              <w:pStyle w:val="TableParagraph"/>
              <w:spacing w:line="193" w:lineRule="exact"/>
              <w:ind w:right="11"/>
              <w:jc w:val="center"/>
              <w:rPr>
                <w:rFonts w:ascii="Calibri" w:hAnsi="Calibri" w:cs="Calibri" w:eastAsia="Calibri" w:hint="default"/>
                <w:sz w:val="16"/>
                <w:szCs w:val="16"/>
              </w:rPr>
            </w:pPr>
            <w:r>
              <w:rPr>
                <w:rFonts w:ascii="Calibri"/>
                <w:spacing w:val="-8"/>
                <w:w w:val="110"/>
                <w:sz w:val="16"/>
              </w:rPr>
              <w:t>13</w:t>
            </w:r>
            <w:r>
              <w:rPr>
                <w:rFonts w:ascii="Calibri"/>
                <w:sz w:val="16"/>
              </w:rPr>
            </w:r>
          </w:p>
        </w:tc>
        <w:tc>
          <w:tcPr>
            <w:tcW w:w="587" w:type="dxa"/>
            <w:tcBorders>
              <w:top w:val="nil" w:sz="6" w:space="0" w:color="auto"/>
              <w:left w:val="nil" w:sz="6" w:space="0" w:color="auto"/>
              <w:bottom w:val="nil" w:sz="6" w:space="0" w:color="auto"/>
              <w:right w:val="nil" w:sz="6" w:space="0" w:color="auto"/>
            </w:tcBorders>
          </w:tcPr>
          <w:p>
            <w:pPr>
              <w:pStyle w:val="TableParagraph"/>
              <w:spacing w:line="193" w:lineRule="exact"/>
              <w:ind w:left="5" w:right="0"/>
              <w:jc w:val="center"/>
              <w:rPr>
                <w:rFonts w:ascii="Calibri" w:hAnsi="Calibri" w:cs="Calibri" w:eastAsia="Calibri" w:hint="default"/>
                <w:sz w:val="16"/>
                <w:szCs w:val="16"/>
              </w:rPr>
            </w:pPr>
            <w:r>
              <w:rPr>
                <w:rFonts w:ascii="Calibri"/>
                <w:spacing w:val="-8"/>
                <w:w w:val="110"/>
                <w:sz w:val="16"/>
              </w:rPr>
              <w:t>12</w:t>
            </w:r>
            <w:r>
              <w:rPr>
                <w:rFonts w:ascii="Calibri"/>
                <w:sz w:val="16"/>
              </w:rPr>
            </w:r>
          </w:p>
        </w:tc>
      </w:tr>
      <w:tr>
        <w:trPr>
          <w:trHeight w:val="218" w:hRule="exact"/>
        </w:trPr>
        <w:tc>
          <w:tcPr>
            <w:tcW w:w="2046" w:type="dxa"/>
            <w:tcBorders>
              <w:top w:val="nil" w:sz="6" w:space="0" w:color="auto"/>
              <w:left w:val="nil" w:sz="6" w:space="0" w:color="auto"/>
              <w:bottom w:val="nil" w:sz="6" w:space="0" w:color="auto"/>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w w:val="110"/>
                <w:sz w:val="16"/>
              </w:rPr>
              <w:t>Puerto</w:t>
            </w:r>
            <w:r>
              <w:rPr>
                <w:rFonts w:ascii="Calibri"/>
                <w:spacing w:val="-8"/>
                <w:w w:val="110"/>
                <w:sz w:val="16"/>
              </w:rPr>
              <w:t> </w:t>
            </w:r>
            <w:r>
              <w:rPr>
                <w:rFonts w:ascii="Calibri"/>
                <w:w w:val="110"/>
                <w:sz w:val="16"/>
              </w:rPr>
              <w:t>Rico</w:t>
            </w:r>
            <w:r>
              <w:rPr>
                <w:rFonts w:ascii="Calibri"/>
                <w:sz w:val="16"/>
              </w:rPr>
            </w:r>
          </w:p>
        </w:tc>
        <w:tc>
          <w:tcPr>
            <w:tcW w:w="1230" w:type="dxa"/>
            <w:tcBorders>
              <w:top w:val="nil" w:sz="6" w:space="0" w:color="auto"/>
              <w:left w:val="nil" w:sz="6" w:space="0" w:color="auto"/>
              <w:bottom w:val="nil" w:sz="6" w:space="0" w:color="auto"/>
              <w:right w:val="nil" w:sz="6" w:space="0" w:color="auto"/>
            </w:tcBorders>
          </w:tcPr>
          <w:p>
            <w:pPr>
              <w:pStyle w:val="TableParagraph"/>
              <w:spacing w:line="193" w:lineRule="exact"/>
              <w:ind w:left="124" w:right="0"/>
              <w:jc w:val="center"/>
              <w:rPr>
                <w:rFonts w:ascii="Calibri" w:hAnsi="Calibri" w:cs="Calibri" w:eastAsia="Calibri" w:hint="default"/>
                <w:sz w:val="16"/>
                <w:szCs w:val="16"/>
              </w:rPr>
            </w:pPr>
            <w:r>
              <w:rPr>
                <w:rFonts w:ascii="Calibri"/>
                <w:spacing w:val="-8"/>
                <w:w w:val="110"/>
                <w:sz w:val="16"/>
              </w:rPr>
              <w:t>10</w:t>
            </w:r>
            <w:r>
              <w:rPr>
                <w:rFonts w:ascii="Calibri"/>
                <w:sz w:val="16"/>
              </w:rPr>
            </w:r>
          </w:p>
        </w:tc>
        <w:tc>
          <w:tcPr>
            <w:tcW w:w="1293" w:type="dxa"/>
            <w:tcBorders>
              <w:top w:val="nil" w:sz="6" w:space="0" w:color="auto"/>
              <w:left w:val="nil" w:sz="6" w:space="0" w:color="auto"/>
              <w:bottom w:val="nil" w:sz="6" w:space="0" w:color="auto"/>
              <w:right w:val="nil" w:sz="6" w:space="0" w:color="auto"/>
            </w:tcBorders>
          </w:tcPr>
          <w:p>
            <w:pPr>
              <w:pStyle w:val="TableParagraph"/>
              <w:spacing w:line="193" w:lineRule="exact"/>
              <w:ind w:left="18" w:right="0"/>
              <w:jc w:val="center"/>
              <w:rPr>
                <w:rFonts w:ascii="Calibri" w:hAnsi="Calibri" w:cs="Calibri" w:eastAsia="Calibri" w:hint="default"/>
                <w:sz w:val="16"/>
                <w:szCs w:val="16"/>
              </w:rPr>
            </w:pPr>
            <w:r>
              <w:rPr>
                <w:rFonts w:ascii="Calibri"/>
                <w:w w:val="110"/>
                <w:sz w:val="16"/>
              </w:rPr>
              <w:t>5</w:t>
            </w:r>
            <w:r>
              <w:rPr>
                <w:rFonts w:ascii="Calibri"/>
                <w:sz w:val="16"/>
              </w:rPr>
            </w:r>
          </w:p>
        </w:tc>
        <w:tc>
          <w:tcPr>
            <w:tcW w:w="575" w:type="dxa"/>
            <w:tcBorders>
              <w:top w:val="nil" w:sz="6" w:space="0" w:color="auto"/>
              <w:left w:val="nil" w:sz="6" w:space="0" w:color="auto"/>
              <w:bottom w:val="nil" w:sz="6" w:space="0" w:color="auto"/>
              <w:right w:val="nil" w:sz="6" w:space="0" w:color="auto"/>
            </w:tcBorders>
          </w:tcPr>
          <w:p>
            <w:pPr>
              <w:pStyle w:val="TableParagraph"/>
              <w:spacing w:line="193" w:lineRule="exact"/>
              <w:ind w:left="12" w:right="0"/>
              <w:jc w:val="center"/>
              <w:rPr>
                <w:rFonts w:ascii="Calibri" w:hAnsi="Calibri" w:cs="Calibri" w:eastAsia="Calibri" w:hint="default"/>
                <w:sz w:val="16"/>
                <w:szCs w:val="16"/>
              </w:rPr>
            </w:pPr>
            <w:r>
              <w:rPr>
                <w:rFonts w:ascii="Calibri"/>
                <w:w w:val="110"/>
                <w:sz w:val="16"/>
              </w:rPr>
              <w:t>6</w:t>
            </w:r>
            <w:r>
              <w:rPr>
                <w:rFonts w:ascii="Calibri"/>
                <w:sz w:val="16"/>
              </w:rPr>
            </w:r>
          </w:p>
        </w:tc>
        <w:tc>
          <w:tcPr>
            <w:tcW w:w="798" w:type="dxa"/>
            <w:tcBorders>
              <w:top w:val="nil" w:sz="6" w:space="0" w:color="auto"/>
              <w:left w:val="nil" w:sz="6" w:space="0" w:color="auto"/>
              <w:bottom w:val="nil" w:sz="6" w:space="0" w:color="auto"/>
              <w:right w:val="nil" w:sz="6" w:space="0" w:color="auto"/>
            </w:tcBorders>
          </w:tcPr>
          <w:p>
            <w:pPr>
              <w:pStyle w:val="TableParagraph"/>
              <w:spacing w:line="193" w:lineRule="exact"/>
              <w:ind w:right="9"/>
              <w:jc w:val="center"/>
              <w:rPr>
                <w:rFonts w:ascii="Calibri" w:hAnsi="Calibri" w:cs="Calibri" w:eastAsia="Calibri" w:hint="default"/>
                <w:sz w:val="16"/>
                <w:szCs w:val="16"/>
              </w:rPr>
            </w:pPr>
            <w:r>
              <w:rPr>
                <w:rFonts w:ascii="Calibri"/>
                <w:w w:val="110"/>
                <w:sz w:val="16"/>
              </w:rPr>
              <w:t>5</w:t>
            </w:r>
            <w:r>
              <w:rPr>
                <w:rFonts w:ascii="Calibri"/>
                <w:sz w:val="16"/>
              </w:rPr>
            </w:r>
          </w:p>
        </w:tc>
        <w:tc>
          <w:tcPr>
            <w:tcW w:w="954" w:type="dxa"/>
            <w:tcBorders>
              <w:top w:val="nil" w:sz="6" w:space="0" w:color="auto"/>
              <w:left w:val="nil" w:sz="6" w:space="0" w:color="auto"/>
              <w:bottom w:val="nil" w:sz="6" w:space="0" w:color="auto"/>
              <w:right w:val="nil" w:sz="6" w:space="0" w:color="auto"/>
            </w:tcBorders>
          </w:tcPr>
          <w:p>
            <w:pPr>
              <w:pStyle w:val="TableParagraph"/>
              <w:spacing w:line="193" w:lineRule="exact"/>
              <w:ind w:right="15"/>
              <w:jc w:val="center"/>
              <w:rPr>
                <w:rFonts w:ascii="Calibri" w:hAnsi="Calibri" w:cs="Calibri" w:eastAsia="Calibri" w:hint="default"/>
                <w:sz w:val="16"/>
                <w:szCs w:val="16"/>
              </w:rPr>
            </w:pPr>
            <w:r>
              <w:rPr>
                <w:rFonts w:ascii="Calibri"/>
                <w:w w:val="110"/>
                <w:sz w:val="16"/>
              </w:rPr>
              <w:t>7</w:t>
            </w:r>
            <w:r>
              <w:rPr>
                <w:rFonts w:ascii="Calibri"/>
                <w:sz w:val="16"/>
              </w:rPr>
            </w:r>
          </w:p>
        </w:tc>
        <w:tc>
          <w:tcPr>
            <w:tcW w:w="587" w:type="dxa"/>
            <w:tcBorders>
              <w:top w:val="nil" w:sz="6" w:space="0" w:color="auto"/>
              <w:left w:val="nil" w:sz="6" w:space="0" w:color="auto"/>
              <w:bottom w:val="nil" w:sz="6" w:space="0" w:color="auto"/>
              <w:right w:val="nil" w:sz="6" w:space="0" w:color="auto"/>
            </w:tcBorders>
          </w:tcPr>
          <w:p>
            <w:pPr>
              <w:pStyle w:val="TableParagraph"/>
              <w:spacing w:line="193" w:lineRule="exact"/>
              <w:ind w:right="0"/>
              <w:jc w:val="center"/>
              <w:rPr>
                <w:rFonts w:ascii="Calibri" w:hAnsi="Calibri" w:cs="Calibri" w:eastAsia="Calibri" w:hint="default"/>
                <w:sz w:val="16"/>
                <w:szCs w:val="16"/>
              </w:rPr>
            </w:pPr>
            <w:r>
              <w:rPr>
                <w:rFonts w:ascii="Calibri"/>
                <w:w w:val="110"/>
                <w:sz w:val="16"/>
              </w:rPr>
              <w:t>4</w:t>
            </w:r>
            <w:r>
              <w:rPr>
                <w:rFonts w:ascii="Calibri"/>
                <w:sz w:val="16"/>
              </w:rPr>
            </w:r>
          </w:p>
        </w:tc>
      </w:tr>
      <w:tr>
        <w:trPr>
          <w:trHeight w:val="218" w:hRule="exact"/>
        </w:trPr>
        <w:tc>
          <w:tcPr>
            <w:tcW w:w="2046" w:type="dxa"/>
            <w:tcBorders>
              <w:top w:val="nil" w:sz="6" w:space="0" w:color="auto"/>
              <w:left w:val="nil" w:sz="6" w:space="0" w:color="auto"/>
              <w:bottom w:val="nil" w:sz="6" w:space="0" w:color="auto"/>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w w:val="110"/>
                <w:sz w:val="16"/>
              </w:rPr>
              <w:t>Cayman</w:t>
            </w:r>
            <w:r>
              <w:rPr>
                <w:rFonts w:ascii="Calibri"/>
                <w:spacing w:val="-12"/>
                <w:w w:val="110"/>
                <w:sz w:val="16"/>
              </w:rPr>
              <w:t> </w:t>
            </w:r>
            <w:r>
              <w:rPr>
                <w:rFonts w:ascii="Calibri"/>
                <w:w w:val="110"/>
                <w:sz w:val="16"/>
              </w:rPr>
              <w:t>Islands</w:t>
            </w:r>
            <w:r>
              <w:rPr>
                <w:rFonts w:ascii="Calibri"/>
                <w:sz w:val="16"/>
              </w:rPr>
            </w:r>
          </w:p>
        </w:tc>
        <w:tc>
          <w:tcPr>
            <w:tcW w:w="1230" w:type="dxa"/>
            <w:tcBorders>
              <w:top w:val="nil" w:sz="6" w:space="0" w:color="auto"/>
              <w:left w:val="nil" w:sz="6" w:space="0" w:color="auto"/>
              <w:bottom w:val="nil" w:sz="6" w:space="0" w:color="auto"/>
              <w:right w:val="nil" w:sz="6" w:space="0" w:color="auto"/>
            </w:tcBorders>
          </w:tcPr>
          <w:p>
            <w:pPr>
              <w:pStyle w:val="TableParagraph"/>
              <w:spacing w:line="193" w:lineRule="exact"/>
              <w:ind w:left="119" w:right="0"/>
              <w:jc w:val="center"/>
              <w:rPr>
                <w:rFonts w:ascii="Calibri" w:hAnsi="Calibri" w:cs="Calibri" w:eastAsia="Calibri" w:hint="default"/>
                <w:sz w:val="16"/>
                <w:szCs w:val="16"/>
              </w:rPr>
            </w:pPr>
            <w:r>
              <w:rPr>
                <w:rFonts w:ascii="Calibri"/>
                <w:w w:val="110"/>
                <w:sz w:val="16"/>
              </w:rPr>
              <w:t>3</w:t>
            </w:r>
            <w:r>
              <w:rPr>
                <w:rFonts w:ascii="Calibri"/>
                <w:sz w:val="16"/>
              </w:rPr>
            </w:r>
          </w:p>
        </w:tc>
        <w:tc>
          <w:tcPr>
            <w:tcW w:w="1293" w:type="dxa"/>
            <w:tcBorders>
              <w:top w:val="nil" w:sz="6" w:space="0" w:color="auto"/>
              <w:left w:val="nil" w:sz="6" w:space="0" w:color="auto"/>
              <w:bottom w:val="nil" w:sz="6" w:space="0" w:color="auto"/>
              <w:right w:val="nil" w:sz="6" w:space="0" w:color="auto"/>
            </w:tcBorders>
          </w:tcPr>
          <w:p>
            <w:pPr>
              <w:pStyle w:val="TableParagraph"/>
              <w:spacing w:line="193" w:lineRule="exact"/>
              <w:ind w:left="18" w:right="0"/>
              <w:jc w:val="center"/>
              <w:rPr>
                <w:rFonts w:ascii="Calibri" w:hAnsi="Calibri" w:cs="Calibri" w:eastAsia="Calibri" w:hint="default"/>
                <w:sz w:val="16"/>
                <w:szCs w:val="16"/>
              </w:rPr>
            </w:pPr>
            <w:r>
              <w:rPr>
                <w:rFonts w:ascii="Calibri"/>
                <w:w w:val="110"/>
                <w:sz w:val="16"/>
              </w:rPr>
              <w:t>9</w:t>
            </w:r>
            <w:r>
              <w:rPr>
                <w:rFonts w:ascii="Calibri"/>
                <w:sz w:val="16"/>
              </w:rPr>
            </w:r>
          </w:p>
        </w:tc>
        <w:tc>
          <w:tcPr>
            <w:tcW w:w="575" w:type="dxa"/>
            <w:tcBorders>
              <w:top w:val="nil" w:sz="6" w:space="0" w:color="auto"/>
              <w:left w:val="nil" w:sz="6" w:space="0" w:color="auto"/>
              <w:bottom w:val="nil" w:sz="6" w:space="0" w:color="auto"/>
              <w:right w:val="nil" w:sz="6" w:space="0" w:color="auto"/>
            </w:tcBorders>
          </w:tcPr>
          <w:p>
            <w:pPr>
              <w:pStyle w:val="TableParagraph"/>
              <w:spacing w:line="193" w:lineRule="exact"/>
              <w:ind w:left="12" w:right="0"/>
              <w:jc w:val="center"/>
              <w:rPr>
                <w:rFonts w:ascii="Calibri" w:hAnsi="Calibri" w:cs="Calibri" w:eastAsia="Calibri" w:hint="default"/>
                <w:sz w:val="16"/>
                <w:szCs w:val="16"/>
              </w:rPr>
            </w:pPr>
            <w:r>
              <w:rPr>
                <w:rFonts w:ascii="Calibri"/>
                <w:w w:val="110"/>
                <w:sz w:val="16"/>
              </w:rPr>
              <w:t>5</w:t>
            </w:r>
            <w:r>
              <w:rPr>
                <w:rFonts w:ascii="Calibri"/>
                <w:sz w:val="16"/>
              </w:rPr>
            </w:r>
          </w:p>
        </w:tc>
        <w:tc>
          <w:tcPr>
            <w:tcW w:w="798" w:type="dxa"/>
            <w:tcBorders>
              <w:top w:val="nil" w:sz="6" w:space="0" w:color="auto"/>
              <w:left w:val="nil" w:sz="6" w:space="0" w:color="auto"/>
              <w:bottom w:val="nil" w:sz="6" w:space="0" w:color="auto"/>
              <w:right w:val="nil" w:sz="6" w:space="0" w:color="auto"/>
            </w:tcBorders>
          </w:tcPr>
          <w:p>
            <w:pPr>
              <w:pStyle w:val="TableParagraph"/>
              <w:spacing w:line="193" w:lineRule="exact"/>
              <w:ind w:right="9"/>
              <w:jc w:val="center"/>
              <w:rPr>
                <w:rFonts w:ascii="Calibri" w:hAnsi="Calibri" w:cs="Calibri" w:eastAsia="Calibri" w:hint="default"/>
                <w:sz w:val="16"/>
                <w:szCs w:val="16"/>
              </w:rPr>
            </w:pPr>
            <w:r>
              <w:rPr>
                <w:rFonts w:ascii="Calibri"/>
                <w:w w:val="110"/>
                <w:sz w:val="16"/>
              </w:rPr>
              <w:t>5</w:t>
            </w:r>
            <w:r>
              <w:rPr>
                <w:rFonts w:ascii="Calibri"/>
                <w:sz w:val="16"/>
              </w:rPr>
            </w:r>
          </w:p>
        </w:tc>
        <w:tc>
          <w:tcPr>
            <w:tcW w:w="954" w:type="dxa"/>
            <w:tcBorders>
              <w:top w:val="nil" w:sz="6" w:space="0" w:color="auto"/>
              <w:left w:val="nil" w:sz="6" w:space="0" w:color="auto"/>
              <w:bottom w:val="nil" w:sz="6" w:space="0" w:color="auto"/>
              <w:right w:val="nil" w:sz="6" w:space="0" w:color="auto"/>
            </w:tcBorders>
          </w:tcPr>
          <w:p>
            <w:pPr>
              <w:pStyle w:val="TableParagraph"/>
              <w:spacing w:line="193" w:lineRule="exact"/>
              <w:ind w:right="15"/>
              <w:jc w:val="center"/>
              <w:rPr>
                <w:rFonts w:ascii="Calibri" w:hAnsi="Calibri" w:cs="Calibri" w:eastAsia="Calibri" w:hint="default"/>
                <w:sz w:val="16"/>
                <w:szCs w:val="16"/>
              </w:rPr>
            </w:pPr>
            <w:r>
              <w:rPr>
                <w:rFonts w:ascii="Calibri"/>
                <w:w w:val="110"/>
                <w:sz w:val="16"/>
              </w:rPr>
              <w:t>3</w:t>
            </w:r>
            <w:r>
              <w:rPr>
                <w:rFonts w:ascii="Calibri"/>
                <w:sz w:val="16"/>
              </w:rPr>
            </w:r>
          </w:p>
        </w:tc>
        <w:tc>
          <w:tcPr>
            <w:tcW w:w="587" w:type="dxa"/>
            <w:tcBorders>
              <w:top w:val="nil" w:sz="6" w:space="0" w:color="auto"/>
              <w:left w:val="nil" w:sz="6" w:space="0" w:color="auto"/>
              <w:bottom w:val="nil" w:sz="6" w:space="0" w:color="auto"/>
              <w:right w:val="nil" w:sz="6" w:space="0" w:color="auto"/>
            </w:tcBorders>
          </w:tcPr>
          <w:p>
            <w:pPr>
              <w:pStyle w:val="TableParagraph"/>
              <w:spacing w:line="193" w:lineRule="exact"/>
              <w:ind w:right="0"/>
              <w:jc w:val="center"/>
              <w:rPr>
                <w:rFonts w:ascii="Calibri" w:hAnsi="Calibri" w:cs="Calibri" w:eastAsia="Calibri" w:hint="default"/>
                <w:sz w:val="16"/>
                <w:szCs w:val="16"/>
              </w:rPr>
            </w:pPr>
            <w:r>
              <w:rPr>
                <w:rFonts w:ascii="Calibri"/>
                <w:w w:val="110"/>
                <w:sz w:val="16"/>
              </w:rPr>
              <w:t>6</w:t>
            </w:r>
            <w:r>
              <w:rPr>
                <w:rFonts w:ascii="Calibri"/>
                <w:sz w:val="16"/>
              </w:rPr>
            </w:r>
          </w:p>
        </w:tc>
      </w:tr>
      <w:tr>
        <w:trPr>
          <w:trHeight w:val="218" w:hRule="exact"/>
        </w:trPr>
        <w:tc>
          <w:tcPr>
            <w:tcW w:w="2046" w:type="dxa"/>
            <w:tcBorders>
              <w:top w:val="nil" w:sz="6" w:space="0" w:color="auto"/>
              <w:left w:val="nil" w:sz="6" w:space="0" w:color="auto"/>
              <w:bottom w:val="nil" w:sz="6" w:space="0" w:color="auto"/>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w w:val="110"/>
                <w:sz w:val="16"/>
              </w:rPr>
              <w:t>Saint Martin/St.</w:t>
            </w:r>
            <w:r>
              <w:rPr>
                <w:rFonts w:ascii="Calibri"/>
                <w:spacing w:val="-21"/>
                <w:w w:val="110"/>
                <w:sz w:val="16"/>
              </w:rPr>
              <w:t> </w:t>
            </w:r>
            <w:r>
              <w:rPr>
                <w:rFonts w:ascii="Calibri"/>
                <w:spacing w:val="-3"/>
                <w:w w:val="110"/>
                <w:sz w:val="16"/>
              </w:rPr>
              <w:t>Maarten</w:t>
            </w:r>
            <w:r>
              <w:rPr>
                <w:rFonts w:ascii="Calibri"/>
                <w:spacing w:val="-3"/>
                <w:sz w:val="16"/>
              </w:rPr>
            </w:r>
          </w:p>
        </w:tc>
        <w:tc>
          <w:tcPr>
            <w:tcW w:w="1230" w:type="dxa"/>
            <w:tcBorders>
              <w:top w:val="nil" w:sz="6" w:space="0" w:color="auto"/>
              <w:left w:val="nil" w:sz="6" w:space="0" w:color="auto"/>
              <w:bottom w:val="nil" w:sz="6" w:space="0" w:color="auto"/>
              <w:right w:val="nil" w:sz="6" w:space="0" w:color="auto"/>
            </w:tcBorders>
          </w:tcPr>
          <w:p>
            <w:pPr>
              <w:pStyle w:val="TableParagraph"/>
              <w:spacing w:line="193" w:lineRule="exact"/>
              <w:ind w:left="119" w:right="0"/>
              <w:jc w:val="center"/>
              <w:rPr>
                <w:rFonts w:ascii="Calibri" w:hAnsi="Calibri" w:cs="Calibri" w:eastAsia="Calibri" w:hint="default"/>
                <w:sz w:val="16"/>
                <w:szCs w:val="16"/>
              </w:rPr>
            </w:pPr>
            <w:r>
              <w:rPr>
                <w:rFonts w:ascii="Calibri"/>
                <w:w w:val="110"/>
                <w:sz w:val="16"/>
              </w:rPr>
              <w:t>3</w:t>
            </w:r>
            <w:r>
              <w:rPr>
                <w:rFonts w:ascii="Calibri"/>
                <w:sz w:val="16"/>
              </w:rPr>
            </w:r>
          </w:p>
        </w:tc>
        <w:tc>
          <w:tcPr>
            <w:tcW w:w="1293" w:type="dxa"/>
            <w:tcBorders>
              <w:top w:val="nil" w:sz="6" w:space="0" w:color="auto"/>
              <w:left w:val="nil" w:sz="6" w:space="0" w:color="auto"/>
              <w:bottom w:val="nil" w:sz="6" w:space="0" w:color="auto"/>
              <w:right w:val="nil" w:sz="6" w:space="0" w:color="auto"/>
            </w:tcBorders>
          </w:tcPr>
          <w:p>
            <w:pPr>
              <w:pStyle w:val="TableParagraph"/>
              <w:spacing w:line="193" w:lineRule="exact"/>
              <w:ind w:right="0"/>
              <w:jc w:val="center"/>
              <w:rPr>
                <w:rFonts w:ascii="Calibri" w:hAnsi="Calibri" w:cs="Calibri" w:eastAsia="Calibri" w:hint="default"/>
                <w:sz w:val="16"/>
                <w:szCs w:val="16"/>
              </w:rPr>
            </w:pPr>
            <w:r>
              <w:rPr>
                <w:rFonts w:ascii="Calibri"/>
                <w:spacing w:val="-8"/>
                <w:w w:val="110"/>
                <w:sz w:val="16"/>
              </w:rPr>
              <w:t>12</w:t>
            </w:r>
            <w:r>
              <w:rPr>
                <w:rFonts w:ascii="Calibri"/>
                <w:sz w:val="16"/>
              </w:rPr>
            </w:r>
          </w:p>
        </w:tc>
        <w:tc>
          <w:tcPr>
            <w:tcW w:w="575" w:type="dxa"/>
            <w:tcBorders>
              <w:top w:val="nil" w:sz="6" w:space="0" w:color="auto"/>
              <w:left w:val="nil" w:sz="6" w:space="0" w:color="auto"/>
              <w:bottom w:val="nil" w:sz="6" w:space="0" w:color="auto"/>
              <w:right w:val="nil" w:sz="6" w:space="0" w:color="auto"/>
            </w:tcBorders>
          </w:tcPr>
          <w:p>
            <w:pPr>
              <w:pStyle w:val="TableParagraph"/>
              <w:spacing w:line="193" w:lineRule="exact"/>
              <w:ind w:left="12" w:right="0"/>
              <w:jc w:val="center"/>
              <w:rPr>
                <w:rFonts w:ascii="Calibri" w:hAnsi="Calibri" w:cs="Calibri" w:eastAsia="Calibri" w:hint="default"/>
                <w:sz w:val="16"/>
                <w:szCs w:val="16"/>
              </w:rPr>
            </w:pPr>
            <w:r>
              <w:rPr>
                <w:rFonts w:ascii="Calibri"/>
                <w:w w:val="110"/>
                <w:sz w:val="16"/>
              </w:rPr>
              <w:t>8</w:t>
            </w:r>
            <w:r>
              <w:rPr>
                <w:rFonts w:ascii="Calibri"/>
                <w:sz w:val="16"/>
              </w:rPr>
            </w:r>
          </w:p>
        </w:tc>
        <w:tc>
          <w:tcPr>
            <w:tcW w:w="798" w:type="dxa"/>
            <w:tcBorders>
              <w:top w:val="nil" w:sz="6" w:space="0" w:color="auto"/>
              <w:left w:val="nil" w:sz="6" w:space="0" w:color="auto"/>
              <w:bottom w:val="nil" w:sz="6" w:space="0" w:color="auto"/>
              <w:right w:val="nil" w:sz="6" w:space="0" w:color="auto"/>
            </w:tcBorders>
          </w:tcPr>
          <w:p>
            <w:pPr>
              <w:pStyle w:val="TableParagraph"/>
              <w:spacing w:line="193" w:lineRule="exact"/>
              <w:ind w:right="9"/>
              <w:jc w:val="center"/>
              <w:rPr>
                <w:rFonts w:ascii="Calibri" w:hAnsi="Calibri" w:cs="Calibri" w:eastAsia="Calibri" w:hint="default"/>
                <w:sz w:val="16"/>
                <w:szCs w:val="16"/>
              </w:rPr>
            </w:pPr>
            <w:r>
              <w:rPr>
                <w:rFonts w:ascii="Calibri"/>
                <w:w w:val="110"/>
                <w:sz w:val="16"/>
              </w:rPr>
              <w:t>7</w:t>
            </w:r>
            <w:r>
              <w:rPr>
                <w:rFonts w:ascii="Calibri"/>
                <w:sz w:val="16"/>
              </w:rPr>
            </w:r>
          </w:p>
        </w:tc>
        <w:tc>
          <w:tcPr>
            <w:tcW w:w="954" w:type="dxa"/>
            <w:tcBorders>
              <w:top w:val="nil" w:sz="6" w:space="0" w:color="auto"/>
              <w:left w:val="nil" w:sz="6" w:space="0" w:color="auto"/>
              <w:bottom w:val="nil" w:sz="6" w:space="0" w:color="auto"/>
              <w:right w:val="nil" w:sz="6" w:space="0" w:color="auto"/>
            </w:tcBorders>
          </w:tcPr>
          <w:p>
            <w:pPr>
              <w:pStyle w:val="TableParagraph"/>
              <w:spacing w:line="193" w:lineRule="exact"/>
              <w:ind w:right="11"/>
              <w:jc w:val="center"/>
              <w:rPr>
                <w:rFonts w:ascii="Calibri" w:hAnsi="Calibri" w:cs="Calibri" w:eastAsia="Calibri" w:hint="default"/>
                <w:sz w:val="16"/>
                <w:szCs w:val="16"/>
              </w:rPr>
            </w:pPr>
            <w:r>
              <w:rPr>
                <w:rFonts w:ascii="Calibri"/>
                <w:spacing w:val="-8"/>
                <w:w w:val="110"/>
                <w:sz w:val="16"/>
              </w:rPr>
              <w:t>13</w:t>
            </w:r>
            <w:r>
              <w:rPr>
                <w:rFonts w:ascii="Calibri"/>
                <w:sz w:val="16"/>
              </w:rPr>
            </w:r>
          </w:p>
        </w:tc>
        <w:tc>
          <w:tcPr>
            <w:tcW w:w="587" w:type="dxa"/>
            <w:tcBorders>
              <w:top w:val="nil" w:sz="6" w:space="0" w:color="auto"/>
              <w:left w:val="nil" w:sz="6" w:space="0" w:color="auto"/>
              <w:bottom w:val="nil" w:sz="6" w:space="0" w:color="auto"/>
              <w:right w:val="nil" w:sz="6" w:space="0" w:color="auto"/>
            </w:tcBorders>
          </w:tcPr>
          <w:p>
            <w:pPr>
              <w:pStyle w:val="TableParagraph"/>
              <w:spacing w:line="193" w:lineRule="exact"/>
              <w:ind w:right="0"/>
              <w:jc w:val="center"/>
              <w:rPr>
                <w:rFonts w:ascii="Calibri" w:hAnsi="Calibri" w:cs="Calibri" w:eastAsia="Calibri" w:hint="default"/>
                <w:sz w:val="16"/>
                <w:szCs w:val="16"/>
              </w:rPr>
            </w:pPr>
            <w:r>
              <w:rPr>
                <w:rFonts w:ascii="Calibri"/>
                <w:w w:val="110"/>
                <w:sz w:val="16"/>
              </w:rPr>
              <w:t>7</w:t>
            </w:r>
            <w:r>
              <w:rPr>
                <w:rFonts w:ascii="Calibri"/>
                <w:sz w:val="16"/>
              </w:rPr>
            </w:r>
          </w:p>
        </w:tc>
      </w:tr>
      <w:tr>
        <w:trPr>
          <w:trHeight w:val="218" w:hRule="exact"/>
        </w:trPr>
        <w:tc>
          <w:tcPr>
            <w:tcW w:w="2046" w:type="dxa"/>
            <w:tcBorders>
              <w:top w:val="nil" w:sz="6" w:space="0" w:color="auto"/>
              <w:left w:val="nil" w:sz="6" w:space="0" w:color="auto"/>
              <w:bottom w:val="nil" w:sz="6" w:space="0" w:color="auto"/>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w w:val="110"/>
                <w:sz w:val="16"/>
              </w:rPr>
              <w:t>Barbados</w:t>
            </w:r>
            <w:r>
              <w:rPr>
                <w:rFonts w:ascii="Calibri"/>
                <w:sz w:val="16"/>
              </w:rPr>
            </w:r>
          </w:p>
        </w:tc>
        <w:tc>
          <w:tcPr>
            <w:tcW w:w="1230" w:type="dxa"/>
            <w:tcBorders>
              <w:top w:val="nil" w:sz="6" w:space="0" w:color="auto"/>
              <w:left w:val="nil" w:sz="6" w:space="0" w:color="auto"/>
              <w:bottom w:val="nil" w:sz="6" w:space="0" w:color="auto"/>
              <w:right w:val="nil" w:sz="6" w:space="0" w:color="auto"/>
            </w:tcBorders>
          </w:tcPr>
          <w:p>
            <w:pPr>
              <w:pStyle w:val="TableParagraph"/>
              <w:spacing w:line="193" w:lineRule="exact"/>
              <w:ind w:left="124" w:right="0"/>
              <w:jc w:val="center"/>
              <w:rPr>
                <w:rFonts w:ascii="Calibri" w:hAnsi="Calibri" w:cs="Calibri" w:eastAsia="Calibri" w:hint="default"/>
                <w:sz w:val="16"/>
                <w:szCs w:val="16"/>
              </w:rPr>
            </w:pPr>
            <w:r>
              <w:rPr>
                <w:rFonts w:ascii="Calibri"/>
                <w:spacing w:val="-8"/>
                <w:w w:val="110"/>
                <w:sz w:val="16"/>
              </w:rPr>
              <w:t>13</w:t>
            </w:r>
            <w:r>
              <w:rPr>
                <w:rFonts w:ascii="Calibri"/>
                <w:sz w:val="16"/>
              </w:rPr>
            </w:r>
          </w:p>
        </w:tc>
        <w:tc>
          <w:tcPr>
            <w:tcW w:w="1293" w:type="dxa"/>
            <w:tcBorders>
              <w:top w:val="nil" w:sz="6" w:space="0" w:color="auto"/>
              <w:left w:val="nil" w:sz="6" w:space="0" w:color="auto"/>
              <w:bottom w:val="nil" w:sz="6" w:space="0" w:color="auto"/>
              <w:right w:val="nil" w:sz="6" w:space="0" w:color="auto"/>
            </w:tcBorders>
          </w:tcPr>
          <w:p>
            <w:pPr>
              <w:pStyle w:val="TableParagraph"/>
              <w:spacing w:line="193" w:lineRule="exact"/>
              <w:ind w:right="0"/>
              <w:jc w:val="center"/>
              <w:rPr>
                <w:rFonts w:ascii="Calibri" w:hAnsi="Calibri" w:cs="Calibri" w:eastAsia="Calibri" w:hint="default"/>
                <w:sz w:val="16"/>
                <w:szCs w:val="16"/>
              </w:rPr>
            </w:pPr>
            <w:r>
              <w:rPr>
                <w:rFonts w:ascii="Calibri"/>
                <w:spacing w:val="-8"/>
                <w:w w:val="110"/>
                <w:sz w:val="16"/>
              </w:rPr>
              <w:t>11</w:t>
            </w:r>
            <w:r>
              <w:rPr>
                <w:rFonts w:ascii="Calibri"/>
                <w:sz w:val="16"/>
              </w:rPr>
            </w:r>
          </w:p>
        </w:tc>
        <w:tc>
          <w:tcPr>
            <w:tcW w:w="575" w:type="dxa"/>
            <w:tcBorders>
              <w:top w:val="nil" w:sz="6" w:space="0" w:color="auto"/>
              <w:left w:val="nil" w:sz="6" w:space="0" w:color="auto"/>
              <w:bottom w:val="nil" w:sz="6" w:space="0" w:color="auto"/>
              <w:right w:val="nil" w:sz="6" w:space="0" w:color="auto"/>
            </w:tcBorders>
          </w:tcPr>
          <w:p>
            <w:pPr>
              <w:pStyle w:val="TableParagraph"/>
              <w:spacing w:line="193" w:lineRule="exact"/>
              <w:ind w:left="15" w:right="0"/>
              <w:jc w:val="center"/>
              <w:rPr>
                <w:rFonts w:ascii="Calibri" w:hAnsi="Calibri" w:cs="Calibri" w:eastAsia="Calibri" w:hint="default"/>
                <w:sz w:val="16"/>
                <w:szCs w:val="16"/>
              </w:rPr>
            </w:pPr>
            <w:r>
              <w:rPr>
                <w:rFonts w:ascii="Calibri"/>
                <w:spacing w:val="-8"/>
                <w:w w:val="110"/>
                <w:sz w:val="16"/>
              </w:rPr>
              <w:t>10</w:t>
            </w:r>
            <w:r>
              <w:rPr>
                <w:rFonts w:ascii="Calibri"/>
                <w:sz w:val="16"/>
              </w:rPr>
            </w:r>
          </w:p>
        </w:tc>
        <w:tc>
          <w:tcPr>
            <w:tcW w:w="798" w:type="dxa"/>
            <w:tcBorders>
              <w:top w:val="nil" w:sz="6" w:space="0" w:color="auto"/>
              <w:left w:val="nil" w:sz="6" w:space="0" w:color="auto"/>
              <w:bottom w:val="nil" w:sz="6" w:space="0" w:color="auto"/>
              <w:right w:val="nil" w:sz="6" w:space="0" w:color="auto"/>
            </w:tcBorders>
          </w:tcPr>
          <w:p>
            <w:pPr>
              <w:pStyle w:val="TableParagraph"/>
              <w:spacing w:line="193" w:lineRule="exact"/>
              <w:ind w:right="28"/>
              <w:jc w:val="center"/>
              <w:rPr>
                <w:rFonts w:ascii="Calibri" w:hAnsi="Calibri" w:cs="Calibri" w:eastAsia="Calibri" w:hint="default"/>
                <w:sz w:val="16"/>
                <w:szCs w:val="16"/>
              </w:rPr>
            </w:pPr>
            <w:r>
              <w:rPr>
                <w:rFonts w:ascii="Calibri"/>
                <w:spacing w:val="-8"/>
                <w:w w:val="110"/>
                <w:sz w:val="16"/>
              </w:rPr>
              <w:t>11</w:t>
            </w:r>
            <w:r>
              <w:rPr>
                <w:rFonts w:ascii="Calibri"/>
                <w:sz w:val="16"/>
              </w:rPr>
            </w:r>
          </w:p>
        </w:tc>
        <w:tc>
          <w:tcPr>
            <w:tcW w:w="954" w:type="dxa"/>
            <w:tcBorders>
              <w:top w:val="nil" w:sz="6" w:space="0" w:color="auto"/>
              <w:left w:val="nil" w:sz="6" w:space="0" w:color="auto"/>
              <w:bottom w:val="nil" w:sz="6" w:space="0" w:color="auto"/>
              <w:right w:val="nil" w:sz="6" w:space="0" w:color="auto"/>
            </w:tcBorders>
          </w:tcPr>
          <w:p>
            <w:pPr>
              <w:pStyle w:val="TableParagraph"/>
              <w:spacing w:line="193" w:lineRule="exact"/>
              <w:ind w:right="15"/>
              <w:jc w:val="center"/>
              <w:rPr>
                <w:rFonts w:ascii="Calibri" w:hAnsi="Calibri" w:cs="Calibri" w:eastAsia="Calibri" w:hint="default"/>
                <w:sz w:val="16"/>
                <w:szCs w:val="16"/>
              </w:rPr>
            </w:pPr>
            <w:r>
              <w:rPr>
                <w:rFonts w:ascii="Calibri"/>
                <w:w w:val="110"/>
                <w:sz w:val="16"/>
              </w:rPr>
              <w:t>9</w:t>
            </w:r>
            <w:r>
              <w:rPr>
                <w:rFonts w:ascii="Calibri"/>
                <w:sz w:val="16"/>
              </w:rPr>
            </w:r>
          </w:p>
        </w:tc>
        <w:tc>
          <w:tcPr>
            <w:tcW w:w="587" w:type="dxa"/>
            <w:tcBorders>
              <w:top w:val="nil" w:sz="6" w:space="0" w:color="auto"/>
              <w:left w:val="nil" w:sz="6" w:space="0" w:color="auto"/>
              <w:bottom w:val="nil" w:sz="6" w:space="0" w:color="auto"/>
              <w:right w:val="nil" w:sz="6" w:space="0" w:color="auto"/>
            </w:tcBorders>
          </w:tcPr>
          <w:p>
            <w:pPr>
              <w:pStyle w:val="TableParagraph"/>
              <w:spacing w:line="193" w:lineRule="exact"/>
              <w:ind w:left="5" w:right="0"/>
              <w:jc w:val="center"/>
              <w:rPr>
                <w:rFonts w:ascii="Calibri" w:hAnsi="Calibri" w:cs="Calibri" w:eastAsia="Calibri" w:hint="default"/>
                <w:sz w:val="16"/>
                <w:szCs w:val="16"/>
              </w:rPr>
            </w:pPr>
            <w:r>
              <w:rPr>
                <w:rFonts w:ascii="Calibri"/>
                <w:spacing w:val="-8"/>
                <w:w w:val="110"/>
                <w:sz w:val="16"/>
              </w:rPr>
              <w:t>10</w:t>
            </w:r>
            <w:r>
              <w:rPr>
                <w:rFonts w:ascii="Calibri"/>
                <w:sz w:val="16"/>
              </w:rPr>
            </w:r>
          </w:p>
        </w:tc>
      </w:tr>
      <w:tr>
        <w:trPr>
          <w:trHeight w:val="218" w:hRule="exact"/>
        </w:trPr>
        <w:tc>
          <w:tcPr>
            <w:tcW w:w="2046" w:type="dxa"/>
            <w:tcBorders>
              <w:top w:val="nil" w:sz="6" w:space="0" w:color="auto"/>
              <w:left w:val="nil" w:sz="6" w:space="0" w:color="auto"/>
              <w:bottom w:val="nil" w:sz="6" w:space="0" w:color="auto"/>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w w:val="110"/>
                <w:sz w:val="16"/>
              </w:rPr>
              <w:t>Bermuda</w:t>
            </w:r>
            <w:r>
              <w:rPr>
                <w:rFonts w:ascii="Calibri"/>
                <w:sz w:val="16"/>
              </w:rPr>
            </w:r>
          </w:p>
        </w:tc>
        <w:tc>
          <w:tcPr>
            <w:tcW w:w="1230" w:type="dxa"/>
            <w:tcBorders>
              <w:top w:val="nil" w:sz="6" w:space="0" w:color="auto"/>
              <w:left w:val="nil" w:sz="6" w:space="0" w:color="auto"/>
              <w:bottom w:val="nil" w:sz="6" w:space="0" w:color="auto"/>
              <w:right w:val="nil" w:sz="6" w:space="0" w:color="auto"/>
            </w:tcBorders>
          </w:tcPr>
          <w:p>
            <w:pPr>
              <w:pStyle w:val="TableParagraph"/>
              <w:spacing w:line="193" w:lineRule="exact"/>
              <w:ind w:left="119" w:right="0"/>
              <w:jc w:val="center"/>
              <w:rPr>
                <w:rFonts w:ascii="Calibri" w:hAnsi="Calibri" w:cs="Calibri" w:eastAsia="Calibri" w:hint="default"/>
                <w:sz w:val="16"/>
                <w:szCs w:val="16"/>
              </w:rPr>
            </w:pPr>
            <w:r>
              <w:rPr>
                <w:rFonts w:ascii="Calibri"/>
                <w:w w:val="110"/>
                <w:sz w:val="16"/>
              </w:rPr>
              <w:t>2</w:t>
            </w:r>
            <w:r>
              <w:rPr>
                <w:rFonts w:ascii="Calibri"/>
                <w:sz w:val="16"/>
              </w:rPr>
            </w:r>
          </w:p>
        </w:tc>
        <w:tc>
          <w:tcPr>
            <w:tcW w:w="1293" w:type="dxa"/>
            <w:tcBorders>
              <w:top w:val="nil" w:sz="6" w:space="0" w:color="auto"/>
              <w:left w:val="nil" w:sz="6" w:space="0" w:color="auto"/>
              <w:bottom w:val="nil" w:sz="6" w:space="0" w:color="auto"/>
              <w:right w:val="nil" w:sz="6" w:space="0" w:color="auto"/>
            </w:tcBorders>
          </w:tcPr>
          <w:p>
            <w:pPr>
              <w:pStyle w:val="TableParagraph"/>
              <w:spacing w:line="193" w:lineRule="exact"/>
              <w:ind w:left="18" w:right="0"/>
              <w:jc w:val="center"/>
              <w:rPr>
                <w:rFonts w:ascii="Calibri" w:hAnsi="Calibri" w:cs="Calibri" w:eastAsia="Calibri" w:hint="default"/>
                <w:sz w:val="16"/>
                <w:szCs w:val="16"/>
              </w:rPr>
            </w:pPr>
            <w:r>
              <w:rPr>
                <w:rFonts w:ascii="Calibri"/>
                <w:w w:val="110"/>
                <w:sz w:val="16"/>
              </w:rPr>
              <w:t>7</w:t>
            </w:r>
            <w:r>
              <w:rPr>
                <w:rFonts w:ascii="Calibri"/>
                <w:sz w:val="16"/>
              </w:rPr>
            </w:r>
          </w:p>
        </w:tc>
        <w:tc>
          <w:tcPr>
            <w:tcW w:w="575" w:type="dxa"/>
            <w:tcBorders>
              <w:top w:val="nil" w:sz="6" w:space="0" w:color="auto"/>
              <w:left w:val="nil" w:sz="6" w:space="0" w:color="auto"/>
              <w:bottom w:val="nil" w:sz="6" w:space="0" w:color="auto"/>
              <w:right w:val="nil" w:sz="6" w:space="0" w:color="auto"/>
            </w:tcBorders>
          </w:tcPr>
          <w:p>
            <w:pPr>
              <w:pStyle w:val="TableParagraph"/>
              <w:spacing w:line="193" w:lineRule="exact"/>
              <w:ind w:left="12" w:right="0"/>
              <w:jc w:val="center"/>
              <w:rPr>
                <w:rFonts w:ascii="Calibri" w:hAnsi="Calibri" w:cs="Calibri" w:eastAsia="Calibri" w:hint="default"/>
                <w:sz w:val="16"/>
                <w:szCs w:val="16"/>
              </w:rPr>
            </w:pPr>
            <w:r>
              <w:rPr>
                <w:rFonts w:ascii="Calibri"/>
                <w:w w:val="110"/>
                <w:sz w:val="16"/>
              </w:rPr>
              <w:t>9</w:t>
            </w:r>
            <w:r>
              <w:rPr>
                <w:rFonts w:ascii="Calibri"/>
                <w:sz w:val="16"/>
              </w:rPr>
            </w:r>
          </w:p>
        </w:tc>
        <w:tc>
          <w:tcPr>
            <w:tcW w:w="798" w:type="dxa"/>
            <w:tcBorders>
              <w:top w:val="nil" w:sz="6" w:space="0" w:color="auto"/>
              <w:left w:val="nil" w:sz="6" w:space="0" w:color="auto"/>
              <w:bottom w:val="nil" w:sz="6" w:space="0" w:color="auto"/>
              <w:right w:val="nil" w:sz="6" w:space="0" w:color="auto"/>
            </w:tcBorders>
          </w:tcPr>
          <w:p>
            <w:pPr>
              <w:pStyle w:val="TableParagraph"/>
              <w:spacing w:line="193" w:lineRule="exact"/>
              <w:ind w:right="28"/>
              <w:jc w:val="center"/>
              <w:rPr>
                <w:rFonts w:ascii="Calibri" w:hAnsi="Calibri" w:cs="Calibri" w:eastAsia="Calibri" w:hint="default"/>
                <w:sz w:val="16"/>
                <w:szCs w:val="16"/>
              </w:rPr>
            </w:pPr>
            <w:r>
              <w:rPr>
                <w:rFonts w:ascii="Calibri"/>
                <w:spacing w:val="-8"/>
                <w:w w:val="110"/>
                <w:sz w:val="16"/>
              </w:rPr>
              <w:t>14</w:t>
            </w:r>
            <w:r>
              <w:rPr>
                <w:rFonts w:ascii="Calibri"/>
                <w:sz w:val="16"/>
              </w:rPr>
            </w:r>
          </w:p>
        </w:tc>
        <w:tc>
          <w:tcPr>
            <w:tcW w:w="954" w:type="dxa"/>
            <w:tcBorders>
              <w:top w:val="nil" w:sz="6" w:space="0" w:color="auto"/>
              <w:left w:val="nil" w:sz="6" w:space="0" w:color="auto"/>
              <w:bottom w:val="nil" w:sz="6" w:space="0" w:color="auto"/>
              <w:right w:val="nil" w:sz="6" w:space="0" w:color="auto"/>
            </w:tcBorders>
          </w:tcPr>
          <w:p>
            <w:pPr>
              <w:pStyle w:val="TableParagraph"/>
              <w:spacing w:line="193" w:lineRule="exact"/>
              <w:ind w:right="15"/>
              <w:jc w:val="center"/>
              <w:rPr>
                <w:rFonts w:ascii="Calibri" w:hAnsi="Calibri" w:cs="Calibri" w:eastAsia="Calibri" w:hint="default"/>
                <w:sz w:val="16"/>
                <w:szCs w:val="16"/>
              </w:rPr>
            </w:pPr>
            <w:r>
              <w:rPr>
                <w:rFonts w:ascii="Calibri"/>
                <w:w w:val="110"/>
                <w:sz w:val="16"/>
              </w:rPr>
              <w:t>9</w:t>
            </w:r>
            <w:r>
              <w:rPr>
                <w:rFonts w:ascii="Calibri"/>
                <w:sz w:val="16"/>
              </w:rPr>
            </w:r>
          </w:p>
        </w:tc>
        <w:tc>
          <w:tcPr>
            <w:tcW w:w="587" w:type="dxa"/>
            <w:tcBorders>
              <w:top w:val="nil" w:sz="6" w:space="0" w:color="auto"/>
              <w:left w:val="nil" w:sz="6" w:space="0" w:color="auto"/>
              <w:bottom w:val="nil" w:sz="6" w:space="0" w:color="auto"/>
              <w:right w:val="nil" w:sz="6" w:space="0" w:color="auto"/>
            </w:tcBorders>
          </w:tcPr>
          <w:p>
            <w:pPr>
              <w:pStyle w:val="TableParagraph"/>
              <w:spacing w:line="193" w:lineRule="exact"/>
              <w:ind w:left="5" w:right="0"/>
              <w:jc w:val="center"/>
              <w:rPr>
                <w:rFonts w:ascii="Calibri" w:hAnsi="Calibri" w:cs="Calibri" w:eastAsia="Calibri" w:hint="default"/>
                <w:sz w:val="16"/>
                <w:szCs w:val="16"/>
              </w:rPr>
            </w:pPr>
            <w:r>
              <w:rPr>
                <w:rFonts w:ascii="Calibri"/>
                <w:spacing w:val="-8"/>
                <w:w w:val="110"/>
                <w:sz w:val="16"/>
              </w:rPr>
              <w:t>14</w:t>
            </w:r>
            <w:r>
              <w:rPr>
                <w:rFonts w:ascii="Calibri"/>
                <w:sz w:val="16"/>
              </w:rPr>
            </w:r>
          </w:p>
        </w:tc>
      </w:tr>
      <w:tr>
        <w:trPr>
          <w:trHeight w:val="218" w:hRule="exact"/>
        </w:trPr>
        <w:tc>
          <w:tcPr>
            <w:tcW w:w="2046" w:type="dxa"/>
            <w:tcBorders>
              <w:top w:val="nil" w:sz="6" w:space="0" w:color="auto"/>
              <w:left w:val="nil" w:sz="6" w:space="0" w:color="auto"/>
              <w:bottom w:val="nil" w:sz="6" w:space="0" w:color="auto"/>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w w:val="110"/>
                <w:sz w:val="16"/>
              </w:rPr>
              <w:t>Turks</w:t>
            </w:r>
            <w:r>
              <w:rPr>
                <w:rFonts w:ascii="Calibri"/>
                <w:spacing w:val="-11"/>
                <w:w w:val="110"/>
                <w:sz w:val="16"/>
              </w:rPr>
              <w:t> </w:t>
            </w:r>
            <w:r>
              <w:rPr>
                <w:rFonts w:ascii="Calibri"/>
                <w:w w:val="110"/>
                <w:sz w:val="16"/>
              </w:rPr>
              <w:t>and</w:t>
            </w:r>
            <w:r>
              <w:rPr>
                <w:rFonts w:ascii="Calibri"/>
                <w:spacing w:val="-11"/>
                <w:w w:val="110"/>
                <w:sz w:val="16"/>
              </w:rPr>
              <w:t> </w:t>
            </w:r>
            <w:r>
              <w:rPr>
                <w:rFonts w:ascii="Calibri"/>
                <w:w w:val="110"/>
                <w:sz w:val="16"/>
              </w:rPr>
              <w:t>Caicos</w:t>
            </w:r>
            <w:r>
              <w:rPr>
                <w:rFonts w:ascii="Calibri"/>
                <w:spacing w:val="-11"/>
                <w:w w:val="110"/>
                <w:sz w:val="16"/>
              </w:rPr>
              <w:t> </w:t>
            </w:r>
            <w:r>
              <w:rPr>
                <w:rFonts w:ascii="Calibri"/>
                <w:w w:val="110"/>
                <w:sz w:val="16"/>
              </w:rPr>
              <w:t>Islands</w:t>
            </w:r>
            <w:r>
              <w:rPr>
                <w:rFonts w:ascii="Calibri"/>
                <w:sz w:val="16"/>
              </w:rPr>
            </w:r>
          </w:p>
        </w:tc>
        <w:tc>
          <w:tcPr>
            <w:tcW w:w="1230" w:type="dxa"/>
            <w:tcBorders>
              <w:top w:val="nil" w:sz="6" w:space="0" w:color="auto"/>
              <w:left w:val="nil" w:sz="6" w:space="0" w:color="auto"/>
              <w:bottom w:val="nil" w:sz="6" w:space="0" w:color="auto"/>
              <w:right w:val="nil" w:sz="6" w:space="0" w:color="auto"/>
            </w:tcBorders>
          </w:tcPr>
          <w:p>
            <w:pPr>
              <w:pStyle w:val="TableParagraph"/>
              <w:spacing w:line="193" w:lineRule="exact"/>
              <w:ind w:left="124" w:right="0"/>
              <w:jc w:val="center"/>
              <w:rPr>
                <w:rFonts w:ascii="Calibri" w:hAnsi="Calibri" w:cs="Calibri" w:eastAsia="Calibri" w:hint="default"/>
                <w:sz w:val="16"/>
                <w:szCs w:val="16"/>
              </w:rPr>
            </w:pPr>
            <w:r>
              <w:rPr>
                <w:rFonts w:ascii="Calibri"/>
                <w:spacing w:val="-8"/>
                <w:w w:val="110"/>
                <w:sz w:val="16"/>
              </w:rPr>
              <w:t>13</w:t>
            </w:r>
            <w:r>
              <w:rPr>
                <w:rFonts w:ascii="Calibri"/>
                <w:sz w:val="16"/>
              </w:rPr>
            </w:r>
          </w:p>
        </w:tc>
        <w:tc>
          <w:tcPr>
            <w:tcW w:w="1293" w:type="dxa"/>
            <w:tcBorders>
              <w:top w:val="nil" w:sz="6" w:space="0" w:color="auto"/>
              <w:left w:val="nil" w:sz="6" w:space="0" w:color="auto"/>
              <w:bottom w:val="nil" w:sz="6" w:space="0" w:color="auto"/>
              <w:right w:val="nil" w:sz="6" w:space="0" w:color="auto"/>
            </w:tcBorders>
          </w:tcPr>
          <w:p>
            <w:pPr>
              <w:pStyle w:val="TableParagraph"/>
              <w:spacing w:line="193" w:lineRule="exact"/>
              <w:ind w:left="18" w:right="0"/>
              <w:jc w:val="center"/>
              <w:rPr>
                <w:rFonts w:ascii="Calibri" w:hAnsi="Calibri" w:cs="Calibri" w:eastAsia="Calibri" w:hint="default"/>
                <w:sz w:val="16"/>
                <w:szCs w:val="16"/>
              </w:rPr>
            </w:pPr>
            <w:r>
              <w:rPr>
                <w:rFonts w:ascii="Calibri"/>
                <w:w w:val="110"/>
                <w:sz w:val="16"/>
              </w:rPr>
              <w:t>9</w:t>
            </w:r>
            <w:r>
              <w:rPr>
                <w:rFonts w:ascii="Calibri"/>
                <w:sz w:val="16"/>
              </w:rPr>
            </w:r>
          </w:p>
        </w:tc>
        <w:tc>
          <w:tcPr>
            <w:tcW w:w="575" w:type="dxa"/>
            <w:tcBorders>
              <w:top w:val="nil" w:sz="6" w:space="0" w:color="auto"/>
              <w:left w:val="nil" w:sz="6" w:space="0" w:color="auto"/>
              <w:bottom w:val="nil" w:sz="6" w:space="0" w:color="auto"/>
              <w:right w:val="nil" w:sz="6" w:space="0" w:color="auto"/>
            </w:tcBorders>
          </w:tcPr>
          <w:p>
            <w:pPr>
              <w:pStyle w:val="TableParagraph"/>
              <w:spacing w:line="193" w:lineRule="exact"/>
              <w:ind w:left="15" w:right="0"/>
              <w:jc w:val="center"/>
              <w:rPr>
                <w:rFonts w:ascii="Calibri" w:hAnsi="Calibri" w:cs="Calibri" w:eastAsia="Calibri" w:hint="default"/>
                <w:sz w:val="16"/>
                <w:szCs w:val="16"/>
              </w:rPr>
            </w:pPr>
            <w:r>
              <w:rPr>
                <w:rFonts w:ascii="Calibri"/>
                <w:spacing w:val="-8"/>
                <w:w w:val="110"/>
                <w:sz w:val="16"/>
              </w:rPr>
              <w:t>13</w:t>
            </w:r>
            <w:r>
              <w:rPr>
                <w:rFonts w:ascii="Calibri"/>
                <w:sz w:val="16"/>
              </w:rPr>
            </w:r>
          </w:p>
        </w:tc>
        <w:tc>
          <w:tcPr>
            <w:tcW w:w="798" w:type="dxa"/>
            <w:tcBorders>
              <w:top w:val="nil" w:sz="6" w:space="0" w:color="auto"/>
              <w:left w:val="nil" w:sz="6" w:space="0" w:color="auto"/>
              <w:bottom w:val="nil" w:sz="6" w:space="0" w:color="auto"/>
              <w:right w:val="nil" w:sz="6" w:space="0" w:color="auto"/>
            </w:tcBorders>
          </w:tcPr>
          <w:p>
            <w:pPr>
              <w:pStyle w:val="TableParagraph"/>
              <w:spacing w:line="193" w:lineRule="exact"/>
              <w:ind w:right="28"/>
              <w:jc w:val="center"/>
              <w:rPr>
                <w:rFonts w:ascii="Calibri" w:hAnsi="Calibri" w:cs="Calibri" w:eastAsia="Calibri" w:hint="default"/>
                <w:sz w:val="16"/>
                <w:szCs w:val="16"/>
              </w:rPr>
            </w:pPr>
            <w:r>
              <w:rPr>
                <w:rFonts w:ascii="Calibri"/>
                <w:spacing w:val="-8"/>
                <w:w w:val="110"/>
                <w:sz w:val="16"/>
              </w:rPr>
              <w:t>12</w:t>
            </w:r>
            <w:r>
              <w:rPr>
                <w:rFonts w:ascii="Calibri"/>
                <w:sz w:val="16"/>
              </w:rPr>
            </w:r>
          </w:p>
        </w:tc>
        <w:tc>
          <w:tcPr>
            <w:tcW w:w="954" w:type="dxa"/>
            <w:tcBorders>
              <w:top w:val="nil" w:sz="6" w:space="0" w:color="auto"/>
              <w:left w:val="nil" w:sz="6" w:space="0" w:color="auto"/>
              <w:bottom w:val="nil" w:sz="6" w:space="0" w:color="auto"/>
              <w:right w:val="nil" w:sz="6" w:space="0" w:color="auto"/>
            </w:tcBorders>
          </w:tcPr>
          <w:p>
            <w:pPr>
              <w:pStyle w:val="TableParagraph"/>
              <w:spacing w:line="193" w:lineRule="exact"/>
              <w:ind w:right="11"/>
              <w:jc w:val="center"/>
              <w:rPr>
                <w:rFonts w:ascii="Calibri" w:hAnsi="Calibri" w:cs="Calibri" w:eastAsia="Calibri" w:hint="default"/>
                <w:sz w:val="16"/>
                <w:szCs w:val="16"/>
              </w:rPr>
            </w:pPr>
            <w:r>
              <w:rPr>
                <w:rFonts w:ascii="Calibri"/>
                <w:spacing w:val="-8"/>
                <w:w w:val="110"/>
                <w:sz w:val="16"/>
              </w:rPr>
              <w:t>12</w:t>
            </w:r>
            <w:r>
              <w:rPr>
                <w:rFonts w:ascii="Calibri"/>
                <w:sz w:val="16"/>
              </w:rPr>
            </w:r>
          </w:p>
        </w:tc>
        <w:tc>
          <w:tcPr>
            <w:tcW w:w="587" w:type="dxa"/>
            <w:tcBorders>
              <w:top w:val="nil" w:sz="6" w:space="0" w:color="auto"/>
              <w:left w:val="nil" w:sz="6" w:space="0" w:color="auto"/>
              <w:bottom w:val="nil" w:sz="6" w:space="0" w:color="auto"/>
              <w:right w:val="nil" w:sz="6" w:space="0" w:color="auto"/>
            </w:tcBorders>
          </w:tcPr>
          <w:p>
            <w:pPr>
              <w:pStyle w:val="TableParagraph"/>
              <w:spacing w:line="193" w:lineRule="exact"/>
              <w:ind w:left="5" w:right="0"/>
              <w:jc w:val="center"/>
              <w:rPr>
                <w:rFonts w:ascii="Calibri" w:hAnsi="Calibri" w:cs="Calibri" w:eastAsia="Calibri" w:hint="default"/>
                <w:sz w:val="16"/>
                <w:szCs w:val="16"/>
              </w:rPr>
            </w:pPr>
            <w:r>
              <w:rPr>
                <w:rFonts w:ascii="Calibri"/>
                <w:spacing w:val="-8"/>
                <w:w w:val="110"/>
                <w:sz w:val="16"/>
              </w:rPr>
              <w:t>10</w:t>
            </w:r>
            <w:r>
              <w:rPr>
                <w:rFonts w:ascii="Calibri"/>
                <w:sz w:val="16"/>
              </w:rPr>
            </w:r>
          </w:p>
        </w:tc>
      </w:tr>
      <w:tr>
        <w:trPr>
          <w:trHeight w:val="218" w:hRule="exact"/>
        </w:trPr>
        <w:tc>
          <w:tcPr>
            <w:tcW w:w="2046" w:type="dxa"/>
            <w:tcBorders>
              <w:top w:val="nil" w:sz="6" w:space="0" w:color="auto"/>
              <w:left w:val="nil" w:sz="6" w:space="0" w:color="auto"/>
              <w:bottom w:val="nil" w:sz="6" w:space="0" w:color="auto"/>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w w:val="110"/>
                <w:sz w:val="16"/>
              </w:rPr>
              <w:t>Saint</w:t>
            </w:r>
            <w:r>
              <w:rPr>
                <w:rFonts w:ascii="Calibri"/>
                <w:spacing w:val="-11"/>
                <w:w w:val="110"/>
                <w:sz w:val="16"/>
              </w:rPr>
              <w:t> </w:t>
            </w:r>
            <w:r>
              <w:rPr>
                <w:rFonts w:ascii="Calibri"/>
                <w:w w:val="110"/>
                <w:sz w:val="16"/>
              </w:rPr>
              <w:t>Lucia</w:t>
            </w:r>
            <w:r>
              <w:rPr>
                <w:rFonts w:ascii="Calibri"/>
                <w:sz w:val="16"/>
              </w:rPr>
            </w:r>
          </w:p>
        </w:tc>
        <w:tc>
          <w:tcPr>
            <w:tcW w:w="1230" w:type="dxa"/>
            <w:tcBorders>
              <w:top w:val="nil" w:sz="6" w:space="0" w:color="auto"/>
              <w:left w:val="nil" w:sz="6" w:space="0" w:color="auto"/>
              <w:bottom w:val="nil" w:sz="6" w:space="0" w:color="auto"/>
              <w:right w:val="nil" w:sz="6" w:space="0" w:color="auto"/>
            </w:tcBorders>
          </w:tcPr>
          <w:p>
            <w:pPr>
              <w:pStyle w:val="TableParagraph"/>
              <w:spacing w:line="193" w:lineRule="exact"/>
              <w:ind w:left="124" w:right="0"/>
              <w:jc w:val="center"/>
              <w:rPr>
                <w:rFonts w:ascii="Calibri" w:hAnsi="Calibri" w:cs="Calibri" w:eastAsia="Calibri" w:hint="default"/>
                <w:sz w:val="16"/>
                <w:szCs w:val="16"/>
              </w:rPr>
            </w:pPr>
            <w:r>
              <w:rPr>
                <w:rFonts w:ascii="Calibri"/>
                <w:spacing w:val="-8"/>
                <w:w w:val="110"/>
                <w:sz w:val="16"/>
              </w:rPr>
              <w:t>11</w:t>
            </w:r>
            <w:r>
              <w:rPr>
                <w:rFonts w:ascii="Calibri"/>
                <w:sz w:val="16"/>
              </w:rPr>
            </w:r>
          </w:p>
        </w:tc>
        <w:tc>
          <w:tcPr>
            <w:tcW w:w="1293" w:type="dxa"/>
            <w:tcBorders>
              <w:top w:val="nil" w:sz="6" w:space="0" w:color="auto"/>
              <w:left w:val="nil" w:sz="6" w:space="0" w:color="auto"/>
              <w:bottom w:val="nil" w:sz="6" w:space="0" w:color="auto"/>
              <w:right w:val="nil" w:sz="6" w:space="0" w:color="auto"/>
            </w:tcBorders>
          </w:tcPr>
          <w:p>
            <w:pPr>
              <w:pStyle w:val="TableParagraph"/>
              <w:spacing w:line="193" w:lineRule="exact"/>
              <w:ind w:right="0"/>
              <w:jc w:val="center"/>
              <w:rPr>
                <w:rFonts w:ascii="Calibri" w:hAnsi="Calibri" w:cs="Calibri" w:eastAsia="Calibri" w:hint="default"/>
                <w:sz w:val="16"/>
                <w:szCs w:val="16"/>
              </w:rPr>
            </w:pPr>
            <w:r>
              <w:rPr>
                <w:rFonts w:ascii="Calibri"/>
                <w:spacing w:val="-8"/>
                <w:w w:val="110"/>
                <w:sz w:val="16"/>
              </w:rPr>
              <w:t>13</w:t>
            </w:r>
            <w:r>
              <w:rPr>
                <w:rFonts w:ascii="Calibri"/>
                <w:sz w:val="16"/>
              </w:rPr>
            </w:r>
          </w:p>
        </w:tc>
        <w:tc>
          <w:tcPr>
            <w:tcW w:w="575" w:type="dxa"/>
            <w:tcBorders>
              <w:top w:val="nil" w:sz="6" w:space="0" w:color="auto"/>
              <w:left w:val="nil" w:sz="6" w:space="0" w:color="auto"/>
              <w:bottom w:val="nil" w:sz="6" w:space="0" w:color="auto"/>
              <w:right w:val="nil" w:sz="6" w:space="0" w:color="auto"/>
            </w:tcBorders>
          </w:tcPr>
          <w:p>
            <w:pPr>
              <w:pStyle w:val="TableParagraph"/>
              <w:spacing w:line="193" w:lineRule="exact"/>
              <w:ind w:left="15" w:right="0"/>
              <w:jc w:val="center"/>
              <w:rPr>
                <w:rFonts w:ascii="Calibri" w:hAnsi="Calibri" w:cs="Calibri" w:eastAsia="Calibri" w:hint="default"/>
                <w:sz w:val="16"/>
                <w:szCs w:val="16"/>
              </w:rPr>
            </w:pPr>
            <w:r>
              <w:rPr>
                <w:rFonts w:ascii="Calibri"/>
                <w:spacing w:val="-8"/>
                <w:w w:val="110"/>
                <w:sz w:val="16"/>
              </w:rPr>
              <w:t>12</w:t>
            </w:r>
            <w:r>
              <w:rPr>
                <w:rFonts w:ascii="Calibri"/>
                <w:sz w:val="16"/>
              </w:rPr>
            </w:r>
          </w:p>
        </w:tc>
        <w:tc>
          <w:tcPr>
            <w:tcW w:w="798" w:type="dxa"/>
            <w:tcBorders>
              <w:top w:val="nil" w:sz="6" w:space="0" w:color="auto"/>
              <w:left w:val="nil" w:sz="6" w:space="0" w:color="auto"/>
              <w:bottom w:val="nil" w:sz="6" w:space="0" w:color="auto"/>
              <w:right w:val="nil" w:sz="6" w:space="0" w:color="auto"/>
            </w:tcBorders>
          </w:tcPr>
          <w:p>
            <w:pPr>
              <w:pStyle w:val="TableParagraph"/>
              <w:spacing w:line="193" w:lineRule="exact"/>
              <w:ind w:right="28"/>
              <w:jc w:val="center"/>
              <w:rPr>
                <w:rFonts w:ascii="Calibri" w:hAnsi="Calibri" w:cs="Calibri" w:eastAsia="Calibri" w:hint="default"/>
                <w:sz w:val="16"/>
                <w:szCs w:val="16"/>
              </w:rPr>
            </w:pPr>
            <w:r>
              <w:rPr>
                <w:rFonts w:ascii="Calibri"/>
                <w:spacing w:val="-8"/>
                <w:w w:val="110"/>
                <w:sz w:val="16"/>
              </w:rPr>
              <w:t>10</w:t>
            </w:r>
            <w:r>
              <w:rPr>
                <w:rFonts w:ascii="Calibri"/>
                <w:sz w:val="16"/>
              </w:rPr>
            </w:r>
          </w:p>
        </w:tc>
        <w:tc>
          <w:tcPr>
            <w:tcW w:w="954" w:type="dxa"/>
            <w:tcBorders>
              <w:top w:val="nil" w:sz="6" w:space="0" w:color="auto"/>
              <w:left w:val="nil" w:sz="6" w:space="0" w:color="auto"/>
              <w:bottom w:val="nil" w:sz="6" w:space="0" w:color="auto"/>
              <w:right w:val="nil" w:sz="6" w:space="0" w:color="auto"/>
            </w:tcBorders>
          </w:tcPr>
          <w:p>
            <w:pPr>
              <w:pStyle w:val="TableParagraph"/>
              <w:spacing w:line="193" w:lineRule="exact"/>
              <w:ind w:right="15"/>
              <w:jc w:val="center"/>
              <w:rPr>
                <w:rFonts w:ascii="Calibri" w:hAnsi="Calibri" w:cs="Calibri" w:eastAsia="Calibri" w:hint="default"/>
                <w:sz w:val="16"/>
                <w:szCs w:val="16"/>
              </w:rPr>
            </w:pPr>
            <w:r>
              <w:rPr>
                <w:rFonts w:ascii="Calibri"/>
                <w:w w:val="110"/>
                <w:sz w:val="16"/>
              </w:rPr>
              <w:t>8</w:t>
            </w:r>
            <w:r>
              <w:rPr>
                <w:rFonts w:ascii="Calibri"/>
                <w:sz w:val="16"/>
              </w:rPr>
            </w:r>
          </w:p>
        </w:tc>
        <w:tc>
          <w:tcPr>
            <w:tcW w:w="587" w:type="dxa"/>
            <w:tcBorders>
              <w:top w:val="nil" w:sz="6" w:space="0" w:color="auto"/>
              <w:left w:val="nil" w:sz="6" w:space="0" w:color="auto"/>
              <w:bottom w:val="nil" w:sz="6" w:space="0" w:color="auto"/>
              <w:right w:val="nil" w:sz="6" w:space="0" w:color="auto"/>
            </w:tcBorders>
          </w:tcPr>
          <w:p>
            <w:pPr>
              <w:pStyle w:val="TableParagraph"/>
              <w:spacing w:line="193" w:lineRule="exact"/>
              <w:ind w:left="5" w:right="0"/>
              <w:jc w:val="center"/>
              <w:rPr>
                <w:rFonts w:ascii="Calibri" w:hAnsi="Calibri" w:cs="Calibri" w:eastAsia="Calibri" w:hint="default"/>
                <w:sz w:val="16"/>
                <w:szCs w:val="16"/>
              </w:rPr>
            </w:pPr>
            <w:r>
              <w:rPr>
                <w:rFonts w:ascii="Calibri"/>
                <w:spacing w:val="-8"/>
                <w:w w:val="110"/>
                <w:sz w:val="16"/>
              </w:rPr>
              <w:t>15</w:t>
            </w:r>
            <w:r>
              <w:rPr>
                <w:rFonts w:ascii="Calibri"/>
                <w:sz w:val="16"/>
              </w:rPr>
            </w:r>
          </w:p>
        </w:tc>
      </w:tr>
      <w:tr>
        <w:trPr>
          <w:trHeight w:val="218" w:hRule="exact"/>
        </w:trPr>
        <w:tc>
          <w:tcPr>
            <w:tcW w:w="2046" w:type="dxa"/>
            <w:tcBorders>
              <w:top w:val="nil" w:sz="6" w:space="0" w:color="auto"/>
              <w:left w:val="nil" w:sz="6" w:space="0" w:color="auto"/>
              <w:bottom w:val="nil" w:sz="6" w:space="0" w:color="auto"/>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w w:val="110"/>
                <w:sz w:val="16"/>
              </w:rPr>
              <w:t>Haiti</w:t>
            </w:r>
            <w:r>
              <w:rPr>
                <w:rFonts w:ascii="Calibri"/>
                <w:sz w:val="16"/>
              </w:rPr>
            </w:r>
          </w:p>
        </w:tc>
        <w:tc>
          <w:tcPr>
            <w:tcW w:w="1230" w:type="dxa"/>
            <w:tcBorders>
              <w:top w:val="nil" w:sz="6" w:space="0" w:color="auto"/>
              <w:left w:val="nil" w:sz="6" w:space="0" w:color="auto"/>
              <w:bottom w:val="nil" w:sz="6" w:space="0" w:color="auto"/>
              <w:right w:val="nil" w:sz="6" w:space="0" w:color="auto"/>
            </w:tcBorders>
          </w:tcPr>
          <w:p>
            <w:pPr>
              <w:pStyle w:val="TableParagraph"/>
              <w:spacing w:line="193" w:lineRule="exact"/>
              <w:ind w:left="124" w:right="0"/>
              <w:jc w:val="center"/>
              <w:rPr>
                <w:rFonts w:ascii="Calibri" w:hAnsi="Calibri" w:cs="Calibri" w:eastAsia="Calibri" w:hint="default"/>
                <w:sz w:val="16"/>
                <w:szCs w:val="16"/>
              </w:rPr>
            </w:pPr>
            <w:r>
              <w:rPr>
                <w:rFonts w:ascii="Calibri"/>
                <w:spacing w:val="-8"/>
                <w:w w:val="110"/>
                <w:sz w:val="16"/>
              </w:rPr>
              <w:t>12</w:t>
            </w:r>
            <w:r>
              <w:rPr>
                <w:rFonts w:ascii="Calibri"/>
                <w:sz w:val="16"/>
              </w:rPr>
            </w:r>
          </w:p>
        </w:tc>
        <w:tc>
          <w:tcPr>
            <w:tcW w:w="1293" w:type="dxa"/>
            <w:tcBorders>
              <w:top w:val="nil" w:sz="6" w:space="0" w:color="auto"/>
              <w:left w:val="nil" w:sz="6" w:space="0" w:color="auto"/>
              <w:bottom w:val="nil" w:sz="6" w:space="0" w:color="auto"/>
              <w:right w:val="nil" w:sz="6" w:space="0" w:color="auto"/>
            </w:tcBorders>
          </w:tcPr>
          <w:p>
            <w:pPr>
              <w:pStyle w:val="TableParagraph"/>
              <w:spacing w:line="193" w:lineRule="exact"/>
              <w:ind w:right="0"/>
              <w:jc w:val="center"/>
              <w:rPr>
                <w:rFonts w:ascii="Calibri" w:hAnsi="Calibri" w:cs="Calibri" w:eastAsia="Calibri" w:hint="default"/>
                <w:sz w:val="16"/>
                <w:szCs w:val="16"/>
              </w:rPr>
            </w:pPr>
            <w:r>
              <w:rPr>
                <w:rFonts w:ascii="Calibri"/>
                <w:spacing w:val="-8"/>
                <w:w w:val="110"/>
                <w:sz w:val="16"/>
              </w:rPr>
              <w:t>14</w:t>
            </w:r>
            <w:r>
              <w:rPr>
                <w:rFonts w:ascii="Calibri"/>
                <w:sz w:val="16"/>
              </w:rPr>
            </w:r>
          </w:p>
        </w:tc>
        <w:tc>
          <w:tcPr>
            <w:tcW w:w="575" w:type="dxa"/>
            <w:tcBorders>
              <w:top w:val="nil" w:sz="6" w:space="0" w:color="auto"/>
              <w:left w:val="nil" w:sz="6" w:space="0" w:color="auto"/>
              <w:bottom w:val="nil" w:sz="6" w:space="0" w:color="auto"/>
              <w:right w:val="nil" w:sz="6" w:space="0" w:color="auto"/>
            </w:tcBorders>
          </w:tcPr>
          <w:p>
            <w:pPr>
              <w:pStyle w:val="TableParagraph"/>
              <w:spacing w:line="193" w:lineRule="exact"/>
              <w:ind w:left="15" w:right="0"/>
              <w:jc w:val="center"/>
              <w:rPr>
                <w:rFonts w:ascii="Calibri" w:hAnsi="Calibri" w:cs="Calibri" w:eastAsia="Calibri" w:hint="default"/>
                <w:sz w:val="16"/>
                <w:szCs w:val="16"/>
              </w:rPr>
            </w:pPr>
            <w:r>
              <w:rPr>
                <w:rFonts w:ascii="Calibri"/>
                <w:spacing w:val="-8"/>
                <w:w w:val="110"/>
                <w:sz w:val="16"/>
              </w:rPr>
              <w:t>15</w:t>
            </w:r>
            <w:r>
              <w:rPr>
                <w:rFonts w:ascii="Calibri"/>
                <w:sz w:val="16"/>
              </w:rPr>
            </w:r>
          </w:p>
        </w:tc>
        <w:tc>
          <w:tcPr>
            <w:tcW w:w="798" w:type="dxa"/>
            <w:tcBorders>
              <w:top w:val="nil" w:sz="6" w:space="0" w:color="auto"/>
              <w:left w:val="nil" w:sz="6" w:space="0" w:color="auto"/>
              <w:bottom w:val="nil" w:sz="6" w:space="0" w:color="auto"/>
              <w:right w:val="nil" w:sz="6" w:space="0" w:color="auto"/>
            </w:tcBorders>
          </w:tcPr>
          <w:p>
            <w:pPr>
              <w:pStyle w:val="TableParagraph"/>
              <w:spacing w:line="193" w:lineRule="exact"/>
              <w:ind w:right="28"/>
              <w:jc w:val="center"/>
              <w:rPr>
                <w:rFonts w:ascii="Calibri" w:hAnsi="Calibri" w:cs="Calibri" w:eastAsia="Calibri" w:hint="default"/>
                <w:sz w:val="16"/>
                <w:szCs w:val="16"/>
              </w:rPr>
            </w:pPr>
            <w:r>
              <w:rPr>
                <w:rFonts w:ascii="Calibri"/>
                <w:spacing w:val="-8"/>
                <w:w w:val="110"/>
                <w:sz w:val="16"/>
              </w:rPr>
              <w:t>15</w:t>
            </w:r>
            <w:r>
              <w:rPr>
                <w:rFonts w:ascii="Calibri"/>
                <w:sz w:val="16"/>
              </w:rPr>
            </w:r>
          </w:p>
        </w:tc>
        <w:tc>
          <w:tcPr>
            <w:tcW w:w="954" w:type="dxa"/>
            <w:tcBorders>
              <w:top w:val="nil" w:sz="6" w:space="0" w:color="auto"/>
              <w:left w:val="nil" w:sz="6" w:space="0" w:color="auto"/>
              <w:bottom w:val="nil" w:sz="6" w:space="0" w:color="auto"/>
              <w:right w:val="nil" w:sz="6" w:space="0" w:color="auto"/>
            </w:tcBorders>
          </w:tcPr>
          <w:p>
            <w:pPr>
              <w:pStyle w:val="TableParagraph"/>
              <w:spacing w:line="193" w:lineRule="exact"/>
              <w:ind w:right="11"/>
              <w:jc w:val="center"/>
              <w:rPr>
                <w:rFonts w:ascii="Calibri" w:hAnsi="Calibri" w:cs="Calibri" w:eastAsia="Calibri" w:hint="default"/>
                <w:sz w:val="16"/>
                <w:szCs w:val="16"/>
              </w:rPr>
            </w:pPr>
            <w:r>
              <w:rPr>
                <w:rFonts w:ascii="Calibri"/>
                <w:spacing w:val="-8"/>
                <w:w w:val="110"/>
                <w:sz w:val="16"/>
              </w:rPr>
              <w:t>17</w:t>
            </w:r>
            <w:r>
              <w:rPr>
                <w:rFonts w:ascii="Calibri"/>
                <w:sz w:val="16"/>
              </w:rPr>
            </w:r>
          </w:p>
        </w:tc>
        <w:tc>
          <w:tcPr>
            <w:tcW w:w="587" w:type="dxa"/>
            <w:tcBorders>
              <w:top w:val="nil" w:sz="6" w:space="0" w:color="auto"/>
              <w:left w:val="nil" w:sz="6" w:space="0" w:color="auto"/>
              <w:bottom w:val="nil" w:sz="6" w:space="0" w:color="auto"/>
              <w:right w:val="nil" w:sz="6" w:space="0" w:color="auto"/>
            </w:tcBorders>
          </w:tcPr>
          <w:p>
            <w:pPr>
              <w:pStyle w:val="TableParagraph"/>
              <w:spacing w:line="193" w:lineRule="exact"/>
              <w:ind w:left="5" w:right="0"/>
              <w:jc w:val="center"/>
              <w:rPr>
                <w:rFonts w:ascii="Calibri" w:hAnsi="Calibri" w:cs="Calibri" w:eastAsia="Calibri" w:hint="default"/>
                <w:sz w:val="16"/>
                <w:szCs w:val="16"/>
              </w:rPr>
            </w:pPr>
            <w:r>
              <w:rPr>
                <w:rFonts w:ascii="Calibri"/>
                <w:spacing w:val="-8"/>
                <w:w w:val="110"/>
                <w:sz w:val="16"/>
              </w:rPr>
              <w:t>12</w:t>
            </w:r>
            <w:r>
              <w:rPr>
                <w:rFonts w:ascii="Calibri"/>
                <w:sz w:val="16"/>
              </w:rPr>
            </w:r>
          </w:p>
        </w:tc>
      </w:tr>
      <w:tr>
        <w:trPr>
          <w:trHeight w:val="218" w:hRule="exact"/>
        </w:trPr>
        <w:tc>
          <w:tcPr>
            <w:tcW w:w="2046" w:type="dxa"/>
            <w:tcBorders>
              <w:top w:val="nil" w:sz="6" w:space="0" w:color="auto"/>
              <w:left w:val="nil" w:sz="6" w:space="0" w:color="auto"/>
              <w:bottom w:val="nil" w:sz="6" w:space="0" w:color="auto"/>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w w:val="110"/>
                <w:sz w:val="16"/>
              </w:rPr>
              <w:t>Trinidad and</w:t>
            </w:r>
            <w:r>
              <w:rPr>
                <w:rFonts w:ascii="Calibri"/>
                <w:spacing w:val="-29"/>
                <w:w w:val="110"/>
                <w:sz w:val="16"/>
              </w:rPr>
              <w:t> </w:t>
            </w:r>
            <w:r>
              <w:rPr>
                <w:rFonts w:ascii="Calibri"/>
                <w:w w:val="110"/>
                <w:sz w:val="16"/>
              </w:rPr>
              <w:t>Tobago</w:t>
            </w:r>
            <w:r>
              <w:rPr>
                <w:rFonts w:ascii="Calibri"/>
                <w:sz w:val="16"/>
              </w:rPr>
            </w:r>
          </w:p>
        </w:tc>
        <w:tc>
          <w:tcPr>
            <w:tcW w:w="1230" w:type="dxa"/>
            <w:tcBorders>
              <w:top w:val="nil" w:sz="6" w:space="0" w:color="auto"/>
              <w:left w:val="nil" w:sz="6" w:space="0" w:color="auto"/>
              <w:bottom w:val="nil" w:sz="6" w:space="0" w:color="auto"/>
              <w:right w:val="nil" w:sz="6" w:space="0" w:color="auto"/>
            </w:tcBorders>
          </w:tcPr>
          <w:p>
            <w:pPr>
              <w:pStyle w:val="TableParagraph"/>
              <w:spacing w:line="193" w:lineRule="exact"/>
              <w:ind w:left="113" w:right="0"/>
              <w:jc w:val="center"/>
              <w:rPr>
                <w:rFonts w:ascii="Calibri" w:hAnsi="Calibri" w:cs="Calibri" w:eastAsia="Calibri" w:hint="default"/>
                <w:sz w:val="16"/>
                <w:szCs w:val="16"/>
              </w:rPr>
            </w:pPr>
            <w:r>
              <w:rPr>
                <w:rFonts w:ascii="Calibri"/>
                <w:w w:val="110"/>
                <w:sz w:val="16"/>
              </w:rPr>
              <w:t>NA</w:t>
            </w:r>
            <w:r>
              <w:rPr>
                <w:rFonts w:ascii="Calibri"/>
                <w:sz w:val="16"/>
              </w:rPr>
            </w:r>
          </w:p>
        </w:tc>
        <w:tc>
          <w:tcPr>
            <w:tcW w:w="1293" w:type="dxa"/>
            <w:tcBorders>
              <w:top w:val="nil" w:sz="6" w:space="0" w:color="auto"/>
              <w:left w:val="nil" w:sz="6" w:space="0" w:color="auto"/>
              <w:bottom w:val="nil" w:sz="6" w:space="0" w:color="auto"/>
              <w:right w:val="nil" w:sz="6" w:space="0" w:color="auto"/>
            </w:tcBorders>
          </w:tcPr>
          <w:p>
            <w:pPr>
              <w:pStyle w:val="TableParagraph"/>
              <w:spacing w:line="193" w:lineRule="exact"/>
              <w:ind w:right="0"/>
              <w:jc w:val="center"/>
              <w:rPr>
                <w:rFonts w:ascii="Calibri" w:hAnsi="Calibri" w:cs="Calibri" w:eastAsia="Calibri" w:hint="default"/>
                <w:sz w:val="16"/>
                <w:szCs w:val="16"/>
              </w:rPr>
            </w:pPr>
            <w:r>
              <w:rPr>
                <w:rFonts w:ascii="Calibri"/>
                <w:spacing w:val="-8"/>
                <w:w w:val="110"/>
                <w:sz w:val="16"/>
              </w:rPr>
              <w:t>14</w:t>
            </w:r>
            <w:r>
              <w:rPr>
                <w:rFonts w:ascii="Calibri"/>
                <w:sz w:val="16"/>
              </w:rPr>
            </w:r>
          </w:p>
        </w:tc>
        <w:tc>
          <w:tcPr>
            <w:tcW w:w="575" w:type="dxa"/>
            <w:tcBorders>
              <w:top w:val="nil" w:sz="6" w:space="0" w:color="auto"/>
              <w:left w:val="nil" w:sz="6" w:space="0" w:color="auto"/>
              <w:bottom w:val="nil" w:sz="6" w:space="0" w:color="auto"/>
              <w:right w:val="nil" w:sz="6" w:space="0" w:color="auto"/>
            </w:tcBorders>
          </w:tcPr>
          <w:p>
            <w:pPr>
              <w:pStyle w:val="TableParagraph"/>
              <w:spacing w:line="193" w:lineRule="exact"/>
              <w:ind w:left="15" w:right="0"/>
              <w:jc w:val="center"/>
              <w:rPr>
                <w:rFonts w:ascii="Calibri" w:hAnsi="Calibri" w:cs="Calibri" w:eastAsia="Calibri" w:hint="default"/>
                <w:sz w:val="16"/>
                <w:szCs w:val="16"/>
              </w:rPr>
            </w:pPr>
            <w:r>
              <w:rPr>
                <w:rFonts w:ascii="Calibri"/>
                <w:spacing w:val="-8"/>
                <w:w w:val="110"/>
                <w:sz w:val="16"/>
              </w:rPr>
              <w:t>13</w:t>
            </w:r>
            <w:r>
              <w:rPr>
                <w:rFonts w:ascii="Calibri"/>
                <w:sz w:val="16"/>
              </w:rPr>
            </w:r>
          </w:p>
        </w:tc>
        <w:tc>
          <w:tcPr>
            <w:tcW w:w="798" w:type="dxa"/>
            <w:tcBorders>
              <w:top w:val="nil" w:sz="6" w:space="0" w:color="auto"/>
              <w:left w:val="nil" w:sz="6" w:space="0" w:color="auto"/>
              <w:bottom w:val="nil" w:sz="6" w:space="0" w:color="auto"/>
              <w:right w:val="nil" w:sz="6" w:space="0" w:color="auto"/>
            </w:tcBorders>
          </w:tcPr>
          <w:p>
            <w:pPr>
              <w:pStyle w:val="TableParagraph"/>
              <w:spacing w:line="193" w:lineRule="exact"/>
              <w:ind w:right="28"/>
              <w:jc w:val="center"/>
              <w:rPr>
                <w:rFonts w:ascii="Calibri" w:hAnsi="Calibri" w:cs="Calibri" w:eastAsia="Calibri" w:hint="default"/>
                <w:sz w:val="16"/>
                <w:szCs w:val="16"/>
              </w:rPr>
            </w:pPr>
            <w:r>
              <w:rPr>
                <w:rFonts w:ascii="Calibri"/>
                <w:spacing w:val="-8"/>
                <w:w w:val="110"/>
                <w:sz w:val="16"/>
              </w:rPr>
              <w:t>17</w:t>
            </w:r>
            <w:r>
              <w:rPr>
                <w:rFonts w:ascii="Calibri"/>
                <w:sz w:val="16"/>
              </w:rPr>
            </w:r>
          </w:p>
        </w:tc>
        <w:tc>
          <w:tcPr>
            <w:tcW w:w="954" w:type="dxa"/>
            <w:tcBorders>
              <w:top w:val="nil" w:sz="6" w:space="0" w:color="auto"/>
              <w:left w:val="nil" w:sz="6" w:space="0" w:color="auto"/>
              <w:bottom w:val="nil" w:sz="6" w:space="0" w:color="auto"/>
              <w:right w:val="nil" w:sz="6" w:space="0" w:color="auto"/>
            </w:tcBorders>
          </w:tcPr>
          <w:p>
            <w:pPr>
              <w:pStyle w:val="TableParagraph"/>
              <w:spacing w:line="193" w:lineRule="exact"/>
              <w:ind w:right="11"/>
              <w:jc w:val="center"/>
              <w:rPr>
                <w:rFonts w:ascii="Calibri" w:hAnsi="Calibri" w:cs="Calibri" w:eastAsia="Calibri" w:hint="default"/>
                <w:sz w:val="16"/>
                <w:szCs w:val="16"/>
              </w:rPr>
            </w:pPr>
            <w:r>
              <w:rPr>
                <w:rFonts w:ascii="Calibri"/>
                <w:spacing w:val="-8"/>
                <w:w w:val="110"/>
                <w:sz w:val="16"/>
              </w:rPr>
              <w:t>15</w:t>
            </w:r>
            <w:r>
              <w:rPr>
                <w:rFonts w:ascii="Calibri"/>
                <w:sz w:val="16"/>
              </w:rPr>
            </w:r>
          </w:p>
        </w:tc>
        <w:tc>
          <w:tcPr>
            <w:tcW w:w="587" w:type="dxa"/>
            <w:tcBorders>
              <w:top w:val="nil" w:sz="6" w:space="0" w:color="auto"/>
              <w:left w:val="nil" w:sz="6" w:space="0" w:color="auto"/>
              <w:bottom w:val="nil" w:sz="6" w:space="0" w:color="auto"/>
              <w:right w:val="nil" w:sz="6" w:space="0" w:color="auto"/>
            </w:tcBorders>
          </w:tcPr>
          <w:p>
            <w:pPr>
              <w:pStyle w:val="TableParagraph"/>
              <w:spacing w:line="193" w:lineRule="exact"/>
              <w:ind w:left="5" w:right="0"/>
              <w:jc w:val="center"/>
              <w:rPr>
                <w:rFonts w:ascii="Calibri" w:hAnsi="Calibri" w:cs="Calibri" w:eastAsia="Calibri" w:hint="default"/>
                <w:sz w:val="16"/>
                <w:szCs w:val="16"/>
              </w:rPr>
            </w:pPr>
            <w:r>
              <w:rPr>
                <w:rFonts w:ascii="Calibri"/>
                <w:spacing w:val="-8"/>
                <w:w w:val="110"/>
                <w:sz w:val="16"/>
              </w:rPr>
              <w:t>16</w:t>
            </w:r>
            <w:r>
              <w:rPr>
                <w:rFonts w:ascii="Calibri"/>
                <w:sz w:val="16"/>
              </w:rPr>
            </w:r>
          </w:p>
        </w:tc>
      </w:tr>
      <w:tr>
        <w:trPr>
          <w:trHeight w:val="218" w:hRule="exact"/>
        </w:trPr>
        <w:tc>
          <w:tcPr>
            <w:tcW w:w="2046" w:type="dxa"/>
            <w:tcBorders>
              <w:top w:val="nil" w:sz="6" w:space="0" w:color="auto"/>
              <w:left w:val="nil" w:sz="6" w:space="0" w:color="auto"/>
              <w:bottom w:val="nil" w:sz="6" w:space="0" w:color="auto"/>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w w:val="110"/>
                <w:sz w:val="16"/>
              </w:rPr>
              <w:t>Martinique</w:t>
            </w:r>
            <w:r>
              <w:rPr>
                <w:rFonts w:ascii="Calibri"/>
                <w:sz w:val="16"/>
              </w:rPr>
            </w:r>
          </w:p>
        </w:tc>
        <w:tc>
          <w:tcPr>
            <w:tcW w:w="1230" w:type="dxa"/>
            <w:tcBorders>
              <w:top w:val="nil" w:sz="6" w:space="0" w:color="auto"/>
              <w:left w:val="nil" w:sz="6" w:space="0" w:color="auto"/>
              <w:bottom w:val="nil" w:sz="6" w:space="0" w:color="auto"/>
              <w:right w:val="nil" w:sz="6" w:space="0" w:color="auto"/>
            </w:tcBorders>
          </w:tcPr>
          <w:p>
            <w:pPr>
              <w:pStyle w:val="TableParagraph"/>
              <w:spacing w:line="193" w:lineRule="exact"/>
              <w:ind w:right="327"/>
              <w:jc w:val="center"/>
              <w:rPr>
                <w:rFonts w:ascii="Calibri" w:hAnsi="Calibri" w:cs="Calibri" w:eastAsia="Calibri" w:hint="default"/>
                <w:sz w:val="16"/>
                <w:szCs w:val="16"/>
              </w:rPr>
            </w:pPr>
            <w:r>
              <w:rPr>
                <w:position w:val="-2"/>
              </w:rPr>
              <w:drawing>
                <wp:inline distT="0" distB="0" distL="0" distR="0">
                  <wp:extent cx="118816" cy="111251"/>
                  <wp:effectExtent l="0" t="0" r="0" b="0"/>
                  <wp:docPr id="63" name="image35.png" descr=""/>
                  <wp:cNvGraphicFramePr>
                    <a:graphicFrameLocks noChangeAspect="1"/>
                  </wp:cNvGraphicFramePr>
                  <a:graphic>
                    <a:graphicData uri="http://schemas.openxmlformats.org/drawingml/2006/picture">
                      <pic:pic>
                        <pic:nvPicPr>
                          <pic:cNvPr id="64" name="image35.png"/>
                          <pic:cNvPicPr/>
                        </pic:nvPicPr>
                        <pic:blipFill>
                          <a:blip r:embed="rId61" cstate="print"/>
                          <a:stretch>
                            <a:fillRect/>
                          </a:stretch>
                        </pic:blipFill>
                        <pic:spPr>
                          <a:xfrm>
                            <a:off x="0" y="0"/>
                            <a:ext cx="118816" cy="111251"/>
                          </a:xfrm>
                          <a:prstGeom prst="rect">
                            <a:avLst/>
                          </a:prstGeom>
                        </pic:spPr>
                      </pic:pic>
                    </a:graphicData>
                  </a:graphic>
                </wp:inline>
              </w:drawing>
            </w:r>
            <w:r>
              <w:rPr>
                <w:position w:val="-2"/>
              </w:rPr>
            </w:r>
            <w:r>
              <w:rPr>
                <w:rFonts w:ascii="Times New Roman"/>
                <w:sz w:val="20"/>
              </w:rPr>
              <w:t>    </w:t>
            </w:r>
            <w:r>
              <w:rPr>
                <w:rFonts w:ascii="Calibri"/>
                <w:spacing w:val="-8"/>
                <w:w w:val="110"/>
                <w:sz w:val="16"/>
              </w:rPr>
              <w:t>15</w:t>
            </w:r>
            <w:r>
              <w:rPr>
                <w:rFonts w:ascii="Calibri"/>
                <w:sz w:val="16"/>
              </w:rPr>
            </w:r>
          </w:p>
        </w:tc>
        <w:tc>
          <w:tcPr>
            <w:tcW w:w="1293" w:type="dxa"/>
            <w:tcBorders>
              <w:top w:val="nil" w:sz="6" w:space="0" w:color="auto"/>
              <w:left w:val="nil" w:sz="6" w:space="0" w:color="auto"/>
              <w:bottom w:val="nil" w:sz="6" w:space="0" w:color="auto"/>
              <w:right w:val="nil" w:sz="6" w:space="0" w:color="auto"/>
            </w:tcBorders>
          </w:tcPr>
          <w:p>
            <w:pPr>
              <w:pStyle w:val="TableParagraph"/>
              <w:spacing w:line="193" w:lineRule="exact"/>
              <w:ind w:right="0"/>
              <w:jc w:val="center"/>
              <w:rPr>
                <w:rFonts w:ascii="Calibri" w:hAnsi="Calibri" w:cs="Calibri" w:eastAsia="Calibri" w:hint="default"/>
                <w:sz w:val="16"/>
                <w:szCs w:val="16"/>
              </w:rPr>
            </w:pPr>
            <w:r>
              <w:rPr>
                <w:rFonts w:ascii="Calibri"/>
                <w:spacing w:val="-8"/>
                <w:w w:val="110"/>
                <w:sz w:val="16"/>
              </w:rPr>
              <w:t>17</w:t>
            </w:r>
            <w:r>
              <w:rPr>
                <w:rFonts w:ascii="Calibri"/>
                <w:sz w:val="16"/>
              </w:rPr>
            </w:r>
          </w:p>
        </w:tc>
        <w:tc>
          <w:tcPr>
            <w:tcW w:w="575" w:type="dxa"/>
            <w:tcBorders>
              <w:top w:val="nil" w:sz="6" w:space="0" w:color="auto"/>
              <w:left w:val="nil" w:sz="6" w:space="0" w:color="auto"/>
              <w:bottom w:val="nil" w:sz="6" w:space="0" w:color="auto"/>
              <w:right w:val="nil" w:sz="6" w:space="0" w:color="auto"/>
            </w:tcBorders>
          </w:tcPr>
          <w:p>
            <w:pPr>
              <w:pStyle w:val="TableParagraph"/>
              <w:spacing w:line="193" w:lineRule="exact"/>
              <w:ind w:left="15" w:right="0"/>
              <w:jc w:val="center"/>
              <w:rPr>
                <w:rFonts w:ascii="Calibri" w:hAnsi="Calibri" w:cs="Calibri" w:eastAsia="Calibri" w:hint="default"/>
                <w:sz w:val="16"/>
                <w:szCs w:val="16"/>
              </w:rPr>
            </w:pPr>
            <w:r>
              <w:rPr>
                <w:rFonts w:ascii="Calibri"/>
                <w:spacing w:val="-8"/>
                <w:w w:val="110"/>
                <w:sz w:val="16"/>
              </w:rPr>
              <w:t>17</w:t>
            </w:r>
            <w:r>
              <w:rPr>
                <w:rFonts w:ascii="Calibri"/>
                <w:sz w:val="16"/>
              </w:rPr>
            </w:r>
          </w:p>
        </w:tc>
        <w:tc>
          <w:tcPr>
            <w:tcW w:w="798" w:type="dxa"/>
            <w:tcBorders>
              <w:top w:val="nil" w:sz="6" w:space="0" w:color="auto"/>
              <w:left w:val="nil" w:sz="6" w:space="0" w:color="auto"/>
              <w:bottom w:val="nil" w:sz="6" w:space="0" w:color="auto"/>
              <w:right w:val="nil" w:sz="6" w:space="0" w:color="auto"/>
            </w:tcBorders>
          </w:tcPr>
          <w:p>
            <w:pPr>
              <w:pStyle w:val="TableParagraph"/>
              <w:spacing w:line="193" w:lineRule="exact"/>
              <w:ind w:right="28"/>
              <w:jc w:val="center"/>
              <w:rPr>
                <w:rFonts w:ascii="Calibri" w:hAnsi="Calibri" w:cs="Calibri" w:eastAsia="Calibri" w:hint="default"/>
                <w:sz w:val="16"/>
                <w:szCs w:val="16"/>
              </w:rPr>
            </w:pPr>
            <w:r>
              <w:rPr>
                <w:rFonts w:ascii="Calibri"/>
                <w:spacing w:val="-8"/>
                <w:w w:val="110"/>
                <w:sz w:val="16"/>
              </w:rPr>
              <w:t>15</w:t>
            </w:r>
            <w:r>
              <w:rPr>
                <w:rFonts w:ascii="Calibri"/>
                <w:sz w:val="16"/>
              </w:rPr>
            </w:r>
          </w:p>
        </w:tc>
        <w:tc>
          <w:tcPr>
            <w:tcW w:w="954" w:type="dxa"/>
            <w:tcBorders>
              <w:top w:val="nil" w:sz="6" w:space="0" w:color="auto"/>
              <w:left w:val="nil" w:sz="6" w:space="0" w:color="auto"/>
              <w:bottom w:val="nil" w:sz="6" w:space="0" w:color="auto"/>
              <w:right w:val="nil" w:sz="6" w:space="0" w:color="auto"/>
            </w:tcBorders>
          </w:tcPr>
          <w:p>
            <w:pPr>
              <w:pStyle w:val="TableParagraph"/>
              <w:spacing w:line="193" w:lineRule="exact"/>
              <w:ind w:right="11"/>
              <w:jc w:val="center"/>
              <w:rPr>
                <w:rFonts w:ascii="Calibri" w:hAnsi="Calibri" w:cs="Calibri" w:eastAsia="Calibri" w:hint="default"/>
                <w:sz w:val="16"/>
                <w:szCs w:val="16"/>
              </w:rPr>
            </w:pPr>
            <w:r>
              <w:rPr>
                <w:rFonts w:ascii="Calibri"/>
                <w:spacing w:val="-8"/>
                <w:w w:val="110"/>
                <w:sz w:val="16"/>
              </w:rPr>
              <w:t>16</w:t>
            </w:r>
            <w:r>
              <w:rPr>
                <w:rFonts w:ascii="Calibri"/>
                <w:sz w:val="16"/>
              </w:rPr>
            </w:r>
          </w:p>
        </w:tc>
        <w:tc>
          <w:tcPr>
            <w:tcW w:w="587" w:type="dxa"/>
            <w:tcBorders>
              <w:top w:val="nil" w:sz="6" w:space="0" w:color="auto"/>
              <w:left w:val="nil" w:sz="6" w:space="0" w:color="auto"/>
              <w:bottom w:val="nil" w:sz="6" w:space="0" w:color="auto"/>
              <w:right w:val="nil" w:sz="6" w:space="0" w:color="auto"/>
            </w:tcBorders>
          </w:tcPr>
          <w:p>
            <w:pPr>
              <w:pStyle w:val="TableParagraph"/>
              <w:spacing w:line="193" w:lineRule="exact"/>
              <w:ind w:left="5" w:right="0"/>
              <w:jc w:val="center"/>
              <w:rPr>
                <w:rFonts w:ascii="Calibri" w:hAnsi="Calibri" w:cs="Calibri" w:eastAsia="Calibri" w:hint="default"/>
                <w:sz w:val="16"/>
                <w:szCs w:val="16"/>
              </w:rPr>
            </w:pPr>
            <w:r>
              <w:rPr>
                <w:rFonts w:ascii="Calibri"/>
                <w:spacing w:val="-8"/>
                <w:w w:val="110"/>
                <w:sz w:val="16"/>
              </w:rPr>
              <w:t>16</w:t>
            </w:r>
            <w:r>
              <w:rPr>
                <w:rFonts w:ascii="Calibri"/>
                <w:sz w:val="16"/>
              </w:rPr>
            </w:r>
          </w:p>
        </w:tc>
      </w:tr>
      <w:tr>
        <w:trPr>
          <w:trHeight w:val="199" w:hRule="exact"/>
        </w:trPr>
        <w:tc>
          <w:tcPr>
            <w:tcW w:w="2046" w:type="dxa"/>
            <w:tcBorders>
              <w:top w:val="nil" w:sz="6" w:space="0" w:color="auto"/>
              <w:left w:val="nil" w:sz="6" w:space="0" w:color="auto"/>
              <w:bottom w:val="single" w:sz="4" w:space="0" w:color="000000"/>
              <w:right w:val="nil" w:sz="6" w:space="0" w:color="auto"/>
            </w:tcBorders>
          </w:tcPr>
          <w:p>
            <w:pPr>
              <w:pStyle w:val="TableParagraph"/>
              <w:spacing w:line="193" w:lineRule="exact"/>
              <w:ind w:left="34" w:right="0"/>
              <w:jc w:val="left"/>
              <w:rPr>
                <w:rFonts w:ascii="Calibri" w:hAnsi="Calibri" w:cs="Calibri" w:eastAsia="Calibri" w:hint="default"/>
                <w:sz w:val="16"/>
                <w:szCs w:val="16"/>
              </w:rPr>
            </w:pPr>
            <w:r>
              <w:rPr>
                <w:rFonts w:ascii="Calibri"/>
                <w:w w:val="110"/>
                <w:sz w:val="16"/>
              </w:rPr>
              <w:t>Guadeloupe</w:t>
            </w:r>
            <w:r>
              <w:rPr>
                <w:rFonts w:ascii="Calibri"/>
                <w:sz w:val="16"/>
              </w:rPr>
            </w:r>
          </w:p>
        </w:tc>
        <w:tc>
          <w:tcPr>
            <w:tcW w:w="1230" w:type="dxa"/>
            <w:tcBorders>
              <w:top w:val="nil" w:sz="6" w:space="0" w:color="auto"/>
              <w:left w:val="nil" w:sz="6" w:space="0" w:color="auto"/>
              <w:bottom w:val="single" w:sz="4" w:space="0" w:color="000000"/>
              <w:right w:val="nil" w:sz="6" w:space="0" w:color="auto"/>
            </w:tcBorders>
          </w:tcPr>
          <w:p>
            <w:pPr>
              <w:pStyle w:val="TableParagraph"/>
              <w:spacing w:line="193" w:lineRule="exact"/>
              <w:ind w:left="113" w:right="0"/>
              <w:jc w:val="center"/>
              <w:rPr>
                <w:rFonts w:ascii="Calibri" w:hAnsi="Calibri" w:cs="Calibri" w:eastAsia="Calibri" w:hint="default"/>
                <w:sz w:val="16"/>
                <w:szCs w:val="16"/>
              </w:rPr>
            </w:pPr>
            <w:r>
              <w:rPr>
                <w:rFonts w:ascii="Calibri"/>
                <w:w w:val="110"/>
                <w:sz w:val="16"/>
              </w:rPr>
              <w:t>NA</w:t>
            </w:r>
            <w:r>
              <w:rPr>
                <w:rFonts w:ascii="Calibri"/>
                <w:sz w:val="16"/>
              </w:rPr>
            </w:r>
          </w:p>
        </w:tc>
        <w:tc>
          <w:tcPr>
            <w:tcW w:w="1293" w:type="dxa"/>
            <w:tcBorders>
              <w:top w:val="nil" w:sz="6" w:space="0" w:color="auto"/>
              <w:left w:val="nil" w:sz="6" w:space="0" w:color="auto"/>
              <w:bottom w:val="single" w:sz="4" w:space="0" w:color="000000"/>
              <w:right w:val="nil" w:sz="6" w:space="0" w:color="auto"/>
            </w:tcBorders>
          </w:tcPr>
          <w:p>
            <w:pPr>
              <w:pStyle w:val="TableParagraph"/>
              <w:spacing w:line="193" w:lineRule="exact"/>
              <w:ind w:right="0"/>
              <w:jc w:val="center"/>
              <w:rPr>
                <w:rFonts w:ascii="Calibri" w:hAnsi="Calibri" w:cs="Calibri" w:eastAsia="Calibri" w:hint="default"/>
                <w:sz w:val="16"/>
                <w:szCs w:val="16"/>
              </w:rPr>
            </w:pPr>
            <w:r>
              <w:rPr>
                <w:rFonts w:ascii="Calibri"/>
                <w:spacing w:val="-8"/>
                <w:w w:val="110"/>
                <w:sz w:val="16"/>
              </w:rPr>
              <w:t>18</w:t>
            </w:r>
            <w:r>
              <w:rPr>
                <w:rFonts w:ascii="Calibri"/>
                <w:sz w:val="16"/>
              </w:rPr>
            </w:r>
          </w:p>
        </w:tc>
        <w:tc>
          <w:tcPr>
            <w:tcW w:w="575" w:type="dxa"/>
            <w:tcBorders>
              <w:top w:val="nil" w:sz="6" w:space="0" w:color="auto"/>
              <w:left w:val="nil" w:sz="6" w:space="0" w:color="auto"/>
              <w:bottom w:val="single" w:sz="4" w:space="0" w:color="000000"/>
              <w:right w:val="nil" w:sz="6" w:space="0" w:color="auto"/>
            </w:tcBorders>
          </w:tcPr>
          <w:p>
            <w:pPr>
              <w:pStyle w:val="TableParagraph"/>
              <w:spacing w:line="193" w:lineRule="exact"/>
              <w:ind w:left="15" w:right="0"/>
              <w:jc w:val="center"/>
              <w:rPr>
                <w:rFonts w:ascii="Calibri" w:hAnsi="Calibri" w:cs="Calibri" w:eastAsia="Calibri" w:hint="default"/>
                <w:sz w:val="16"/>
                <w:szCs w:val="16"/>
              </w:rPr>
            </w:pPr>
            <w:r>
              <w:rPr>
                <w:rFonts w:ascii="Calibri"/>
                <w:spacing w:val="-8"/>
                <w:w w:val="110"/>
                <w:sz w:val="16"/>
              </w:rPr>
              <w:t>18</w:t>
            </w:r>
            <w:r>
              <w:rPr>
                <w:rFonts w:ascii="Calibri"/>
                <w:sz w:val="16"/>
              </w:rPr>
            </w:r>
          </w:p>
        </w:tc>
        <w:tc>
          <w:tcPr>
            <w:tcW w:w="798" w:type="dxa"/>
            <w:tcBorders>
              <w:top w:val="nil" w:sz="6" w:space="0" w:color="auto"/>
              <w:left w:val="nil" w:sz="6" w:space="0" w:color="auto"/>
              <w:bottom w:val="single" w:sz="4" w:space="0" w:color="000000"/>
              <w:right w:val="nil" w:sz="6" w:space="0" w:color="auto"/>
            </w:tcBorders>
          </w:tcPr>
          <w:p>
            <w:pPr>
              <w:pStyle w:val="TableParagraph"/>
              <w:spacing w:line="193" w:lineRule="exact"/>
              <w:ind w:right="28"/>
              <w:jc w:val="center"/>
              <w:rPr>
                <w:rFonts w:ascii="Calibri" w:hAnsi="Calibri" w:cs="Calibri" w:eastAsia="Calibri" w:hint="default"/>
                <w:sz w:val="16"/>
                <w:szCs w:val="16"/>
              </w:rPr>
            </w:pPr>
            <w:r>
              <w:rPr>
                <w:rFonts w:ascii="Calibri"/>
                <w:spacing w:val="-8"/>
                <w:w w:val="110"/>
                <w:sz w:val="16"/>
              </w:rPr>
              <w:t>17</w:t>
            </w:r>
            <w:r>
              <w:rPr>
                <w:rFonts w:ascii="Calibri"/>
                <w:sz w:val="16"/>
              </w:rPr>
            </w:r>
          </w:p>
        </w:tc>
        <w:tc>
          <w:tcPr>
            <w:tcW w:w="954" w:type="dxa"/>
            <w:tcBorders>
              <w:top w:val="nil" w:sz="6" w:space="0" w:color="auto"/>
              <w:left w:val="nil" w:sz="6" w:space="0" w:color="auto"/>
              <w:bottom w:val="single" w:sz="4" w:space="0" w:color="000000"/>
              <w:right w:val="nil" w:sz="6" w:space="0" w:color="auto"/>
            </w:tcBorders>
          </w:tcPr>
          <w:p>
            <w:pPr>
              <w:pStyle w:val="TableParagraph"/>
              <w:spacing w:line="193" w:lineRule="exact"/>
              <w:ind w:right="22"/>
              <w:jc w:val="center"/>
              <w:rPr>
                <w:rFonts w:ascii="Calibri" w:hAnsi="Calibri" w:cs="Calibri" w:eastAsia="Calibri" w:hint="default"/>
                <w:sz w:val="16"/>
                <w:szCs w:val="16"/>
              </w:rPr>
            </w:pPr>
            <w:r>
              <w:rPr>
                <w:rFonts w:ascii="Calibri"/>
                <w:w w:val="110"/>
                <w:sz w:val="16"/>
              </w:rPr>
              <w:t>NA</w:t>
            </w:r>
            <w:r>
              <w:rPr>
                <w:rFonts w:ascii="Calibri"/>
                <w:sz w:val="16"/>
              </w:rPr>
            </w:r>
          </w:p>
        </w:tc>
        <w:tc>
          <w:tcPr>
            <w:tcW w:w="587" w:type="dxa"/>
            <w:tcBorders>
              <w:top w:val="nil" w:sz="6" w:space="0" w:color="auto"/>
              <w:left w:val="nil" w:sz="6" w:space="0" w:color="auto"/>
              <w:bottom w:val="single" w:sz="4" w:space="0" w:color="000000"/>
              <w:right w:val="nil" w:sz="6" w:space="0" w:color="auto"/>
            </w:tcBorders>
          </w:tcPr>
          <w:p>
            <w:pPr>
              <w:pStyle w:val="TableParagraph"/>
              <w:spacing w:line="193" w:lineRule="exact"/>
              <w:ind w:left="5" w:right="0"/>
              <w:jc w:val="center"/>
              <w:rPr>
                <w:rFonts w:ascii="Calibri" w:hAnsi="Calibri" w:cs="Calibri" w:eastAsia="Calibri" w:hint="default"/>
                <w:sz w:val="16"/>
                <w:szCs w:val="16"/>
              </w:rPr>
            </w:pPr>
            <w:r>
              <w:rPr>
                <w:rFonts w:ascii="Calibri"/>
                <w:spacing w:val="-8"/>
                <w:w w:val="110"/>
                <w:sz w:val="16"/>
              </w:rPr>
              <w:t>16</w:t>
            </w:r>
            <w:r>
              <w:rPr>
                <w:rFonts w:ascii="Calibri"/>
                <w:sz w:val="16"/>
              </w:rPr>
            </w:r>
          </w:p>
        </w:tc>
      </w:tr>
    </w:tbl>
    <w:p>
      <w:pPr>
        <w:spacing w:line="240" w:lineRule="auto" w:before="8"/>
        <w:ind w:right="0"/>
        <w:rPr>
          <w:rFonts w:ascii="Calibri" w:hAnsi="Calibri" w:cs="Calibri" w:eastAsia="Calibri" w:hint="default"/>
          <w:b/>
          <w:bCs/>
          <w:sz w:val="15"/>
          <w:szCs w:val="15"/>
        </w:rPr>
      </w:pPr>
    </w:p>
    <w:p>
      <w:pPr>
        <w:pStyle w:val="BodyText"/>
        <w:spacing w:line="240" w:lineRule="auto" w:before="59"/>
        <w:ind w:right="1436"/>
        <w:jc w:val="both"/>
      </w:pPr>
      <w:r>
        <w:rPr/>
        <w:t>Table 44 shows that, in general, people expect that the Caribbean islands will have nice beaches. This means that most people expect and do not see a large difference in the quality of Caribbean beaches. It seems that the Caribbean</w:t>
      </w:r>
      <w:r>
        <w:rPr>
          <w:spacing w:val="-2"/>
        </w:rPr>
        <w:t> </w:t>
      </w:r>
      <w:r>
        <w:rPr/>
        <w:t>has</w:t>
      </w:r>
      <w:r>
        <w:rPr>
          <w:spacing w:val="-4"/>
        </w:rPr>
        <w:t> </w:t>
      </w:r>
      <w:r>
        <w:rPr/>
        <w:t>successfully</w:t>
      </w:r>
      <w:r>
        <w:rPr>
          <w:spacing w:val="-3"/>
        </w:rPr>
        <w:t> </w:t>
      </w:r>
      <w:r>
        <w:rPr/>
        <w:t>positioned</w:t>
      </w:r>
      <w:r>
        <w:rPr>
          <w:spacing w:val="-3"/>
        </w:rPr>
        <w:t> </w:t>
      </w:r>
      <w:r>
        <w:rPr/>
        <w:t>the</w:t>
      </w:r>
      <w:r>
        <w:rPr>
          <w:spacing w:val="-4"/>
        </w:rPr>
        <w:t> </w:t>
      </w:r>
      <w:r>
        <w:rPr/>
        <w:t>island</w:t>
      </w:r>
      <w:r>
        <w:rPr>
          <w:spacing w:val="-3"/>
        </w:rPr>
        <w:t> </w:t>
      </w:r>
      <w:r>
        <w:rPr/>
        <w:t>destinations,</w:t>
      </w:r>
      <w:r>
        <w:rPr>
          <w:spacing w:val="-3"/>
        </w:rPr>
        <w:t> </w:t>
      </w:r>
      <w:r>
        <w:rPr/>
        <w:t>in</w:t>
      </w:r>
      <w:r>
        <w:rPr>
          <w:spacing w:val="-3"/>
        </w:rPr>
        <w:t> </w:t>
      </w:r>
      <w:r>
        <w:rPr/>
        <w:t>the</w:t>
      </w:r>
      <w:r>
        <w:rPr>
          <w:spacing w:val="-4"/>
        </w:rPr>
        <w:t> </w:t>
      </w:r>
      <w:r>
        <w:rPr/>
        <w:t>minds</w:t>
      </w:r>
      <w:r>
        <w:rPr>
          <w:spacing w:val="-5"/>
        </w:rPr>
        <w:t> </w:t>
      </w:r>
      <w:r>
        <w:rPr/>
        <w:t>of</w:t>
      </w:r>
      <w:r>
        <w:rPr>
          <w:spacing w:val="-5"/>
        </w:rPr>
        <w:t> </w:t>
      </w:r>
      <w:r>
        <w:rPr/>
        <w:t>tourists,</w:t>
      </w:r>
      <w:r>
        <w:rPr>
          <w:spacing w:val="-3"/>
        </w:rPr>
        <w:t> </w:t>
      </w:r>
      <w:r>
        <w:rPr/>
        <w:t>as</w:t>
      </w:r>
      <w:r>
        <w:rPr>
          <w:spacing w:val="-6"/>
        </w:rPr>
        <w:t> </w:t>
      </w:r>
      <w:r>
        <w:rPr/>
        <w:t>a</w:t>
      </w:r>
      <w:r>
        <w:rPr>
          <w:spacing w:val="-3"/>
        </w:rPr>
        <w:t> </w:t>
      </w:r>
      <w:r>
        <w:rPr/>
        <w:t>region</w:t>
      </w:r>
      <w:r>
        <w:rPr>
          <w:spacing w:val="-3"/>
        </w:rPr>
        <w:t> </w:t>
      </w:r>
      <w:r>
        <w:rPr/>
        <w:t>that</w:t>
      </w:r>
      <w:r>
        <w:rPr>
          <w:spacing w:val="-5"/>
        </w:rPr>
        <w:t> </w:t>
      </w:r>
      <w:r>
        <w:rPr/>
        <w:t>has</w:t>
      </w:r>
      <w:r>
        <w:rPr>
          <w:spacing w:val="4"/>
        </w:rPr>
        <w:t> </w:t>
      </w:r>
      <w:r>
        <w:rPr/>
        <w:t>beautiful </w:t>
      </w:r>
      <w:r>
        <w:rPr/>
        <w:t>weather, beaches, and access to the sea. With the exception of Cuba, which placed very low when compared to other Caribbean destinations, the data reveals that there are no prominent differences </w:t>
      </w:r>
      <w:r>
        <w:rPr>
          <w:rFonts w:ascii="Calibri" w:hAnsi="Calibri" w:cs="Calibri" w:eastAsia="Calibri" w:hint="default"/>
        </w:rPr>
        <w:t>with regard to people’s </w:t>
      </w:r>
      <w:r>
        <w:rPr/>
        <w:t>perceptions of beaches and duty-free areas in the Caribbean region. This means that tourists arriving to the Caribbean islands expect that duty-free shopping will be available, and that the beaches will be</w:t>
      </w:r>
      <w:r>
        <w:rPr>
          <w:spacing w:val="-31"/>
        </w:rPr>
        <w:t> </w:t>
      </w:r>
      <w:r>
        <w:rPr/>
        <w:t>nice.</w:t>
      </w:r>
    </w:p>
    <w:p>
      <w:pPr>
        <w:spacing w:line="240" w:lineRule="auto" w:before="1"/>
        <w:ind w:right="0"/>
        <w:rPr>
          <w:rFonts w:ascii="Calibri" w:hAnsi="Calibri" w:cs="Calibri" w:eastAsia="Calibri" w:hint="default"/>
          <w:sz w:val="20"/>
          <w:szCs w:val="20"/>
        </w:rPr>
      </w:pPr>
    </w:p>
    <w:p>
      <w:pPr>
        <w:pStyle w:val="BodyText"/>
        <w:spacing w:line="240" w:lineRule="auto"/>
        <w:ind w:right="1433"/>
        <w:jc w:val="both"/>
      </w:pPr>
      <w:r>
        <w:rPr/>
        <w:t>The practical implication here is that the Caribbean islands must promote and maintain their beaches, and it behooves the island destinations to offer duty-</w:t>
      </w:r>
      <w:r>
        <w:rPr>
          <w:rFonts w:ascii="Calibri" w:hAnsi="Calibri" w:cs="Calibri" w:eastAsia="Calibri" w:hint="default"/>
        </w:rPr>
        <w:t>free areas in order to align with the tourists’ expec</w:t>
      </w:r>
      <w:r>
        <w:rPr/>
        <w:t>tations. Nice beaches and duty-free areas for shopping are necessary components of the overall tourist experience in the Caribbean region; however, it does not seem that these two components (by themselves) will provide a Caribbean destination with a competitive</w:t>
      </w:r>
      <w:r>
        <w:rPr>
          <w:spacing w:val="-11"/>
        </w:rPr>
        <w:t> </w:t>
      </w:r>
      <w:r>
        <w:rPr/>
        <w:t>advantage.</w:t>
      </w:r>
    </w:p>
    <w:p>
      <w:pPr>
        <w:spacing w:line="240" w:lineRule="auto" w:before="11"/>
        <w:ind w:right="0"/>
        <w:rPr>
          <w:rFonts w:ascii="Calibri" w:hAnsi="Calibri" w:cs="Calibri" w:eastAsia="Calibri" w:hint="default"/>
          <w:sz w:val="19"/>
          <w:szCs w:val="19"/>
        </w:rPr>
      </w:pPr>
    </w:p>
    <w:p>
      <w:pPr>
        <w:pStyle w:val="BodyText"/>
        <w:spacing w:line="240" w:lineRule="auto"/>
        <w:ind w:right="1437"/>
        <w:jc w:val="both"/>
      </w:pPr>
      <w:r>
        <w:rPr/>
        <w:t>An interesting finding was revealed during the data assessment that there was </w:t>
      </w:r>
      <w:r>
        <w:rPr>
          <w:rFonts w:ascii="Calibri" w:hAnsi="Calibri" w:cs="Calibri" w:eastAsia="Calibri" w:hint="default"/>
        </w:rPr>
        <w:t>a distinct difference in people’s </w:t>
      </w:r>
      <w:r>
        <w:rPr/>
        <w:t>perceptions</w:t>
      </w:r>
      <w:r>
        <w:rPr>
          <w:spacing w:val="-5"/>
        </w:rPr>
        <w:t> </w:t>
      </w:r>
      <w:r>
        <w:rPr/>
        <w:t>regarding</w:t>
      </w:r>
      <w:r>
        <w:rPr>
          <w:spacing w:val="-5"/>
        </w:rPr>
        <w:t> </w:t>
      </w:r>
      <w:r>
        <w:rPr/>
        <w:t>the</w:t>
      </w:r>
      <w:r>
        <w:rPr>
          <w:spacing w:val="-2"/>
        </w:rPr>
        <w:t> </w:t>
      </w:r>
      <w:r>
        <w:rPr/>
        <w:t>hospitality</w:t>
      </w:r>
      <w:r>
        <w:rPr>
          <w:spacing w:val="-4"/>
        </w:rPr>
        <w:t> </w:t>
      </w:r>
      <w:r>
        <w:rPr/>
        <w:t>or</w:t>
      </w:r>
      <w:r>
        <w:rPr>
          <w:spacing w:val="-4"/>
        </w:rPr>
        <w:t> </w:t>
      </w:r>
      <w:r>
        <w:rPr/>
        <w:t>the</w:t>
      </w:r>
      <w:r>
        <w:rPr>
          <w:spacing w:val="-3"/>
        </w:rPr>
        <w:t> </w:t>
      </w:r>
      <w:r>
        <w:rPr/>
        <w:t>service</w:t>
      </w:r>
      <w:r>
        <w:rPr>
          <w:spacing w:val="-5"/>
        </w:rPr>
        <w:t> </w:t>
      </w:r>
      <w:r>
        <w:rPr/>
        <w:t>delivery</w:t>
      </w:r>
      <w:r>
        <w:rPr>
          <w:spacing w:val="-1"/>
        </w:rPr>
        <w:t> </w:t>
      </w:r>
      <w:r>
        <w:rPr/>
        <w:t>quality</w:t>
      </w:r>
      <w:r>
        <w:rPr>
          <w:spacing w:val="-3"/>
        </w:rPr>
        <w:t> </w:t>
      </w:r>
      <w:r>
        <w:rPr/>
        <w:t>(soft</w:t>
      </w:r>
      <w:r>
        <w:rPr>
          <w:spacing w:val="-4"/>
        </w:rPr>
        <w:t> </w:t>
      </w:r>
      <w:r>
        <w:rPr/>
        <w:t>components</w:t>
      </w:r>
      <w:r>
        <w:rPr>
          <w:spacing w:val="-5"/>
        </w:rPr>
        <w:t> </w:t>
      </w:r>
      <w:r>
        <w:rPr/>
        <w:t>of</w:t>
      </w:r>
      <w:r>
        <w:rPr>
          <w:spacing w:val="-5"/>
        </w:rPr>
        <w:t> </w:t>
      </w:r>
      <w:r>
        <w:rPr/>
        <w:t>tourism)</w:t>
      </w:r>
      <w:r>
        <w:rPr>
          <w:spacing w:val="-3"/>
        </w:rPr>
        <w:t> </w:t>
      </w:r>
      <w:r>
        <w:rPr/>
        <w:t>that</w:t>
      </w:r>
      <w:r>
        <w:rPr>
          <w:spacing w:val="-1"/>
        </w:rPr>
        <w:t> </w:t>
      </w:r>
      <w:r>
        <w:rPr/>
        <w:t>is</w:t>
      </w:r>
      <w:r>
        <w:rPr>
          <w:spacing w:val="-6"/>
        </w:rPr>
        <w:t> </w:t>
      </w:r>
      <w:r>
        <w:rPr/>
        <w:t>available</w:t>
      </w:r>
      <w:r>
        <w:rPr>
          <w:spacing w:val="-3"/>
        </w:rPr>
        <w:t> </w:t>
      </w:r>
      <w:r>
        <w:rPr/>
        <w:t>in </w:t>
      </w:r>
      <w:r>
        <w:rPr/>
        <w:t>the Caribbean region. Therefore, Curaçao should take great strides to emulate or exceed the level of service and hospitality that is available in </w:t>
      </w:r>
      <w:r>
        <w:rPr>
          <w:rFonts w:ascii="Calibri" w:hAnsi="Calibri" w:cs="Calibri" w:eastAsia="Calibri" w:hint="default"/>
        </w:rPr>
        <w:t>Bermuda and Mexico’s Caribbean Coast. </w:t>
      </w:r>
      <w:r>
        <w:rPr/>
        <w:t>According to tourists, these two locations have a very high level of</w:t>
      </w:r>
      <w:r>
        <w:rPr>
          <w:spacing w:val="-14"/>
        </w:rPr>
        <w:t> </w:t>
      </w:r>
      <w:r>
        <w:rPr/>
        <w:t>hospitality.</w:t>
      </w:r>
    </w:p>
    <w:p>
      <w:pPr>
        <w:spacing w:line="240" w:lineRule="auto" w:before="11"/>
        <w:ind w:right="0"/>
        <w:rPr>
          <w:rFonts w:ascii="Calibri" w:hAnsi="Calibri" w:cs="Calibri" w:eastAsia="Calibri" w:hint="default"/>
          <w:sz w:val="19"/>
          <w:szCs w:val="19"/>
        </w:rPr>
      </w:pPr>
    </w:p>
    <w:p>
      <w:pPr>
        <w:pStyle w:val="BodyText"/>
        <w:spacing w:line="240" w:lineRule="auto"/>
        <w:ind w:right="1435"/>
        <w:jc w:val="both"/>
      </w:pPr>
      <w:r>
        <w:rPr/>
        <w:t>The</w:t>
      </w:r>
      <w:r>
        <w:rPr>
          <w:spacing w:val="-5"/>
        </w:rPr>
        <w:t> </w:t>
      </w:r>
      <w:r>
        <w:rPr/>
        <w:t>DPITS</w:t>
      </w:r>
      <w:r>
        <w:rPr>
          <w:spacing w:val="-5"/>
        </w:rPr>
        <w:t> </w:t>
      </w:r>
      <w:r>
        <w:rPr/>
        <w:t>further</w:t>
      </w:r>
      <w:r>
        <w:rPr>
          <w:spacing w:val="-3"/>
        </w:rPr>
        <w:t> </w:t>
      </w:r>
      <w:r>
        <w:rPr/>
        <w:t>investigated</w:t>
      </w:r>
      <w:r>
        <w:rPr>
          <w:spacing w:val="-4"/>
        </w:rPr>
        <w:t> </w:t>
      </w:r>
      <w:r>
        <w:rPr/>
        <w:t>the</w:t>
      </w:r>
      <w:r>
        <w:rPr>
          <w:spacing w:val="-5"/>
        </w:rPr>
        <w:t> </w:t>
      </w:r>
      <w:r>
        <w:rPr/>
        <w:t>data</w:t>
      </w:r>
      <w:r>
        <w:rPr>
          <w:spacing w:val="-4"/>
        </w:rPr>
        <w:t> </w:t>
      </w:r>
      <w:r>
        <w:rPr/>
        <w:t>to</w:t>
      </w:r>
      <w:r>
        <w:rPr>
          <w:spacing w:val="-4"/>
        </w:rPr>
        <w:t> </w:t>
      </w:r>
      <w:r>
        <w:rPr/>
        <w:t>determine</w:t>
      </w:r>
      <w:r>
        <w:rPr>
          <w:spacing w:val="-5"/>
        </w:rPr>
        <w:t> </w:t>
      </w:r>
      <w:r>
        <w:rPr/>
        <w:t>the</w:t>
      </w:r>
      <w:r>
        <w:rPr>
          <w:spacing w:val="-5"/>
        </w:rPr>
        <w:t> </w:t>
      </w:r>
      <w:r>
        <w:rPr/>
        <w:t>weight</w:t>
      </w:r>
      <w:r>
        <w:rPr>
          <w:spacing w:val="-4"/>
        </w:rPr>
        <w:t> </w:t>
      </w:r>
      <w:r>
        <w:rPr/>
        <w:t>that</w:t>
      </w:r>
      <w:r>
        <w:rPr>
          <w:spacing w:val="-4"/>
        </w:rPr>
        <w:t> </w:t>
      </w:r>
      <w:r>
        <w:rPr/>
        <w:t>each</w:t>
      </w:r>
      <w:r>
        <w:rPr>
          <w:spacing w:val="-3"/>
        </w:rPr>
        <w:t> </w:t>
      </w:r>
      <w:r>
        <w:rPr/>
        <w:t>of</w:t>
      </w:r>
      <w:r>
        <w:rPr>
          <w:spacing w:val="-5"/>
        </w:rPr>
        <w:t> </w:t>
      </w:r>
      <w:r>
        <w:rPr/>
        <w:t>these components</w:t>
      </w:r>
      <w:r>
        <w:rPr>
          <w:spacing w:val="-5"/>
        </w:rPr>
        <w:t> </w:t>
      </w:r>
      <w:r>
        <w:rPr/>
        <w:t>(i.e.</w:t>
      </w:r>
      <w:r>
        <w:rPr>
          <w:spacing w:val="-4"/>
        </w:rPr>
        <w:t> </w:t>
      </w:r>
      <w:r>
        <w:rPr/>
        <w:t>beaches,</w:t>
      </w:r>
      <w:r>
        <w:rPr>
          <w:spacing w:val="-4"/>
        </w:rPr>
        <w:t> </w:t>
      </w:r>
      <w:r>
        <w:rPr/>
        <w:t>duty- </w:t>
      </w:r>
      <w:r>
        <w:rPr/>
      </w:r>
      <w:r>
        <w:rPr>
          <w:rFonts w:ascii="Calibri" w:hAnsi="Calibri" w:cs="Calibri" w:eastAsia="Calibri" w:hint="default"/>
        </w:rPr>
        <w:t>free shopping, and hospitality) had in determining a tourist’s level of satisfaction with their overall experience. </w:t>
      </w:r>
      <w:r>
        <w:rPr/>
        <w:t>According</w:t>
      </w:r>
      <w:r>
        <w:rPr>
          <w:spacing w:val="-11"/>
        </w:rPr>
        <w:t> </w:t>
      </w:r>
      <w:r>
        <w:rPr/>
        <w:t>to</w:t>
      </w:r>
      <w:r>
        <w:rPr>
          <w:spacing w:val="-11"/>
        </w:rPr>
        <w:t> </w:t>
      </w:r>
      <w:r>
        <w:rPr/>
        <w:t>the</w:t>
      </w:r>
      <w:r>
        <w:rPr>
          <w:spacing w:val="-12"/>
        </w:rPr>
        <w:t> </w:t>
      </w:r>
      <w:r>
        <w:rPr/>
        <w:t>data,</w:t>
      </w:r>
      <w:r>
        <w:rPr>
          <w:spacing w:val="-11"/>
        </w:rPr>
        <w:t> </w:t>
      </w:r>
      <w:r>
        <w:rPr/>
        <w:t>the</w:t>
      </w:r>
      <w:r>
        <w:rPr>
          <w:spacing w:val="-11"/>
        </w:rPr>
        <w:t> </w:t>
      </w:r>
      <w:r>
        <w:rPr/>
        <w:t>soft</w:t>
      </w:r>
      <w:r>
        <w:rPr>
          <w:spacing w:val="-11"/>
        </w:rPr>
        <w:t> </w:t>
      </w:r>
      <w:r>
        <w:rPr/>
        <w:t>component</w:t>
      </w:r>
      <w:r>
        <w:rPr>
          <w:spacing w:val="-11"/>
        </w:rPr>
        <w:t> </w:t>
      </w:r>
      <w:r>
        <w:rPr/>
        <w:t>of</w:t>
      </w:r>
      <w:r>
        <w:rPr>
          <w:spacing w:val="-12"/>
        </w:rPr>
        <w:t> </w:t>
      </w:r>
      <w:r>
        <w:rPr/>
        <w:t>tourism,</w:t>
      </w:r>
      <w:r>
        <w:rPr>
          <w:spacing w:val="-10"/>
        </w:rPr>
        <w:t> </w:t>
      </w:r>
      <w:r>
        <w:rPr/>
        <w:t>which</w:t>
      </w:r>
      <w:r>
        <w:rPr>
          <w:spacing w:val="-12"/>
        </w:rPr>
        <w:t> </w:t>
      </w:r>
      <w:r>
        <w:rPr/>
        <w:t>is</w:t>
      </w:r>
      <w:r>
        <w:rPr>
          <w:spacing w:val="-13"/>
        </w:rPr>
        <w:t> </w:t>
      </w:r>
      <w:r>
        <w:rPr/>
        <w:t>hospitality,</w:t>
      </w:r>
      <w:r>
        <w:rPr>
          <w:spacing w:val="-11"/>
        </w:rPr>
        <w:t> </w:t>
      </w:r>
      <w:r>
        <w:rPr/>
        <w:t>accounts</w:t>
      </w:r>
      <w:r>
        <w:rPr>
          <w:spacing w:val="-12"/>
        </w:rPr>
        <w:t> </w:t>
      </w:r>
      <w:r>
        <w:rPr/>
        <w:t>for</w:t>
      </w:r>
      <w:r>
        <w:rPr>
          <w:spacing w:val="-12"/>
        </w:rPr>
        <w:t> </w:t>
      </w:r>
      <w:r>
        <w:rPr>
          <w:spacing w:val="2"/>
        </w:rPr>
        <w:t>45%</w:t>
      </w:r>
      <w:r>
        <w:rPr>
          <w:spacing w:val="-12"/>
        </w:rPr>
        <w:t> </w:t>
      </w:r>
      <w:r>
        <w:rPr/>
        <w:t>of</w:t>
      </w:r>
      <w:r>
        <w:rPr>
          <w:spacing w:val="-12"/>
        </w:rPr>
        <w:t> </w:t>
      </w:r>
      <w:r>
        <w:rPr/>
        <w:t>the</w:t>
      </w:r>
      <w:r>
        <w:rPr>
          <w:spacing w:val="-12"/>
        </w:rPr>
        <w:t> </w:t>
      </w:r>
      <w:r>
        <w:rPr/>
        <w:t>variance,</w:t>
      </w:r>
      <w:r>
        <w:rPr>
          <w:spacing w:val="-11"/>
        </w:rPr>
        <w:t> </w:t>
      </w:r>
      <w:r>
        <w:rPr/>
        <w:t>whereas </w:t>
      </w:r>
      <w:r>
        <w:rPr/>
        <w:t>duty-free shopping and beaches accounted for 7.5% and 4%, respectively (See Table 45). The remaining variance within</w:t>
      </w:r>
      <w:r>
        <w:rPr>
          <w:spacing w:val="-4"/>
        </w:rPr>
        <w:t> </w:t>
      </w:r>
      <w:r>
        <w:rPr/>
        <w:t>the</w:t>
      </w:r>
      <w:r>
        <w:rPr>
          <w:spacing w:val="-5"/>
        </w:rPr>
        <w:t> </w:t>
      </w:r>
      <w:r>
        <w:rPr/>
        <w:t>model</w:t>
      </w:r>
      <w:r>
        <w:rPr>
          <w:spacing w:val="-4"/>
        </w:rPr>
        <w:t> </w:t>
      </w:r>
      <w:r>
        <w:rPr/>
        <w:t>cannot</w:t>
      </w:r>
      <w:r>
        <w:rPr>
          <w:spacing w:val="-4"/>
        </w:rPr>
        <w:t> </w:t>
      </w:r>
      <w:r>
        <w:rPr/>
        <w:t>be</w:t>
      </w:r>
      <w:r>
        <w:rPr>
          <w:spacing w:val="-5"/>
        </w:rPr>
        <w:t> </w:t>
      </w:r>
      <w:r>
        <w:rPr/>
        <w:t>accounted</w:t>
      </w:r>
      <w:r>
        <w:rPr>
          <w:spacing w:val="-4"/>
        </w:rPr>
        <w:t> </w:t>
      </w:r>
      <w:r>
        <w:rPr/>
        <w:t>for</w:t>
      </w:r>
      <w:r>
        <w:rPr>
          <w:spacing w:val="-4"/>
        </w:rPr>
        <w:t> </w:t>
      </w:r>
      <w:r>
        <w:rPr/>
        <w:t>and</w:t>
      </w:r>
      <w:r>
        <w:rPr>
          <w:spacing w:val="-4"/>
        </w:rPr>
        <w:t> </w:t>
      </w:r>
      <w:r>
        <w:rPr/>
        <w:t>is</w:t>
      </w:r>
      <w:r>
        <w:rPr>
          <w:spacing w:val="-6"/>
        </w:rPr>
        <w:t> </w:t>
      </w:r>
      <w:r>
        <w:rPr/>
        <w:t>due</w:t>
      </w:r>
      <w:r>
        <w:rPr>
          <w:spacing w:val="-5"/>
        </w:rPr>
        <w:t> </w:t>
      </w:r>
      <w:r>
        <w:rPr/>
        <w:t>to</w:t>
      </w:r>
      <w:r>
        <w:rPr>
          <w:spacing w:val="-1"/>
        </w:rPr>
        <w:t> </w:t>
      </w:r>
      <w:r>
        <w:rPr/>
        <w:t>statistical</w:t>
      </w:r>
      <w:r>
        <w:rPr>
          <w:spacing w:val="-4"/>
        </w:rPr>
        <w:t> </w:t>
      </w:r>
      <w:r>
        <w:rPr/>
        <w:t>limitations</w:t>
      </w:r>
      <w:r>
        <w:rPr>
          <w:spacing w:val="-5"/>
        </w:rPr>
        <w:t> </w:t>
      </w:r>
      <w:r>
        <w:rPr/>
        <w:t>of</w:t>
      </w:r>
      <w:r>
        <w:rPr>
          <w:spacing w:val="-5"/>
        </w:rPr>
        <w:t> </w:t>
      </w:r>
      <w:r>
        <w:rPr/>
        <w:t>measurement</w:t>
      </w:r>
      <w:r>
        <w:rPr>
          <w:spacing w:val="-4"/>
        </w:rPr>
        <w:t> </w:t>
      </w:r>
      <w:r>
        <w:rPr/>
        <w:t>error</w:t>
      </w:r>
      <w:r>
        <w:rPr>
          <w:spacing w:val="-4"/>
        </w:rPr>
        <w:t> </w:t>
      </w:r>
      <w:r>
        <w:rPr/>
        <w:t>that</w:t>
      </w:r>
      <w:r>
        <w:rPr>
          <w:spacing w:val="-4"/>
        </w:rPr>
        <w:t> </w:t>
      </w:r>
      <w:r>
        <w:rPr/>
        <w:t>exists</w:t>
      </w:r>
      <w:r>
        <w:rPr>
          <w:spacing w:val="-5"/>
        </w:rPr>
        <w:t> </w:t>
      </w:r>
      <w:r>
        <w:rPr/>
        <w:t>in</w:t>
      </w:r>
      <w:r>
        <w:rPr>
          <w:spacing w:val="-4"/>
        </w:rPr>
        <w:t> </w:t>
      </w:r>
      <w:r>
        <w:rPr/>
        <w:t>all </w:t>
      </w:r>
      <w:r>
        <w:rPr/>
        <w:t>models.</w:t>
      </w:r>
    </w:p>
    <w:p>
      <w:pPr>
        <w:spacing w:line="240" w:lineRule="auto" w:before="1"/>
        <w:ind w:right="0"/>
        <w:rPr>
          <w:rFonts w:ascii="Calibri" w:hAnsi="Calibri" w:cs="Calibri" w:eastAsia="Calibri" w:hint="default"/>
          <w:sz w:val="20"/>
          <w:szCs w:val="20"/>
        </w:rPr>
      </w:pPr>
    </w:p>
    <w:p>
      <w:pPr>
        <w:pStyle w:val="BodyText"/>
        <w:spacing w:line="240" w:lineRule="auto"/>
        <w:ind w:right="1435"/>
        <w:jc w:val="both"/>
      </w:pPr>
      <w:r>
        <w:rPr/>
        <w:t>This means that the most important factor to consider in delivering a superior tourist experience is the soft components factor of tourism, which is mainly the service delivery. This information presents a unique opportunity for Curaçao to improve its competitive position within the region via focusing on human capital development, as opposed to capital investments in infrastructural</w:t>
      </w:r>
      <w:r>
        <w:rPr>
          <w:spacing w:val="-27"/>
        </w:rPr>
        <w:t> </w:t>
      </w:r>
      <w:r>
        <w:rPr/>
        <w:t>development.</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Heading9"/>
        <w:spacing w:line="240" w:lineRule="auto" w:before="59"/>
        <w:ind w:left="3992" w:right="0"/>
        <w:jc w:val="left"/>
        <w:rPr>
          <w:b w:val="0"/>
          <w:bCs w:val="0"/>
          <w:sz w:val="12"/>
          <w:szCs w:val="12"/>
        </w:rPr>
      </w:pPr>
      <w:bookmarkStart w:name="_bookmark132" w:id="133"/>
      <w:bookmarkEnd w:id="133"/>
      <w:r>
        <w:rPr>
          <w:b w:val="0"/>
        </w:rPr>
      </w:r>
      <w:r>
        <w:rPr/>
        <w:t>Table 44:  Image perception of the competitive</w:t>
      </w:r>
      <w:r>
        <w:rPr>
          <w:spacing w:val="-20"/>
        </w:rPr>
        <w:t> </w:t>
      </w:r>
      <w:r>
        <w:rPr/>
        <w:t>set</w:t>
      </w:r>
      <w:r>
        <w:rPr>
          <w:position w:val="5"/>
          <w:sz w:val="12"/>
        </w:rPr>
        <w:t>62</w:t>
      </w:r>
      <w:r>
        <w:rPr>
          <w:b w:val="0"/>
          <w:sz w:val="12"/>
        </w:rPr>
      </w:r>
    </w:p>
    <w:tbl>
      <w:tblPr>
        <w:tblW w:w="0" w:type="auto"/>
        <w:jc w:val="left"/>
        <w:tblInd w:w="1502" w:type="dxa"/>
        <w:tblLayout w:type="fixed"/>
        <w:tblCellMar>
          <w:top w:w="0" w:type="dxa"/>
          <w:left w:w="0" w:type="dxa"/>
          <w:bottom w:w="0" w:type="dxa"/>
          <w:right w:w="0" w:type="dxa"/>
        </w:tblCellMar>
        <w:tblLook w:val="01E0"/>
      </w:tblPr>
      <w:tblGrid>
        <w:gridCol w:w="3058"/>
        <w:gridCol w:w="2220"/>
        <w:gridCol w:w="2136"/>
        <w:gridCol w:w="1823"/>
      </w:tblGrid>
      <w:tr>
        <w:trPr>
          <w:trHeight w:val="228" w:hRule="exact"/>
        </w:trPr>
        <w:tc>
          <w:tcPr>
            <w:tcW w:w="3058" w:type="dxa"/>
            <w:tcBorders>
              <w:top w:val="single" w:sz="4" w:space="0" w:color="000000"/>
              <w:left w:val="nil" w:sz="6" w:space="0" w:color="auto"/>
              <w:bottom w:val="single" w:sz="4" w:space="0" w:color="000000"/>
              <w:right w:val="nil" w:sz="6" w:space="0" w:color="auto"/>
            </w:tcBorders>
          </w:tcPr>
          <w:p>
            <w:pPr>
              <w:pStyle w:val="TableParagraph"/>
              <w:spacing w:line="219" w:lineRule="exact"/>
              <w:ind w:left="1351" w:right="0"/>
              <w:jc w:val="left"/>
              <w:rPr>
                <w:rFonts w:ascii="Calibri" w:hAnsi="Calibri" w:cs="Calibri" w:eastAsia="Calibri" w:hint="default"/>
                <w:sz w:val="18"/>
                <w:szCs w:val="18"/>
              </w:rPr>
            </w:pPr>
            <w:r>
              <w:rPr>
                <w:rFonts w:ascii="Calibri"/>
                <w:b/>
                <w:sz w:val="18"/>
              </w:rPr>
              <w:t>Construct</w:t>
            </w:r>
            <w:r>
              <w:rPr>
                <w:rFonts w:ascii="Calibri"/>
                <w:sz w:val="18"/>
              </w:rPr>
            </w:r>
          </w:p>
        </w:tc>
        <w:tc>
          <w:tcPr>
            <w:tcW w:w="2220" w:type="dxa"/>
            <w:tcBorders>
              <w:top w:val="single" w:sz="4" w:space="0" w:color="000000"/>
              <w:left w:val="nil" w:sz="6" w:space="0" w:color="auto"/>
              <w:bottom w:val="single" w:sz="4" w:space="0" w:color="000000"/>
              <w:right w:val="nil" w:sz="6" w:space="0" w:color="auto"/>
            </w:tcBorders>
          </w:tcPr>
          <w:p>
            <w:pPr>
              <w:pStyle w:val="TableParagraph"/>
              <w:spacing w:line="219" w:lineRule="exact"/>
              <w:ind w:right="564"/>
              <w:jc w:val="right"/>
              <w:rPr>
                <w:rFonts w:ascii="Calibri" w:hAnsi="Calibri" w:cs="Calibri" w:eastAsia="Calibri" w:hint="default"/>
                <w:sz w:val="18"/>
                <w:szCs w:val="18"/>
              </w:rPr>
            </w:pPr>
            <w:r>
              <w:rPr>
                <w:rFonts w:ascii="Calibri"/>
                <w:b/>
                <w:spacing w:val="-1"/>
                <w:sz w:val="18"/>
              </w:rPr>
              <w:t>Beaches</w:t>
            </w:r>
            <w:r>
              <w:rPr>
                <w:rFonts w:ascii="Calibri"/>
                <w:spacing w:val="-1"/>
                <w:sz w:val="18"/>
              </w:rPr>
            </w:r>
          </w:p>
        </w:tc>
        <w:tc>
          <w:tcPr>
            <w:tcW w:w="2136" w:type="dxa"/>
            <w:tcBorders>
              <w:top w:val="single" w:sz="4" w:space="0" w:color="000000"/>
              <w:left w:val="nil" w:sz="6" w:space="0" w:color="auto"/>
              <w:bottom w:val="single" w:sz="4" w:space="0" w:color="000000"/>
              <w:right w:val="nil" w:sz="6" w:space="0" w:color="auto"/>
            </w:tcBorders>
          </w:tcPr>
          <w:p>
            <w:pPr>
              <w:pStyle w:val="TableParagraph"/>
              <w:spacing w:line="219" w:lineRule="exact"/>
              <w:ind w:left="37" w:right="0"/>
              <w:jc w:val="center"/>
              <w:rPr>
                <w:rFonts w:ascii="Calibri" w:hAnsi="Calibri" w:cs="Calibri" w:eastAsia="Calibri" w:hint="default"/>
                <w:sz w:val="18"/>
                <w:szCs w:val="18"/>
              </w:rPr>
            </w:pPr>
            <w:r>
              <w:rPr>
                <w:rFonts w:ascii="Calibri"/>
                <w:b/>
                <w:sz w:val="18"/>
              </w:rPr>
              <w:t>Duty-Free</w:t>
            </w:r>
            <w:r>
              <w:rPr>
                <w:rFonts w:ascii="Calibri"/>
                <w:b/>
                <w:spacing w:val="-6"/>
                <w:sz w:val="18"/>
              </w:rPr>
              <w:t> </w:t>
            </w:r>
            <w:r>
              <w:rPr>
                <w:rFonts w:ascii="Calibri"/>
                <w:b/>
                <w:sz w:val="18"/>
              </w:rPr>
              <w:t>Shop</w:t>
            </w:r>
            <w:r>
              <w:rPr>
                <w:rFonts w:ascii="Calibri"/>
                <w:sz w:val="18"/>
              </w:rPr>
            </w:r>
          </w:p>
        </w:tc>
        <w:tc>
          <w:tcPr>
            <w:tcW w:w="1823" w:type="dxa"/>
            <w:tcBorders>
              <w:top w:val="single" w:sz="4" w:space="0" w:color="000000"/>
              <w:left w:val="nil" w:sz="6" w:space="0" w:color="auto"/>
              <w:bottom w:val="single" w:sz="4" w:space="0" w:color="000000"/>
              <w:right w:val="nil" w:sz="6" w:space="0" w:color="auto"/>
            </w:tcBorders>
          </w:tcPr>
          <w:p>
            <w:pPr>
              <w:pStyle w:val="TableParagraph"/>
              <w:spacing w:line="219" w:lineRule="exact"/>
              <w:ind w:right="541"/>
              <w:jc w:val="right"/>
              <w:rPr>
                <w:rFonts w:ascii="Calibri" w:hAnsi="Calibri" w:cs="Calibri" w:eastAsia="Calibri" w:hint="default"/>
                <w:sz w:val="18"/>
                <w:szCs w:val="18"/>
              </w:rPr>
            </w:pPr>
            <w:r>
              <w:rPr>
                <w:rFonts w:ascii="Calibri"/>
                <w:b/>
                <w:spacing w:val="-1"/>
                <w:sz w:val="18"/>
              </w:rPr>
              <w:t>Hospitality</w:t>
            </w:r>
            <w:r>
              <w:rPr>
                <w:rFonts w:ascii="Calibri"/>
                <w:spacing w:val="-1"/>
                <w:sz w:val="18"/>
              </w:rPr>
            </w:r>
          </w:p>
        </w:tc>
      </w:tr>
      <w:tr>
        <w:trPr>
          <w:trHeight w:val="242" w:hRule="exact"/>
        </w:trPr>
        <w:tc>
          <w:tcPr>
            <w:tcW w:w="3058"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107" w:right="0"/>
              <w:jc w:val="left"/>
              <w:rPr>
                <w:rFonts w:ascii="Calibri" w:hAnsi="Calibri" w:cs="Calibri" w:eastAsia="Calibri" w:hint="default"/>
                <w:sz w:val="18"/>
                <w:szCs w:val="18"/>
              </w:rPr>
            </w:pPr>
            <w:r>
              <w:rPr>
                <w:rFonts w:ascii="Calibri"/>
                <w:sz w:val="18"/>
              </w:rPr>
              <w:t>Aruba</w:t>
            </w:r>
          </w:p>
        </w:tc>
        <w:tc>
          <w:tcPr>
            <w:tcW w:w="2220"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607"/>
              <w:jc w:val="right"/>
              <w:rPr>
                <w:rFonts w:ascii="Calibri" w:hAnsi="Calibri" w:cs="Calibri" w:eastAsia="Calibri" w:hint="default"/>
                <w:sz w:val="18"/>
                <w:szCs w:val="18"/>
              </w:rPr>
            </w:pPr>
            <w:r>
              <w:rPr>
                <w:rFonts w:ascii="Calibri"/>
                <w:spacing w:val="-1"/>
                <w:sz w:val="18"/>
              </w:rPr>
              <w:t>No-Diff</w:t>
            </w:r>
            <w:r>
              <w:rPr>
                <w:rFonts w:ascii="Calibri"/>
                <w:sz w:val="18"/>
              </w:rPr>
            </w:r>
          </w:p>
        </w:tc>
        <w:tc>
          <w:tcPr>
            <w:tcW w:w="2136"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41" w:right="0"/>
              <w:jc w:val="center"/>
              <w:rPr>
                <w:rFonts w:ascii="Calibri" w:hAnsi="Calibri" w:cs="Calibri" w:eastAsia="Calibri" w:hint="default"/>
                <w:sz w:val="18"/>
                <w:szCs w:val="18"/>
              </w:rPr>
            </w:pPr>
            <w:r>
              <w:rPr>
                <w:rFonts w:ascii="Calibri"/>
                <w:sz w:val="18"/>
              </w:rPr>
              <w:t>High</w:t>
            </w:r>
          </w:p>
        </w:tc>
        <w:tc>
          <w:tcPr>
            <w:tcW w:w="1823"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580"/>
              <w:jc w:val="right"/>
              <w:rPr>
                <w:rFonts w:ascii="Calibri" w:hAnsi="Calibri" w:cs="Calibri" w:eastAsia="Calibri" w:hint="default"/>
                <w:sz w:val="18"/>
                <w:szCs w:val="18"/>
              </w:rPr>
            </w:pPr>
            <w:r>
              <w:rPr>
                <w:rFonts w:ascii="Calibri"/>
                <w:spacing w:val="-1"/>
                <w:sz w:val="18"/>
              </w:rPr>
              <w:t>High-Med</w:t>
            </w:r>
          </w:p>
        </w:tc>
      </w:tr>
      <w:tr>
        <w:trPr>
          <w:trHeight w:val="220" w:hRule="exact"/>
        </w:trPr>
        <w:tc>
          <w:tcPr>
            <w:tcW w:w="3058"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Bahamas</w:t>
            </w:r>
          </w:p>
        </w:tc>
        <w:tc>
          <w:tcPr>
            <w:tcW w:w="2220" w:type="dxa"/>
            <w:tcBorders>
              <w:top w:val="nil" w:sz="6" w:space="0" w:color="auto"/>
              <w:left w:val="nil" w:sz="6" w:space="0" w:color="auto"/>
              <w:bottom w:val="nil" w:sz="6" w:space="0" w:color="auto"/>
              <w:right w:val="nil" w:sz="6" w:space="0" w:color="auto"/>
            </w:tcBorders>
          </w:tcPr>
          <w:p>
            <w:pPr>
              <w:pStyle w:val="TableParagraph"/>
              <w:spacing w:line="203" w:lineRule="exact"/>
              <w:ind w:right="607"/>
              <w:jc w:val="right"/>
              <w:rPr>
                <w:rFonts w:ascii="Calibri" w:hAnsi="Calibri" w:cs="Calibri" w:eastAsia="Calibri" w:hint="default"/>
                <w:sz w:val="18"/>
                <w:szCs w:val="18"/>
              </w:rPr>
            </w:pPr>
            <w:r>
              <w:rPr>
                <w:rFonts w:ascii="Calibri"/>
                <w:spacing w:val="-1"/>
                <w:sz w:val="18"/>
              </w:rPr>
              <w:t>No-Diff</w:t>
            </w:r>
            <w:r>
              <w:rPr>
                <w:rFonts w:ascii="Calibri"/>
                <w:sz w:val="18"/>
              </w:rPr>
            </w:r>
          </w:p>
        </w:tc>
        <w:tc>
          <w:tcPr>
            <w:tcW w:w="2136" w:type="dxa"/>
            <w:tcBorders>
              <w:top w:val="nil" w:sz="6" w:space="0" w:color="auto"/>
              <w:left w:val="nil" w:sz="6" w:space="0" w:color="auto"/>
              <w:bottom w:val="nil" w:sz="6" w:space="0" w:color="auto"/>
              <w:right w:val="nil" w:sz="6" w:space="0" w:color="auto"/>
            </w:tcBorders>
          </w:tcPr>
          <w:p>
            <w:pPr>
              <w:pStyle w:val="TableParagraph"/>
              <w:spacing w:line="203" w:lineRule="exact"/>
              <w:ind w:left="41" w:right="0"/>
              <w:jc w:val="center"/>
              <w:rPr>
                <w:rFonts w:ascii="Calibri" w:hAnsi="Calibri" w:cs="Calibri" w:eastAsia="Calibri" w:hint="default"/>
                <w:sz w:val="18"/>
                <w:szCs w:val="18"/>
              </w:rPr>
            </w:pPr>
            <w:r>
              <w:rPr>
                <w:rFonts w:ascii="Calibri"/>
                <w:sz w:val="18"/>
              </w:rPr>
              <w:t>High</w:t>
            </w:r>
          </w:p>
        </w:tc>
        <w:tc>
          <w:tcPr>
            <w:tcW w:w="1823" w:type="dxa"/>
            <w:tcBorders>
              <w:top w:val="nil" w:sz="6" w:space="0" w:color="auto"/>
              <w:left w:val="nil" w:sz="6" w:space="0" w:color="auto"/>
              <w:bottom w:val="nil" w:sz="6" w:space="0" w:color="auto"/>
              <w:right w:val="nil" w:sz="6" w:space="0" w:color="auto"/>
            </w:tcBorders>
          </w:tcPr>
          <w:p>
            <w:pPr>
              <w:pStyle w:val="TableParagraph"/>
              <w:spacing w:line="203" w:lineRule="exact"/>
              <w:ind w:right="66"/>
              <w:jc w:val="center"/>
              <w:rPr>
                <w:rFonts w:ascii="Calibri" w:hAnsi="Calibri" w:cs="Calibri" w:eastAsia="Calibri" w:hint="default"/>
                <w:sz w:val="18"/>
                <w:szCs w:val="18"/>
              </w:rPr>
            </w:pPr>
            <w:r>
              <w:rPr>
                <w:rFonts w:ascii="Calibri"/>
                <w:sz w:val="18"/>
              </w:rPr>
              <w:t>No-Diff</w:t>
            </w:r>
          </w:p>
        </w:tc>
      </w:tr>
      <w:tr>
        <w:trPr>
          <w:trHeight w:val="220" w:hRule="exact"/>
        </w:trPr>
        <w:tc>
          <w:tcPr>
            <w:tcW w:w="3058"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Barbados</w:t>
            </w:r>
          </w:p>
        </w:tc>
        <w:tc>
          <w:tcPr>
            <w:tcW w:w="2220" w:type="dxa"/>
            <w:tcBorders>
              <w:top w:val="nil" w:sz="6" w:space="0" w:color="auto"/>
              <w:left w:val="nil" w:sz="6" w:space="0" w:color="auto"/>
              <w:bottom w:val="nil" w:sz="6" w:space="0" w:color="auto"/>
              <w:right w:val="nil" w:sz="6" w:space="0" w:color="auto"/>
            </w:tcBorders>
          </w:tcPr>
          <w:p>
            <w:pPr>
              <w:pStyle w:val="TableParagraph"/>
              <w:spacing w:line="204" w:lineRule="exact"/>
              <w:ind w:right="522"/>
              <w:jc w:val="right"/>
              <w:rPr>
                <w:rFonts w:ascii="Calibri" w:hAnsi="Calibri" w:cs="Calibri" w:eastAsia="Calibri" w:hint="default"/>
                <w:sz w:val="18"/>
                <w:szCs w:val="18"/>
              </w:rPr>
            </w:pPr>
            <w:r>
              <w:rPr>
                <w:rFonts w:ascii="Calibri"/>
                <w:sz w:val="18"/>
              </w:rPr>
              <w:t>Low-Med</w:t>
            </w:r>
          </w:p>
        </w:tc>
        <w:tc>
          <w:tcPr>
            <w:tcW w:w="2136" w:type="dxa"/>
            <w:tcBorders>
              <w:top w:val="nil" w:sz="6" w:space="0" w:color="auto"/>
              <w:left w:val="nil" w:sz="6" w:space="0" w:color="auto"/>
              <w:bottom w:val="nil" w:sz="6" w:space="0" w:color="auto"/>
              <w:right w:val="nil" w:sz="6" w:space="0" w:color="auto"/>
            </w:tcBorders>
          </w:tcPr>
          <w:p>
            <w:pPr>
              <w:pStyle w:val="TableParagraph"/>
              <w:spacing w:line="204" w:lineRule="exact"/>
              <w:ind w:left="41" w:right="0"/>
              <w:jc w:val="center"/>
              <w:rPr>
                <w:rFonts w:ascii="Calibri" w:hAnsi="Calibri" w:cs="Calibri" w:eastAsia="Calibri" w:hint="default"/>
                <w:sz w:val="18"/>
                <w:szCs w:val="18"/>
              </w:rPr>
            </w:pPr>
            <w:r>
              <w:rPr>
                <w:rFonts w:ascii="Calibri"/>
                <w:sz w:val="18"/>
              </w:rPr>
              <w:t>High</w:t>
            </w:r>
          </w:p>
        </w:tc>
        <w:tc>
          <w:tcPr>
            <w:tcW w:w="1823" w:type="dxa"/>
            <w:tcBorders>
              <w:top w:val="nil" w:sz="6" w:space="0" w:color="auto"/>
              <w:left w:val="nil" w:sz="6" w:space="0" w:color="auto"/>
              <w:bottom w:val="nil" w:sz="6" w:space="0" w:color="auto"/>
              <w:right w:val="nil" w:sz="6" w:space="0" w:color="auto"/>
            </w:tcBorders>
          </w:tcPr>
          <w:p>
            <w:pPr>
              <w:pStyle w:val="TableParagraph"/>
              <w:spacing w:line="204" w:lineRule="exact"/>
              <w:ind w:right="67"/>
              <w:jc w:val="center"/>
              <w:rPr>
                <w:rFonts w:ascii="Calibri" w:hAnsi="Calibri" w:cs="Calibri" w:eastAsia="Calibri" w:hint="default"/>
                <w:sz w:val="18"/>
                <w:szCs w:val="18"/>
              </w:rPr>
            </w:pPr>
            <w:r>
              <w:rPr>
                <w:rFonts w:ascii="Calibri"/>
                <w:sz w:val="18"/>
              </w:rPr>
              <w:t>Low</w:t>
            </w:r>
          </w:p>
        </w:tc>
      </w:tr>
      <w:tr>
        <w:trPr>
          <w:trHeight w:val="220" w:hRule="exact"/>
        </w:trPr>
        <w:tc>
          <w:tcPr>
            <w:tcW w:w="3058"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Bermuda</w:t>
            </w:r>
          </w:p>
        </w:tc>
        <w:tc>
          <w:tcPr>
            <w:tcW w:w="2220" w:type="dxa"/>
            <w:tcBorders>
              <w:top w:val="nil" w:sz="6" w:space="0" w:color="auto"/>
              <w:left w:val="nil" w:sz="6" w:space="0" w:color="auto"/>
              <w:bottom w:val="nil" w:sz="6" w:space="0" w:color="auto"/>
              <w:right w:val="nil" w:sz="6" w:space="0" w:color="auto"/>
            </w:tcBorders>
          </w:tcPr>
          <w:p>
            <w:pPr>
              <w:pStyle w:val="TableParagraph"/>
              <w:spacing w:line="203" w:lineRule="exact"/>
              <w:ind w:right="507"/>
              <w:jc w:val="right"/>
              <w:rPr>
                <w:rFonts w:ascii="Calibri" w:hAnsi="Calibri" w:cs="Calibri" w:eastAsia="Calibri" w:hint="default"/>
                <w:sz w:val="18"/>
                <w:szCs w:val="18"/>
              </w:rPr>
            </w:pPr>
            <w:r>
              <w:rPr>
                <w:rFonts w:ascii="Calibri"/>
                <w:spacing w:val="-1"/>
                <w:sz w:val="18"/>
              </w:rPr>
              <w:t>High-Med</w:t>
            </w:r>
          </w:p>
        </w:tc>
        <w:tc>
          <w:tcPr>
            <w:tcW w:w="2136" w:type="dxa"/>
            <w:tcBorders>
              <w:top w:val="nil" w:sz="6" w:space="0" w:color="auto"/>
              <w:left w:val="nil" w:sz="6" w:space="0" w:color="auto"/>
              <w:bottom w:val="nil" w:sz="6" w:space="0" w:color="auto"/>
              <w:right w:val="nil" w:sz="6" w:space="0" w:color="auto"/>
            </w:tcBorders>
          </w:tcPr>
          <w:p>
            <w:pPr>
              <w:pStyle w:val="TableParagraph"/>
              <w:spacing w:line="203" w:lineRule="exact"/>
              <w:ind w:left="41" w:right="0"/>
              <w:jc w:val="center"/>
              <w:rPr>
                <w:rFonts w:ascii="Calibri" w:hAnsi="Calibri" w:cs="Calibri" w:eastAsia="Calibri" w:hint="default"/>
                <w:sz w:val="18"/>
                <w:szCs w:val="18"/>
              </w:rPr>
            </w:pPr>
            <w:r>
              <w:rPr>
                <w:rFonts w:ascii="Calibri"/>
                <w:sz w:val="18"/>
              </w:rPr>
              <w:t>High</w:t>
            </w:r>
          </w:p>
        </w:tc>
        <w:tc>
          <w:tcPr>
            <w:tcW w:w="1823" w:type="dxa"/>
            <w:tcBorders>
              <w:top w:val="nil" w:sz="6" w:space="0" w:color="auto"/>
              <w:left w:val="nil" w:sz="6" w:space="0" w:color="auto"/>
              <w:bottom w:val="nil" w:sz="6" w:space="0" w:color="auto"/>
              <w:right w:val="nil" w:sz="6" w:space="0" w:color="auto"/>
            </w:tcBorders>
          </w:tcPr>
          <w:p>
            <w:pPr>
              <w:pStyle w:val="TableParagraph"/>
              <w:spacing w:line="203" w:lineRule="exact"/>
              <w:ind w:right="64"/>
              <w:jc w:val="center"/>
              <w:rPr>
                <w:rFonts w:ascii="Calibri" w:hAnsi="Calibri" w:cs="Calibri" w:eastAsia="Calibri" w:hint="default"/>
                <w:sz w:val="18"/>
                <w:szCs w:val="18"/>
              </w:rPr>
            </w:pPr>
            <w:r>
              <w:rPr>
                <w:rFonts w:ascii="Calibri"/>
                <w:sz w:val="18"/>
              </w:rPr>
              <w:t>High</w:t>
            </w:r>
          </w:p>
        </w:tc>
      </w:tr>
      <w:tr>
        <w:trPr>
          <w:trHeight w:val="220" w:hRule="exact"/>
        </w:trPr>
        <w:tc>
          <w:tcPr>
            <w:tcW w:w="3058"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Cayman</w:t>
            </w:r>
            <w:r>
              <w:rPr>
                <w:rFonts w:ascii="Calibri"/>
                <w:spacing w:val="-6"/>
                <w:sz w:val="18"/>
              </w:rPr>
              <w:t> </w:t>
            </w:r>
            <w:r>
              <w:rPr>
                <w:rFonts w:ascii="Calibri"/>
                <w:sz w:val="18"/>
              </w:rPr>
              <w:t>Islands</w:t>
            </w:r>
          </w:p>
        </w:tc>
        <w:tc>
          <w:tcPr>
            <w:tcW w:w="2220" w:type="dxa"/>
            <w:tcBorders>
              <w:top w:val="nil" w:sz="6" w:space="0" w:color="auto"/>
              <w:left w:val="nil" w:sz="6" w:space="0" w:color="auto"/>
              <w:bottom w:val="nil" w:sz="6" w:space="0" w:color="auto"/>
              <w:right w:val="nil" w:sz="6" w:space="0" w:color="auto"/>
            </w:tcBorders>
          </w:tcPr>
          <w:p>
            <w:pPr>
              <w:pStyle w:val="TableParagraph"/>
              <w:spacing w:line="204" w:lineRule="exact"/>
              <w:ind w:right="607"/>
              <w:jc w:val="right"/>
              <w:rPr>
                <w:rFonts w:ascii="Calibri" w:hAnsi="Calibri" w:cs="Calibri" w:eastAsia="Calibri" w:hint="default"/>
                <w:sz w:val="18"/>
                <w:szCs w:val="18"/>
              </w:rPr>
            </w:pPr>
            <w:r>
              <w:rPr>
                <w:rFonts w:ascii="Calibri"/>
                <w:spacing w:val="-1"/>
                <w:sz w:val="18"/>
              </w:rPr>
              <w:t>No-Diff</w:t>
            </w:r>
            <w:r>
              <w:rPr>
                <w:rFonts w:ascii="Calibri"/>
                <w:sz w:val="18"/>
              </w:rPr>
            </w:r>
          </w:p>
        </w:tc>
        <w:tc>
          <w:tcPr>
            <w:tcW w:w="2136" w:type="dxa"/>
            <w:tcBorders>
              <w:top w:val="nil" w:sz="6" w:space="0" w:color="auto"/>
              <w:left w:val="nil" w:sz="6" w:space="0" w:color="auto"/>
              <w:bottom w:val="nil" w:sz="6" w:space="0" w:color="auto"/>
              <w:right w:val="nil" w:sz="6" w:space="0" w:color="auto"/>
            </w:tcBorders>
          </w:tcPr>
          <w:p>
            <w:pPr>
              <w:pStyle w:val="TableParagraph"/>
              <w:spacing w:line="204" w:lineRule="exact"/>
              <w:ind w:left="41" w:right="0"/>
              <w:jc w:val="center"/>
              <w:rPr>
                <w:rFonts w:ascii="Calibri" w:hAnsi="Calibri" w:cs="Calibri" w:eastAsia="Calibri" w:hint="default"/>
                <w:sz w:val="18"/>
                <w:szCs w:val="18"/>
              </w:rPr>
            </w:pPr>
            <w:r>
              <w:rPr>
                <w:rFonts w:ascii="Calibri"/>
                <w:sz w:val="18"/>
              </w:rPr>
              <w:t>High</w:t>
            </w:r>
          </w:p>
        </w:tc>
        <w:tc>
          <w:tcPr>
            <w:tcW w:w="1823" w:type="dxa"/>
            <w:tcBorders>
              <w:top w:val="nil" w:sz="6" w:space="0" w:color="auto"/>
              <w:left w:val="nil" w:sz="6" w:space="0" w:color="auto"/>
              <w:bottom w:val="nil" w:sz="6" w:space="0" w:color="auto"/>
              <w:right w:val="nil" w:sz="6" w:space="0" w:color="auto"/>
            </w:tcBorders>
          </w:tcPr>
          <w:p>
            <w:pPr>
              <w:pStyle w:val="TableParagraph"/>
              <w:spacing w:line="204" w:lineRule="exact"/>
              <w:ind w:right="66"/>
              <w:jc w:val="center"/>
              <w:rPr>
                <w:rFonts w:ascii="Calibri" w:hAnsi="Calibri" w:cs="Calibri" w:eastAsia="Calibri" w:hint="default"/>
                <w:sz w:val="18"/>
                <w:szCs w:val="18"/>
              </w:rPr>
            </w:pPr>
            <w:r>
              <w:rPr>
                <w:rFonts w:ascii="Calibri"/>
                <w:sz w:val="18"/>
              </w:rPr>
              <w:t>No-Diff</w:t>
            </w:r>
          </w:p>
        </w:tc>
      </w:tr>
      <w:tr>
        <w:trPr>
          <w:trHeight w:val="220" w:hRule="exact"/>
        </w:trPr>
        <w:tc>
          <w:tcPr>
            <w:tcW w:w="3058"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Cuba</w:t>
            </w:r>
          </w:p>
        </w:tc>
        <w:tc>
          <w:tcPr>
            <w:tcW w:w="2220" w:type="dxa"/>
            <w:tcBorders>
              <w:top w:val="nil" w:sz="6" w:space="0" w:color="auto"/>
              <w:left w:val="nil" w:sz="6" w:space="0" w:color="auto"/>
              <w:bottom w:val="nil" w:sz="6" w:space="0" w:color="auto"/>
              <w:right w:val="nil" w:sz="6" w:space="0" w:color="auto"/>
            </w:tcBorders>
          </w:tcPr>
          <w:p>
            <w:pPr>
              <w:pStyle w:val="TableParagraph"/>
              <w:spacing w:line="203" w:lineRule="exact"/>
              <w:ind w:right="522"/>
              <w:jc w:val="right"/>
              <w:rPr>
                <w:rFonts w:ascii="Calibri" w:hAnsi="Calibri" w:cs="Calibri" w:eastAsia="Calibri" w:hint="default"/>
                <w:sz w:val="18"/>
                <w:szCs w:val="18"/>
              </w:rPr>
            </w:pPr>
            <w:r>
              <w:rPr>
                <w:rFonts w:ascii="Calibri"/>
                <w:sz w:val="18"/>
              </w:rPr>
              <w:t>Low-Med</w:t>
            </w:r>
          </w:p>
        </w:tc>
        <w:tc>
          <w:tcPr>
            <w:tcW w:w="2136" w:type="dxa"/>
            <w:tcBorders>
              <w:top w:val="nil" w:sz="6" w:space="0" w:color="auto"/>
              <w:left w:val="nil" w:sz="6" w:space="0" w:color="auto"/>
              <w:bottom w:val="nil" w:sz="6" w:space="0" w:color="auto"/>
              <w:right w:val="nil" w:sz="6" w:space="0" w:color="auto"/>
            </w:tcBorders>
          </w:tcPr>
          <w:p>
            <w:pPr>
              <w:pStyle w:val="TableParagraph"/>
              <w:spacing w:line="203" w:lineRule="exact"/>
              <w:ind w:left="38" w:right="0"/>
              <w:jc w:val="center"/>
              <w:rPr>
                <w:rFonts w:ascii="Calibri" w:hAnsi="Calibri" w:cs="Calibri" w:eastAsia="Calibri" w:hint="default"/>
                <w:sz w:val="18"/>
                <w:szCs w:val="18"/>
              </w:rPr>
            </w:pPr>
            <w:r>
              <w:rPr>
                <w:rFonts w:ascii="Calibri"/>
                <w:sz w:val="18"/>
              </w:rPr>
              <w:t>Low</w:t>
            </w:r>
          </w:p>
        </w:tc>
        <w:tc>
          <w:tcPr>
            <w:tcW w:w="1823" w:type="dxa"/>
            <w:tcBorders>
              <w:top w:val="nil" w:sz="6" w:space="0" w:color="auto"/>
              <w:left w:val="nil" w:sz="6" w:space="0" w:color="auto"/>
              <w:bottom w:val="nil" w:sz="6" w:space="0" w:color="auto"/>
              <w:right w:val="nil" w:sz="6" w:space="0" w:color="auto"/>
            </w:tcBorders>
          </w:tcPr>
          <w:p>
            <w:pPr>
              <w:pStyle w:val="TableParagraph"/>
              <w:spacing w:line="203" w:lineRule="exact"/>
              <w:ind w:right="594"/>
              <w:jc w:val="right"/>
              <w:rPr>
                <w:rFonts w:ascii="Calibri" w:hAnsi="Calibri" w:cs="Calibri" w:eastAsia="Calibri" w:hint="default"/>
                <w:sz w:val="18"/>
                <w:szCs w:val="18"/>
              </w:rPr>
            </w:pPr>
            <w:r>
              <w:rPr>
                <w:rFonts w:ascii="Calibri"/>
                <w:sz w:val="18"/>
              </w:rPr>
              <w:t>Low-Med</w:t>
            </w:r>
          </w:p>
        </w:tc>
      </w:tr>
      <w:tr>
        <w:trPr>
          <w:trHeight w:val="220" w:hRule="exact"/>
        </w:trPr>
        <w:tc>
          <w:tcPr>
            <w:tcW w:w="3058"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Dominican</w:t>
            </w:r>
            <w:r>
              <w:rPr>
                <w:rFonts w:ascii="Calibri"/>
                <w:spacing w:val="-9"/>
                <w:sz w:val="18"/>
              </w:rPr>
              <w:t> </w:t>
            </w:r>
            <w:r>
              <w:rPr>
                <w:rFonts w:ascii="Calibri"/>
                <w:sz w:val="18"/>
              </w:rPr>
              <w:t>Republic</w:t>
            </w:r>
          </w:p>
        </w:tc>
        <w:tc>
          <w:tcPr>
            <w:tcW w:w="2220" w:type="dxa"/>
            <w:tcBorders>
              <w:top w:val="nil" w:sz="6" w:space="0" w:color="auto"/>
              <w:left w:val="nil" w:sz="6" w:space="0" w:color="auto"/>
              <w:bottom w:val="nil" w:sz="6" w:space="0" w:color="auto"/>
              <w:right w:val="nil" w:sz="6" w:space="0" w:color="auto"/>
            </w:tcBorders>
          </w:tcPr>
          <w:p>
            <w:pPr>
              <w:pStyle w:val="TableParagraph"/>
              <w:spacing w:line="204" w:lineRule="exact"/>
              <w:ind w:right="507"/>
              <w:jc w:val="right"/>
              <w:rPr>
                <w:rFonts w:ascii="Calibri" w:hAnsi="Calibri" w:cs="Calibri" w:eastAsia="Calibri" w:hint="default"/>
                <w:sz w:val="18"/>
                <w:szCs w:val="18"/>
              </w:rPr>
            </w:pPr>
            <w:r>
              <w:rPr>
                <w:rFonts w:ascii="Calibri"/>
                <w:spacing w:val="-1"/>
                <w:sz w:val="18"/>
              </w:rPr>
              <w:t>High-Med</w:t>
            </w:r>
          </w:p>
        </w:tc>
        <w:tc>
          <w:tcPr>
            <w:tcW w:w="2136" w:type="dxa"/>
            <w:tcBorders>
              <w:top w:val="nil" w:sz="6" w:space="0" w:color="auto"/>
              <w:left w:val="nil" w:sz="6" w:space="0" w:color="auto"/>
              <w:bottom w:val="nil" w:sz="6" w:space="0" w:color="auto"/>
              <w:right w:val="nil" w:sz="6" w:space="0" w:color="auto"/>
            </w:tcBorders>
          </w:tcPr>
          <w:p>
            <w:pPr>
              <w:pStyle w:val="TableParagraph"/>
              <w:spacing w:line="204" w:lineRule="exact"/>
              <w:ind w:left="41" w:right="0"/>
              <w:jc w:val="center"/>
              <w:rPr>
                <w:rFonts w:ascii="Calibri" w:hAnsi="Calibri" w:cs="Calibri" w:eastAsia="Calibri" w:hint="default"/>
                <w:sz w:val="18"/>
                <w:szCs w:val="18"/>
              </w:rPr>
            </w:pPr>
            <w:r>
              <w:rPr>
                <w:rFonts w:ascii="Calibri"/>
                <w:sz w:val="18"/>
              </w:rPr>
              <w:t>High</w:t>
            </w:r>
          </w:p>
        </w:tc>
        <w:tc>
          <w:tcPr>
            <w:tcW w:w="1823" w:type="dxa"/>
            <w:tcBorders>
              <w:top w:val="nil" w:sz="6" w:space="0" w:color="auto"/>
              <w:left w:val="nil" w:sz="6" w:space="0" w:color="auto"/>
              <w:bottom w:val="nil" w:sz="6" w:space="0" w:color="auto"/>
              <w:right w:val="nil" w:sz="6" w:space="0" w:color="auto"/>
            </w:tcBorders>
          </w:tcPr>
          <w:p>
            <w:pPr>
              <w:pStyle w:val="TableParagraph"/>
              <w:spacing w:line="204" w:lineRule="exact"/>
              <w:ind w:right="66"/>
              <w:jc w:val="center"/>
              <w:rPr>
                <w:rFonts w:ascii="Calibri" w:hAnsi="Calibri" w:cs="Calibri" w:eastAsia="Calibri" w:hint="default"/>
                <w:sz w:val="18"/>
                <w:szCs w:val="18"/>
              </w:rPr>
            </w:pPr>
            <w:r>
              <w:rPr>
                <w:rFonts w:ascii="Calibri"/>
                <w:sz w:val="18"/>
              </w:rPr>
              <w:t>No-Diff</w:t>
            </w:r>
          </w:p>
        </w:tc>
      </w:tr>
      <w:tr>
        <w:trPr>
          <w:trHeight w:val="220" w:hRule="exact"/>
        </w:trPr>
        <w:tc>
          <w:tcPr>
            <w:tcW w:w="3058"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Guadeloupe</w:t>
            </w:r>
          </w:p>
        </w:tc>
        <w:tc>
          <w:tcPr>
            <w:tcW w:w="2220" w:type="dxa"/>
            <w:tcBorders>
              <w:top w:val="nil" w:sz="6" w:space="0" w:color="auto"/>
              <w:left w:val="nil" w:sz="6" w:space="0" w:color="auto"/>
              <w:bottom w:val="nil" w:sz="6" w:space="0" w:color="auto"/>
              <w:right w:val="nil" w:sz="6" w:space="0" w:color="auto"/>
            </w:tcBorders>
          </w:tcPr>
          <w:p>
            <w:pPr>
              <w:pStyle w:val="TableParagraph"/>
              <w:spacing w:line="203" w:lineRule="exact"/>
              <w:ind w:right="607"/>
              <w:jc w:val="right"/>
              <w:rPr>
                <w:rFonts w:ascii="Calibri" w:hAnsi="Calibri" w:cs="Calibri" w:eastAsia="Calibri" w:hint="default"/>
                <w:sz w:val="18"/>
                <w:szCs w:val="18"/>
              </w:rPr>
            </w:pPr>
            <w:r>
              <w:rPr>
                <w:rFonts w:ascii="Calibri"/>
                <w:spacing w:val="-1"/>
                <w:sz w:val="18"/>
              </w:rPr>
              <w:t>No-Diff</w:t>
            </w:r>
            <w:r>
              <w:rPr>
                <w:rFonts w:ascii="Calibri"/>
                <w:sz w:val="18"/>
              </w:rPr>
            </w:r>
          </w:p>
        </w:tc>
        <w:tc>
          <w:tcPr>
            <w:tcW w:w="2136" w:type="dxa"/>
            <w:tcBorders>
              <w:top w:val="nil" w:sz="6" w:space="0" w:color="auto"/>
              <w:left w:val="nil" w:sz="6" w:space="0" w:color="auto"/>
              <w:bottom w:val="nil" w:sz="6" w:space="0" w:color="auto"/>
              <w:right w:val="nil" w:sz="6" w:space="0" w:color="auto"/>
            </w:tcBorders>
          </w:tcPr>
          <w:p>
            <w:pPr>
              <w:pStyle w:val="TableParagraph"/>
              <w:spacing w:line="203" w:lineRule="exact"/>
              <w:ind w:left="41" w:right="0"/>
              <w:jc w:val="center"/>
              <w:rPr>
                <w:rFonts w:ascii="Calibri" w:hAnsi="Calibri" w:cs="Calibri" w:eastAsia="Calibri" w:hint="default"/>
                <w:sz w:val="18"/>
                <w:szCs w:val="18"/>
              </w:rPr>
            </w:pPr>
            <w:r>
              <w:rPr>
                <w:rFonts w:ascii="Calibri"/>
                <w:sz w:val="18"/>
              </w:rPr>
              <w:t>High</w:t>
            </w:r>
          </w:p>
        </w:tc>
        <w:tc>
          <w:tcPr>
            <w:tcW w:w="1823" w:type="dxa"/>
            <w:tcBorders>
              <w:top w:val="nil" w:sz="6" w:space="0" w:color="auto"/>
              <w:left w:val="nil" w:sz="6" w:space="0" w:color="auto"/>
              <w:bottom w:val="nil" w:sz="6" w:space="0" w:color="auto"/>
              <w:right w:val="nil" w:sz="6" w:space="0" w:color="auto"/>
            </w:tcBorders>
          </w:tcPr>
          <w:p>
            <w:pPr>
              <w:pStyle w:val="TableParagraph"/>
              <w:spacing w:line="203" w:lineRule="exact"/>
              <w:ind w:right="66"/>
              <w:jc w:val="center"/>
              <w:rPr>
                <w:rFonts w:ascii="Calibri" w:hAnsi="Calibri" w:cs="Calibri" w:eastAsia="Calibri" w:hint="default"/>
                <w:sz w:val="18"/>
                <w:szCs w:val="18"/>
              </w:rPr>
            </w:pPr>
            <w:r>
              <w:rPr>
                <w:rFonts w:ascii="Calibri"/>
                <w:sz w:val="18"/>
              </w:rPr>
              <w:t>No-Diff</w:t>
            </w:r>
          </w:p>
        </w:tc>
      </w:tr>
      <w:tr>
        <w:trPr>
          <w:trHeight w:val="221" w:hRule="exact"/>
        </w:trPr>
        <w:tc>
          <w:tcPr>
            <w:tcW w:w="3058"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Haiti</w:t>
            </w:r>
          </w:p>
        </w:tc>
        <w:tc>
          <w:tcPr>
            <w:tcW w:w="2220" w:type="dxa"/>
            <w:tcBorders>
              <w:top w:val="nil" w:sz="6" w:space="0" w:color="auto"/>
              <w:left w:val="nil" w:sz="6" w:space="0" w:color="auto"/>
              <w:bottom w:val="nil" w:sz="6" w:space="0" w:color="auto"/>
              <w:right w:val="nil" w:sz="6" w:space="0" w:color="auto"/>
            </w:tcBorders>
          </w:tcPr>
          <w:p>
            <w:pPr>
              <w:pStyle w:val="TableParagraph"/>
              <w:spacing w:line="204" w:lineRule="exact"/>
              <w:ind w:right="607"/>
              <w:jc w:val="right"/>
              <w:rPr>
                <w:rFonts w:ascii="Calibri" w:hAnsi="Calibri" w:cs="Calibri" w:eastAsia="Calibri" w:hint="default"/>
                <w:sz w:val="18"/>
                <w:szCs w:val="18"/>
              </w:rPr>
            </w:pPr>
            <w:r>
              <w:rPr>
                <w:rFonts w:ascii="Calibri"/>
                <w:spacing w:val="-1"/>
                <w:sz w:val="18"/>
              </w:rPr>
              <w:t>No-Diff</w:t>
            </w:r>
            <w:r>
              <w:rPr>
                <w:rFonts w:ascii="Calibri"/>
                <w:sz w:val="18"/>
              </w:rPr>
            </w:r>
          </w:p>
        </w:tc>
        <w:tc>
          <w:tcPr>
            <w:tcW w:w="2136" w:type="dxa"/>
            <w:tcBorders>
              <w:top w:val="nil" w:sz="6" w:space="0" w:color="auto"/>
              <w:left w:val="nil" w:sz="6" w:space="0" w:color="auto"/>
              <w:bottom w:val="nil" w:sz="6" w:space="0" w:color="auto"/>
              <w:right w:val="nil" w:sz="6" w:space="0" w:color="auto"/>
            </w:tcBorders>
          </w:tcPr>
          <w:p>
            <w:pPr>
              <w:pStyle w:val="TableParagraph"/>
              <w:spacing w:line="204" w:lineRule="exact"/>
              <w:ind w:left="41" w:right="0"/>
              <w:jc w:val="center"/>
              <w:rPr>
                <w:rFonts w:ascii="Calibri" w:hAnsi="Calibri" w:cs="Calibri" w:eastAsia="Calibri" w:hint="default"/>
                <w:sz w:val="18"/>
                <w:szCs w:val="18"/>
              </w:rPr>
            </w:pPr>
            <w:r>
              <w:rPr>
                <w:rFonts w:ascii="Calibri"/>
                <w:sz w:val="18"/>
              </w:rPr>
              <w:t>High</w:t>
            </w:r>
          </w:p>
        </w:tc>
        <w:tc>
          <w:tcPr>
            <w:tcW w:w="1823" w:type="dxa"/>
            <w:tcBorders>
              <w:top w:val="nil" w:sz="6" w:space="0" w:color="auto"/>
              <w:left w:val="nil" w:sz="6" w:space="0" w:color="auto"/>
              <w:bottom w:val="nil" w:sz="6" w:space="0" w:color="auto"/>
              <w:right w:val="nil" w:sz="6" w:space="0" w:color="auto"/>
            </w:tcBorders>
          </w:tcPr>
          <w:p>
            <w:pPr>
              <w:pStyle w:val="TableParagraph"/>
              <w:spacing w:line="204" w:lineRule="exact"/>
              <w:ind w:right="594"/>
              <w:jc w:val="right"/>
              <w:rPr>
                <w:rFonts w:ascii="Calibri" w:hAnsi="Calibri" w:cs="Calibri" w:eastAsia="Calibri" w:hint="default"/>
                <w:sz w:val="18"/>
                <w:szCs w:val="18"/>
              </w:rPr>
            </w:pPr>
            <w:r>
              <w:rPr>
                <w:rFonts w:ascii="Calibri"/>
                <w:sz w:val="18"/>
              </w:rPr>
              <w:t>Low-Med</w:t>
            </w:r>
          </w:p>
        </w:tc>
      </w:tr>
      <w:tr>
        <w:trPr>
          <w:trHeight w:val="220" w:hRule="exact"/>
        </w:trPr>
        <w:tc>
          <w:tcPr>
            <w:tcW w:w="3058"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Jamaica</w:t>
            </w:r>
          </w:p>
        </w:tc>
        <w:tc>
          <w:tcPr>
            <w:tcW w:w="2220" w:type="dxa"/>
            <w:tcBorders>
              <w:top w:val="nil" w:sz="6" w:space="0" w:color="auto"/>
              <w:left w:val="nil" w:sz="6" w:space="0" w:color="auto"/>
              <w:bottom w:val="nil" w:sz="6" w:space="0" w:color="auto"/>
              <w:right w:val="nil" w:sz="6" w:space="0" w:color="auto"/>
            </w:tcBorders>
          </w:tcPr>
          <w:p>
            <w:pPr>
              <w:pStyle w:val="TableParagraph"/>
              <w:spacing w:line="204" w:lineRule="exact"/>
              <w:ind w:right="607"/>
              <w:jc w:val="right"/>
              <w:rPr>
                <w:rFonts w:ascii="Calibri" w:hAnsi="Calibri" w:cs="Calibri" w:eastAsia="Calibri" w:hint="default"/>
                <w:sz w:val="18"/>
                <w:szCs w:val="18"/>
              </w:rPr>
            </w:pPr>
            <w:r>
              <w:rPr>
                <w:rFonts w:ascii="Calibri"/>
                <w:spacing w:val="-1"/>
                <w:sz w:val="18"/>
              </w:rPr>
              <w:t>No-Diff</w:t>
            </w:r>
            <w:r>
              <w:rPr>
                <w:rFonts w:ascii="Calibri"/>
                <w:sz w:val="18"/>
              </w:rPr>
            </w:r>
          </w:p>
        </w:tc>
        <w:tc>
          <w:tcPr>
            <w:tcW w:w="2136" w:type="dxa"/>
            <w:tcBorders>
              <w:top w:val="nil" w:sz="6" w:space="0" w:color="auto"/>
              <w:left w:val="nil" w:sz="6" w:space="0" w:color="auto"/>
              <w:bottom w:val="nil" w:sz="6" w:space="0" w:color="auto"/>
              <w:right w:val="nil" w:sz="6" w:space="0" w:color="auto"/>
            </w:tcBorders>
          </w:tcPr>
          <w:p>
            <w:pPr>
              <w:pStyle w:val="TableParagraph"/>
              <w:spacing w:line="204" w:lineRule="exact"/>
              <w:ind w:left="41" w:right="0"/>
              <w:jc w:val="center"/>
              <w:rPr>
                <w:rFonts w:ascii="Calibri" w:hAnsi="Calibri" w:cs="Calibri" w:eastAsia="Calibri" w:hint="default"/>
                <w:sz w:val="18"/>
                <w:szCs w:val="18"/>
              </w:rPr>
            </w:pPr>
            <w:r>
              <w:rPr>
                <w:rFonts w:ascii="Calibri"/>
                <w:sz w:val="18"/>
              </w:rPr>
              <w:t>High</w:t>
            </w:r>
          </w:p>
        </w:tc>
        <w:tc>
          <w:tcPr>
            <w:tcW w:w="1823" w:type="dxa"/>
            <w:tcBorders>
              <w:top w:val="nil" w:sz="6" w:space="0" w:color="auto"/>
              <w:left w:val="nil" w:sz="6" w:space="0" w:color="auto"/>
              <w:bottom w:val="nil" w:sz="6" w:space="0" w:color="auto"/>
              <w:right w:val="nil" w:sz="6" w:space="0" w:color="auto"/>
            </w:tcBorders>
          </w:tcPr>
          <w:p>
            <w:pPr>
              <w:pStyle w:val="TableParagraph"/>
              <w:spacing w:line="204" w:lineRule="exact"/>
              <w:ind w:right="66"/>
              <w:jc w:val="center"/>
              <w:rPr>
                <w:rFonts w:ascii="Calibri" w:hAnsi="Calibri" w:cs="Calibri" w:eastAsia="Calibri" w:hint="default"/>
                <w:sz w:val="18"/>
                <w:szCs w:val="18"/>
              </w:rPr>
            </w:pPr>
            <w:r>
              <w:rPr>
                <w:rFonts w:ascii="Calibri"/>
                <w:sz w:val="18"/>
              </w:rPr>
              <w:t>No-Diff</w:t>
            </w:r>
          </w:p>
        </w:tc>
      </w:tr>
      <w:tr>
        <w:trPr>
          <w:trHeight w:val="220" w:hRule="exact"/>
        </w:trPr>
        <w:tc>
          <w:tcPr>
            <w:tcW w:w="3058"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Martinique</w:t>
            </w:r>
          </w:p>
        </w:tc>
        <w:tc>
          <w:tcPr>
            <w:tcW w:w="2220" w:type="dxa"/>
            <w:tcBorders>
              <w:top w:val="nil" w:sz="6" w:space="0" w:color="auto"/>
              <w:left w:val="nil" w:sz="6" w:space="0" w:color="auto"/>
              <w:bottom w:val="nil" w:sz="6" w:space="0" w:color="auto"/>
              <w:right w:val="nil" w:sz="6" w:space="0" w:color="auto"/>
            </w:tcBorders>
          </w:tcPr>
          <w:p>
            <w:pPr>
              <w:pStyle w:val="TableParagraph"/>
              <w:spacing w:line="203" w:lineRule="exact"/>
              <w:ind w:right="607"/>
              <w:jc w:val="right"/>
              <w:rPr>
                <w:rFonts w:ascii="Calibri" w:hAnsi="Calibri" w:cs="Calibri" w:eastAsia="Calibri" w:hint="default"/>
                <w:sz w:val="18"/>
                <w:szCs w:val="18"/>
              </w:rPr>
            </w:pPr>
            <w:r>
              <w:rPr>
                <w:rFonts w:ascii="Calibri"/>
                <w:spacing w:val="-1"/>
                <w:sz w:val="18"/>
              </w:rPr>
              <w:t>No-Diff</w:t>
            </w:r>
            <w:r>
              <w:rPr>
                <w:rFonts w:ascii="Calibri"/>
                <w:sz w:val="18"/>
              </w:rPr>
            </w:r>
          </w:p>
        </w:tc>
        <w:tc>
          <w:tcPr>
            <w:tcW w:w="2136" w:type="dxa"/>
            <w:tcBorders>
              <w:top w:val="nil" w:sz="6" w:space="0" w:color="auto"/>
              <w:left w:val="nil" w:sz="6" w:space="0" w:color="auto"/>
              <w:bottom w:val="nil" w:sz="6" w:space="0" w:color="auto"/>
              <w:right w:val="nil" w:sz="6" w:space="0" w:color="auto"/>
            </w:tcBorders>
          </w:tcPr>
          <w:p>
            <w:pPr>
              <w:pStyle w:val="TableParagraph"/>
              <w:spacing w:line="203" w:lineRule="exact"/>
              <w:ind w:left="41" w:right="0"/>
              <w:jc w:val="center"/>
              <w:rPr>
                <w:rFonts w:ascii="Calibri" w:hAnsi="Calibri" w:cs="Calibri" w:eastAsia="Calibri" w:hint="default"/>
                <w:sz w:val="18"/>
                <w:szCs w:val="18"/>
              </w:rPr>
            </w:pPr>
            <w:r>
              <w:rPr>
                <w:rFonts w:ascii="Calibri"/>
                <w:sz w:val="18"/>
              </w:rPr>
              <w:t>High</w:t>
            </w:r>
          </w:p>
        </w:tc>
        <w:tc>
          <w:tcPr>
            <w:tcW w:w="1823" w:type="dxa"/>
            <w:tcBorders>
              <w:top w:val="nil" w:sz="6" w:space="0" w:color="auto"/>
              <w:left w:val="nil" w:sz="6" w:space="0" w:color="auto"/>
              <w:bottom w:val="nil" w:sz="6" w:space="0" w:color="auto"/>
              <w:right w:val="nil" w:sz="6" w:space="0" w:color="auto"/>
            </w:tcBorders>
          </w:tcPr>
          <w:p>
            <w:pPr>
              <w:pStyle w:val="TableParagraph"/>
              <w:spacing w:line="203" w:lineRule="exact"/>
              <w:ind w:right="66"/>
              <w:jc w:val="center"/>
              <w:rPr>
                <w:rFonts w:ascii="Calibri" w:hAnsi="Calibri" w:cs="Calibri" w:eastAsia="Calibri" w:hint="default"/>
                <w:sz w:val="18"/>
                <w:szCs w:val="18"/>
              </w:rPr>
            </w:pPr>
            <w:r>
              <w:rPr>
                <w:rFonts w:ascii="Calibri"/>
                <w:sz w:val="18"/>
              </w:rPr>
              <w:t>No-Diff</w:t>
            </w:r>
          </w:p>
        </w:tc>
      </w:tr>
      <w:tr>
        <w:trPr>
          <w:trHeight w:val="220" w:hRule="exact"/>
        </w:trPr>
        <w:tc>
          <w:tcPr>
            <w:tcW w:w="3058"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hAnsi="Calibri" w:cs="Calibri" w:eastAsia="Calibri" w:hint="default"/>
                <w:sz w:val="18"/>
                <w:szCs w:val="18"/>
              </w:rPr>
              <w:t>Mexico’s Caribbean</w:t>
            </w:r>
            <w:r>
              <w:rPr>
                <w:rFonts w:ascii="Calibri" w:hAnsi="Calibri" w:cs="Calibri" w:eastAsia="Calibri" w:hint="default"/>
                <w:spacing w:val="-10"/>
                <w:sz w:val="18"/>
                <w:szCs w:val="18"/>
              </w:rPr>
              <w:t> </w:t>
            </w:r>
            <w:r>
              <w:rPr>
                <w:rFonts w:ascii="Calibri" w:hAnsi="Calibri" w:cs="Calibri" w:eastAsia="Calibri" w:hint="default"/>
                <w:sz w:val="18"/>
                <w:szCs w:val="18"/>
              </w:rPr>
              <w:t>coast</w:t>
            </w:r>
          </w:p>
        </w:tc>
        <w:tc>
          <w:tcPr>
            <w:tcW w:w="2220" w:type="dxa"/>
            <w:tcBorders>
              <w:top w:val="nil" w:sz="6" w:space="0" w:color="auto"/>
              <w:left w:val="nil" w:sz="6" w:space="0" w:color="auto"/>
              <w:bottom w:val="nil" w:sz="6" w:space="0" w:color="auto"/>
              <w:right w:val="nil" w:sz="6" w:space="0" w:color="auto"/>
            </w:tcBorders>
          </w:tcPr>
          <w:p>
            <w:pPr>
              <w:pStyle w:val="TableParagraph"/>
              <w:spacing w:line="204" w:lineRule="exact"/>
              <w:ind w:right="607"/>
              <w:jc w:val="right"/>
              <w:rPr>
                <w:rFonts w:ascii="Calibri" w:hAnsi="Calibri" w:cs="Calibri" w:eastAsia="Calibri" w:hint="default"/>
                <w:sz w:val="18"/>
                <w:szCs w:val="18"/>
              </w:rPr>
            </w:pPr>
            <w:r>
              <w:rPr>
                <w:rFonts w:ascii="Calibri"/>
                <w:spacing w:val="-1"/>
                <w:sz w:val="18"/>
              </w:rPr>
              <w:t>No-Diff</w:t>
            </w:r>
            <w:r>
              <w:rPr>
                <w:rFonts w:ascii="Calibri"/>
                <w:sz w:val="18"/>
              </w:rPr>
            </w:r>
          </w:p>
        </w:tc>
        <w:tc>
          <w:tcPr>
            <w:tcW w:w="2136" w:type="dxa"/>
            <w:tcBorders>
              <w:top w:val="nil" w:sz="6" w:space="0" w:color="auto"/>
              <w:left w:val="nil" w:sz="6" w:space="0" w:color="auto"/>
              <w:bottom w:val="nil" w:sz="6" w:space="0" w:color="auto"/>
              <w:right w:val="nil" w:sz="6" w:space="0" w:color="auto"/>
            </w:tcBorders>
          </w:tcPr>
          <w:p>
            <w:pPr>
              <w:pStyle w:val="TableParagraph"/>
              <w:spacing w:line="204" w:lineRule="exact"/>
              <w:ind w:left="41" w:right="0"/>
              <w:jc w:val="center"/>
              <w:rPr>
                <w:rFonts w:ascii="Calibri" w:hAnsi="Calibri" w:cs="Calibri" w:eastAsia="Calibri" w:hint="default"/>
                <w:sz w:val="18"/>
                <w:szCs w:val="18"/>
              </w:rPr>
            </w:pPr>
            <w:r>
              <w:rPr>
                <w:rFonts w:ascii="Calibri"/>
                <w:sz w:val="18"/>
              </w:rPr>
              <w:t>High</w:t>
            </w:r>
          </w:p>
        </w:tc>
        <w:tc>
          <w:tcPr>
            <w:tcW w:w="1823" w:type="dxa"/>
            <w:tcBorders>
              <w:top w:val="nil" w:sz="6" w:space="0" w:color="auto"/>
              <w:left w:val="nil" w:sz="6" w:space="0" w:color="auto"/>
              <w:bottom w:val="nil" w:sz="6" w:space="0" w:color="auto"/>
              <w:right w:val="nil" w:sz="6" w:space="0" w:color="auto"/>
            </w:tcBorders>
          </w:tcPr>
          <w:p>
            <w:pPr>
              <w:pStyle w:val="TableParagraph"/>
              <w:spacing w:line="204" w:lineRule="exact"/>
              <w:ind w:right="580"/>
              <w:jc w:val="right"/>
              <w:rPr>
                <w:rFonts w:ascii="Calibri" w:hAnsi="Calibri" w:cs="Calibri" w:eastAsia="Calibri" w:hint="default"/>
                <w:sz w:val="18"/>
                <w:szCs w:val="18"/>
              </w:rPr>
            </w:pPr>
            <w:r>
              <w:rPr>
                <w:rFonts w:ascii="Calibri"/>
                <w:spacing w:val="-1"/>
                <w:sz w:val="18"/>
              </w:rPr>
              <w:t>High-Med</w:t>
            </w:r>
          </w:p>
        </w:tc>
      </w:tr>
      <w:tr>
        <w:trPr>
          <w:trHeight w:val="220" w:hRule="exact"/>
        </w:trPr>
        <w:tc>
          <w:tcPr>
            <w:tcW w:w="3058"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Puerto</w:t>
            </w:r>
            <w:r>
              <w:rPr>
                <w:rFonts w:ascii="Calibri"/>
                <w:spacing w:val="-4"/>
                <w:sz w:val="18"/>
              </w:rPr>
              <w:t> </w:t>
            </w:r>
            <w:r>
              <w:rPr>
                <w:rFonts w:ascii="Calibri"/>
                <w:sz w:val="18"/>
              </w:rPr>
              <w:t>Rico</w:t>
            </w:r>
          </w:p>
        </w:tc>
        <w:tc>
          <w:tcPr>
            <w:tcW w:w="2220" w:type="dxa"/>
            <w:tcBorders>
              <w:top w:val="nil" w:sz="6" w:space="0" w:color="auto"/>
              <w:left w:val="nil" w:sz="6" w:space="0" w:color="auto"/>
              <w:bottom w:val="nil" w:sz="6" w:space="0" w:color="auto"/>
              <w:right w:val="nil" w:sz="6" w:space="0" w:color="auto"/>
            </w:tcBorders>
          </w:tcPr>
          <w:p>
            <w:pPr>
              <w:pStyle w:val="TableParagraph"/>
              <w:spacing w:line="203" w:lineRule="exact"/>
              <w:ind w:right="607"/>
              <w:jc w:val="right"/>
              <w:rPr>
                <w:rFonts w:ascii="Calibri" w:hAnsi="Calibri" w:cs="Calibri" w:eastAsia="Calibri" w:hint="default"/>
                <w:sz w:val="18"/>
                <w:szCs w:val="18"/>
              </w:rPr>
            </w:pPr>
            <w:r>
              <w:rPr>
                <w:rFonts w:ascii="Calibri"/>
                <w:spacing w:val="-1"/>
                <w:sz w:val="18"/>
              </w:rPr>
              <w:t>No-Diff</w:t>
            </w:r>
            <w:r>
              <w:rPr>
                <w:rFonts w:ascii="Calibri"/>
                <w:sz w:val="18"/>
              </w:rPr>
            </w:r>
          </w:p>
        </w:tc>
        <w:tc>
          <w:tcPr>
            <w:tcW w:w="2136" w:type="dxa"/>
            <w:tcBorders>
              <w:top w:val="nil" w:sz="6" w:space="0" w:color="auto"/>
              <w:left w:val="nil" w:sz="6" w:space="0" w:color="auto"/>
              <w:bottom w:val="nil" w:sz="6" w:space="0" w:color="auto"/>
              <w:right w:val="nil" w:sz="6" w:space="0" w:color="auto"/>
            </w:tcBorders>
          </w:tcPr>
          <w:p>
            <w:pPr>
              <w:pStyle w:val="TableParagraph"/>
              <w:spacing w:line="203" w:lineRule="exact"/>
              <w:ind w:left="41" w:right="0"/>
              <w:jc w:val="center"/>
              <w:rPr>
                <w:rFonts w:ascii="Calibri" w:hAnsi="Calibri" w:cs="Calibri" w:eastAsia="Calibri" w:hint="default"/>
                <w:sz w:val="18"/>
                <w:szCs w:val="18"/>
              </w:rPr>
            </w:pPr>
            <w:r>
              <w:rPr>
                <w:rFonts w:ascii="Calibri"/>
                <w:sz w:val="18"/>
              </w:rPr>
              <w:t>High</w:t>
            </w:r>
          </w:p>
        </w:tc>
        <w:tc>
          <w:tcPr>
            <w:tcW w:w="1823" w:type="dxa"/>
            <w:tcBorders>
              <w:top w:val="nil" w:sz="6" w:space="0" w:color="auto"/>
              <w:left w:val="nil" w:sz="6" w:space="0" w:color="auto"/>
              <w:bottom w:val="nil" w:sz="6" w:space="0" w:color="auto"/>
              <w:right w:val="nil" w:sz="6" w:space="0" w:color="auto"/>
            </w:tcBorders>
          </w:tcPr>
          <w:p>
            <w:pPr>
              <w:pStyle w:val="TableParagraph"/>
              <w:spacing w:line="203" w:lineRule="exact"/>
              <w:ind w:right="66"/>
              <w:jc w:val="center"/>
              <w:rPr>
                <w:rFonts w:ascii="Calibri" w:hAnsi="Calibri" w:cs="Calibri" w:eastAsia="Calibri" w:hint="default"/>
                <w:sz w:val="18"/>
                <w:szCs w:val="18"/>
              </w:rPr>
            </w:pPr>
            <w:r>
              <w:rPr>
                <w:rFonts w:ascii="Calibri"/>
                <w:sz w:val="18"/>
              </w:rPr>
              <w:t>No-Diff</w:t>
            </w:r>
          </w:p>
        </w:tc>
      </w:tr>
      <w:tr>
        <w:trPr>
          <w:trHeight w:val="220" w:hRule="exact"/>
        </w:trPr>
        <w:tc>
          <w:tcPr>
            <w:tcW w:w="3058"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Saint</w:t>
            </w:r>
            <w:r>
              <w:rPr>
                <w:rFonts w:ascii="Calibri"/>
                <w:spacing w:val="-6"/>
                <w:sz w:val="18"/>
              </w:rPr>
              <w:t> </w:t>
            </w:r>
            <w:r>
              <w:rPr>
                <w:rFonts w:ascii="Calibri"/>
                <w:sz w:val="18"/>
              </w:rPr>
              <w:t>Lucia</w:t>
            </w:r>
          </w:p>
        </w:tc>
        <w:tc>
          <w:tcPr>
            <w:tcW w:w="2220" w:type="dxa"/>
            <w:tcBorders>
              <w:top w:val="nil" w:sz="6" w:space="0" w:color="auto"/>
              <w:left w:val="nil" w:sz="6" w:space="0" w:color="auto"/>
              <w:bottom w:val="nil" w:sz="6" w:space="0" w:color="auto"/>
              <w:right w:val="nil" w:sz="6" w:space="0" w:color="auto"/>
            </w:tcBorders>
          </w:tcPr>
          <w:p>
            <w:pPr>
              <w:pStyle w:val="TableParagraph"/>
              <w:spacing w:line="204" w:lineRule="exact"/>
              <w:ind w:right="607"/>
              <w:jc w:val="right"/>
              <w:rPr>
                <w:rFonts w:ascii="Calibri" w:hAnsi="Calibri" w:cs="Calibri" w:eastAsia="Calibri" w:hint="default"/>
                <w:sz w:val="18"/>
                <w:szCs w:val="18"/>
              </w:rPr>
            </w:pPr>
            <w:r>
              <w:rPr>
                <w:rFonts w:ascii="Calibri"/>
                <w:spacing w:val="-1"/>
                <w:sz w:val="18"/>
              </w:rPr>
              <w:t>No-Diff</w:t>
            </w:r>
            <w:r>
              <w:rPr>
                <w:rFonts w:ascii="Calibri"/>
                <w:sz w:val="18"/>
              </w:rPr>
            </w:r>
          </w:p>
        </w:tc>
        <w:tc>
          <w:tcPr>
            <w:tcW w:w="2136" w:type="dxa"/>
            <w:tcBorders>
              <w:top w:val="nil" w:sz="6" w:space="0" w:color="auto"/>
              <w:left w:val="nil" w:sz="6" w:space="0" w:color="auto"/>
              <w:bottom w:val="nil" w:sz="6" w:space="0" w:color="auto"/>
              <w:right w:val="nil" w:sz="6" w:space="0" w:color="auto"/>
            </w:tcBorders>
          </w:tcPr>
          <w:p>
            <w:pPr>
              <w:pStyle w:val="TableParagraph"/>
              <w:spacing w:line="204" w:lineRule="exact"/>
              <w:ind w:left="41" w:right="0"/>
              <w:jc w:val="center"/>
              <w:rPr>
                <w:rFonts w:ascii="Calibri" w:hAnsi="Calibri" w:cs="Calibri" w:eastAsia="Calibri" w:hint="default"/>
                <w:sz w:val="18"/>
                <w:szCs w:val="18"/>
              </w:rPr>
            </w:pPr>
            <w:r>
              <w:rPr>
                <w:rFonts w:ascii="Calibri"/>
                <w:sz w:val="18"/>
              </w:rPr>
              <w:t>High</w:t>
            </w:r>
          </w:p>
        </w:tc>
        <w:tc>
          <w:tcPr>
            <w:tcW w:w="1823" w:type="dxa"/>
            <w:tcBorders>
              <w:top w:val="nil" w:sz="6" w:space="0" w:color="auto"/>
              <w:left w:val="nil" w:sz="6" w:space="0" w:color="auto"/>
              <w:bottom w:val="nil" w:sz="6" w:space="0" w:color="auto"/>
              <w:right w:val="nil" w:sz="6" w:space="0" w:color="auto"/>
            </w:tcBorders>
          </w:tcPr>
          <w:p>
            <w:pPr>
              <w:pStyle w:val="TableParagraph"/>
              <w:spacing w:line="204" w:lineRule="exact"/>
              <w:ind w:right="66"/>
              <w:jc w:val="center"/>
              <w:rPr>
                <w:rFonts w:ascii="Calibri" w:hAnsi="Calibri" w:cs="Calibri" w:eastAsia="Calibri" w:hint="default"/>
                <w:sz w:val="18"/>
                <w:szCs w:val="18"/>
              </w:rPr>
            </w:pPr>
            <w:r>
              <w:rPr>
                <w:rFonts w:ascii="Calibri"/>
                <w:sz w:val="18"/>
              </w:rPr>
              <w:t>No-Diff</w:t>
            </w:r>
          </w:p>
        </w:tc>
      </w:tr>
      <w:tr>
        <w:trPr>
          <w:trHeight w:val="220" w:hRule="exact"/>
        </w:trPr>
        <w:tc>
          <w:tcPr>
            <w:tcW w:w="3058"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Saint Martin/St.</w:t>
            </w:r>
            <w:r>
              <w:rPr>
                <w:rFonts w:ascii="Calibri"/>
                <w:spacing w:val="-8"/>
                <w:sz w:val="18"/>
              </w:rPr>
              <w:t> </w:t>
            </w:r>
            <w:r>
              <w:rPr>
                <w:rFonts w:ascii="Calibri"/>
                <w:sz w:val="18"/>
              </w:rPr>
              <w:t>Maarten</w:t>
            </w:r>
          </w:p>
        </w:tc>
        <w:tc>
          <w:tcPr>
            <w:tcW w:w="2220" w:type="dxa"/>
            <w:tcBorders>
              <w:top w:val="nil" w:sz="6" w:space="0" w:color="auto"/>
              <w:left w:val="nil" w:sz="6" w:space="0" w:color="auto"/>
              <w:bottom w:val="nil" w:sz="6" w:space="0" w:color="auto"/>
              <w:right w:val="nil" w:sz="6" w:space="0" w:color="auto"/>
            </w:tcBorders>
          </w:tcPr>
          <w:p>
            <w:pPr>
              <w:pStyle w:val="TableParagraph"/>
              <w:spacing w:line="203" w:lineRule="exact"/>
              <w:ind w:right="507"/>
              <w:jc w:val="right"/>
              <w:rPr>
                <w:rFonts w:ascii="Calibri" w:hAnsi="Calibri" w:cs="Calibri" w:eastAsia="Calibri" w:hint="default"/>
                <w:sz w:val="18"/>
                <w:szCs w:val="18"/>
              </w:rPr>
            </w:pPr>
            <w:r>
              <w:rPr>
                <w:rFonts w:ascii="Calibri"/>
                <w:spacing w:val="-1"/>
                <w:sz w:val="18"/>
              </w:rPr>
              <w:t>High-Med</w:t>
            </w:r>
          </w:p>
        </w:tc>
        <w:tc>
          <w:tcPr>
            <w:tcW w:w="2136" w:type="dxa"/>
            <w:tcBorders>
              <w:top w:val="nil" w:sz="6" w:space="0" w:color="auto"/>
              <w:left w:val="nil" w:sz="6" w:space="0" w:color="auto"/>
              <w:bottom w:val="nil" w:sz="6" w:space="0" w:color="auto"/>
              <w:right w:val="nil" w:sz="6" w:space="0" w:color="auto"/>
            </w:tcBorders>
          </w:tcPr>
          <w:p>
            <w:pPr>
              <w:pStyle w:val="TableParagraph"/>
              <w:spacing w:line="203" w:lineRule="exact"/>
              <w:ind w:left="41" w:right="0"/>
              <w:jc w:val="center"/>
              <w:rPr>
                <w:rFonts w:ascii="Calibri" w:hAnsi="Calibri" w:cs="Calibri" w:eastAsia="Calibri" w:hint="default"/>
                <w:sz w:val="18"/>
                <w:szCs w:val="18"/>
              </w:rPr>
            </w:pPr>
            <w:r>
              <w:rPr>
                <w:rFonts w:ascii="Calibri"/>
                <w:sz w:val="18"/>
              </w:rPr>
              <w:t>High</w:t>
            </w:r>
          </w:p>
        </w:tc>
        <w:tc>
          <w:tcPr>
            <w:tcW w:w="1823" w:type="dxa"/>
            <w:tcBorders>
              <w:top w:val="nil" w:sz="6" w:space="0" w:color="auto"/>
              <w:left w:val="nil" w:sz="6" w:space="0" w:color="auto"/>
              <w:bottom w:val="nil" w:sz="6" w:space="0" w:color="auto"/>
              <w:right w:val="nil" w:sz="6" w:space="0" w:color="auto"/>
            </w:tcBorders>
          </w:tcPr>
          <w:p>
            <w:pPr>
              <w:pStyle w:val="TableParagraph"/>
              <w:spacing w:line="203" w:lineRule="exact"/>
              <w:ind w:right="66"/>
              <w:jc w:val="center"/>
              <w:rPr>
                <w:rFonts w:ascii="Calibri" w:hAnsi="Calibri" w:cs="Calibri" w:eastAsia="Calibri" w:hint="default"/>
                <w:sz w:val="18"/>
                <w:szCs w:val="18"/>
              </w:rPr>
            </w:pPr>
            <w:r>
              <w:rPr>
                <w:rFonts w:ascii="Calibri"/>
                <w:sz w:val="18"/>
              </w:rPr>
              <w:t>No-Diff</w:t>
            </w:r>
          </w:p>
        </w:tc>
      </w:tr>
      <w:tr>
        <w:trPr>
          <w:trHeight w:val="220" w:hRule="exact"/>
        </w:trPr>
        <w:tc>
          <w:tcPr>
            <w:tcW w:w="3058"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Trinidad and</w:t>
            </w:r>
            <w:r>
              <w:rPr>
                <w:rFonts w:ascii="Calibri"/>
                <w:spacing w:val="-6"/>
                <w:sz w:val="18"/>
              </w:rPr>
              <w:t> </w:t>
            </w:r>
            <w:r>
              <w:rPr>
                <w:rFonts w:ascii="Calibri"/>
                <w:sz w:val="18"/>
              </w:rPr>
              <w:t>Tobago</w:t>
            </w:r>
          </w:p>
        </w:tc>
        <w:tc>
          <w:tcPr>
            <w:tcW w:w="2220" w:type="dxa"/>
            <w:tcBorders>
              <w:top w:val="nil" w:sz="6" w:space="0" w:color="auto"/>
              <w:left w:val="nil" w:sz="6" w:space="0" w:color="auto"/>
              <w:bottom w:val="nil" w:sz="6" w:space="0" w:color="auto"/>
              <w:right w:val="nil" w:sz="6" w:space="0" w:color="auto"/>
            </w:tcBorders>
          </w:tcPr>
          <w:p>
            <w:pPr>
              <w:pStyle w:val="TableParagraph"/>
              <w:spacing w:line="204" w:lineRule="exact"/>
              <w:ind w:left="1195" w:right="0"/>
              <w:jc w:val="left"/>
              <w:rPr>
                <w:rFonts w:ascii="Calibri" w:hAnsi="Calibri" w:cs="Calibri" w:eastAsia="Calibri" w:hint="default"/>
                <w:sz w:val="18"/>
                <w:szCs w:val="18"/>
              </w:rPr>
            </w:pPr>
            <w:r>
              <w:rPr>
                <w:rFonts w:ascii="Calibri"/>
                <w:sz w:val="18"/>
              </w:rPr>
              <w:t>Low</w:t>
            </w:r>
          </w:p>
        </w:tc>
        <w:tc>
          <w:tcPr>
            <w:tcW w:w="2136" w:type="dxa"/>
            <w:tcBorders>
              <w:top w:val="nil" w:sz="6" w:space="0" w:color="auto"/>
              <w:left w:val="nil" w:sz="6" w:space="0" w:color="auto"/>
              <w:bottom w:val="nil" w:sz="6" w:space="0" w:color="auto"/>
              <w:right w:val="nil" w:sz="6" w:space="0" w:color="auto"/>
            </w:tcBorders>
          </w:tcPr>
          <w:p>
            <w:pPr>
              <w:pStyle w:val="TableParagraph"/>
              <w:spacing w:line="204" w:lineRule="exact"/>
              <w:ind w:left="41" w:right="0"/>
              <w:jc w:val="center"/>
              <w:rPr>
                <w:rFonts w:ascii="Calibri" w:hAnsi="Calibri" w:cs="Calibri" w:eastAsia="Calibri" w:hint="default"/>
                <w:sz w:val="18"/>
                <w:szCs w:val="18"/>
              </w:rPr>
            </w:pPr>
            <w:r>
              <w:rPr>
                <w:rFonts w:ascii="Calibri"/>
                <w:sz w:val="18"/>
              </w:rPr>
              <w:t>High</w:t>
            </w:r>
          </w:p>
        </w:tc>
        <w:tc>
          <w:tcPr>
            <w:tcW w:w="1823" w:type="dxa"/>
            <w:tcBorders>
              <w:top w:val="nil" w:sz="6" w:space="0" w:color="auto"/>
              <w:left w:val="nil" w:sz="6" w:space="0" w:color="auto"/>
              <w:bottom w:val="nil" w:sz="6" w:space="0" w:color="auto"/>
              <w:right w:val="nil" w:sz="6" w:space="0" w:color="auto"/>
            </w:tcBorders>
          </w:tcPr>
          <w:p>
            <w:pPr>
              <w:pStyle w:val="TableParagraph"/>
              <w:spacing w:line="204" w:lineRule="exact"/>
              <w:ind w:right="66"/>
              <w:jc w:val="center"/>
              <w:rPr>
                <w:rFonts w:ascii="Calibri" w:hAnsi="Calibri" w:cs="Calibri" w:eastAsia="Calibri" w:hint="default"/>
                <w:sz w:val="18"/>
                <w:szCs w:val="18"/>
              </w:rPr>
            </w:pPr>
            <w:r>
              <w:rPr>
                <w:rFonts w:ascii="Calibri"/>
                <w:sz w:val="18"/>
              </w:rPr>
              <w:t>No-Diff</w:t>
            </w:r>
          </w:p>
        </w:tc>
      </w:tr>
      <w:tr>
        <w:trPr>
          <w:trHeight w:val="220" w:hRule="exact"/>
        </w:trPr>
        <w:tc>
          <w:tcPr>
            <w:tcW w:w="3058"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Turks and Caicos</w:t>
            </w:r>
            <w:r>
              <w:rPr>
                <w:rFonts w:ascii="Calibri"/>
                <w:spacing w:val="-10"/>
                <w:sz w:val="18"/>
              </w:rPr>
              <w:t> </w:t>
            </w:r>
            <w:r>
              <w:rPr>
                <w:rFonts w:ascii="Calibri"/>
                <w:sz w:val="18"/>
              </w:rPr>
              <w:t>Islands</w:t>
            </w:r>
          </w:p>
        </w:tc>
        <w:tc>
          <w:tcPr>
            <w:tcW w:w="2220" w:type="dxa"/>
            <w:tcBorders>
              <w:top w:val="nil" w:sz="6" w:space="0" w:color="auto"/>
              <w:left w:val="nil" w:sz="6" w:space="0" w:color="auto"/>
              <w:bottom w:val="nil" w:sz="6" w:space="0" w:color="auto"/>
              <w:right w:val="nil" w:sz="6" w:space="0" w:color="auto"/>
            </w:tcBorders>
          </w:tcPr>
          <w:p>
            <w:pPr>
              <w:pStyle w:val="TableParagraph"/>
              <w:spacing w:line="203" w:lineRule="exact"/>
              <w:ind w:left="1181" w:right="0"/>
              <w:jc w:val="left"/>
              <w:rPr>
                <w:rFonts w:ascii="Calibri" w:hAnsi="Calibri" w:cs="Calibri" w:eastAsia="Calibri" w:hint="default"/>
                <w:sz w:val="18"/>
                <w:szCs w:val="18"/>
              </w:rPr>
            </w:pPr>
            <w:r>
              <w:rPr>
                <w:rFonts w:ascii="Calibri"/>
                <w:sz w:val="18"/>
              </w:rPr>
              <w:t>High</w:t>
            </w:r>
          </w:p>
        </w:tc>
        <w:tc>
          <w:tcPr>
            <w:tcW w:w="2136" w:type="dxa"/>
            <w:tcBorders>
              <w:top w:val="nil" w:sz="6" w:space="0" w:color="auto"/>
              <w:left w:val="nil" w:sz="6" w:space="0" w:color="auto"/>
              <w:bottom w:val="nil" w:sz="6" w:space="0" w:color="auto"/>
              <w:right w:val="nil" w:sz="6" w:space="0" w:color="auto"/>
            </w:tcBorders>
          </w:tcPr>
          <w:p>
            <w:pPr>
              <w:pStyle w:val="TableParagraph"/>
              <w:spacing w:line="203" w:lineRule="exact"/>
              <w:ind w:left="41" w:right="0"/>
              <w:jc w:val="center"/>
              <w:rPr>
                <w:rFonts w:ascii="Calibri" w:hAnsi="Calibri" w:cs="Calibri" w:eastAsia="Calibri" w:hint="default"/>
                <w:sz w:val="18"/>
                <w:szCs w:val="18"/>
              </w:rPr>
            </w:pPr>
            <w:r>
              <w:rPr>
                <w:rFonts w:ascii="Calibri"/>
                <w:sz w:val="18"/>
              </w:rPr>
              <w:t>High</w:t>
            </w:r>
          </w:p>
        </w:tc>
        <w:tc>
          <w:tcPr>
            <w:tcW w:w="1823" w:type="dxa"/>
            <w:tcBorders>
              <w:top w:val="nil" w:sz="6" w:space="0" w:color="auto"/>
              <w:left w:val="nil" w:sz="6" w:space="0" w:color="auto"/>
              <w:bottom w:val="nil" w:sz="6" w:space="0" w:color="auto"/>
              <w:right w:val="nil" w:sz="6" w:space="0" w:color="auto"/>
            </w:tcBorders>
          </w:tcPr>
          <w:p>
            <w:pPr>
              <w:pStyle w:val="TableParagraph"/>
              <w:spacing w:line="203" w:lineRule="exact"/>
              <w:ind w:right="66"/>
              <w:jc w:val="center"/>
              <w:rPr>
                <w:rFonts w:ascii="Calibri" w:hAnsi="Calibri" w:cs="Calibri" w:eastAsia="Calibri" w:hint="default"/>
                <w:sz w:val="18"/>
                <w:szCs w:val="18"/>
              </w:rPr>
            </w:pPr>
            <w:r>
              <w:rPr>
                <w:rFonts w:ascii="Calibri"/>
                <w:sz w:val="18"/>
              </w:rPr>
              <w:t>No-Diff</w:t>
            </w:r>
          </w:p>
        </w:tc>
      </w:tr>
      <w:tr>
        <w:trPr>
          <w:trHeight w:val="211" w:hRule="exact"/>
        </w:trPr>
        <w:tc>
          <w:tcPr>
            <w:tcW w:w="3058" w:type="dxa"/>
            <w:tcBorders>
              <w:top w:val="nil" w:sz="6" w:space="0" w:color="auto"/>
              <w:left w:val="nil" w:sz="6" w:space="0" w:color="auto"/>
              <w:bottom w:val="single" w:sz="4" w:space="0" w:color="000000"/>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US Virgin</w:t>
            </w:r>
            <w:r>
              <w:rPr>
                <w:rFonts w:ascii="Calibri"/>
                <w:spacing w:val="-6"/>
                <w:sz w:val="18"/>
              </w:rPr>
              <w:t> </w:t>
            </w:r>
            <w:r>
              <w:rPr>
                <w:rFonts w:ascii="Calibri"/>
                <w:sz w:val="18"/>
              </w:rPr>
              <w:t>Islands</w:t>
            </w:r>
          </w:p>
        </w:tc>
        <w:tc>
          <w:tcPr>
            <w:tcW w:w="2220" w:type="dxa"/>
            <w:tcBorders>
              <w:top w:val="nil" w:sz="6" w:space="0" w:color="auto"/>
              <w:left w:val="nil" w:sz="6" w:space="0" w:color="auto"/>
              <w:bottom w:val="single" w:sz="4" w:space="0" w:color="000000"/>
              <w:right w:val="nil" w:sz="6" w:space="0" w:color="auto"/>
            </w:tcBorders>
          </w:tcPr>
          <w:p>
            <w:pPr>
              <w:pStyle w:val="TableParagraph"/>
              <w:spacing w:line="204" w:lineRule="exact"/>
              <w:ind w:right="607"/>
              <w:jc w:val="right"/>
              <w:rPr>
                <w:rFonts w:ascii="Calibri" w:hAnsi="Calibri" w:cs="Calibri" w:eastAsia="Calibri" w:hint="default"/>
                <w:sz w:val="18"/>
                <w:szCs w:val="18"/>
              </w:rPr>
            </w:pPr>
            <w:r>
              <w:rPr>
                <w:rFonts w:ascii="Calibri"/>
                <w:spacing w:val="-1"/>
                <w:sz w:val="18"/>
              </w:rPr>
              <w:t>No-Diff</w:t>
            </w:r>
            <w:r>
              <w:rPr>
                <w:rFonts w:ascii="Calibri"/>
                <w:sz w:val="18"/>
              </w:rPr>
            </w:r>
          </w:p>
        </w:tc>
        <w:tc>
          <w:tcPr>
            <w:tcW w:w="2136" w:type="dxa"/>
            <w:tcBorders>
              <w:top w:val="nil" w:sz="6" w:space="0" w:color="auto"/>
              <w:left w:val="nil" w:sz="6" w:space="0" w:color="auto"/>
              <w:bottom w:val="single" w:sz="4" w:space="0" w:color="000000"/>
              <w:right w:val="nil" w:sz="6" w:space="0" w:color="auto"/>
            </w:tcBorders>
          </w:tcPr>
          <w:p>
            <w:pPr>
              <w:pStyle w:val="TableParagraph"/>
              <w:spacing w:line="204" w:lineRule="exact"/>
              <w:ind w:left="41" w:right="0"/>
              <w:jc w:val="center"/>
              <w:rPr>
                <w:rFonts w:ascii="Calibri" w:hAnsi="Calibri" w:cs="Calibri" w:eastAsia="Calibri" w:hint="default"/>
                <w:sz w:val="18"/>
                <w:szCs w:val="18"/>
              </w:rPr>
            </w:pPr>
            <w:r>
              <w:rPr>
                <w:rFonts w:ascii="Calibri"/>
                <w:sz w:val="18"/>
              </w:rPr>
              <w:t>High</w:t>
            </w:r>
          </w:p>
        </w:tc>
        <w:tc>
          <w:tcPr>
            <w:tcW w:w="1823" w:type="dxa"/>
            <w:tcBorders>
              <w:top w:val="nil" w:sz="6" w:space="0" w:color="auto"/>
              <w:left w:val="nil" w:sz="6" w:space="0" w:color="auto"/>
              <w:bottom w:val="single" w:sz="4" w:space="0" w:color="000000"/>
              <w:right w:val="nil" w:sz="6" w:space="0" w:color="auto"/>
            </w:tcBorders>
          </w:tcPr>
          <w:p>
            <w:pPr>
              <w:pStyle w:val="TableParagraph"/>
              <w:spacing w:line="204" w:lineRule="exact"/>
              <w:ind w:right="66"/>
              <w:jc w:val="center"/>
              <w:rPr>
                <w:rFonts w:ascii="Calibri" w:hAnsi="Calibri" w:cs="Calibri" w:eastAsia="Calibri" w:hint="default"/>
                <w:sz w:val="18"/>
                <w:szCs w:val="18"/>
              </w:rPr>
            </w:pPr>
            <w:r>
              <w:rPr>
                <w:rFonts w:ascii="Calibri"/>
                <w:sz w:val="18"/>
              </w:rPr>
              <w:t>No-Diff</w:t>
            </w:r>
          </w:p>
        </w:tc>
      </w:tr>
    </w:tbl>
    <w:p>
      <w:pPr>
        <w:spacing w:line="240" w:lineRule="auto" w:before="9"/>
        <w:ind w:right="0"/>
        <w:rPr>
          <w:rFonts w:ascii="Calibri" w:hAnsi="Calibri" w:cs="Calibri" w:eastAsia="Calibri" w:hint="default"/>
          <w:b/>
          <w:bCs/>
          <w:sz w:val="29"/>
          <w:szCs w:val="29"/>
        </w:rPr>
      </w:pPr>
    </w:p>
    <w:p>
      <w:pPr>
        <w:pStyle w:val="Heading9"/>
        <w:tabs>
          <w:tab w:pos="3499" w:val="left" w:leader="none"/>
          <w:tab w:pos="10794" w:val="left" w:leader="none"/>
        </w:tabs>
        <w:spacing w:line="240" w:lineRule="auto" w:before="59" w:after="46"/>
        <w:ind w:left="1450" w:right="0"/>
        <w:jc w:val="left"/>
        <w:rPr>
          <w:b w:val="0"/>
          <w:bCs w:val="0"/>
        </w:rPr>
      </w:pPr>
      <w:bookmarkStart w:name="_bookmark133" w:id="134"/>
      <w:bookmarkEnd w:id="134"/>
      <w:r>
        <w:rPr>
          <w:b w:val="0"/>
        </w:rPr>
      </w:r>
      <w:r>
        <w:rPr>
          <w:w w:val="99"/>
        </w:rPr>
      </w:r>
      <w:r>
        <w:rPr>
          <w:w w:val="99"/>
          <w:u w:val="single" w:color="000000"/>
        </w:rPr>
        <w:t> </w:t>
      </w:r>
      <w:r>
        <w:rPr>
          <w:u w:val="single" w:color="000000"/>
        </w:rPr>
        <w:tab/>
        <w:t>Table 45:  Factor analysis for beaches, duty-free and</w:t>
      </w:r>
      <w:r>
        <w:rPr>
          <w:spacing w:val="-28"/>
          <w:u w:val="single" w:color="000000"/>
        </w:rPr>
        <w:t> </w:t>
      </w:r>
      <w:r>
        <w:rPr>
          <w:u w:val="single" w:color="000000"/>
        </w:rPr>
        <w:t>hospitality</w:t>
        <w:tab/>
      </w:r>
      <w:r>
        <w:rPr/>
      </w:r>
      <w:r>
        <w:rPr>
          <w:b w:val="0"/>
        </w:rPr>
      </w:r>
    </w:p>
    <w:tbl>
      <w:tblPr>
        <w:tblW w:w="0" w:type="auto"/>
        <w:jc w:val="left"/>
        <w:tblInd w:w="1450" w:type="dxa"/>
        <w:tblLayout w:type="fixed"/>
        <w:tblCellMar>
          <w:top w:w="0" w:type="dxa"/>
          <w:left w:w="0" w:type="dxa"/>
          <w:bottom w:w="0" w:type="dxa"/>
          <w:right w:w="0" w:type="dxa"/>
        </w:tblCellMar>
        <w:tblLook w:val="01E0"/>
      </w:tblPr>
      <w:tblGrid>
        <w:gridCol w:w="5280"/>
        <w:gridCol w:w="4065"/>
      </w:tblGrid>
      <w:tr>
        <w:trPr>
          <w:trHeight w:val="190" w:hRule="exact"/>
        </w:trPr>
        <w:tc>
          <w:tcPr>
            <w:tcW w:w="5280" w:type="dxa"/>
            <w:tcBorders>
              <w:top w:val="nil" w:sz="6" w:space="0" w:color="auto"/>
              <w:left w:val="nil" w:sz="6" w:space="0" w:color="auto"/>
              <w:bottom w:val="single" w:sz="4" w:space="0" w:color="000000"/>
              <w:right w:val="nil" w:sz="6" w:space="0" w:color="auto"/>
            </w:tcBorders>
          </w:tcPr>
          <w:p>
            <w:pPr>
              <w:pStyle w:val="TableParagraph"/>
              <w:spacing w:line="183" w:lineRule="exact"/>
              <w:ind w:left="107" w:right="0"/>
              <w:jc w:val="left"/>
              <w:rPr>
                <w:rFonts w:ascii="Calibri" w:hAnsi="Calibri" w:cs="Calibri" w:eastAsia="Calibri" w:hint="default"/>
                <w:sz w:val="18"/>
                <w:szCs w:val="18"/>
              </w:rPr>
            </w:pPr>
            <w:r>
              <w:rPr>
                <w:rFonts w:ascii="Calibri"/>
                <w:b/>
                <w:sz w:val="18"/>
              </w:rPr>
              <w:t>Hospitality (variance</w:t>
            </w:r>
            <w:r>
              <w:rPr>
                <w:rFonts w:ascii="Calibri"/>
                <w:b/>
                <w:spacing w:val="-10"/>
                <w:sz w:val="18"/>
              </w:rPr>
              <w:t> </w:t>
            </w:r>
            <w:r>
              <w:rPr>
                <w:rFonts w:ascii="Calibri"/>
                <w:b/>
                <w:sz w:val="18"/>
              </w:rPr>
              <w:t>explained=45.4%)</w:t>
            </w:r>
            <w:r>
              <w:rPr>
                <w:rFonts w:ascii="Calibri"/>
                <w:sz w:val="18"/>
              </w:rPr>
            </w:r>
          </w:p>
        </w:tc>
        <w:tc>
          <w:tcPr>
            <w:tcW w:w="4065" w:type="dxa"/>
            <w:tcBorders>
              <w:top w:val="nil" w:sz="6" w:space="0" w:color="auto"/>
              <w:left w:val="nil" w:sz="6" w:space="0" w:color="auto"/>
              <w:bottom w:val="single" w:sz="4" w:space="0" w:color="000000"/>
              <w:right w:val="nil" w:sz="6" w:space="0" w:color="auto"/>
            </w:tcBorders>
          </w:tcPr>
          <w:p>
            <w:pPr>
              <w:pStyle w:val="TableParagraph"/>
              <w:spacing w:line="183" w:lineRule="exact"/>
              <w:ind w:right="1347"/>
              <w:jc w:val="right"/>
              <w:rPr>
                <w:rFonts w:ascii="Calibri" w:hAnsi="Calibri" w:cs="Calibri" w:eastAsia="Calibri" w:hint="default"/>
                <w:sz w:val="18"/>
                <w:szCs w:val="18"/>
              </w:rPr>
            </w:pPr>
            <w:r>
              <w:rPr>
                <w:rFonts w:ascii="Calibri"/>
                <w:b/>
                <w:spacing w:val="-1"/>
                <w:w w:val="95"/>
                <w:sz w:val="18"/>
              </w:rPr>
              <w:t>45.4%</w:t>
            </w:r>
            <w:r>
              <w:rPr>
                <w:rFonts w:ascii="Calibri"/>
                <w:w w:val="95"/>
                <w:sz w:val="18"/>
              </w:rPr>
            </w:r>
          </w:p>
        </w:tc>
      </w:tr>
      <w:tr>
        <w:trPr>
          <w:trHeight w:val="239" w:hRule="exact"/>
        </w:trPr>
        <w:tc>
          <w:tcPr>
            <w:tcW w:w="5280" w:type="dxa"/>
            <w:tcBorders>
              <w:top w:val="single" w:sz="4" w:space="0" w:color="000000"/>
              <w:left w:val="nil" w:sz="6" w:space="0" w:color="auto"/>
              <w:bottom w:val="nil" w:sz="6" w:space="0" w:color="auto"/>
              <w:right w:val="nil" w:sz="6" w:space="0" w:color="auto"/>
            </w:tcBorders>
          </w:tcPr>
          <w:p>
            <w:pPr>
              <w:pStyle w:val="TableParagraph"/>
              <w:spacing w:line="219" w:lineRule="exact"/>
              <w:ind w:left="107" w:right="0"/>
              <w:jc w:val="left"/>
              <w:rPr>
                <w:rFonts w:ascii="Calibri" w:hAnsi="Calibri" w:cs="Calibri" w:eastAsia="Calibri" w:hint="default"/>
                <w:sz w:val="18"/>
                <w:szCs w:val="18"/>
              </w:rPr>
            </w:pPr>
            <w:r>
              <w:rPr>
                <w:rFonts w:ascii="Calibri"/>
                <w:sz w:val="18"/>
              </w:rPr>
              <w:t>Restaurant Service</w:t>
            </w:r>
            <w:r>
              <w:rPr>
                <w:rFonts w:ascii="Calibri"/>
                <w:spacing w:val="-11"/>
                <w:sz w:val="18"/>
              </w:rPr>
              <w:t> </w:t>
            </w:r>
            <w:r>
              <w:rPr>
                <w:rFonts w:ascii="Calibri"/>
                <w:sz w:val="18"/>
              </w:rPr>
              <w:t>Quality</w:t>
            </w:r>
          </w:p>
        </w:tc>
        <w:tc>
          <w:tcPr>
            <w:tcW w:w="4065" w:type="dxa"/>
            <w:tcBorders>
              <w:top w:val="single" w:sz="4" w:space="0" w:color="000000"/>
              <w:left w:val="nil" w:sz="6" w:space="0" w:color="auto"/>
              <w:bottom w:val="nil" w:sz="6" w:space="0" w:color="auto"/>
              <w:right w:val="nil" w:sz="6" w:space="0" w:color="auto"/>
            </w:tcBorders>
          </w:tcPr>
          <w:p>
            <w:pPr>
              <w:pStyle w:val="TableParagraph"/>
              <w:spacing w:line="219" w:lineRule="exact"/>
              <w:ind w:right="1414"/>
              <w:jc w:val="right"/>
              <w:rPr>
                <w:rFonts w:ascii="Calibri" w:hAnsi="Calibri" w:cs="Calibri" w:eastAsia="Calibri" w:hint="default"/>
                <w:sz w:val="18"/>
                <w:szCs w:val="18"/>
              </w:rPr>
            </w:pPr>
            <w:r>
              <w:rPr>
                <w:rFonts w:ascii="Calibri"/>
                <w:sz w:val="18"/>
              </w:rPr>
              <w:t>0.89</w:t>
            </w:r>
          </w:p>
        </w:tc>
      </w:tr>
      <w:tr>
        <w:trPr>
          <w:trHeight w:val="220"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Accommodation Service</w:t>
            </w:r>
            <w:r>
              <w:rPr>
                <w:rFonts w:ascii="Calibri"/>
                <w:spacing w:val="-10"/>
                <w:sz w:val="18"/>
              </w:rPr>
              <w:t> </w:t>
            </w:r>
            <w:r>
              <w:rPr>
                <w:rFonts w:ascii="Calibri"/>
                <w:sz w:val="18"/>
              </w:rPr>
              <w:t>Quality</w:t>
            </w:r>
          </w:p>
        </w:tc>
        <w:tc>
          <w:tcPr>
            <w:tcW w:w="4065" w:type="dxa"/>
            <w:tcBorders>
              <w:top w:val="nil" w:sz="6" w:space="0" w:color="auto"/>
              <w:left w:val="nil" w:sz="6" w:space="0" w:color="auto"/>
              <w:bottom w:val="nil" w:sz="6" w:space="0" w:color="auto"/>
              <w:right w:val="nil" w:sz="6" w:space="0" w:color="auto"/>
            </w:tcBorders>
          </w:tcPr>
          <w:p>
            <w:pPr>
              <w:pStyle w:val="TableParagraph"/>
              <w:spacing w:line="203" w:lineRule="exact"/>
              <w:ind w:right="1414"/>
              <w:jc w:val="right"/>
              <w:rPr>
                <w:rFonts w:ascii="Calibri" w:hAnsi="Calibri" w:cs="Calibri" w:eastAsia="Calibri" w:hint="default"/>
                <w:sz w:val="18"/>
                <w:szCs w:val="18"/>
              </w:rPr>
            </w:pPr>
            <w:r>
              <w:rPr>
                <w:rFonts w:ascii="Calibri"/>
                <w:sz w:val="18"/>
              </w:rPr>
              <w:t>0.85</w:t>
            </w:r>
          </w:p>
        </w:tc>
      </w:tr>
      <w:tr>
        <w:trPr>
          <w:trHeight w:val="220"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Locals' Friendliness &amp;</w:t>
            </w:r>
            <w:r>
              <w:rPr>
                <w:rFonts w:ascii="Calibri"/>
                <w:spacing w:val="-14"/>
                <w:sz w:val="18"/>
              </w:rPr>
              <w:t> </w:t>
            </w:r>
            <w:r>
              <w:rPr>
                <w:rFonts w:ascii="Calibri"/>
                <w:sz w:val="18"/>
              </w:rPr>
              <w:t>Hospitality</w:t>
            </w:r>
          </w:p>
        </w:tc>
        <w:tc>
          <w:tcPr>
            <w:tcW w:w="4065" w:type="dxa"/>
            <w:tcBorders>
              <w:top w:val="nil" w:sz="6" w:space="0" w:color="auto"/>
              <w:left w:val="nil" w:sz="6" w:space="0" w:color="auto"/>
              <w:bottom w:val="nil" w:sz="6" w:space="0" w:color="auto"/>
              <w:right w:val="nil" w:sz="6" w:space="0" w:color="auto"/>
            </w:tcBorders>
          </w:tcPr>
          <w:p>
            <w:pPr>
              <w:pStyle w:val="TableParagraph"/>
              <w:spacing w:line="204" w:lineRule="exact"/>
              <w:ind w:right="1414"/>
              <w:jc w:val="right"/>
              <w:rPr>
                <w:rFonts w:ascii="Calibri" w:hAnsi="Calibri" w:cs="Calibri" w:eastAsia="Calibri" w:hint="default"/>
                <w:sz w:val="18"/>
                <w:szCs w:val="18"/>
              </w:rPr>
            </w:pPr>
            <w:r>
              <w:rPr>
                <w:rFonts w:ascii="Calibri"/>
                <w:sz w:val="18"/>
              </w:rPr>
              <w:t>0.81</w:t>
            </w:r>
          </w:p>
        </w:tc>
      </w:tr>
      <w:tr>
        <w:trPr>
          <w:trHeight w:val="220"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Local Food</w:t>
            </w:r>
            <w:r>
              <w:rPr>
                <w:rFonts w:ascii="Calibri"/>
                <w:spacing w:val="-4"/>
                <w:sz w:val="18"/>
              </w:rPr>
              <w:t> </w:t>
            </w:r>
            <w:r>
              <w:rPr>
                <w:rFonts w:ascii="Calibri"/>
                <w:sz w:val="18"/>
              </w:rPr>
              <w:t>Taste</w:t>
            </w:r>
          </w:p>
        </w:tc>
        <w:tc>
          <w:tcPr>
            <w:tcW w:w="4065" w:type="dxa"/>
            <w:tcBorders>
              <w:top w:val="nil" w:sz="6" w:space="0" w:color="auto"/>
              <w:left w:val="nil" w:sz="6" w:space="0" w:color="auto"/>
              <w:bottom w:val="nil" w:sz="6" w:space="0" w:color="auto"/>
              <w:right w:val="nil" w:sz="6" w:space="0" w:color="auto"/>
            </w:tcBorders>
          </w:tcPr>
          <w:p>
            <w:pPr>
              <w:pStyle w:val="TableParagraph"/>
              <w:spacing w:line="203" w:lineRule="exact"/>
              <w:ind w:right="1414"/>
              <w:jc w:val="right"/>
              <w:rPr>
                <w:rFonts w:ascii="Calibri" w:hAnsi="Calibri" w:cs="Calibri" w:eastAsia="Calibri" w:hint="default"/>
                <w:sz w:val="18"/>
                <w:szCs w:val="18"/>
              </w:rPr>
            </w:pPr>
            <w:r>
              <w:rPr>
                <w:rFonts w:ascii="Calibri"/>
                <w:sz w:val="18"/>
              </w:rPr>
              <w:t>0.72</w:t>
            </w:r>
          </w:p>
        </w:tc>
      </w:tr>
      <w:tr>
        <w:trPr>
          <w:trHeight w:val="221"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F&amp;B</w:t>
            </w:r>
            <w:r>
              <w:rPr>
                <w:rFonts w:ascii="Calibri"/>
                <w:spacing w:val="-5"/>
                <w:sz w:val="18"/>
              </w:rPr>
              <w:t> </w:t>
            </w:r>
            <w:r>
              <w:rPr>
                <w:rFonts w:ascii="Calibri"/>
                <w:sz w:val="18"/>
              </w:rPr>
              <w:t>Quality</w:t>
            </w:r>
          </w:p>
        </w:tc>
        <w:tc>
          <w:tcPr>
            <w:tcW w:w="4065" w:type="dxa"/>
            <w:tcBorders>
              <w:top w:val="nil" w:sz="6" w:space="0" w:color="auto"/>
              <w:left w:val="nil" w:sz="6" w:space="0" w:color="auto"/>
              <w:bottom w:val="nil" w:sz="6" w:space="0" w:color="auto"/>
              <w:right w:val="nil" w:sz="6" w:space="0" w:color="auto"/>
            </w:tcBorders>
          </w:tcPr>
          <w:p>
            <w:pPr>
              <w:pStyle w:val="TableParagraph"/>
              <w:spacing w:line="204" w:lineRule="exact"/>
              <w:ind w:right="1414"/>
              <w:jc w:val="right"/>
              <w:rPr>
                <w:rFonts w:ascii="Calibri" w:hAnsi="Calibri" w:cs="Calibri" w:eastAsia="Calibri" w:hint="default"/>
                <w:sz w:val="18"/>
                <w:szCs w:val="18"/>
              </w:rPr>
            </w:pPr>
            <w:r>
              <w:rPr>
                <w:rFonts w:ascii="Calibri"/>
                <w:sz w:val="18"/>
              </w:rPr>
              <w:t>0.71</w:t>
            </w:r>
          </w:p>
        </w:tc>
      </w:tr>
      <w:tr>
        <w:trPr>
          <w:trHeight w:val="220"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Accommodation</w:t>
            </w:r>
            <w:r>
              <w:rPr>
                <w:rFonts w:ascii="Calibri"/>
                <w:spacing w:val="-7"/>
                <w:sz w:val="18"/>
              </w:rPr>
              <w:t> </w:t>
            </w:r>
            <w:r>
              <w:rPr>
                <w:rFonts w:ascii="Calibri"/>
                <w:sz w:val="18"/>
              </w:rPr>
              <w:t>Quality</w:t>
            </w:r>
          </w:p>
        </w:tc>
        <w:tc>
          <w:tcPr>
            <w:tcW w:w="4065" w:type="dxa"/>
            <w:tcBorders>
              <w:top w:val="nil" w:sz="6" w:space="0" w:color="auto"/>
              <w:left w:val="nil" w:sz="6" w:space="0" w:color="auto"/>
              <w:bottom w:val="nil" w:sz="6" w:space="0" w:color="auto"/>
              <w:right w:val="nil" w:sz="6" w:space="0" w:color="auto"/>
            </w:tcBorders>
          </w:tcPr>
          <w:p>
            <w:pPr>
              <w:pStyle w:val="TableParagraph"/>
              <w:spacing w:line="204" w:lineRule="exact"/>
              <w:ind w:right="1414"/>
              <w:jc w:val="right"/>
              <w:rPr>
                <w:rFonts w:ascii="Calibri" w:hAnsi="Calibri" w:cs="Calibri" w:eastAsia="Calibri" w:hint="default"/>
                <w:sz w:val="18"/>
                <w:szCs w:val="18"/>
              </w:rPr>
            </w:pPr>
            <w:r>
              <w:rPr>
                <w:rFonts w:ascii="Calibri"/>
                <w:sz w:val="18"/>
              </w:rPr>
              <w:t>0.68</w:t>
            </w:r>
          </w:p>
        </w:tc>
      </w:tr>
      <w:tr>
        <w:trPr>
          <w:trHeight w:val="220"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Social</w:t>
            </w:r>
            <w:r>
              <w:rPr>
                <w:rFonts w:ascii="Calibri"/>
                <w:spacing w:val="-6"/>
                <w:sz w:val="18"/>
              </w:rPr>
              <w:t> </w:t>
            </w:r>
            <w:r>
              <w:rPr>
                <w:rFonts w:ascii="Calibri"/>
                <w:sz w:val="18"/>
              </w:rPr>
              <w:t>Mingle</w:t>
            </w:r>
          </w:p>
        </w:tc>
        <w:tc>
          <w:tcPr>
            <w:tcW w:w="4065" w:type="dxa"/>
            <w:tcBorders>
              <w:top w:val="nil" w:sz="6" w:space="0" w:color="auto"/>
              <w:left w:val="nil" w:sz="6" w:space="0" w:color="auto"/>
              <w:bottom w:val="nil" w:sz="6" w:space="0" w:color="auto"/>
              <w:right w:val="nil" w:sz="6" w:space="0" w:color="auto"/>
            </w:tcBorders>
          </w:tcPr>
          <w:p>
            <w:pPr>
              <w:pStyle w:val="TableParagraph"/>
              <w:spacing w:line="203" w:lineRule="exact"/>
              <w:ind w:right="1414"/>
              <w:jc w:val="right"/>
              <w:rPr>
                <w:rFonts w:ascii="Calibri" w:hAnsi="Calibri" w:cs="Calibri" w:eastAsia="Calibri" w:hint="default"/>
                <w:sz w:val="18"/>
                <w:szCs w:val="18"/>
              </w:rPr>
            </w:pPr>
            <w:r>
              <w:rPr>
                <w:rFonts w:ascii="Calibri"/>
                <w:sz w:val="18"/>
              </w:rPr>
              <w:t>0.67</w:t>
            </w:r>
          </w:p>
        </w:tc>
      </w:tr>
      <w:tr>
        <w:trPr>
          <w:trHeight w:val="220"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Food &amp; Water</w:t>
            </w:r>
            <w:r>
              <w:rPr>
                <w:rFonts w:ascii="Calibri"/>
                <w:spacing w:val="-8"/>
                <w:sz w:val="18"/>
              </w:rPr>
              <w:t> </w:t>
            </w:r>
            <w:r>
              <w:rPr>
                <w:rFonts w:ascii="Calibri"/>
                <w:sz w:val="18"/>
              </w:rPr>
              <w:t>Safety</w:t>
            </w:r>
          </w:p>
        </w:tc>
        <w:tc>
          <w:tcPr>
            <w:tcW w:w="4065" w:type="dxa"/>
            <w:tcBorders>
              <w:top w:val="nil" w:sz="6" w:space="0" w:color="auto"/>
              <w:left w:val="nil" w:sz="6" w:space="0" w:color="auto"/>
              <w:bottom w:val="nil" w:sz="6" w:space="0" w:color="auto"/>
              <w:right w:val="nil" w:sz="6" w:space="0" w:color="auto"/>
            </w:tcBorders>
          </w:tcPr>
          <w:p>
            <w:pPr>
              <w:pStyle w:val="TableParagraph"/>
              <w:spacing w:line="204" w:lineRule="exact"/>
              <w:ind w:right="1414"/>
              <w:jc w:val="right"/>
              <w:rPr>
                <w:rFonts w:ascii="Calibri" w:hAnsi="Calibri" w:cs="Calibri" w:eastAsia="Calibri" w:hint="default"/>
                <w:sz w:val="18"/>
                <w:szCs w:val="18"/>
              </w:rPr>
            </w:pPr>
            <w:r>
              <w:rPr>
                <w:rFonts w:ascii="Calibri"/>
                <w:sz w:val="18"/>
              </w:rPr>
              <w:t>0.64</w:t>
            </w:r>
          </w:p>
        </w:tc>
      </w:tr>
      <w:tr>
        <w:trPr>
          <w:trHeight w:val="220"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Overall Cleanliness &amp;</w:t>
            </w:r>
            <w:r>
              <w:rPr>
                <w:rFonts w:ascii="Calibri"/>
                <w:spacing w:val="-13"/>
                <w:sz w:val="18"/>
              </w:rPr>
              <w:t> </w:t>
            </w:r>
            <w:r>
              <w:rPr>
                <w:rFonts w:ascii="Calibri"/>
                <w:sz w:val="18"/>
              </w:rPr>
              <w:t>Hygiene</w:t>
            </w:r>
          </w:p>
        </w:tc>
        <w:tc>
          <w:tcPr>
            <w:tcW w:w="4065" w:type="dxa"/>
            <w:tcBorders>
              <w:top w:val="nil" w:sz="6" w:space="0" w:color="auto"/>
              <w:left w:val="nil" w:sz="6" w:space="0" w:color="auto"/>
              <w:bottom w:val="nil" w:sz="6" w:space="0" w:color="auto"/>
              <w:right w:val="nil" w:sz="6" w:space="0" w:color="auto"/>
            </w:tcBorders>
          </w:tcPr>
          <w:p>
            <w:pPr>
              <w:pStyle w:val="TableParagraph"/>
              <w:spacing w:line="203" w:lineRule="exact"/>
              <w:ind w:right="1414"/>
              <w:jc w:val="right"/>
              <w:rPr>
                <w:rFonts w:ascii="Calibri" w:hAnsi="Calibri" w:cs="Calibri" w:eastAsia="Calibri" w:hint="default"/>
                <w:sz w:val="18"/>
                <w:szCs w:val="18"/>
              </w:rPr>
            </w:pPr>
            <w:r>
              <w:rPr>
                <w:rFonts w:ascii="Calibri"/>
                <w:sz w:val="18"/>
              </w:rPr>
              <w:t>0.64</w:t>
            </w:r>
          </w:p>
        </w:tc>
      </w:tr>
      <w:tr>
        <w:trPr>
          <w:trHeight w:val="220"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Ease of Mobility in</w:t>
            </w:r>
            <w:r>
              <w:rPr>
                <w:rFonts w:ascii="Calibri"/>
                <w:spacing w:val="-9"/>
                <w:sz w:val="18"/>
              </w:rPr>
              <w:t> </w:t>
            </w:r>
            <w:r>
              <w:rPr>
                <w:rFonts w:ascii="Calibri"/>
                <w:sz w:val="18"/>
              </w:rPr>
              <w:t>Destination</w:t>
            </w:r>
          </w:p>
        </w:tc>
        <w:tc>
          <w:tcPr>
            <w:tcW w:w="4065" w:type="dxa"/>
            <w:tcBorders>
              <w:top w:val="nil" w:sz="6" w:space="0" w:color="auto"/>
              <w:left w:val="nil" w:sz="6" w:space="0" w:color="auto"/>
              <w:bottom w:val="nil" w:sz="6" w:space="0" w:color="auto"/>
              <w:right w:val="nil" w:sz="6" w:space="0" w:color="auto"/>
            </w:tcBorders>
          </w:tcPr>
          <w:p>
            <w:pPr>
              <w:pStyle w:val="TableParagraph"/>
              <w:spacing w:line="204" w:lineRule="exact"/>
              <w:ind w:right="1414"/>
              <w:jc w:val="right"/>
              <w:rPr>
                <w:rFonts w:ascii="Calibri" w:hAnsi="Calibri" w:cs="Calibri" w:eastAsia="Calibri" w:hint="default"/>
                <w:sz w:val="18"/>
                <w:szCs w:val="18"/>
              </w:rPr>
            </w:pPr>
            <w:r>
              <w:rPr>
                <w:rFonts w:ascii="Calibri"/>
                <w:sz w:val="18"/>
              </w:rPr>
              <w:t>0.63</w:t>
            </w:r>
          </w:p>
        </w:tc>
      </w:tr>
      <w:tr>
        <w:trPr>
          <w:trHeight w:val="220"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High Prestige Product &amp;</w:t>
            </w:r>
            <w:r>
              <w:rPr>
                <w:rFonts w:ascii="Calibri"/>
                <w:spacing w:val="-12"/>
                <w:sz w:val="18"/>
              </w:rPr>
              <w:t> </w:t>
            </w:r>
            <w:r>
              <w:rPr>
                <w:rFonts w:ascii="Calibri"/>
                <w:sz w:val="18"/>
              </w:rPr>
              <w:t>Service</w:t>
            </w:r>
          </w:p>
        </w:tc>
        <w:tc>
          <w:tcPr>
            <w:tcW w:w="4065" w:type="dxa"/>
            <w:tcBorders>
              <w:top w:val="nil" w:sz="6" w:space="0" w:color="auto"/>
              <w:left w:val="nil" w:sz="6" w:space="0" w:color="auto"/>
              <w:bottom w:val="nil" w:sz="6" w:space="0" w:color="auto"/>
              <w:right w:val="nil" w:sz="6" w:space="0" w:color="auto"/>
            </w:tcBorders>
          </w:tcPr>
          <w:p>
            <w:pPr>
              <w:pStyle w:val="TableParagraph"/>
              <w:spacing w:line="203" w:lineRule="exact"/>
              <w:ind w:right="1414"/>
              <w:jc w:val="right"/>
              <w:rPr>
                <w:rFonts w:ascii="Calibri" w:hAnsi="Calibri" w:cs="Calibri" w:eastAsia="Calibri" w:hint="default"/>
                <w:sz w:val="18"/>
                <w:szCs w:val="18"/>
              </w:rPr>
            </w:pPr>
            <w:r>
              <w:rPr>
                <w:rFonts w:ascii="Calibri"/>
                <w:sz w:val="18"/>
              </w:rPr>
              <w:t>0.63</w:t>
            </w:r>
          </w:p>
        </w:tc>
      </w:tr>
      <w:tr>
        <w:trPr>
          <w:trHeight w:val="220"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Overall Safety &amp;</w:t>
            </w:r>
            <w:r>
              <w:rPr>
                <w:rFonts w:ascii="Calibri"/>
                <w:spacing w:val="-8"/>
                <w:sz w:val="18"/>
              </w:rPr>
              <w:t> </w:t>
            </w:r>
            <w:r>
              <w:rPr>
                <w:rFonts w:ascii="Calibri"/>
                <w:sz w:val="18"/>
              </w:rPr>
              <w:t>Security</w:t>
            </w:r>
          </w:p>
        </w:tc>
        <w:tc>
          <w:tcPr>
            <w:tcW w:w="4065" w:type="dxa"/>
            <w:tcBorders>
              <w:top w:val="nil" w:sz="6" w:space="0" w:color="auto"/>
              <w:left w:val="nil" w:sz="6" w:space="0" w:color="auto"/>
              <w:bottom w:val="nil" w:sz="6" w:space="0" w:color="auto"/>
              <w:right w:val="nil" w:sz="6" w:space="0" w:color="auto"/>
            </w:tcBorders>
          </w:tcPr>
          <w:p>
            <w:pPr>
              <w:pStyle w:val="TableParagraph"/>
              <w:spacing w:line="204" w:lineRule="exact"/>
              <w:ind w:right="1414"/>
              <w:jc w:val="right"/>
              <w:rPr>
                <w:rFonts w:ascii="Calibri" w:hAnsi="Calibri" w:cs="Calibri" w:eastAsia="Calibri" w:hint="default"/>
                <w:sz w:val="18"/>
                <w:szCs w:val="18"/>
              </w:rPr>
            </w:pPr>
            <w:r>
              <w:rPr>
                <w:rFonts w:ascii="Calibri"/>
                <w:spacing w:val="-1"/>
                <w:sz w:val="18"/>
              </w:rPr>
              <w:t>0.61</w:t>
            </w:r>
            <w:r>
              <w:rPr>
                <w:rFonts w:ascii="Calibri"/>
                <w:sz w:val="18"/>
              </w:rPr>
            </w:r>
          </w:p>
        </w:tc>
      </w:tr>
      <w:tr>
        <w:trPr>
          <w:trHeight w:val="220"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Nightlife &amp;</w:t>
            </w:r>
            <w:r>
              <w:rPr>
                <w:rFonts w:ascii="Calibri"/>
                <w:spacing w:val="-9"/>
                <w:sz w:val="18"/>
              </w:rPr>
              <w:t> </w:t>
            </w:r>
            <w:r>
              <w:rPr>
                <w:rFonts w:ascii="Calibri"/>
                <w:sz w:val="18"/>
              </w:rPr>
              <w:t>Entertainment</w:t>
            </w:r>
          </w:p>
        </w:tc>
        <w:tc>
          <w:tcPr>
            <w:tcW w:w="4065" w:type="dxa"/>
            <w:tcBorders>
              <w:top w:val="nil" w:sz="6" w:space="0" w:color="auto"/>
              <w:left w:val="nil" w:sz="6" w:space="0" w:color="auto"/>
              <w:bottom w:val="nil" w:sz="6" w:space="0" w:color="auto"/>
              <w:right w:val="nil" w:sz="6" w:space="0" w:color="auto"/>
            </w:tcBorders>
          </w:tcPr>
          <w:p>
            <w:pPr>
              <w:pStyle w:val="TableParagraph"/>
              <w:spacing w:line="203" w:lineRule="exact"/>
              <w:ind w:right="1414"/>
              <w:jc w:val="right"/>
              <w:rPr>
                <w:rFonts w:ascii="Calibri" w:hAnsi="Calibri" w:cs="Calibri" w:eastAsia="Calibri" w:hint="default"/>
                <w:sz w:val="18"/>
                <w:szCs w:val="18"/>
              </w:rPr>
            </w:pPr>
            <w:r>
              <w:rPr>
                <w:rFonts w:ascii="Calibri"/>
                <w:sz w:val="18"/>
              </w:rPr>
              <w:t>0.59</w:t>
            </w:r>
          </w:p>
        </w:tc>
      </w:tr>
      <w:tr>
        <w:trPr>
          <w:trHeight w:val="221"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Accommodation</w:t>
            </w:r>
            <w:r>
              <w:rPr>
                <w:rFonts w:ascii="Calibri"/>
                <w:spacing w:val="-4"/>
                <w:sz w:val="18"/>
              </w:rPr>
              <w:t> </w:t>
            </w:r>
            <w:r>
              <w:rPr>
                <w:rFonts w:ascii="Calibri"/>
                <w:sz w:val="18"/>
              </w:rPr>
              <w:t>Price</w:t>
            </w:r>
          </w:p>
        </w:tc>
        <w:tc>
          <w:tcPr>
            <w:tcW w:w="4065" w:type="dxa"/>
            <w:tcBorders>
              <w:top w:val="nil" w:sz="6" w:space="0" w:color="auto"/>
              <w:left w:val="nil" w:sz="6" w:space="0" w:color="auto"/>
              <w:bottom w:val="nil" w:sz="6" w:space="0" w:color="auto"/>
              <w:right w:val="nil" w:sz="6" w:space="0" w:color="auto"/>
            </w:tcBorders>
          </w:tcPr>
          <w:p>
            <w:pPr>
              <w:pStyle w:val="TableParagraph"/>
              <w:spacing w:line="204" w:lineRule="exact"/>
              <w:ind w:right="1414"/>
              <w:jc w:val="right"/>
              <w:rPr>
                <w:rFonts w:ascii="Calibri" w:hAnsi="Calibri" w:cs="Calibri" w:eastAsia="Calibri" w:hint="default"/>
                <w:sz w:val="18"/>
                <w:szCs w:val="18"/>
              </w:rPr>
            </w:pPr>
            <w:r>
              <w:rPr>
                <w:rFonts w:ascii="Calibri"/>
                <w:sz w:val="18"/>
              </w:rPr>
              <w:t>0.56</w:t>
            </w:r>
          </w:p>
        </w:tc>
      </w:tr>
      <w:tr>
        <w:trPr>
          <w:trHeight w:val="220"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Restaurant</w:t>
            </w:r>
            <w:r>
              <w:rPr>
                <w:rFonts w:ascii="Calibri"/>
                <w:spacing w:val="-5"/>
                <w:sz w:val="18"/>
              </w:rPr>
              <w:t> </w:t>
            </w:r>
            <w:r>
              <w:rPr>
                <w:rFonts w:ascii="Calibri"/>
                <w:sz w:val="18"/>
              </w:rPr>
              <w:t>Price</w:t>
            </w:r>
          </w:p>
        </w:tc>
        <w:tc>
          <w:tcPr>
            <w:tcW w:w="4065" w:type="dxa"/>
            <w:tcBorders>
              <w:top w:val="nil" w:sz="6" w:space="0" w:color="auto"/>
              <w:left w:val="nil" w:sz="6" w:space="0" w:color="auto"/>
              <w:bottom w:val="nil" w:sz="6" w:space="0" w:color="auto"/>
              <w:right w:val="nil" w:sz="6" w:space="0" w:color="auto"/>
            </w:tcBorders>
          </w:tcPr>
          <w:p>
            <w:pPr>
              <w:pStyle w:val="TableParagraph"/>
              <w:spacing w:line="204" w:lineRule="exact"/>
              <w:ind w:right="1414"/>
              <w:jc w:val="right"/>
              <w:rPr>
                <w:rFonts w:ascii="Calibri" w:hAnsi="Calibri" w:cs="Calibri" w:eastAsia="Calibri" w:hint="default"/>
                <w:sz w:val="18"/>
                <w:szCs w:val="18"/>
              </w:rPr>
            </w:pPr>
            <w:r>
              <w:rPr>
                <w:rFonts w:ascii="Calibri"/>
                <w:sz w:val="18"/>
              </w:rPr>
              <w:t>0.54</w:t>
            </w:r>
          </w:p>
        </w:tc>
      </w:tr>
      <w:tr>
        <w:trPr>
          <w:trHeight w:val="209" w:hRule="exact"/>
        </w:trPr>
        <w:tc>
          <w:tcPr>
            <w:tcW w:w="5280" w:type="dxa"/>
            <w:tcBorders>
              <w:top w:val="nil" w:sz="6" w:space="0" w:color="auto"/>
              <w:left w:val="nil" w:sz="6" w:space="0" w:color="auto"/>
              <w:bottom w:val="single" w:sz="4" w:space="0" w:color="000000"/>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Destination Ease of</w:t>
            </w:r>
            <w:r>
              <w:rPr>
                <w:rFonts w:ascii="Calibri"/>
                <w:spacing w:val="-10"/>
                <w:sz w:val="18"/>
              </w:rPr>
              <w:t> </w:t>
            </w:r>
            <w:r>
              <w:rPr>
                <w:rFonts w:ascii="Calibri"/>
                <w:sz w:val="18"/>
              </w:rPr>
              <w:t>Access</w:t>
            </w:r>
          </w:p>
        </w:tc>
        <w:tc>
          <w:tcPr>
            <w:tcW w:w="4065" w:type="dxa"/>
            <w:tcBorders>
              <w:top w:val="nil" w:sz="6" w:space="0" w:color="auto"/>
              <w:left w:val="nil" w:sz="6" w:space="0" w:color="auto"/>
              <w:bottom w:val="single" w:sz="4" w:space="0" w:color="000000"/>
              <w:right w:val="nil" w:sz="6" w:space="0" w:color="auto"/>
            </w:tcBorders>
          </w:tcPr>
          <w:p>
            <w:pPr>
              <w:pStyle w:val="TableParagraph"/>
              <w:spacing w:line="203" w:lineRule="exact"/>
              <w:ind w:right="1414"/>
              <w:jc w:val="right"/>
              <w:rPr>
                <w:rFonts w:ascii="Calibri" w:hAnsi="Calibri" w:cs="Calibri" w:eastAsia="Calibri" w:hint="default"/>
                <w:sz w:val="18"/>
                <w:szCs w:val="18"/>
              </w:rPr>
            </w:pPr>
            <w:r>
              <w:rPr>
                <w:rFonts w:ascii="Calibri"/>
                <w:sz w:val="18"/>
              </w:rPr>
              <w:t>0.50</w:t>
            </w:r>
          </w:p>
        </w:tc>
      </w:tr>
      <w:tr>
        <w:trPr>
          <w:trHeight w:val="228" w:hRule="exact"/>
        </w:trPr>
        <w:tc>
          <w:tcPr>
            <w:tcW w:w="5280" w:type="dxa"/>
            <w:tcBorders>
              <w:top w:val="single" w:sz="4" w:space="0" w:color="000000"/>
              <w:left w:val="nil" w:sz="6" w:space="0" w:color="auto"/>
              <w:bottom w:val="single" w:sz="4" w:space="0" w:color="000000"/>
              <w:right w:val="nil" w:sz="6" w:space="0" w:color="auto"/>
            </w:tcBorders>
          </w:tcPr>
          <w:p>
            <w:pPr>
              <w:pStyle w:val="TableParagraph"/>
              <w:spacing w:line="219" w:lineRule="exact"/>
              <w:ind w:left="107" w:right="0"/>
              <w:jc w:val="left"/>
              <w:rPr>
                <w:rFonts w:ascii="Calibri" w:hAnsi="Calibri" w:cs="Calibri" w:eastAsia="Calibri" w:hint="default"/>
                <w:sz w:val="18"/>
                <w:szCs w:val="18"/>
              </w:rPr>
            </w:pPr>
            <w:r>
              <w:rPr>
                <w:rFonts w:ascii="Calibri"/>
                <w:b/>
                <w:sz w:val="18"/>
              </w:rPr>
              <w:t>Duty-Free (variance</w:t>
            </w:r>
            <w:r>
              <w:rPr>
                <w:rFonts w:ascii="Calibri"/>
                <w:b/>
                <w:spacing w:val="-11"/>
                <w:sz w:val="18"/>
              </w:rPr>
              <w:t> </w:t>
            </w:r>
            <w:r>
              <w:rPr>
                <w:rFonts w:ascii="Calibri"/>
                <w:b/>
                <w:sz w:val="18"/>
              </w:rPr>
              <w:t>explained=7.5%)</w:t>
            </w:r>
            <w:r>
              <w:rPr>
                <w:rFonts w:ascii="Calibri"/>
                <w:sz w:val="18"/>
              </w:rPr>
            </w:r>
          </w:p>
        </w:tc>
        <w:tc>
          <w:tcPr>
            <w:tcW w:w="4065" w:type="dxa"/>
            <w:tcBorders>
              <w:top w:val="single" w:sz="4" w:space="0" w:color="000000"/>
              <w:left w:val="nil" w:sz="6" w:space="0" w:color="auto"/>
              <w:bottom w:val="single" w:sz="4" w:space="0" w:color="000000"/>
              <w:right w:val="nil" w:sz="6" w:space="0" w:color="auto"/>
            </w:tcBorders>
          </w:tcPr>
          <w:p>
            <w:pPr>
              <w:pStyle w:val="TableParagraph"/>
              <w:spacing w:line="219" w:lineRule="exact"/>
              <w:ind w:right="1393"/>
              <w:jc w:val="right"/>
              <w:rPr>
                <w:rFonts w:ascii="Calibri" w:hAnsi="Calibri" w:cs="Calibri" w:eastAsia="Calibri" w:hint="default"/>
                <w:sz w:val="18"/>
                <w:szCs w:val="18"/>
              </w:rPr>
            </w:pPr>
            <w:r>
              <w:rPr>
                <w:rFonts w:ascii="Calibri"/>
                <w:b/>
                <w:spacing w:val="-1"/>
                <w:w w:val="95"/>
                <w:sz w:val="18"/>
              </w:rPr>
              <w:t>7.5%</w:t>
            </w:r>
            <w:r>
              <w:rPr>
                <w:rFonts w:ascii="Calibri"/>
                <w:w w:val="95"/>
                <w:sz w:val="18"/>
              </w:rPr>
            </w:r>
          </w:p>
        </w:tc>
      </w:tr>
      <w:tr>
        <w:trPr>
          <w:trHeight w:val="242" w:hRule="exact"/>
        </w:trPr>
        <w:tc>
          <w:tcPr>
            <w:tcW w:w="5280"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107" w:right="0"/>
              <w:jc w:val="left"/>
              <w:rPr>
                <w:rFonts w:ascii="Calibri" w:hAnsi="Calibri" w:cs="Calibri" w:eastAsia="Calibri" w:hint="default"/>
                <w:sz w:val="18"/>
                <w:szCs w:val="18"/>
              </w:rPr>
            </w:pPr>
            <w:r>
              <w:rPr>
                <w:rFonts w:ascii="Calibri"/>
                <w:sz w:val="18"/>
              </w:rPr>
              <w:t>Product Quality in</w:t>
            </w:r>
            <w:r>
              <w:rPr>
                <w:rFonts w:ascii="Calibri"/>
                <w:spacing w:val="-8"/>
                <w:sz w:val="18"/>
              </w:rPr>
              <w:t> </w:t>
            </w:r>
            <w:r>
              <w:rPr>
                <w:rFonts w:ascii="Calibri"/>
                <w:sz w:val="18"/>
              </w:rPr>
              <w:t>Duty-free</w:t>
            </w:r>
          </w:p>
        </w:tc>
        <w:tc>
          <w:tcPr>
            <w:tcW w:w="4065"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1414"/>
              <w:jc w:val="right"/>
              <w:rPr>
                <w:rFonts w:ascii="Calibri" w:hAnsi="Calibri" w:cs="Calibri" w:eastAsia="Calibri" w:hint="default"/>
                <w:sz w:val="18"/>
                <w:szCs w:val="18"/>
              </w:rPr>
            </w:pPr>
            <w:r>
              <w:rPr>
                <w:rFonts w:ascii="Calibri"/>
                <w:sz w:val="18"/>
              </w:rPr>
              <w:t>0.90</w:t>
            </w:r>
          </w:p>
        </w:tc>
      </w:tr>
      <w:tr>
        <w:trPr>
          <w:trHeight w:val="220"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Available Luxury Brand in</w:t>
            </w:r>
            <w:r>
              <w:rPr>
                <w:rFonts w:ascii="Calibri"/>
                <w:spacing w:val="-9"/>
                <w:sz w:val="18"/>
              </w:rPr>
              <w:t> </w:t>
            </w:r>
            <w:r>
              <w:rPr>
                <w:rFonts w:ascii="Calibri"/>
                <w:sz w:val="18"/>
              </w:rPr>
              <w:t>Duty-free</w:t>
            </w:r>
          </w:p>
        </w:tc>
        <w:tc>
          <w:tcPr>
            <w:tcW w:w="4065" w:type="dxa"/>
            <w:tcBorders>
              <w:top w:val="nil" w:sz="6" w:space="0" w:color="auto"/>
              <w:left w:val="nil" w:sz="6" w:space="0" w:color="auto"/>
              <w:bottom w:val="nil" w:sz="6" w:space="0" w:color="auto"/>
              <w:right w:val="nil" w:sz="6" w:space="0" w:color="auto"/>
            </w:tcBorders>
          </w:tcPr>
          <w:p>
            <w:pPr>
              <w:pStyle w:val="TableParagraph"/>
              <w:spacing w:line="203" w:lineRule="exact"/>
              <w:ind w:right="1414"/>
              <w:jc w:val="right"/>
              <w:rPr>
                <w:rFonts w:ascii="Calibri" w:hAnsi="Calibri" w:cs="Calibri" w:eastAsia="Calibri" w:hint="default"/>
                <w:sz w:val="18"/>
                <w:szCs w:val="18"/>
              </w:rPr>
            </w:pPr>
            <w:r>
              <w:rPr>
                <w:rFonts w:ascii="Calibri"/>
                <w:sz w:val="18"/>
              </w:rPr>
              <w:t>0.88</w:t>
            </w:r>
          </w:p>
        </w:tc>
      </w:tr>
      <w:tr>
        <w:trPr>
          <w:trHeight w:val="220"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Product Variety in</w:t>
            </w:r>
            <w:r>
              <w:rPr>
                <w:rFonts w:ascii="Calibri"/>
                <w:spacing w:val="-9"/>
                <w:sz w:val="18"/>
              </w:rPr>
              <w:t> </w:t>
            </w:r>
            <w:r>
              <w:rPr>
                <w:rFonts w:ascii="Calibri"/>
                <w:sz w:val="18"/>
              </w:rPr>
              <w:t>Duty-free</w:t>
            </w:r>
          </w:p>
        </w:tc>
        <w:tc>
          <w:tcPr>
            <w:tcW w:w="4065" w:type="dxa"/>
            <w:tcBorders>
              <w:top w:val="nil" w:sz="6" w:space="0" w:color="auto"/>
              <w:left w:val="nil" w:sz="6" w:space="0" w:color="auto"/>
              <w:bottom w:val="nil" w:sz="6" w:space="0" w:color="auto"/>
              <w:right w:val="nil" w:sz="6" w:space="0" w:color="auto"/>
            </w:tcBorders>
          </w:tcPr>
          <w:p>
            <w:pPr>
              <w:pStyle w:val="TableParagraph"/>
              <w:spacing w:line="204" w:lineRule="exact"/>
              <w:ind w:right="1414"/>
              <w:jc w:val="right"/>
              <w:rPr>
                <w:rFonts w:ascii="Calibri" w:hAnsi="Calibri" w:cs="Calibri" w:eastAsia="Calibri" w:hint="default"/>
                <w:sz w:val="18"/>
                <w:szCs w:val="18"/>
              </w:rPr>
            </w:pPr>
            <w:r>
              <w:rPr>
                <w:rFonts w:ascii="Calibri"/>
                <w:sz w:val="18"/>
              </w:rPr>
              <w:t>0.86</w:t>
            </w:r>
          </w:p>
        </w:tc>
      </w:tr>
      <w:tr>
        <w:trPr>
          <w:trHeight w:val="220"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Available</w:t>
            </w:r>
            <w:r>
              <w:rPr>
                <w:rFonts w:ascii="Calibri"/>
                <w:spacing w:val="-7"/>
                <w:sz w:val="18"/>
              </w:rPr>
              <w:t> </w:t>
            </w:r>
            <w:r>
              <w:rPr>
                <w:rFonts w:ascii="Calibri"/>
                <w:sz w:val="18"/>
              </w:rPr>
              <w:t>Duty-free</w:t>
            </w:r>
          </w:p>
        </w:tc>
        <w:tc>
          <w:tcPr>
            <w:tcW w:w="4065" w:type="dxa"/>
            <w:tcBorders>
              <w:top w:val="nil" w:sz="6" w:space="0" w:color="auto"/>
              <w:left w:val="nil" w:sz="6" w:space="0" w:color="auto"/>
              <w:bottom w:val="nil" w:sz="6" w:space="0" w:color="auto"/>
              <w:right w:val="nil" w:sz="6" w:space="0" w:color="auto"/>
            </w:tcBorders>
          </w:tcPr>
          <w:p>
            <w:pPr>
              <w:pStyle w:val="TableParagraph"/>
              <w:spacing w:line="203" w:lineRule="exact"/>
              <w:ind w:right="1414"/>
              <w:jc w:val="right"/>
              <w:rPr>
                <w:rFonts w:ascii="Calibri" w:hAnsi="Calibri" w:cs="Calibri" w:eastAsia="Calibri" w:hint="default"/>
                <w:sz w:val="18"/>
                <w:szCs w:val="18"/>
              </w:rPr>
            </w:pPr>
            <w:r>
              <w:rPr>
                <w:rFonts w:ascii="Calibri"/>
                <w:sz w:val="18"/>
              </w:rPr>
              <w:t>0.77</w:t>
            </w:r>
          </w:p>
        </w:tc>
      </w:tr>
      <w:tr>
        <w:trPr>
          <w:trHeight w:val="208" w:hRule="exact"/>
        </w:trPr>
        <w:tc>
          <w:tcPr>
            <w:tcW w:w="5280" w:type="dxa"/>
            <w:tcBorders>
              <w:top w:val="nil" w:sz="6" w:space="0" w:color="auto"/>
              <w:left w:val="nil" w:sz="6" w:space="0" w:color="auto"/>
              <w:bottom w:val="single" w:sz="4" w:space="0" w:color="000000"/>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Price in</w:t>
            </w:r>
            <w:r>
              <w:rPr>
                <w:rFonts w:ascii="Calibri"/>
                <w:spacing w:val="-7"/>
                <w:sz w:val="18"/>
              </w:rPr>
              <w:t> </w:t>
            </w:r>
            <w:r>
              <w:rPr>
                <w:rFonts w:ascii="Calibri"/>
                <w:sz w:val="18"/>
              </w:rPr>
              <w:t>Duty-free</w:t>
            </w:r>
          </w:p>
        </w:tc>
        <w:tc>
          <w:tcPr>
            <w:tcW w:w="4065" w:type="dxa"/>
            <w:tcBorders>
              <w:top w:val="nil" w:sz="6" w:space="0" w:color="auto"/>
              <w:left w:val="nil" w:sz="6" w:space="0" w:color="auto"/>
              <w:bottom w:val="single" w:sz="4" w:space="0" w:color="000000"/>
              <w:right w:val="nil" w:sz="6" w:space="0" w:color="auto"/>
            </w:tcBorders>
          </w:tcPr>
          <w:p>
            <w:pPr>
              <w:pStyle w:val="TableParagraph"/>
              <w:spacing w:line="204" w:lineRule="exact"/>
              <w:ind w:right="1414"/>
              <w:jc w:val="right"/>
              <w:rPr>
                <w:rFonts w:ascii="Calibri" w:hAnsi="Calibri" w:cs="Calibri" w:eastAsia="Calibri" w:hint="default"/>
                <w:sz w:val="18"/>
                <w:szCs w:val="18"/>
              </w:rPr>
            </w:pPr>
            <w:r>
              <w:rPr>
                <w:rFonts w:ascii="Calibri"/>
                <w:sz w:val="18"/>
              </w:rPr>
              <w:t>0.76</w:t>
            </w:r>
          </w:p>
        </w:tc>
      </w:tr>
      <w:tr>
        <w:trPr>
          <w:trHeight w:val="230" w:hRule="exact"/>
        </w:trPr>
        <w:tc>
          <w:tcPr>
            <w:tcW w:w="5280" w:type="dxa"/>
            <w:tcBorders>
              <w:top w:val="single" w:sz="4" w:space="0" w:color="000000"/>
              <w:left w:val="nil" w:sz="6" w:space="0" w:color="auto"/>
              <w:bottom w:val="single" w:sz="4" w:space="0" w:color="000000"/>
              <w:right w:val="nil" w:sz="6" w:space="0" w:color="auto"/>
            </w:tcBorders>
          </w:tcPr>
          <w:p>
            <w:pPr>
              <w:pStyle w:val="TableParagraph"/>
              <w:spacing w:line="219" w:lineRule="exact"/>
              <w:ind w:left="107" w:right="0"/>
              <w:jc w:val="left"/>
              <w:rPr>
                <w:rFonts w:ascii="Calibri" w:hAnsi="Calibri" w:cs="Calibri" w:eastAsia="Calibri" w:hint="default"/>
                <w:sz w:val="18"/>
                <w:szCs w:val="18"/>
              </w:rPr>
            </w:pPr>
            <w:r>
              <w:rPr>
                <w:rFonts w:ascii="Calibri"/>
                <w:b/>
                <w:sz w:val="18"/>
              </w:rPr>
              <w:t>Beaches (variance</w:t>
            </w:r>
            <w:r>
              <w:rPr>
                <w:rFonts w:ascii="Calibri"/>
                <w:b/>
                <w:spacing w:val="-11"/>
                <w:sz w:val="18"/>
              </w:rPr>
              <w:t> </w:t>
            </w:r>
            <w:r>
              <w:rPr>
                <w:rFonts w:ascii="Calibri"/>
                <w:b/>
                <w:sz w:val="18"/>
              </w:rPr>
              <w:t>explained=3.9%)</w:t>
            </w:r>
            <w:r>
              <w:rPr>
                <w:rFonts w:ascii="Calibri"/>
                <w:sz w:val="18"/>
              </w:rPr>
            </w:r>
          </w:p>
        </w:tc>
        <w:tc>
          <w:tcPr>
            <w:tcW w:w="4065" w:type="dxa"/>
            <w:tcBorders>
              <w:top w:val="single" w:sz="4" w:space="0" w:color="000000"/>
              <w:left w:val="nil" w:sz="6" w:space="0" w:color="auto"/>
              <w:bottom w:val="single" w:sz="4" w:space="0" w:color="000000"/>
              <w:right w:val="nil" w:sz="6" w:space="0" w:color="auto"/>
            </w:tcBorders>
          </w:tcPr>
          <w:p>
            <w:pPr>
              <w:pStyle w:val="TableParagraph"/>
              <w:spacing w:line="219" w:lineRule="exact"/>
              <w:ind w:right="1412"/>
              <w:jc w:val="right"/>
              <w:rPr>
                <w:rFonts w:ascii="Calibri" w:hAnsi="Calibri" w:cs="Calibri" w:eastAsia="Calibri" w:hint="default"/>
                <w:sz w:val="18"/>
                <w:szCs w:val="18"/>
              </w:rPr>
            </w:pPr>
            <w:r>
              <w:rPr>
                <w:rFonts w:ascii="Calibri"/>
                <w:b/>
                <w:spacing w:val="-1"/>
                <w:w w:val="95"/>
                <w:sz w:val="18"/>
              </w:rPr>
              <w:t>3.9%</w:t>
            </w:r>
            <w:r>
              <w:rPr>
                <w:rFonts w:ascii="Calibri"/>
                <w:w w:val="95"/>
                <w:sz w:val="18"/>
              </w:rPr>
            </w:r>
          </w:p>
        </w:tc>
      </w:tr>
      <w:tr>
        <w:trPr>
          <w:trHeight w:val="241" w:hRule="exact"/>
        </w:trPr>
        <w:tc>
          <w:tcPr>
            <w:tcW w:w="5280" w:type="dxa"/>
            <w:tcBorders>
              <w:top w:val="single" w:sz="4" w:space="0" w:color="000000"/>
              <w:left w:val="nil" w:sz="6" w:space="0" w:color="auto"/>
              <w:bottom w:val="nil" w:sz="6" w:space="0" w:color="auto"/>
              <w:right w:val="nil" w:sz="6" w:space="0" w:color="auto"/>
            </w:tcBorders>
          </w:tcPr>
          <w:p>
            <w:pPr>
              <w:pStyle w:val="TableParagraph"/>
              <w:spacing w:line="219" w:lineRule="exact"/>
              <w:ind w:left="107" w:right="0"/>
              <w:jc w:val="left"/>
              <w:rPr>
                <w:rFonts w:ascii="Calibri" w:hAnsi="Calibri" w:cs="Calibri" w:eastAsia="Calibri" w:hint="default"/>
                <w:sz w:val="18"/>
                <w:szCs w:val="18"/>
              </w:rPr>
            </w:pPr>
            <w:r>
              <w:rPr>
                <w:rFonts w:ascii="Calibri"/>
                <w:sz w:val="18"/>
              </w:rPr>
              <w:t>Beaches</w:t>
            </w:r>
            <w:r>
              <w:rPr>
                <w:rFonts w:ascii="Calibri"/>
                <w:spacing w:val="-4"/>
                <w:sz w:val="18"/>
              </w:rPr>
              <w:t> </w:t>
            </w:r>
            <w:r>
              <w:rPr>
                <w:rFonts w:ascii="Calibri"/>
                <w:sz w:val="18"/>
              </w:rPr>
              <w:t>Quality</w:t>
            </w:r>
          </w:p>
        </w:tc>
        <w:tc>
          <w:tcPr>
            <w:tcW w:w="4065" w:type="dxa"/>
            <w:tcBorders>
              <w:top w:val="single" w:sz="4" w:space="0" w:color="000000"/>
              <w:left w:val="nil" w:sz="6" w:space="0" w:color="auto"/>
              <w:bottom w:val="nil" w:sz="6" w:space="0" w:color="auto"/>
              <w:right w:val="nil" w:sz="6" w:space="0" w:color="auto"/>
            </w:tcBorders>
          </w:tcPr>
          <w:p>
            <w:pPr>
              <w:pStyle w:val="TableParagraph"/>
              <w:spacing w:line="219" w:lineRule="exact"/>
              <w:ind w:right="1414"/>
              <w:jc w:val="right"/>
              <w:rPr>
                <w:rFonts w:ascii="Calibri" w:hAnsi="Calibri" w:cs="Calibri" w:eastAsia="Calibri" w:hint="default"/>
                <w:sz w:val="18"/>
                <w:szCs w:val="18"/>
              </w:rPr>
            </w:pPr>
            <w:r>
              <w:rPr>
                <w:rFonts w:ascii="Calibri"/>
                <w:sz w:val="18"/>
              </w:rPr>
              <w:t>0.94</w:t>
            </w:r>
          </w:p>
        </w:tc>
      </w:tr>
      <w:tr>
        <w:trPr>
          <w:trHeight w:val="220" w:hRule="exact"/>
        </w:trPr>
        <w:tc>
          <w:tcPr>
            <w:tcW w:w="5280" w:type="dxa"/>
            <w:tcBorders>
              <w:top w:val="nil" w:sz="6" w:space="0" w:color="auto"/>
              <w:left w:val="nil" w:sz="6" w:space="0" w:color="auto"/>
              <w:bottom w:val="nil" w:sz="6" w:space="0" w:color="auto"/>
              <w:right w:val="nil" w:sz="6" w:space="0" w:color="auto"/>
            </w:tcBorders>
          </w:tcPr>
          <w:p>
            <w:pPr>
              <w:pStyle w:val="TableParagraph"/>
              <w:spacing w:line="204" w:lineRule="exact"/>
              <w:ind w:left="107" w:right="0"/>
              <w:jc w:val="left"/>
              <w:rPr>
                <w:rFonts w:ascii="Calibri" w:hAnsi="Calibri" w:cs="Calibri" w:eastAsia="Calibri" w:hint="default"/>
                <w:sz w:val="18"/>
                <w:szCs w:val="18"/>
              </w:rPr>
            </w:pPr>
            <w:r>
              <w:rPr>
                <w:rFonts w:ascii="Calibri"/>
                <w:sz w:val="18"/>
              </w:rPr>
              <w:t>Climate</w:t>
            </w:r>
          </w:p>
        </w:tc>
        <w:tc>
          <w:tcPr>
            <w:tcW w:w="4065" w:type="dxa"/>
            <w:tcBorders>
              <w:top w:val="nil" w:sz="6" w:space="0" w:color="auto"/>
              <w:left w:val="nil" w:sz="6" w:space="0" w:color="auto"/>
              <w:bottom w:val="nil" w:sz="6" w:space="0" w:color="auto"/>
              <w:right w:val="nil" w:sz="6" w:space="0" w:color="auto"/>
            </w:tcBorders>
          </w:tcPr>
          <w:p>
            <w:pPr>
              <w:pStyle w:val="TableParagraph"/>
              <w:spacing w:line="204" w:lineRule="exact"/>
              <w:ind w:right="1414"/>
              <w:jc w:val="right"/>
              <w:rPr>
                <w:rFonts w:ascii="Calibri" w:hAnsi="Calibri" w:cs="Calibri" w:eastAsia="Calibri" w:hint="default"/>
                <w:sz w:val="18"/>
                <w:szCs w:val="18"/>
              </w:rPr>
            </w:pPr>
            <w:r>
              <w:rPr>
                <w:rFonts w:ascii="Calibri"/>
                <w:sz w:val="18"/>
              </w:rPr>
              <w:t>0.78</w:t>
            </w:r>
          </w:p>
        </w:tc>
      </w:tr>
      <w:tr>
        <w:trPr>
          <w:trHeight w:val="209" w:hRule="exact"/>
        </w:trPr>
        <w:tc>
          <w:tcPr>
            <w:tcW w:w="5280" w:type="dxa"/>
            <w:tcBorders>
              <w:top w:val="nil" w:sz="6" w:space="0" w:color="auto"/>
              <w:left w:val="nil" w:sz="6" w:space="0" w:color="auto"/>
              <w:bottom w:val="single" w:sz="4" w:space="0" w:color="000000"/>
              <w:right w:val="nil" w:sz="6" w:space="0" w:color="auto"/>
            </w:tcBorders>
          </w:tcPr>
          <w:p>
            <w:pPr>
              <w:pStyle w:val="TableParagraph"/>
              <w:spacing w:line="203" w:lineRule="exact"/>
              <w:ind w:left="107" w:right="0"/>
              <w:jc w:val="left"/>
              <w:rPr>
                <w:rFonts w:ascii="Calibri" w:hAnsi="Calibri" w:cs="Calibri" w:eastAsia="Calibri" w:hint="default"/>
                <w:sz w:val="18"/>
                <w:szCs w:val="18"/>
              </w:rPr>
            </w:pPr>
            <w:r>
              <w:rPr>
                <w:rFonts w:ascii="Calibri"/>
                <w:sz w:val="18"/>
              </w:rPr>
              <w:t>Available Facilities</w:t>
            </w:r>
            <w:r>
              <w:rPr>
                <w:rFonts w:ascii="Calibri"/>
                <w:spacing w:val="-10"/>
                <w:sz w:val="18"/>
              </w:rPr>
              <w:t> </w:t>
            </w:r>
            <w:r>
              <w:rPr>
                <w:rFonts w:ascii="Calibri"/>
                <w:sz w:val="18"/>
              </w:rPr>
              <w:t>Beaches</w:t>
            </w:r>
          </w:p>
        </w:tc>
        <w:tc>
          <w:tcPr>
            <w:tcW w:w="4065" w:type="dxa"/>
            <w:tcBorders>
              <w:top w:val="nil" w:sz="6" w:space="0" w:color="auto"/>
              <w:left w:val="nil" w:sz="6" w:space="0" w:color="auto"/>
              <w:bottom w:val="single" w:sz="4" w:space="0" w:color="000000"/>
              <w:right w:val="nil" w:sz="6" w:space="0" w:color="auto"/>
            </w:tcBorders>
          </w:tcPr>
          <w:p>
            <w:pPr>
              <w:pStyle w:val="TableParagraph"/>
              <w:spacing w:line="203" w:lineRule="exact"/>
              <w:ind w:right="1414"/>
              <w:jc w:val="right"/>
              <w:rPr>
                <w:rFonts w:ascii="Calibri" w:hAnsi="Calibri" w:cs="Calibri" w:eastAsia="Calibri" w:hint="default"/>
                <w:sz w:val="18"/>
                <w:szCs w:val="18"/>
              </w:rPr>
            </w:pPr>
            <w:r>
              <w:rPr>
                <w:rFonts w:ascii="Calibri"/>
                <w:sz w:val="18"/>
              </w:rPr>
              <w:t>0.61</w:t>
            </w:r>
          </w:p>
        </w:tc>
      </w:tr>
    </w:tbl>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2" w:after="0"/>
        <w:ind w:right="0"/>
        <w:rPr>
          <w:rFonts w:ascii="Calibri" w:hAnsi="Calibri" w:cs="Calibri" w:eastAsia="Calibri" w:hint="default"/>
          <w:b/>
          <w:bCs/>
          <w:sz w:val="20"/>
          <w:szCs w:val="20"/>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2" w:lineRule="auto" w:before="91"/>
        <w:ind w:left="1440" w:right="1479" w:firstLine="0"/>
        <w:jc w:val="left"/>
        <w:rPr>
          <w:rFonts w:ascii="Calibri" w:hAnsi="Calibri" w:cs="Calibri" w:eastAsia="Calibri" w:hint="default"/>
          <w:sz w:val="16"/>
          <w:szCs w:val="16"/>
        </w:rPr>
      </w:pPr>
      <w:r>
        <w:rPr>
          <w:rFonts w:ascii="Calibri" w:hAnsi="Calibri" w:cs="Calibri" w:eastAsia="Calibri" w:hint="default"/>
          <w:position w:val="5"/>
          <w:sz w:val="12"/>
          <w:szCs w:val="12"/>
        </w:rPr>
        <w:t>62 </w:t>
      </w:r>
      <w:r>
        <w:rPr>
          <w:rFonts w:ascii="Calibri" w:hAnsi="Calibri" w:cs="Calibri" w:eastAsia="Calibri" w:hint="default"/>
          <w:sz w:val="16"/>
          <w:szCs w:val="16"/>
        </w:rPr>
        <w:t>In order to gauge the factors that influence the ranking of the islands as depicted in Table 45, the DPITS applied an ANOVA test to investigate </w:t>
      </w:r>
      <w:r>
        <w:rPr>
          <w:rFonts w:ascii="Calibri" w:hAnsi="Calibri" w:cs="Calibri" w:eastAsia="Calibri" w:hint="default"/>
          <w:sz w:val="16"/>
          <w:szCs w:val="16"/>
        </w:rPr>
      </w:r>
      <w:r>
        <w:rPr>
          <w:rFonts w:ascii="Calibri" w:hAnsi="Calibri" w:cs="Calibri" w:eastAsia="Calibri" w:hint="default"/>
          <w:sz w:val="16"/>
          <w:szCs w:val="16"/>
        </w:rPr>
        <w:t>potential differences among image impression factors for each island destination. The variable “island” was used as the inde</w:t>
      </w:r>
      <w:r>
        <w:rPr>
          <w:rFonts w:ascii="Calibri" w:hAnsi="Calibri" w:cs="Calibri" w:eastAsia="Calibri" w:hint="default"/>
          <w:sz w:val="16"/>
          <w:szCs w:val="16"/>
        </w:rPr>
        <w:t>pendent variable and the image impression factors (i.e., Beaches, Duty-Free, and Hospitality) were used as dependent variables. The scores were categorized as: High, Med-High, Med-Low, Low, and</w:t>
      </w:r>
      <w:r>
        <w:rPr>
          <w:rFonts w:ascii="Calibri" w:hAnsi="Calibri" w:cs="Calibri" w:eastAsia="Calibri" w:hint="default"/>
          <w:spacing w:val="-17"/>
          <w:sz w:val="16"/>
          <w:szCs w:val="16"/>
        </w:rPr>
        <w:t> </w:t>
      </w:r>
      <w:r>
        <w:rPr>
          <w:rFonts w:ascii="Calibri" w:hAnsi="Calibri" w:cs="Calibri" w:eastAsia="Calibri" w:hint="default"/>
          <w:sz w:val="16"/>
          <w:szCs w:val="16"/>
        </w:rPr>
        <w:t>No-Difference.</w:t>
      </w:r>
    </w:p>
    <w:p>
      <w:pPr>
        <w:spacing w:after="0" w:line="242" w:lineRule="auto"/>
        <w:jc w:val="left"/>
        <w:rPr>
          <w:rFonts w:ascii="Calibri" w:hAnsi="Calibri" w:cs="Calibri" w:eastAsia="Calibri" w:hint="default"/>
          <w:sz w:val="16"/>
          <w:szCs w:val="16"/>
        </w:rPr>
        <w:sectPr>
          <w:footerReference w:type="default" r:id="rId63"/>
          <w:pgSz w:w="12240" w:h="15840"/>
          <w:pgMar w:footer="533" w:header="0" w:top="840" w:bottom="720" w:left="0" w:right="0"/>
        </w:sectPr>
      </w:pP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24"/>
          <w:szCs w:val="24"/>
        </w:rPr>
      </w:pPr>
    </w:p>
    <w:p>
      <w:pPr>
        <w:pStyle w:val="Heading2"/>
        <w:spacing w:line="240" w:lineRule="auto"/>
        <w:ind w:right="0"/>
        <w:jc w:val="both"/>
        <w:rPr>
          <w:b w:val="0"/>
          <w:bCs w:val="0"/>
        </w:rPr>
      </w:pPr>
      <w:bookmarkStart w:name="_bookmark134" w:id="135"/>
      <w:bookmarkEnd w:id="135"/>
      <w:r>
        <w:rPr>
          <w:b w:val="0"/>
          <w:bCs w:val="0"/>
        </w:rPr>
      </w:r>
      <w:r>
        <w:rPr/>
        <w:t>Curaçao</w:t>
      </w:r>
      <w:r>
        <w:rPr>
          <w:rFonts w:ascii="Calibri" w:hAnsi="Calibri" w:cs="Calibri" w:eastAsia="Calibri" w:hint="default"/>
        </w:rPr>
        <w:t>’s </w:t>
      </w:r>
      <w:r>
        <w:rPr/>
        <w:t>tourism strategy in the American</w:t>
      </w:r>
      <w:r>
        <w:rPr>
          <w:spacing w:val="-24"/>
        </w:rPr>
        <w:t> </w:t>
      </w:r>
      <w:r>
        <w:rPr/>
        <w:t>market</w:t>
      </w:r>
      <w:r>
        <w:rPr>
          <w:b w:val="0"/>
          <w:bCs w:val="0"/>
        </w:rPr>
      </w:r>
    </w:p>
    <w:p>
      <w:pPr>
        <w:pStyle w:val="BodyText"/>
        <w:spacing w:line="240" w:lineRule="auto" w:before="191"/>
        <w:ind w:right="1437"/>
        <w:jc w:val="both"/>
      </w:pPr>
      <w:r>
        <w:rPr/>
        <w:t>Two US regions from the sample reveal a strong presence in the Dutch Caribbean islands. St. Maarten and Aruba are strong in the New England region, while Aruba is strong in the Middle Atlantic region. Because the Dutch Caribbean</w:t>
      </w:r>
      <w:r>
        <w:rPr>
          <w:spacing w:val="-6"/>
        </w:rPr>
        <w:t> </w:t>
      </w:r>
      <w:r>
        <w:rPr/>
        <w:t>island</w:t>
      </w:r>
      <w:r>
        <w:rPr>
          <w:spacing w:val="-6"/>
        </w:rPr>
        <w:t> </w:t>
      </w:r>
      <w:r>
        <w:rPr/>
        <w:t>image</w:t>
      </w:r>
      <w:r>
        <w:rPr>
          <w:spacing w:val="-8"/>
        </w:rPr>
        <w:t> </w:t>
      </w:r>
      <w:r>
        <w:rPr/>
        <w:t>is</w:t>
      </w:r>
      <w:r>
        <w:rPr>
          <w:spacing w:val="-8"/>
        </w:rPr>
        <w:t> </w:t>
      </w:r>
      <w:r>
        <w:rPr/>
        <w:t>already</w:t>
      </w:r>
      <w:r>
        <w:rPr>
          <w:spacing w:val="-6"/>
        </w:rPr>
        <w:t> </w:t>
      </w:r>
      <w:r>
        <w:rPr/>
        <w:t>prominent</w:t>
      </w:r>
      <w:r>
        <w:rPr>
          <w:spacing w:val="-6"/>
        </w:rPr>
        <w:t> </w:t>
      </w:r>
      <w:r>
        <w:rPr/>
        <w:t>in</w:t>
      </w:r>
      <w:r>
        <w:rPr>
          <w:spacing w:val="-6"/>
        </w:rPr>
        <w:t> </w:t>
      </w:r>
      <w:r>
        <w:rPr/>
        <w:t>those</w:t>
      </w:r>
      <w:r>
        <w:rPr>
          <w:spacing w:val="-8"/>
        </w:rPr>
        <w:t> </w:t>
      </w:r>
      <w:r>
        <w:rPr/>
        <w:t>two</w:t>
      </w:r>
      <w:r>
        <w:rPr>
          <w:spacing w:val="-7"/>
        </w:rPr>
        <w:t> </w:t>
      </w:r>
      <w:r>
        <w:rPr/>
        <w:t>regions,</w:t>
      </w:r>
      <w:r>
        <w:rPr>
          <w:spacing w:val="-6"/>
        </w:rPr>
        <w:t> </w:t>
      </w:r>
      <w:r>
        <w:rPr/>
        <w:t>Curaçao</w:t>
      </w:r>
      <w:r>
        <w:rPr>
          <w:spacing w:val="-6"/>
        </w:rPr>
        <w:t> </w:t>
      </w:r>
      <w:r>
        <w:rPr/>
        <w:t>has</w:t>
      </w:r>
      <w:r>
        <w:rPr>
          <w:spacing w:val="-7"/>
        </w:rPr>
        <w:t> </w:t>
      </w:r>
      <w:r>
        <w:rPr/>
        <w:t>a</w:t>
      </w:r>
      <w:r>
        <w:rPr>
          <w:spacing w:val="-6"/>
        </w:rPr>
        <w:t> </w:t>
      </w:r>
      <w:r>
        <w:rPr/>
        <w:t>unique</w:t>
      </w:r>
      <w:r>
        <w:rPr>
          <w:spacing w:val="-8"/>
        </w:rPr>
        <w:t> </w:t>
      </w:r>
      <w:r>
        <w:rPr/>
        <w:t>opportunity</w:t>
      </w:r>
      <w:r>
        <w:rPr>
          <w:spacing w:val="-6"/>
        </w:rPr>
        <w:t> </w:t>
      </w:r>
      <w:r>
        <w:rPr/>
        <w:t>in</w:t>
      </w:r>
      <w:r>
        <w:rPr>
          <w:spacing w:val="-6"/>
        </w:rPr>
        <w:t> </w:t>
      </w:r>
      <w:r>
        <w:rPr/>
        <w:t>both</w:t>
      </w:r>
      <w:r>
        <w:rPr>
          <w:spacing w:val="-6"/>
        </w:rPr>
        <w:t> </w:t>
      </w:r>
      <w:r>
        <w:rPr/>
        <w:t>regions </w:t>
      </w:r>
      <w:r>
        <w:rPr/>
        <w:t>to</w:t>
      </w:r>
      <w:r>
        <w:rPr>
          <w:spacing w:val="-3"/>
        </w:rPr>
        <w:t> </w:t>
      </w:r>
      <w:r>
        <w:rPr/>
        <w:t>display</w:t>
      </w:r>
      <w:r>
        <w:rPr>
          <w:spacing w:val="-3"/>
        </w:rPr>
        <w:t> </w:t>
      </w:r>
      <w:r>
        <w:rPr/>
        <w:t>its</w:t>
      </w:r>
      <w:r>
        <w:rPr>
          <w:spacing w:val="-5"/>
        </w:rPr>
        <w:t> </w:t>
      </w:r>
      <w:r>
        <w:rPr/>
        <w:t>Dutch</w:t>
      </w:r>
      <w:r>
        <w:rPr>
          <w:spacing w:val="-5"/>
        </w:rPr>
        <w:t> </w:t>
      </w:r>
      <w:r>
        <w:rPr/>
        <w:t>Caribbean</w:t>
      </w:r>
      <w:r>
        <w:rPr>
          <w:spacing w:val="-2"/>
        </w:rPr>
        <w:t> </w:t>
      </w:r>
      <w:r>
        <w:rPr/>
        <w:t>heritage.</w:t>
      </w:r>
      <w:r>
        <w:rPr>
          <w:spacing w:val="-3"/>
        </w:rPr>
        <w:t> </w:t>
      </w:r>
      <w:r>
        <w:rPr/>
        <w:t>By</w:t>
      </w:r>
      <w:r>
        <w:rPr>
          <w:spacing w:val="-3"/>
        </w:rPr>
        <w:t> </w:t>
      </w:r>
      <w:r>
        <w:rPr/>
        <w:t>making</w:t>
      </w:r>
      <w:r>
        <w:rPr>
          <w:spacing w:val="-4"/>
        </w:rPr>
        <w:t> </w:t>
      </w:r>
      <w:r>
        <w:rPr/>
        <w:t>its</w:t>
      </w:r>
      <w:r>
        <w:rPr>
          <w:spacing w:val="-5"/>
        </w:rPr>
        <w:t> </w:t>
      </w:r>
      <w:r>
        <w:rPr/>
        <w:t>heritage</w:t>
      </w:r>
      <w:r>
        <w:rPr>
          <w:spacing w:val="-5"/>
        </w:rPr>
        <w:t> </w:t>
      </w:r>
      <w:r>
        <w:rPr/>
        <w:t>obvious,</w:t>
      </w:r>
      <w:r>
        <w:rPr>
          <w:spacing w:val="3"/>
        </w:rPr>
        <w:t> </w:t>
      </w:r>
      <w:r>
        <w:rPr/>
        <w:t>Curaçao</w:t>
      </w:r>
      <w:r>
        <w:rPr>
          <w:spacing w:val="-2"/>
        </w:rPr>
        <w:t> </w:t>
      </w:r>
      <w:r>
        <w:rPr/>
        <w:t>is</w:t>
      </w:r>
      <w:r>
        <w:rPr>
          <w:spacing w:val="-5"/>
        </w:rPr>
        <w:t> </w:t>
      </w:r>
      <w:r>
        <w:rPr/>
        <w:t>able</w:t>
      </w:r>
      <w:r>
        <w:rPr>
          <w:spacing w:val="-5"/>
        </w:rPr>
        <w:t> </w:t>
      </w:r>
      <w:r>
        <w:rPr/>
        <w:t>to</w:t>
      </w:r>
      <w:r>
        <w:rPr>
          <w:spacing w:val="-5"/>
        </w:rPr>
        <w:t> </w:t>
      </w:r>
      <w:r>
        <w:rPr/>
        <w:t>piggy</w:t>
      </w:r>
      <w:r>
        <w:rPr>
          <w:spacing w:val="-3"/>
        </w:rPr>
        <w:t> </w:t>
      </w:r>
      <w:r>
        <w:rPr/>
        <w:t>back on</w:t>
      </w:r>
      <w:r>
        <w:rPr>
          <w:spacing w:val="-5"/>
        </w:rPr>
        <w:t> </w:t>
      </w:r>
      <w:r>
        <w:rPr/>
        <w:t>the</w:t>
      </w:r>
      <w:r>
        <w:rPr>
          <w:spacing w:val="-4"/>
        </w:rPr>
        <w:t> </w:t>
      </w:r>
      <w:r>
        <w:rPr/>
        <w:t>success </w:t>
      </w:r>
      <w:r>
        <w:rPr/>
        <w:t>of Aruba and St. Maarten in an effective and smart</w:t>
      </w:r>
      <w:r>
        <w:rPr>
          <w:spacing w:val="-24"/>
        </w:rPr>
        <w:t> </w:t>
      </w:r>
      <w:r>
        <w:rPr/>
        <w:t>way.</w:t>
      </w:r>
    </w:p>
    <w:p>
      <w:pPr>
        <w:spacing w:line="240" w:lineRule="auto" w:before="11"/>
        <w:ind w:right="0"/>
        <w:rPr>
          <w:rFonts w:ascii="Calibri" w:hAnsi="Calibri" w:cs="Calibri" w:eastAsia="Calibri" w:hint="default"/>
          <w:sz w:val="19"/>
          <w:szCs w:val="19"/>
        </w:rPr>
      </w:pPr>
    </w:p>
    <w:p>
      <w:pPr>
        <w:pStyle w:val="BodyText"/>
        <w:spacing w:line="240" w:lineRule="auto"/>
        <w:ind w:right="1438"/>
        <w:jc w:val="both"/>
      </w:pPr>
      <w:r>
        <w:rPr/>
        <w:t>What is required from Curaçao is a fourfold strategy. First, Curaçao must aggressively promote to the New England </w:t>
      </w:r>
      <w:r>
        <w:rPr>
          <w:rFonts w:ascii="Calibri" w:hAnsi="Calibri" w:cs="Calibri" w:eastAsia="Calibri" w:hint="default"/>
        </w:rPr>
        <w:t>and Middle Atlantic regions that the island’s people are friendly, unique, provide excellent service, and welcome </w:t>
      </w:r>
      <w:r>
        <w:rPr/>
        <w:t>tourists.</w:t>
      </w:r>
      <w:r>
        <w:rPr>
          <w:spacing w:val="-3"/>
        </w:rPr>
        <w:t> </w:t>
      </w:r>
      <w:r>
        <w:rPr/>
        <w:t>Second,</w:t>
      </w:r>
      <w:r>
        <w:rPr>
          <w:spacing w:val="-4"/>
        </w:rPr>
        <w:t> </w:t>
      </w:r>
      <w:r>
        <w:rPr/>
        <w:t>Curaçao</w:t>
      </w:r>
      <w:r>
        <w:rPr>
          <w:spacing w:val="-2"/>
        </w:rPr>
        <w:t> </w:t>
      </w:r>
      <w:r>
        <w:rPr/>
        <w:t>must</w:t>
      </w:r>
      <w:r>
        <w:rPr>
          <w:spacing w:val="-4"/>
        </w:rPr>
        <w:t> </w:t>
      </w:r>
      <w:r>
        <w:rPr/>
        <w:t>identify</w:t>
      </w:r>
      <w:r>
        <w:rPr>
          <w:spacing w:val="-5"/>
        </w:rPr>
        <w:t> </w:t>
      </w:r>
      <w:r>
        <w:rPr/>
        <w:t>itself</w:t>
      </w:r>
      <w:r>
        <w:rPr>
          <w:spacing w:val="-4"/>
        </w:rPr>
        <w:t> </w:t>
      </w:r>
      <w:r>
        <w:rPr/>
        <w:t>as</w:t>
      </w:r>
      <w:r>
        <w:rPr>
          <w:spacing w:val="-4"/>
        </w:rPr>
        <w:t> </w:t>
      </w:r>
      <w:r>
        <w:rPr/>
        <w:t>a</w:t>
      </w:r>
      <w:r>
        <w:rPr>
          <w:spacing w:val="-5"/>
        </w:rPr>
        <w:t> </w:t>
      </w:r>
      <w:r>
        <w:rPr/>
        <w:t>different</w:t>
      </w:r>
      <w:r>
        <w:rPr>
          <w:spacing w:val="-5"/>
        </w:rPr>
        <w:t> </w:t>
      </w:r>
      <w:r>
        <w:rPr/>
        <w:t>Dutch</w:t>
      </w:r>
      <w:r>
        <w:rPr>
          <w:spacing w:val="-5"/>
        </w:rPr>
        <w:t> </w:t>
      </w:r>
      <w:r>
        <w:rPr/>
        <w:t>Caribbean</w:t>
      </w:r>
      <w:r>
        <w:rPr>
          <w:spacing w:val="-4"/>
        </w:rPr>
        <w:t> </w:t>
      </w:r>
      <w:r>
        <w:rPr/>
        <w:t>island</w:t>
      </w:r>
      <w:r>
        <w:rPr>
          <w:spacing w:val="-2"/>
        </w:rPr>
        <w:t> </w:t>
      </w:r>
      <w:r>
        <w:rPr/>
        <w:t>in</w:t>
      </w:r>
      <w:r>
        <w:rPr>
          <w:spacing w:val="-5"/>
        </w:rPr>
        <w:t> </w:t>
      </w:r>
      <w:r>
        <w:rPr/>
        <w:t>order</w:t>
      </w:r>
      <w:r>
        <w:rPr>
          <w:spacing w:val="-2"/>
        </w:rPr>
        <w:t> </w:t>
      </w:r>
      <w:r>
        <w:rPr/>
        <w:t>to</w:t>
      </w:r>
      <w:r>
        <w:rPr>
          <w:spacing w:val="-5"/>
        </w:rPr>
        <w:t> </w:t>
      </w:r>
      <w:r>
        <w:rPr/>
        <w:t>distinguish</w:t>
      </w:r>
      <w:r>
        <w:rPr>
          <w:spacing w:val="-2"/>
        </w:rPr>
        <w:t> </w:t>
      </w:r>
      <w:r>
        <w:rPr/>
        <w:t>itself</w:t>
      </w:r>
      <w:r>
        <w:rPr>
          <w:spacing w:val="-5"/>
        </w:rPr>
        <w:t> </w:t>
      </w:r>
      <w:r>
        <w:rPr/>
        <w:t>from </w:t>
      </w:r>
      <w:r>
        <w:rPr/>
        <w:t>Aruba and St. Maarten. Third, it is a necessity to increase the airlift capacity from the New England and Middle Atlantic regions. Last, it is necessary for Curaçao to increase airlift from other regions that have good connectivity with gateways from the aforementioned</w:t>
      </w:r>
      <w:r>
        <w:rPr>
          <w:spacing w:val="-18"/>
        </w:rPr>
        <w:t> </w:t>
      </w:r>
      <w:r>
        <w:rPr/>
        <w:t>regions.</w:t>
      </w:r>
    </w:p>
    <w:p>
      <w:pPr>
        <w:spacing w:line="240" w:lineRule="auto" w:before="12"/>
        <w:ind w:right="0"/>
        <w:rPr>
          <w:rFonts w:ascii="Calibri" w:hAnsi="Calibri" w:cs="Calibri" w:eastAsia="Calibri" w:hint="default"/>
          <w:sz w:val="19"/>
          <w:szCs w:val="19"/>
        </w:rPr>
      </w:pPr>
    </w:p>
    <w:p>
      <w:pPr>
        <w:pStyle w:val="BodyText"/>
        <w:spacing w:line="240" w:lineRule="auto"/>
        <w:ind w:right="1431"/>
        <w:jc w:val="left"/>
      </w:pPr>
      <w:r>
        <w:rPr/>
        <w:t>The final message here regarding this fourfold strategy is that Curaçao must position itself as a different Dutch Caribbean.</w:t>
      </w:r>
      <w:r>
        <w:rPr>
          <w:spacing w:val="30"/>
        </w:rPr>
        <w:t> </w:t>
      </w:r>
      <w:r>
        <w:rPr/>
        <w:t>This</w:t>
      </w:r>
      <w:r>
        <w:rPr>
          <w:spacing w:val="-9"/>
        </w:rPr>
        <w:t> </w:t>
      </w:r>
      <w:r>
        <w:rPr/>
        <w:t>message</w:t>
      </w:r>
      <w:r>
        <w:rPr>
          <w:spacing w:val="-9"/>
        </w:rPr>
        <w:t> </w:t>
      </w:r>
      <w:r>
        <w:rPr/>
        <w:t>implies</w:t>
      </w:r>
      <w:r>
        <w:rPr>
          <w:spacing w:val="-9"/>
        </w:rPr>
        <w:t> </w:t>
      </w:r>
      <w:r>
        <w:rPr/>
        <w:t>that</w:t>
      </w:r>
      <w:r>
        <w:rPr>
          <w:spacing w:val="-5"/>
        </w:rPr>
        <w:t> </w:t>
      </w:r>
      <w:r>
        <w:rPr/>
        <w:t>Curaçao</w:t>
      </w:r>
      <w:r>
        <w:rPr>
          <w:spacing w:val="-7"/>
        </w:rPr>
        <w:t> </w:t>
      </w:r>
      <w:r>
        <w:rPr/>
        <w:t>will</w:t>
      </w:r>
      <w:r>
        <w:rPr>
          <w:spacing w:val="-8"/>
        </w:rPr>
        <w:t> </w:t>
      </w:r>
      <w:r>
        <w:rPr/>
        <w:t>reference</w:t>
      </w:r>
      <w:r>
        <w:rPr>
          <w:spacing w:val="-7"/>
        </w:rPr>
        <w:t> </w:t>
      </w:r>
      <w:r>
        <w:rPr/>
        <w:t>the</w:t>
      </w:r>
      <w:r>
        <w:rPr>
          <w:spacing w:val="-9"/>
        </w:rPr>
        <w:t> </w:t>
      </w:r>
      <w:r>
        <w:rPr/>
        <w:t>strong</w:t>
      </w:r>
      <w:r>
        <w:rPr>
          <w:spacing w:val="-8"/>
        </w:rPr>
        <w:t> </w:t>
      </w:r>
      <w:r>
        <w:rPr/>
        <w:t>brand</w:t>
      </w:r>
      <w:r>
        <w:rPr>
          <w:spacing w:val="-7"/>
        </w:rPr>
        <w:t> </w:t>
      </w:r>
      <w:r>
        <w:rPr/>
        <w:t>of</w:t>
      </w:r>
      <w:r>
        <w:rPr>
          <w:spacing w:val="-9"/>
        </w:rPr>
        <w:t> </w:t>
      </w:r>
      <w:r>
        <w:rPr/>
        <w:t>the</w:t>
      </w:r>
      <w:r>
        <w:rPr>
          <w:spacing w:val="-11"/>
        </w:rPr>
        <w:t> </w:t>
      </w:r>
      <w:r>
        <w:rPr/>
        <w:t>Dutch</w:t>
      </w:r>
      <w:r>
        <w:rPr>
          <w:spacing w:val="-9"/>
        </w:rPr>
        <w:t> </w:t>
      </w:r>
      <w:r>
        <w:rPr/>
        <w:t>Caribbean</w:t>
      </w:r>
      <w:r>
        <w:rPr>
          <w:spacing w:val="-7"/>
        </w:rPr>
        <w:t> </w:t>
      </w:r>
      <w:r>
        <w:rPr/>
        <w:t>that</w:t>
      </w:r>
      <w:r>
        <w:rPr>
          <w:spacing w:val="-9"/>
        </w:rPr>
        <w:t> </w:t>
      </w:r>
      <w:r>
        <w:rPr/>
        <w:t>is</w:t>
      </w:r>
      <w:r>
        <w:rPr>
          <w:spacing w:val="-9"/>
        </w:rPr>
        <w:t> </w:t>
      </w:r>
      <w:r>
        <w:rPr/>
        <w:t>alluring </w:t>
      </w:r>
      <w:r>
        <w:rPr/>
        <w:t>to so many Americans, but will entice the American market to sample a newly emerging destination - Curaçao. </w:t>
      </w:r>
      <w:r>
        <w:rPr>
          <w:rFonts w:ascii="Calibri" w:hAnsi="Calibri" w:cs="Calibri" w:eastAsia="Calibri" w:hint="default"/>
        </w:rPr>
        <w:t>“</w:t>
      </w:r>
      <w:r>
        <w:rPr/>
        <w:t>Curaçao,</w:t>
      </w:r>
      <w:r>
        <w:rPr>
          <w:spacing w:val="-2"/>
        </w:rPr>
        <w:t> </w:t>
      </w:r>
      <w:r>
        <w:rPr/>
        <w:t>A</w:t>
      </w:r>
      <w:r>
        <w:rPr>
          <w:spacing w:val="-3"/>
        </w:rPr>
        <w:t> </w:t>
      </w:r>
      <w:r>
        <w:rPr>
          <w:rFonts w:ascii="Calibri" w:hAnsi="Calibri" w:cs="Calibri" w:eastAsia="Calibri" w:hint="default"/>
        </w:rPr>
        <w:t>different</w:t>
      </w:r>
      <w:r>
        <w:rPr>
          <w:rFonts w:ascii="Calibri" w:hAnsi="Calibri" w:cs="Calibri" w:eastAsia="Calibri" w:hint="default"/>
          <w:spacing w:val="-3"/>
        </w:rPr>
        <w:t> </w:t>
      </w:r>
      <w:r>
        <w:rPr>
          <w:rFonts w:ascii="Calibri" w:hAnsi="Calibri" w:cs="Calibri" w:eastAsia="Calibri" w:hint="default"/>
        </w:rPr>
        <w:t>Dutch</w:t>
      </w:r>
      <w:r>
        <w:rPr>
          <w:rFonts w:ascii="Calibri" w:hAnsi="Calibri" w:cs="Calibri" w:eastAsia="Calibri" w:hint="default"/>
          <w:spacing w:val="-3"/>
        </w:rPr>
        <w:t> </w:t>
      </w:r>
      <w:r>
        <w:rPr>
          <w:rFonts w:ascii="Calibri" w:hAnsi="Calibri" w:cs="Calibri" w:eastAsia="Calibri" w:hint="default"/>
        </w:rPr>
        <w:t>Caribbean”</w:t>
      </w:r>
      <w:r>
        <w:rPr>
          <w:rFonts w:ascii="Calibri" w:hAnsi="Calibri" w:cs="Calibri" w:eastAsia="Calibri" w:hint="default"/>
          <w:spacing w:val="-3"/>
        </w:rPr>
        <w:t> </w:t>
      </w:r>
      <w:r>
        <w:rPr>
          <w:rFonts w:ascii="Calibri" w:hAnsi="Calibri" w:cs="Calibri" w:eastAsia="Calibri" w:hint="default"/>
        </w:rPr>
        <w:t>is</w:t>
      </w:r>
      <w:r>
        <w:rPr>
          <w:rFonts w:ascii="Calibri" w:hAnsi="Calibri" w:cs="Calibri" w:eastAsia="Calibri" w:hint="default"/>
          <w:spacing w:val="-4"/>
        </w:rPr>
        <w:t> </w:t>
      </w:r>
      <w:r>
        <w:rPr>
          <w:rFonts w:ascii="Calibri" w:hAnsi="Calibri" w:cs="Calibri" w:eastAsia="Calibri" w:hint="default"/>
        </w:rPr>
        <w:t>an</w:t>
      </w:r>
      <w:r>
        <w:rPr>
          <w:rFonts w:ascii="Calibri" w:hAnsi="Calibri" w:cs="Calibri" w:eastAsia="Calibri" w:hint="default"/>
          <w:spacing w:val="-5"/>
        </w:rPr>
        <w:t> </w:t>
      </w:r>
      <w:r>
        <w:rPr>
          <w:rFonts w:ascii="Calibri" w:hAnsi="Calibri" w:cs="Calibri" w:eastAsia="Calibri" w:hint="default"/>
        </w:rPr>
        <w:t>appropriate</w:t>
      </w:r>
      <w:r>
        <w:rPr>
          <w:rFonts w:ascii="Calibri" w:hAnsi="Calibri" w:cs="Calibri" w:eastAsia="Calibri" w:hint="default"/>
          <w:spacing w:val="-6"/>
        </w:rPr>
        <w:t> </w:t>
      </w:r>
      <w:r>
        <w:rPr>
          <w:rFonts w:ascii="Calibri" w:hAnsi="Calibri" w:cs="Calibri" w:eastAsia="Calibri" w:hint="default"/>
        </w:rPr>
        <w:t>tagline</w:t>
      </w:r>
      <w:r>
        <w:rPr>
          <w:rFonts w:ascii="Calibri" w:hAnsi="Calibri" w:cs="Calibri" w:eastAsia="Calibri" w:hint="default"/>
          <w:spacing w:val="-4"/>
        </w:rPr>
        <w:t> </w:t>
      </w:r>
      <w:r>
        <w:rPr>
          <w:rFonts w:ascii="Calibri" w:hAnsi="Calibri" w:cs="Calibri" w:eastAsia="Calibri" w:hint="default"/>
        </w:rPr>
        <w:t>for</w:t>
      </w:r>
      <w:r>
        <w:rPr>
          <w:rFonts w:ascii="Calibri" w:hAnsi="Calibri" w:cs="Calibri" w:eastAsia="Calibri" w:hint="default"/>
          <w:spacing w:val="2"/>
        </w:rPr>
        <w:t> </w:t>
      </w:r>
      <w:r>
        <w:rPr/>
        <w:t>Curaçao</w:t>
      </w:r>
      <w:r>
        <w:rPr>
          <w:spacing w:val="-3"/>
        </w:rPr>
        <w:t> </w:t>
      </w:r>
      <w:r>
        <w:rPr/>
        <w:t>in</w:t>
      </w:r>
      <w:r>
        <w:rPr>
          <w:spacing w:val="-3"/>
        </w:rPr>
        <w:t> </w:t>
      </w:r>
      <w:r>
        <w:rPr/>
        <w:t>that</w:t>
      </w:r>
      <w:r>
        <w:rPr>
          <w:spacing w:val="-4"/>
        </w:rPr>
        <w:t> </w:t>
      </w:r>
      <w:r>
        <w:rPr/>
        <w:t>it</w:t>
      </w:r>
      <w:r>
        <w:rPr>
          <w:spacing w:val="-5"/>
        </w:rPr>
        <w:t> </w:t>
      </w:r>
      <w:r>
        <w:rPr/>
        <w:t>captures</w:t>
      </w:r>
      <w:r>
        <w:rPr>
          <w:spacing w:val="-5"/>
        </w:rPr>
        <w:t> </w:t>
      </w:r>
      <w:r>
        <w:rPr/>
        <w:t>many</w:t>
      </w:r>
      <w:r>
        <w:rPr>
          <w:spacing w:val="-3"/>
        </w:rPr>
        <w:t> </w:t>
      </w:r>
      <w:r>
        <w:rPr/>
        <w:t>elements</w:t>
      </w:r>
      <w:r>
        <w:rPr>
          <w:spacing w:val="-2"/>
        </w:rPr>
        <w:t> </w:t>
      </w:r>
      <w:r>
        <w:rPr/>
        <w:t>that </w:t>
      </w:r>
      <w:r>
        <w:rPr/>
        <w:t>the American tourist looks to consume while on vacation.</w:t>
      </w:r>
      <w:r>
        <w:rPr>
          <w:position w:val="5"/>
          <w:sz w:val="12"/>
          <w:szCs w:val="12"/>
        </w:rPr>
        <w:t>63 </w:t>
      </w:r>
      <w:r>
        <w:rPr/>
        <w:t>T</w:t>
      </w:r>
      <w:r>
        <w:rPr>
          <w:rFonts w:ascii="Calibri" w:hAnsi="Calibri" w:cs="Calibri" w:eastAsia="Calibri" w:hint="default"/>
        </w:rPr>
        <w:t>he “Caribbean” </w:t>
      </w:r>
      <w:r>
        <w:rPr/>
        <w:t>component of the tagline represents </w:t>
      </w:r>
      <w:r>
        <w:rPr>
          <w:rFonts w:ascii="Calibri" w:hAnsi="Calibri" w:cs="Calibri" w:eastAsia="Calibri" w:hint="default"/>
        </w:rPr>
        <w:t>the “sun, sand, and sea” that is </w:t>
      </w:r>
      <w:r>
        <w:rPr/>
        <w:t>preset and desired </w:t>
      </w:r>
      <w:r>
        <w:rPr>
          <w:rFonts w:ascii="Calibri" w:hAnsi="Calibri" w:cs="Calibri" w:eastAsia="Calibri" w:hint="default"/>
        </w:rPr>
        <w:t>in the American consumer mind. The “Dutch” </w:t>
      </w:r>
      <w:r>
        <w:rPr/>
        <w:t>component of the tagline represents the stability, safety, and organization that is appealing to American tourists. And, </w:t>
      </w:r>
      <w:r>
        <w:rPr>
          <w:rFonts w:ascii="Calibri" w:hAnsi="Calibri" w:cs="Calibri" w:eastAsia="Calibri" w:hint="default"/>
        </w:rPr>
        <w:t>the “different” </w:t>
      </w:r>
      <w:r>
        <w:rPr/>
        <w:t>component in the tagline represents the emergence of a new destination that possesses the eclectic culture and charm that is unique to</w:t>
      </w:r>
      <w:r>
        <w:rPr>
          <w:spacing w:val="-10"/>
        </w:rPr>
        <w:t> </w:t>
      </w:r>
      <w:r>
        <w:rPr/>
        <w:t>Curaçao.</w:t>
      </w:r>
    </w:p>
    <w:p>
      <w:pPr>
        <w:spacing w:line="240" w:lineRule="auto" w:before="1"/>
        <w:ind w:right="0"/>
        <w:rPr>
          <w:rFonts w:ascii="Calibri" w:hAnsi="Calibri" w:cs="Calibri" w:eastAsia="Calibri" w:hint="default"/>
          <w:sz w:val="20"/>
          <w:szCs w:val="20"/>
        </w:rPr>
      </w:pPr>
    </w:p>
    <w:p>
      <w:pPr>
        <w:pStyle w:val="BodyText"/>
        <w:spacing w:line="240" w:lineRule="auto"/>
        <w:ind w:right="1432"/>
        <w:jc w:val="both"/>
      </w:pPr>
      <w:r>
        <w:rPr/>
        <w:t>The</w:t>
      </w:r>
      <w:r>
        <w:rPr>
          <w:spacing w:val="-5"/>
        </w:rPr>
        <w:t> </w:t>
      </w:r>
      <w:r>
        <w:rPr/>
        <w:t>plan</w:t>
      </w:r>
      <w:r>
        <w:rPr>
          <w:spacing w:val="-3"/>
        </w:rPr>
        <w:t> </w:t>
      </w:r>
      <w:r>
        <w:rPr/>
        <w:t>therefore</w:t>
      </w:r>
      <w:r>
        <w:rPr>
          <w:spacing w:val="-3"/>
        </w:rPr>
        <w:t> </w:t>
      </w:r>
      <w:r>
        <w:rPr/>
        <w:t>suggests</w:t>
      </w:r>
      <w:r>
        <w:rPr>
          <w:spacing w:val="-5"/>
        </w:rPr>
        <w:t> </w:t>
      </w:r>
      <w:r>
        <w:rPr/>
        <w:t>that</w:t>
      </w:r>
      <w:r>
        <w:rPr>
          <w:spacing w:val="-4"/>
        </w:rPr>
        <w:t> </w:t>
      </w:r>
      <w:r>
        <w:rPr/>
        <w:t>the</w:t>
      </w:r>
      <w:r>
        <w:rPr>
          <w:spacing w:val="-5"/>
        </w:rPr>
        <w:t> </w:t>
      </w:r>
      <w:r>
        <w:rPr/>
        <w:t>region</w:t>
      </w:r>
      <w:r>
        <w:rPr>
          <w:spacing w:val="-2"/>
        </w:rPr>
        <w:t> </w:t>
      </w:r>
      <w:r>
        <w:rPr/>
        <w:t>where</w:t>
      </w:r>
      <w:r>
        <w:rPr>
          <w:spacing w:val="1"/>
        </w:rPr>
        <w:t> </w:t>
      </w:r>
      <w:r>
        <w:rPr/>
        <w:t>Curaçao</w:t>
      </w:r>
      <w:r>
        <w:rPr>
          <w:spacing w:val="-1"/>
        </w:rPr>
        <w:t> </w:t>
      </w:r>
      <w:r>
        <w:rPr/>
        <w:t>has</w:t>
      </w:r>
      <w:r>
        <w:rPr>
          <w:spacing w:val="-5"/>
        </w:rPr>
        <w:t> </w:t>
      </w:r>
      <w:r>
        <w:rPr/>
        <w:t>its</w:t>
      </w:r>
      <w:r>
        <w:rPr>
          <w:spacing w:val="-5"/>
        </w:rPr>
        <w:t> </w:t>
      </w:r>
      <w:r>
        <w:rPr/>
        <w:t>best</w:t>
      </w:r>
      <w:r>
        <w:rPr>
          <w:spacing w:val="-2"/>
        </w:rPr>
        <w:t> </w:t>
      </w:r>
      <w:r>
        <w:rPr/>
        <w:t>chances</w:t>
      </w:r>
      <w:r>
        <w:rPr>
          <w:spacing w:val="-3"/>
        </w:rPr>
        <w:t> </w:t>
      </w:r>
      <w:r>
        <w:rPr/>
        <w:t>to</w:t>
      </w:r>
      <w:r>
        <w:rPr>
          <w:spacing w:val="-4"/>
        </w:rPr>
        <w:t> </w:t>
      </w:r>
      <w:r>
        <w:rPr/>
        <w:t>attract</w:t>
      </w:r>
      <w:r>
        <w:rPr>
          <w:spacing w:val="-2"/>
        </w:rPr>
        <w:t> </w:t>
      </w:r>
      <w:r>
        <w:rPr/>
        <w:t>more</w:t>
      </w:r>
      <w:r>
        <w:rPr>
          <w:spacing w:val="-3"/>
        </w:rPr>
        <w:t> </w:t>
      </w:r>
      <w:r>
        <w:rPr/>
        <w:t>American</w:t>
      </w:r>
      <w:r>
        <w:rPr>
          <w:spacing w:val="-4"/>
        </w:rPr>
        <w:t> </w:t>
      </w:r>
      <w:r>
        <w:rPr/>
        <w:t>tourists</w:t>
      </w:r>
      <w:r>
        <w:rPr>
          <w:spacing w:val="-1"/>
        </w:rPr>
        <w:t> </w:t>
      </w:r>
      <w:r>
        <w:rPr/>
        <w:t>is </w:t>
      </w:r>
      <w:r>
        <w:rPr/>
        <w:t>the Middle Atlantic States. If this suggestion holds, airlift should be increased from JFK gateway with JetBlue from two weekly flights to daily</w:t>
      </w:r>
      <w:r>
        <w:rPr>
          <w:spacing w:val="-10"/>
        </w:rPr>
        <w:t> </w:t>
      </w:r>
      <w:r>
        <w:rPr/>
        <w:t>flights.</w:t>
      </w:r>
    </w:p>
    <w:p>
      <w:pPr>
        <w:spacing w:line="240" w:lineRule="auto" w:before="2"/>
        <w:ind w:right="0"/>
        <w:rPr>
          <w:rFonts w:ascii="Calibri" w:hAnsi="Calibri" w:cs="Calibri" w:eastAsia="Calibri" w:hint="default"/>
          <w:sz w:val="20"/>
          <w:szCs w:val="20"/>
        </w:rPr>
      </w:pPr>
    </w:p>
    <w:p>
      <w:pPr>
        <w:pStyle w:val="BodyText"/>
        <w:spacing w:line="240" w:lineRule="auto"/>
        <w:ind w:right="1436"/>
        <w:jc w:val="both"/>
      </w:pPr>
      <w:r>
        <w:rPr/>
        <w:t>The second priority area (year 2) should be from the Midwest area suggesting Midway Chicago as the departure points with two weekly flights (Southwest is the suggested carrier). And, in year 3, three weekly flights departing from Houston (again Southwest seems the suggested</w:t>
      </w:r>
      <w:r>
        <w:rPr>
          <w:spacing w:val="-24"/>
        </w:rPr>
        <w:t> </w:t>
      </w:r>
      <w:r>
        <w:rPr/>
        <w:t>partner).</w:t>
      </w:r>
    </w:p>
    <w:p>
      <w:pPr>
        <w:spacing w:line="240" w:lineRule="auto" w:before="11"/>
        <w:ind w:right="0"/>
        <w:rPr>
          <w:rFonts w:ascii="Calibri" w:hAnsi="Calibri" w:cs="Calibri" w:eastAsia="Calibri" w:hint="default"/>
          <w:sz w:val="19"/>
          <w:szCs w:val="19"/>
        </w:rPr>
      </w:pPr>
    </w:p>
    <w:p>
      <w:pPr>
        <w:pStyle w:val="BodyText"/>
        <w:spacing w:line="240" w:lineRule="auto"/>
        <w:ind w:right="1438"/>
        <w:jc w:val="both"/>
      </w:pPr>
      <w:r>
        <w:rPr/>
        <w:t>Curaçao should engage in aggressive financial incentives to convince these carriers to consider flights to the destination. In to</w:t>
      </w:r>
      <w:r>
        <w:rPr>
          <w:rFonts w:ascii="Calibri" w:hAnsi="Calibri" w:cs="Calibri" w:eastAsia="Calibri" w:hint="default"/>
        </w:rPr>
        <w:t>day’s competitive environment, </w:t>
      </w:r>
      <w:r>
        <w:rPr/>
        <w:t>developing airlift capacity air service incentive programs has become</w:t>
      </w:r>
      <w:r>
        <w:rPr>
          <w:spacing w:val="-11"/>
        </w:rPr>
        <w:t> </w:t>
      </w:r>
      <w:r>
        <w:rPr/>
        <w:t>a</w:t>
      </w:r>
      <w:r>
        <w:rPr>
          <w:spacing w:val="-11"/>
        </w:rPr>
        <w:t> </w:t>
      </w:r>
      <w:r>
        <w:rPr/>
        <w:t>requirement</w:t>
      </w:r>
      <w:r>
        <w:rPr>
          <w:spacing w:val="-10"/>
        </w:rPr>
        <w:t> </w:t>
      </w:r>
      <w:r>
        <w:rPr/>
        <w:t>to</w:t>
      </w:r>
      <w:r>
        <w:rPr>
          <w:spacing w:val="-11"/>
        </w:rPr>
        <w:t> </w:t>
      </w:r>
      <w:r>
        <w:rPr/>
        <w:t>bolster</w:t>
      </w:r>
      <w:r>
        <w:rPr>
          <w:spacing w:val="-12"/>
        </w:rPr>
        <w:t> </w:t>
      </w:r>
      <w:r>
        <w:rPr/>
        <w:t>a</w:t>
      </w:r>
      <w:r>
        <w:rPr>
          <w:spacing w:val="-11"/>
        </w:rPr>
        <w:t> </w:t>
      </w:r>
      <w:r>
        <w:rPr/>
        <w:t>competitive</w:t>
      </w:r>
      <w:r>
        <w:rPr>
          <w:spacing w:val="-12"/>
        </w:rPr>
        <w:t> </w:t>
      </w:r>
      <w:r>
        <w:rPr/>
        <w:t>island</w:t>
      </w:r>
      <w:r>
        <w:rPr>
          <w:spacing w:val="-11"/>
        </w:rPr>
        <w:t> </w:t>
      </w:r>
      <w:r>
        <w:rPr/>
        <w:t>destination.</w:t>
      </w:r>
      <w:r>
        <w:rPr>
          <w:spacing w:val="23"/>
        </w:rPr>
        <w:t> </w:t>
      </w:r>
      <w:r>
        <w:rPr/>
        <w:t>It</w:t>
      </w:r>
      <w:r>
        <w:rPr>
          <w:spacing w:val="-11"/>
        </w:rPr>
        <w:t> </w:t>
      </w:r>
      <w:r>
        <w:rPr/>
        <w:t>is</w:t>
      </w:r>
      <w:r>
        <w:rPr>
          <w:spacing w:val="-13"/>
        </w:rPr>
        <w:t> </w:t>
      </w:r>
      <w:r>
        <w:rPr/>
        <w:t>therefore</w:t>
      </w:r>
      <w:r>
        <w:rPr>
          <w:spacing w:val="-12"/>
        </w:rPr>
        <w:t> </w:t>
      </w:r>
      <w:r>
        <w:rPr/>
        <w:t>crucial</w:t>
      </w:r>
      <w:r>
        <w:rPr>
          <w:spacing w:val="-10"/>
        </w:rPr>
        <w:t> </w:t>
      </w:r>
      <w:r>
        <w:rPr/>
        <w:t>to</w:t>
      </w:r>
      <w:r>
        <w:rPr>
          <w:spacing w:val="-9"/>
        </w:rPr>
        <w:t> </w:t>
      </w:r>
      <w:r>
        <w:rPr/>
        <w:t>create</w:t>
      </w:r>
      <w:r>
        <w:rPr>
          <w:spacing w:val="-12"/>
        </w:rPr>
        <w:t> </w:t>
      </w:r>
      <w:r>
        <w:rPr/>
        <w:t>a</w:t>
      </w:r>
      <w:r>
        <w:rPr>
          <w:spacing w:val="-11"/>
        </w:rPr>
        <w:t> </w:t>
      </w:r>
      <w:r>
        <w:rPr/>
        <w:t>permanent</w:t>
      </w:r>
      <w:r>
        <w:rPr>
          <w:spacing w:val="-11"/>
        </w:rPr>
        <w:t> </w:t>
      </w:r>
      <w:r>
        <w:rPr/>
        <w:t>airlift </w:t>
      </w:r>
      <w:r>
        <w:rPr/>
        <w:t>fund to support the air service incentive</w:t>
      </w:r>
      <w:r>
        <w:rPr>
          <w:spacing w:val="-20"/>
        </w:rPr>
        <w:t> </w:t>
      </w:r>
      <w:r>
        <w:rPr/>
        <w:t>program.</w:t>
      </w:r>
    </w:p>
    <w:p>
      <w:pPr>
        <w:pStyle w:val="Heading2"/>
        <w:spacing w:line="240" w:lineRule="auto" w:before="35"/>
        <w:ind w:right="0"/>
        <w:jc w:val="both"/>
        <w:rPr>
          <w:b w:val="0"/>
          <w:bCs w:val="0"/>
        </w:rPr>
      </w:pPr>
      <w:bookmarkStart w:name="_bookmark135" w:id="136"/>
      <w:bookmarkEnd w:id="136"/>
      <w:r>
        <w:rPr>
          <w:b w:val="0"/>
        </w:rPr>
      </w:r>
      <w:r>
        <w:rPr/>
        <w:t>Segmentation strategies conquering the American</w:t>
      </w:r>
      <w:r>
        <w:rPr>
          <w:spacing w:val="-19"/>
        </w:rPr>
        <w:t> </w:t>
      </w:r>
      <w:r>
        <w:rPr/>
        <w:t>market</w:t>
      </w:r>
      <w:r>
        <w:rPr>
          <w:b w:val="0"/>
        </w:rPr>
      </w:r>
    </w:p>
    <w:p>
      <w:pPr>
        <w:pStyle w:val="BodyText"/>
        <w:spacing w:line="240" w:lineRule="auto" w:before="191"/>
        <w:ind w:right="1439"/>
        <w:jc w:val="both"/>
      </w:pPr>
      <w:r>
        <w:rPr/>
        <w:t>Given</w:t>
      </w:r>
      <w:r>
        <w:rPr>
          <w:spacing w:val="-3"/>
        </w:rPr>
        <w:t> </w:t>
      </w:r>
      <w:r>
        <w:rPr/>
        <w:t>the</w:t>
      </w:r>
      <w:r>
        <w:rPr>
          <w:spacing w:val="-4"/>
        </w:rPr>
        <w:t> </w:t>
      </w:r>
      <w:r>
        <w:rPr/>
        <w:t>DPITS</w:t>
      </w:r>
      <w:r>
        <w:rPr>
          <w:spacing w:val="-4"/>
        </w:rPr>
        <w:t> </w:t>
      </w:r>
      <w:r>
        <w:rPr/>
        <w:t>suggestion</w:t>
      </w:r>
      <w:r>
        <w:rPr>
          <w:spacing w:val="-3"/>
        </w:rPr>
        <w:t> </w:t>
      </w:r>
      <w:r>
        <w:rPr/>
        <w:t>for Curaçao</w:t>
      </w:r>
      <w:r>
        <w:rPr>
          <w:spacing w:val="-2"/>
        </w:rPr>
        <w:t> </w:t>
      </w:r>
      <w:r>
        <w:rPr/>
        <w:t>to</w:t>
      </w:r>
      <w:r>
        <w:rPr>
          <w:spacing w:val="-3"/>
        </w:rPr>
        <w:t> </w:t>
      </w:r>
      <w:r>
        <w:rPr/>
        <w:t>refocus</w:t>
      </w:r>
      <w:r>
        <w:rPr>
          <w:spacing w:val="-5"/>
        </w:rPr>
        <w:t> </w:t>
      </w:r>
      <w:r>
        <w:rPr/>
        <w:t>its</w:t>
      </w:r>
      <w:r>
        <w:rPr>
          <w:spacing w:val="-5"/>
        </w:rPr>
        <w:t> </w:t>
      </w:r>
      <w:r>
        <w:rPr/>
        <w:t>attention</w:t>
      </w:r>
      <w:r>
        <w:rPr>
          <w:spacing w:val="-3"/>
        </w:rPr>
        <w:t> </w:t>
      </w:r>
      <w:r>
        <w:rPr/>
        <w:t>toward the</w:t>
      </w:r>
      <w:r>
        <w:rPr>
          <w:spacing w:val="-4"/>
        </w:rPr>
        <w:t> </w:t>
      </w:r>
      <w:r>
        <w:rPr/>
        <w:t>acquisition</w:t>
      </w:r>
      <w:r>
        <w:rPr>
          <w:spacing w:val="-3"/>
        </w:rPr>
        <w:t> </w:t>
      </w:r>
      <w:r>
        <w:rPr/>
        <w:t>of</w:t>
      </w:r>
      <w:r>
        <w:rPr>
          <w:spacing w:val="-5"/>
        </w:rPr>
        <w:t> </w:t>
      </w:r>
      <w:r>
        <w:rPr/>
        <w:t>the</w:t>
      </w:r>
      <w:r>
        <w:rPr>
          <w:spacing w:val="-4"/>
        </w:rPr>
        <w:t> </w:t>
      </w:r>
      <w:r>
        <w:rPr/>
        <w:t>American</w:t>
      </w:r>
      <w:r>
        <w:rPr>
          <w:spacing w:val="-3"/>
        </w:rPr>
        <w:t> </w:t>
      </w:r>
      <w:r>
        <w:rPr/>
        <w:t>market,</w:t>
      </w:r>
      <w:r>
        <w:rPr>
          <w:spacing w:val="-3"/>
        </w:rPr>
        <w:t> </w:t>
      </w:r>
      <w:r>
        <w:rPr/>
        <w:t>two </w:t>
      </w:r>
      <w:r>
        <w:rPr/>
        <w:t>primary tourist segments were selected from the segmentation evaluation (i.e. cluster analysis) for Curaçao to consider in the future construction of advertisement and</w:t>
      </w:r>
      <w:r>
        <w:rPr>
          <w:spacing w:val="-26"/>
        </w:rPr>
        <w:t> </w:t>
      </w:r>
      <w:r>
        <w:rPr/>
        <w:t>promotions.</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4" w:after="0"/>
        <w:ind w:right="0"/>
        <w:rPr>
          <w:rFonts w:ascii="Calibri" w:hAnsi="Calibri" w:cs="Calibri" w:eastAsia="Calibri" w:hint="default"/>
          <w:sz w:val="17"/>
          <w:szCs w:val="17"/>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before="89"/>
        <w:ind w:left="1440" w:right="0" w:firstLine="0"/>
        <w:jc w:val="left"/>
        <w:rPr>
          <w:rFonts w:ascii="Calibri" w:hAnsi="Calibri" w:cs="Calibri" w:eastAsia="Calibri" w:hint="default"/>
          <w:sz w:val="16"/>
          <w:szCs w:val="16"/>
        </w:rPr>
      </w:pPr>
      <w:r>
        <w:rPr>
          <w:rFonts w:ascii="Calibri"/>
          <w:position w:val="5"/>
          <w:sz w:val="12"/>
        </w:rPr>
        <w:t>63</w:t>
      </w:r>
      <w:r>
        <w:rPr>
          <w:rFonts w:ascii="Calibri"/>
          <w:spacing w:val="5"/>
          <w:position w:val="5"/>
          <w:sz w:val="12"/>
        </w:rPr>
        <w:t> </w:t>
      </w:r>
      <w:r>
        <w:rPr>
          <w:rFonts w:ascii="Calibri"/>
          <w:sz w:val="16"/>
        </w:rPr>
        <w:t>The</w:t>
      </w:r>
      <w:r>
        <w:rPr>
          <w:rFonts w:ascii="Calibri"/>
          <w:spacing w:val="-5"/>
          <w:sz w:val="16"/>
        </w:rPr>
        <w:t> </w:t>
      </w:r>
      <w:r>
        <w:rPr>
          <w:rFonts w:ascii="Calibri"/>
          <w:sz w:val="16"/>
        </w:rPr>
        <w:t>DPITS</w:t>
      </w:r>
      <w:r>
        <w:rPr>
          <w:rFonts w:ascii="Calibri"/>
          <w:spacing w:val="-3"/>
          <w:sz w:val="16"/>
        </w:rPr>
        <w:t> </w:t>
      </w:r>
      <w:r>
        <w:rPr>
          <w:rFonts w:ascii="Calibri"/>
          <w:sz w:val="16"/>
        </w:rPr>
        <w:t>suggests</w:t>
      </w:r>
      <w:r>
        <w:rPr>
          <w:rFonts w:ascii="Calibri"/>
          <w:spacing w:val="-4"/>
          <w:sz w:val="16"/>
        </w:rPr>
        <w:t> </w:t>
      </w:r>
      <w:r>
        <w:rPr>
          <w:rFonts w:ascii="Calibri"/>
          <w:sz w:val="16"/>
        </w:rPr>
        <w:t>to</w:t>
      </w:r>
      <w:r>
        <w:rPr>
          <w:rFonts w:ascii="Calibri"/>
          <w:spacing w:val="-4"/>
          <w:sz w:val="16"/>
        </w:rPr>
        <w:t> </w:t>
      </w:r>
      <w:r>
        <w:rPr>
          <w:rFonts w:ascii="Calibri"/>
          <w:sz w:val="16"/>
        </w:rPr>
        <w:t>test</w:t>
      </w:r>
      <w:r>
        <w:rPr>
          <w:rFonts w:ascii="Calibri"/>
          <w:spacing w:val="-3"/>
          <w:sz w:val="16"/>
        </w:rPr>
        <w:t> </w:t>
      </w:r>
      <w:r>
        <w:rPr>
          <w:rFonts w:ascii="Calibri"/>
          <w:sz w:val="16"/>
        </w:rPr>
        <w:t>this</w:t>
      </w:r>
      <w:r>
        <w:rPr>
          <w:rFonts w:ascii="Calibri"/>
          <w:spacing w:val="-2"/>
          <w:sz w:val="16"/>
        </w:rPr>
        <w:t> </w:t>
      </w:r>
      <w:r>
        <w:rPr>
          <w:rFonts w:ascii="Calibri"/>
          <w:sz w:val="16"/>
        </w:rPr>
        <w:t>tagline</w:t>
      </w:r>
      <w:r>
        <w:rPr>
          <w:rFonts w:ascii="Calibri"/>
          <w:spacing w:val="-4"/>
          <w:sz w:val="16"/>
        </w:rPr>
        <w:t> </w:t>
      </w:r>
      <w:r>
        <w:rPr>
          <w:rFonts w:ascii="Calibri"/>
          <w:sz w:val="16"/>
        </w:rPr>
        <w:t>through</w:t>
      </w:r>
      <w:r>
        <w:rPr>
          <w:rFonts w:ascii="Calibri"/>
          <w:spacing w:val="-4"/>
          <w:sz w:val="16"/>
        </w:rPr>
        <w:t> </w:t>
      </w:r>
      <w:r>
        <w:rPr>
          <w:rFonts w:ascii="Calibri"/>
          <w:sz w:val="16"/>
        </w:rPr>
        <w:t>focus</w:t>
      </w:r>
      <w:r>
        <w:rPr>
          <w:rFonts w:ascii="Calibri"/>
          <w:spacing w:val="-4"/>
          <w:sz w:val="16"/>
        </w:rPr>
        <w:t> </w:t>
      </w:r>
      <w:r>
        <w:rPr>
          <w:rFonts w:ascii="Calibri"/>
          <w:sz w:val="16"/>
        </w:rPr>
        <w:t>groups</w:t>
      </w:r>
      <w:r>
        <w:rPr>
          <w:rFonts w:ascii="Calibri"/>
          <w:spacing w:val="-4"/>
          <w:sz w:val="16"/>
        </w:rPr>
        <w:t> </w:t>
      </w:r>
      <w:r>
        <w:rPr>
          <w:rFonts w:ascii="Calibri"/>
          <w:sz w:val="16"/>
        </w:rPr>
        <w:t>and</w:t>
      </w:r>
      <w:r>
        <w:rPr>
          <w:rFonts w:ascii="Calibri"/>
          <w:spacing w:val="-2"/>
          <w:sz w:val="16"/>
        </w:rPr>
        <w:t> </w:t>
      </w:r>
      <w:r>
        <w:rPr>
          <w:rFonts w:ascii="Calibri"/>
          <w:sz w:val="16"/>
        </w:rPr>
        <w:t>other</w:t>
      </w:r>
      <w:r>
        <w:rPr>
          <w:rFonts w:ascii="Calibri"/>
          <w:spacing w:val="-2"/>
          <w:sz w:val="16"/>
        </w:rPr>
        <w:t> </w:t>
      </w:r>
      <w:r>
        <w:rPr>
          <w:rFonts w:ascii="Calibri"/>
          <w:sz w:val="16"/>
        </w:rPr>
        <w:t>instruments</w:t>
      </w:r>
      <w:r>
        <w:rPr>
          <w:rFonts w:ascii="Calibri"/>
          <w:spacing w:val="-4"/>
          <w:sz w:val="16"/>
        </w:rPr>
        <w:t> </w:t>
      </w:r>
      <w:r>
        <w:rPr>
          <w:rFonts w:ascii="Calibri"/>
          <w:sz w:val="16"/>
        </w:rPr>
        <w:t>to</w:t>
      </w:r>
      <w:r>
        <w:rPr>
          <w:rFonts w:ascii="Calibri"/>
          <w:spacing w:val="-4"/>
          <w:sz w:val="16"/>
        </w:rPr>
        <w:t> </w:t>
      </w:r>
      <w:r>
        <w:rPr>
          <w:rFonts w:ascii="Calibri"/>
          <w:sz w:val="16"/>
        </w:rPr>
        <w:t>validate</w:t>
      </w:r>
      <w:r>
        <w:rPr>
          <w:rFonts w:ascii="Calibri"/>
          <w:spacing w:val="-4"/>
          <w:sz w:val="16"/>
        </w:rPr>
        <w:t> </w:t>
      </w:r>
      <w:r>
        <w:rPr>
          <w:rFonts w:ascii="Calibri"/>
          <w:sz w:val="16"/>
        </w:rPr>
        <w:t>its</w:t>
      </w:r>
      <w:r>
        <w:rPr>
          <w:rFonts w:ascii="Calibri"/>
          <w:spacing w:val="-4"/>
          <w:sz w:val="16"/>
        </w:rPr>
        <w:t> </w:t>
      </w:r>
      <w:r>
        <w:rPr>
          <w:rFonts w:ascii="Calibri"/>
          <w:sz w:val="16"/>
        </w:rPr>
        <w:t>potential.</w:t>
      </w:r>
    </w:p>
    <w:p>
      <w:pPr>
        <w:spacing w:after="0"/>
        <w:jc w:val="left"/>
        <w:rPr>
          <w:rFonts w:ascii="Calibri" w:hAnsi="Calibri" w:cs="Calibri" w:eastAsia="Calibri" w:hint="default"/>
          <w:sz w:val="16"/>
          <w:szCs w:val="16"/>
        </w:rPr>
        <w:sectPr>
          <w:footerReference w:type="default" r:id="rId64"/>
          <w:pgSz w:w="12240" w:h="15840"/>
          <w:pgMar w:footer="533" w:header="0" w:top="840" w:bottom="720" w:left="0" w:right="0"/>
          <w:pgNumType w:start="71"/>
        </w:sectPr>
      </w:pP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24"/>
          <w:szCs w:val="24"/>
        </w:rPr>
      </w:pPr>
    </w:p>
    <w:p>
      <w:pPr>
        <w:pStyle w:val="Heading2"/>
        <w:spacing w:line="240" w:lineRule="auto"/>
        <w:ind w:right="0"/>
        <w:jc w:val="both"/>
        <w:rPr>
          <w:b w:val="0"/>
          <w:bCs w:val="0"/>
        </w:rPr>
      </w:pPr>
      <w:bookmarkStart w:name="_bookmark136" w:id="137"/>
      <w:bookmarkEnd w:id="137"/>
      <w:r>
        <w:rPr>
          <w:b w:val="0"/>
        </w:rPr>
      </w:r>
      <w:r>
        <w:rPr/>
        <w:t>Innovative American tourist</w:t>
      </w:r>
      <w:r>
        <w:rPr>
          <w:spacing w:val="-21"/>
        </w:rPr>
        <w:t> </w:t>
      </w:r>
      <w:r>
        <w:rPr/>
        <w:t>segment</w:t>
      </w:r>
      <w:r>
        <w:rPr>
          <w:b w:val="0"/>
        </w:rPr>
      </w:r>
    </w:p>
    <w:p>
      <w:pPr>
        <w:pStyle w:val="Heading3"/>
        <w:spacing w:line="341" w:lineRule="exact" w:before="192"/>
        <w:ind w:right="0"/>
        <w:jc w:val="both"/>
        <w:rPr>
          <w:i w:val="0"/>
        </w:rPr>
      </w:pPr>
      <w:bookmarkStart w:name="_bookmark137" w:id="138"/>
      <w:bookmarkEnd w:id="138"/>
      <w:r>
        <w:rPr>
          <w:i w:val="0"/>
        </w:rPr>
      </w:r>
      <w:r>
        <w:rPr>
          <w:i/>
        </w:rPr>
        <w:t>Demographic and geographic</w:t>
      </w:r>
      <w:r>
        <w:rPr>
          <w:i/>
          <w:spacing w:val="-21"/>
        </w:rPr>
        <w:t> </w:t>
      </w:r>
      <w:r>
        <w:rPr>
          <w:i/>
        </w:rPr>
        <w:t>traits</w:t>
      </w:r>
      <w:r>
        <w:rPr>
          <w:i w:val="0"/>
        </w:rPr>
      </w:r>
    </w:p>
    <w:p>
      <w:pPr>
        <w:pStyle w:val="BodyText"/>
        <w:spacing w:line="240" w:lineRule="auto"/>
        <w:ind w:right="1440"/>
        <w:jc w:val="both"/>
      </w:pPr>
      <w:r>
        <w:rPr/>
        <w:t>The innovative American tourist segment is comprised of 55% males who are close to 50 years old and are married with children. A large portion of the segment (44%) possesses a college degree and 100% of the segment makes over US$75,000 on an annual basis. Nearly half of the tourists in this segment are from the USA (43%) with 27% from Canada, 19% from the Netherlands, and 11% being fro</w:t>
      </w:r>
      <w:r>
        <w:rPr>
          <w:rFonts w:ascii="Calibri" w:hAnsi="Calibri" w:cs="Calibri" w:eastAsia="Calibri" w:hint="default"/>
        </w:rPr>
        <w:t>m “other.” This means that 70% of this segment arrive </w:t>
      </w:r>
      <w:r>
        <w:rPr/>
        <w:t>to Curaçao from North</w:t>
      </w:r>
      <w:r>
        <w:rPr>
          <w:spacing w:val="-11"/>
        </w:rPr>
        <w:t> </w:t>
      </w:r>
      <w:r>
        <w:rPr/>
        <w:t>America.</w:t>
      </w:r>
    </w:p>
    <w:p>
      <w:pPr>
        <w:spacing w:line="240" w:lineRule="auto" w:before="1"/>
        <w:ind w:right="0"/>
        <w:rPr>
          <w:rFonts w:ascii="Calibri" w:hAnsi="Calibri" w:cs="Calibri" w:eastAsia="Calibri" w:hint="default"/>
          <w:sz w:val="20"/>
          <w:szCs w:val="20"/>
        </w:rPr>
      </w:pPr>
    </w:p>
    <w:p>
      <w:pPr>
        <w:pStyle w:val="BodyText"/>
        <w:spacing w:line="240" w:lineRule="auto"/>
        <w:ind w:right="1436"/>
        <w:jc w:val="both"/>
      </w:pPr>
      <w:r>
        <w:rPr/>
        <w:t>More than half of the members in this market segment have previously been to Curaçao (54%), have an average length of stay of 7.59 nights, and an average trip expenditure of $1, 038.80. The majority of these tourists booked their</w:t>
      </w:r>
      <w:r>
        <w:rPr>
          <w:spacing w:val="-9"/>
        </w:rPr>
        <w:t> </w:t>
      </w:r>
      <w:r>
        <w:rPr/>
        <w:t>travel</w:t>
      </w:r>
      <w:r>
        <w:rPr>
          <w:spacing w:val="-7"/>
        </w:rPr>
        <w:t> </w:t>
      </w:r>
      <w:r>
        <w:rPr/>
        <w:t>(i.e.</w:t>
      </w:r>
      <w:r>
        <w:rPr>
          <w:spacing w:val="-9"/>
        </w:rPr>
        <w:t> </w:t>
      </w:r>
      <w:r>
        <w:rPr/>
        <w:t>airline</w:t>
      </w:r>
      <w:r>
        <w:rPr>
          <w:spacing w:val="-10"/>
        </w:rPr>
        <w:t> </w:t>
      </w:r>
      <w:r>
        <w:rPr/>
        <w:t>ticket</w:t>
      </w:r>
      <w:r>
        <w:rPr>
          <w:spacing w:val="-9"/>
        </w:rPr>
        <w:t> </w:t>
      </w:r>
      <w:r>
        <w:rPr/>
        <w:t>and</w:t>
      </w:r>
      <w:r>
        <w:rPr>
          <w:spacing w:val="-9"/>
        </w:rPr>
        <w:t> </w:t>
      </w:r>
      <w:r>
        <w:rPr/>
        <w:t>lodging)</w:t>
      </w:r>
      <w:r>
        <w:rPr>
          <w:spacing w:val="-10"/>
        </w:rPr>
        <w:t> </w:t>
      </w:r>
      <w:r>
        <w:rPr/>
        <w:t>through</w:t>
      </w:r>
      <w:r>
        <w:rPr>
          <w:spacing w:val="-9"/>
        </w:rPr>
        <w:t> </w:t>
      </w:r>
      <w:r>
        <w:rPr/>
        <w:t>a</w:t>
      </w:r>
      <w:r>
        <w:rPr>
          <w:spacing w:val="-9"/>
        </w:rPr>
        <w:t> </w:t>
      </w:r>
      <w:r>
        <w:rPr/>
        <w:t>travel</w:t>
      </w:r>
      <w:r>
        <w:rPr>
          <w:spacing w:val="-9"/>
        </w:rPr>
        <w:t> </w:t>
      </w:r>
      <w:r>
        <w:rPr/>
        <w:t>agent</w:t>
      </w:r>
      <w:r>
        <w:rPr>
          <w:spacing w:val="-9"/>
        </w:rPr>
        <w:t> </w:t>
      </w:r>
      <w:r>
        <w:rPr/>
        <w:t>(46%)</w:t>
      </w:r>
      <w:r>
        <w:rPr>
          <w:spacing w:val="-10"/>
        </w:rPr>
        <w:t> </w:t>
      </w:r>
      <w:r>
        <w:rPr/>
        <w:t>and</w:t>
      </w:r>
      <w:r>
        <w:rPr>
          <w:spacing w:val="-9"/>
        </w:rPr>
        <w:t> </w:t>
      </w:r>
      <w:r>
        <w:rPr/>
        <w:t>25%</w:t>
      </w:r>
      <w:r>
        <w:rPr>
          <w:spacing w:val="-10"/>
        </w:rPr>
        <w:t> </w:t>
      </w:r>
      <w:r>
        <w:rPr/>
        <w:t>of</w:t>
      </w:r>
      <w:r>
        <w:rPr>
          <w:spacing w:val="-10"/>
        </w:rPr>
        <w:t> </w:t>
      </w:r>
      <w:r>
        <w:rPr/>
        <w:t>this</w:t>
      </w:r>
      <w:r>
        <w:rPr>
          <w:spacing w:val="-8"/>
        </w:rPr>
        <w:t> </w:t>
      </w:r>
      <w:r>
        <w:rPr/>
        <w:t>market</w:t>
      </w:r>
      <w:r>
        <w:rPr>
          <w:spacing w:val="-9"/>
        </w:rPr>
        <w:t> </w:t>
      </w:r>
      <w:r>
        <w:rPr/>
        <w:t>segment</w:t>
      </w:r>
      <w:r>
        <w:rPr>
          <w:spacing w:val="-9"/>
        </w:rPr>
        <w:t> </w:t>
      </w:r>
      <w:r>
        <w:rPr/>
        <w:t>booked</w:t>
      </w:r>
      <w:r>
        <w:rPr>
          <w:spacing w:val="-9"/>
        </w:rPr>
        <w:t> </w:t>
      </w:r>
      <w:r>
        <w:rPr/>
        <w:t>their </w:t>
      </w:r>
      <w:r>
        <w:rPr/>
        <w:t>travel via the</w:t>
      </w:r>
      <w:r>
        <w:rPr>
          <w:spacing w:val="-9"/>
        </w:rPr>
        <w:t> </w:t>
      </w:r>
      <w:r>
        <w:rPr/>
        <w:t>Internet.</w:t>
      </w:r>
    </w:p>
    <w:p>
      <w:pPr>
        <w:spacing w:line="240" w:lineRule="auto" w:before="12"/>
        <w:ind w:right="0"/>
        <w:rPr>
          <w:rFonts w:ascii="Calibri" w:hAnsi="Calibri" w:cs="Calibri" w:eastAsia="Calibri" w:hint="default"/>
          <w:sz w:val="19"/>
          <w:szCs w:val="19"/>
        </w:rPr>
      </w:pPr>
    </w:p>
    <w:p>
      <w:pPr>
        <w:pStyle w:val="BodyText"/>
        <w:spacing w:line="240" w:lineRule="auto"/>
        <w:ind w:right="1436"/>
        <w:jc w:val="both"/>
      </w:pPr>
      <w:r>
        <w:rPr/>
        <w:t>On</w:t>
      </w:r>
      <w:r>
        <w:rPr>
          <w:spacing w:val="-6"/>
        </w:rPr>
        <w:t> </w:t>
      </w:r>
      <w:r>
        <w:rPr/>
        <w:t>a</w:t>
      </w:r>
      <w:r>
        <w:rPr>
          <w:spacing w:val="-6"/>
        </w:rPr>
        <w:t> </w:t>
      </w:r>
      <w:r>
        <w:rPr/>
        <w:t>Likert</w:t>
      </w:r>
      <w:r>
        <w:rPr>
          <w:spacing w:val="-6"/>
        </w:rPr>
        <w:t> </w:t>
      </w:r>
      <w:r>
        <w:rPr/>
        <w:t>scale</w:t>
      </w:r>
      <w:r>
        <w:rPr>
          <w:spacing w:val="-7"/>
        </w:rPr>
        <w:t> </w:t>
      </w:r>
      <w:r>
        <w:rPr/>
        <w:t>of</w:t>
      </w:r>
      <w:r>
        <w:rPr>
          <w:spacing w:val="-8"/>
        </w:rPr>
        <w:t> </w:t>
      </w:r>
      <w:r>
        <w:rPr/>
        <w:t>1-6,</w:t>
      </w:r>
      <w:r>
        <w:rPr>
          <w:spacing w:val="-6"/>
        </w:rPr>
        <w:t> </w:t>
      </w:r>
      <w:r>
        <w:rPr/>
        <w:t>the</w:t>
      </w:r>
      <w:r>
        <w:rPr>
          <w:spacing w:val="-8"/>
        </w:rPr>
        <w:t> </w:t>
      </w:r>
      <w:r>
        <w:rPr/>
        <w:t>segment</w:t>
      </w:r>
      <w:r>
        <w:rPr>
          <w:spacing w:val="-6"/>
        </w:rPr>
        <w:t> </w:t>
      </w:r>
      <w:r>
        <w:rPr/>
        <w:t>possesses</w:t>
      </w:r>
      <w:r>
        <w:rPr>
          <w:spacing w:val="-8"/>
        </w:rPr>
        <w:t> </w:t>
      </w:r>
      <w:r>
        <w:rPr/>
        <w:t>a</w:t>
      </w:r>
      <w:r>
        <w:rPr>
          <w:spacing w:val="-4"/>
        </w:rPr>
        <w:t> </w:t>
      </w:r>
      <w:r>
        <w:rPr/>
        <w:t>mean</w:t>
      </w:r>
      <w:r>
        <w:rPr>
          <w:spacing w:val="-6"/>
        </w:rPr>
        <w:t> </w:t>
      </w:r>
      <w:r>
        <w:rPr/>
        <w:t>satisfaction</w:t>
      </w:r>
      <w:r>
        <w:rPr>
          <w:spacing w:val="-6"/>
        </w:rPr>
        <w:t> </w:t>
      </w:r>
      <w:r>
        <w:rPr/>
        <w:t>score</w:t>
      </w:r>
      <w:r>
        <w:rPr>
          <w:spacing w:val="-7"/>
        </w:rPr>
        <w:t> </w:t>
      </w:r>
      <w:r>
        <w:rPr/>
        <w:t>of</w:t>
      </w:r>
      <w:r>
        <w:rPr>
          <w:spacing w:val="-8"/>
        </w:rPr>
        <w:t> </w:t>
      </w:r>
      <w:r>
        <w:rPr/>
        <w:t>4.75.</w:t>
      </w:r>
      <w:r>
        <w:rPr>
          <w:spacing w:val="31"/>
        </w:rPr>
        <w:t> </w:t>
      </w:r>
      <w:r>
        <w:rPr/>
        <w:t>This</w:t>
      </w:r>
      <w:r>
        <w:rPr>
          <w:spacing w:val="-8"/>
        </w:rPr>
        <w:t> </w:t>
      </w:r>
      <w:r>
        <w:rPr/>
        <w:t>means</w:t>
      </w:r>
      <w:r>
        <w:rPr>
          <w:spacing w:val="-8"/>
        </w:rPr>
        <w:t> </w:t>
      </w:r>
      <w:r>
        <w:rPr/>
        <w:t>that</w:t>
      </w:r>
      <w:r>
        <w:rPr>
          <w:spacing w:val="-6"/>
        </w:rPr>
        <w:t> </w:t>
      </w:r>
      <w:r>
        <w:rPr/>
        <w:t>the</w:t>
      </w:r>
      <w:r>
        <w:rPr>
          <w:spacing w:val="-8"/>
        </w:rPr>
        <w:t> </w:t>
      </w:r>
      <w:r>
        <w:rPr/>
        <w:t>tourists</w:t>
      </w:r>
      <w:r>
        <w:rPr>
          <w:spacing w:val="-7"/>
        </w:rPr>
        <w:t> </w:t>
      </w:r>
      <w:r>
        <w:rPr/>
        <w:t>in</w:t>
      </w:r>
      <w:r>
        <w:rPr>
          <w:spacing w:val="-6"/>
        </w:rPr>
        <w:t> </w:t>
      </w:r>
      <w:r>
        <w:rPr/>
        <w:t>this </w:t>
      </w:r>
      <w:r>
        <w:rPr/>
        <w:t>segment are highly satisfied with </w:t>
      </w:r>
      <w:r>
        <w:rPr>
          <w:rFonts w:ascii="Calibri" w:hAnsi="Calibri" w:cs="Calibri" w:eastAsia="Calibri" w:hint="default"/>
        </w:rPr>
        <w:t>Curaçao’s </w:t>
      </w:r>
      <w:r>
        <w:rPr/>
        <w:t>overall tourism product. These tourists also perceive the quality of </w:t>
      </w:r>
      <w:r>
        <w:rPr>
          <w:rFonts w:ascii="Calibri" w:hAnsi="Calibri" w:cs="Calibri" w:eastAsia="Calibri" w:hint="default"/>
        </w:rPr>
        <w:t>Curaçao’s </w:t>
      </w:r>
      <w:r>
        <w:rPr/>
        <w:t>tourism product as high with a mean score of 4.44 and perceive the value (i.e. price and quality) as also high with a mean score of 4.28. The major reason tourists in this segment chose to travel to Curaçao was primarily for the sun and beach (76%). It is appropriate to assume, given the high satisfaction, quality, and value scores for Curaçao</w:t>
      </w:r>
      <w:r>
        <w:rPr>
          <w:rFonts w:ascii="Calibri" w:hAnsi="Calibri" w:cs="Calibri" w:eastAsia="Calibri" w:hint="default"/>
        </w:rPr>
        <w:t>’s overall tourism product and the tourists’ major reason for travel</w:t>
      </w:r>
      <w:r>
        <w:rPr/>
        <w:t>, that this segment is satisfied with the traditional Caribbean product </w:t>
      </w:r>
      <w:r>
        <w:rPr>
          <w:rFonts w:ascii="Calibri" w:hAnsi="Calibri" w:cs="Calibri" w:eastAsia="Calibri" w:hint="default"/>
        </w:rPr>
        <w:t>– </w:t>
      </w:r>
      <w:r>
        <w:rPr/>
        <w:t>sun, sand, and sea amenities found</w:t>
      </w:r>
      <w:r>
        <w:rPr>
          <w:spacing w:val="-31"/>
        </w:rPr>
        <w:t> </w:t>
      </w:r>
      <w:r>
        <w:rPr/>
        <w:t>in Curaçao.</w:t>
      </w:r>
    </w:p>
    <w:p>
      <w:pPr>
        <w:spacing w:line="240" w:lineRule="auto" w:before="11"/>
        <w:ind w:right="0"/>
        <w:rPr>
          <w:rFonts w:ascii="Calibri" w:hAnsi="Calibri" w:cs="Calibri" w:eastAsia="Calibri" w:hint="default"/>
          <w:sz w:val="19"/>
          <w:szCs w:val="19"/>
        </w:rPr>
      </w:pPr>
    </w:p>
    <w:p>
      <w:pPr>
        <w:pStyle w:val="BodyText"/>
        <w:spacing w:line="240" w:lineRule="auto"/>
        <w:ind w:right="1440"/>
        <w:jc w:val="both"/>
      </w:pPr>
      <w:r>
        <w:rPr/>
        <w:t>It</w:t>
      </w:r>
      <w:r>
        <w:rPr>
          <w:spacing w:val="-4"/>
        </w:rPr>
        <w:t> </w:t>
      </w:r>
      <w:r>
        <w:rPr/>
        <w:t>is</w:t>
      </w:r>
      <w:r>
        <w:rPr>
          <w:spacing w:val="-6"/>
        </w:rPr>
        <w:t> </w:t>
      </w:r>
      <w:r>
        <w:rPr/>
        <w:t>important</w:t>
      </w:r>
      <w:r>
        <w:rPr>
          <w:spacing w:val="-4"/>
        </w:rPr>
        <w:t> </w:t>
      </w:r>
      <w:r>
        <w:rPr/>
        <w:t>to</w:t>
      </w:r>
      <w:r>
        <w:rPr>
          <w:spacing w:val="-4"/>
        </w:rPr>
        <w:t> </w:t>
      </w:r>
      <w:r>
        <w:rPr/>
        <w:t>note,</w:t>
      </w:r>
      <w:r>
        <w:rPr>
          <w:spacing w:val="-4"/>
        </w:rPr>
        <w:t> </w:t>
      </w:r>
      <w:r>
        <w:rPr/>
        <w:t>that</w:t>
      </w:r>
      <w:r>
        <w:rPr>
          <w:spacing w:val="-1"/>
        </w:rPr>
        <w:t> </w:t>
      </w:r>
      <w:r>
        <w:rPr/>
        <w:t>nearly</w:t>
      </w:r>
      <w:r>
        <w:rPr>
          <w:spacing w:val="-4"/>
        </w:rPr>
        <w:t> </w:t>
      </w:r>
      <w:r>
        <w:rPr/>
        <w:t>100%</w:t>
      </w:r>
      <w:r>
        <w:rPr>
          <w:spacing w:val="-5"/>
        </w:rPr>
        <w:t> </w:t>
      </w:r>
      <w:r>
        <w:rPr/>
        <w:t>of</w:t>
      </w:r>
      <w:r>
        <w:rPr>
          <w:spacing w:val="-5"/>
        </w:rPr>
        <w:t> </w:t>
      </w:r>
      <w:r>
        <w:rPr/>
        <w:t>the</w:t>
      </w:r>
      <w:r>
        <w:rPr>
          <w:spacing w:val="-5"/>
        </w:rPr>
        <w:t> </w:t>
      </w:r>
      <w:r>
        <w:rPr/>
        <w:t>tourists</w:t>
      </w:r>
      <w:r>
        <w:rPr>
          <w:spacing w:val="-3"/>
        </w:rPr>
        <w:t> </w:t>
      </w:r>
      <w:r>
        <w:rPr/>
        <w:t>in</w:t>
      </w:r>
      <w:r>
        <w:rPr>
          <w:spacing w:val="-4"/>
        </w:rPr>
        <w:t> </w:t>
      </w:r>
      <w:r>
        <w:rPr/>
        <w:t>this</w:t>
      </w:r>
      <w:r>
        <w:rPr>
          <w:spacing w:val="-6"/>
        </w:rPr>
        <w:t> </w:t>
      </w:r>
      <w:r>
        <w:rPr/>
        <w:t>market</w:t>
      </w:r>
      <w:r>
        <w:rPr>
          <w:spacing w:val="-2"/>
        </w:rPr>
        <w:t> </w:t>
      </w:r>
      <w:r>
        <w:rPr/>
        <w:t>segment</w:t>
      </w:r>
      <w:r>
        <w:rPr>
          <w:spacing w:val="-4"/>
        </w:rPr>
        <w:t> </w:t>
      </w:r>
      <w:r>
        <w:rPr/>
        <w:t>prefer</w:t>
      </w:r>
      <w:r>
        <w:rPr>
          <w:spacing w:val="-4"/>
        </w:rPr>
        <w:t> </w:t>
      </w:r>
      <w:r>
        <w:rPr/>
        <w:t>to</w:t>
      </w:r>
      <w:r>
        <w:rPr>
          <w:spacing w:val="-2"/>
        </w:rPr>
        <w:t> </w:t>
      </w:r>
      <w:r>
        <w:rPr/>
        <w:t>stay</w:t>
      </w:r>
      <w:r>
        <w:rPr>
          <w:spacing w:val="-3"/>
        </w:rPr>
        <w:t> </w:t>
      </w:r>
      <w:r>
        <w:rPr/>
        <w:t>in</w:t>
      </w:r>
      <w:r>
        <w:rPr>
          <w:spacing w:val="-4"/>
        </w:rPr>
        <w:t> </w:t>
      </w:r>
      <w:r>
        <w:rPr/>
        <w:t>a</w:t>
      </w:r>
      <w:r>
        <w:rPr>
          <w:spacing w:val="-4"/>
        </w:rPr>
        <w:t> </w:t>
      </w:r>
      <w:r>
        <w:rPr/>
        <w:t>traditional</w:t>
      </w:r>
      <w:r>
        <w:rPr>
          <w:spacing w:val="-4"/>
        </w:rPr>
        <w:t> </w:t>
      </w:r>
      <w:r>
        <w:rPr/>
        <w:t>lodging </w:t>
      </w:r>
      <w:r>
        <w:rPr/>
        <w:t>accommodation (99%) with 66% staying in hotels and 35% staying in all-inclusive resorts. As previously discussed, hotels serve as the most potent economic link in Curaçao</w:t>
      </w:r>
      <w:r>
        <w:rPr>
          <w:rFonts w:ascii="Calibri" w:hAnsi="Calibri" w:cs="Calibri" w:eastAsia="Calibri" w:hint="default"/>
        </w:rPr>
        <w:t>’s tourism system. Therefore, acquiring a market segment </w:t>
      </w:r>
      <w:r>
        <w:rPr/>
        <w:t>that prefers and uses hotel accommodations is of utmost importance for Curaçao to maximize the impact of the industry for the</w:t>
      </w:r>
      <w:r>
        <w:rPr>
          <w:spacing w:val="-9"/>
        </w:rPr>
        <w:t> </w:t>
      </w:r>
      <w:r>
        <w:rPr/>
        <w:t>island.</w:t>
      </w:r>
    </w:p>
    <w:p>
      <w:pPr>
        <w:spacing w:line="240" w:lineRule="auto" w:before="7"/>
        <w:ind w:right="0"/>
        <w:rPr>
          <w:rFonts w:ascii="Calibri" w:hAnsi="Calibri" w:cs="Calibri" w:eastAsia="Calibri" w:hint="default"/>
          <w:sz w:val="23"/>
          <w:szCs w:val="23"/>
        </w:rPr>
      </w:pPr>
    </w:p>
    <w:p>
      <w:pPr>
        <w:pStyle w:val="Heading3"/>
        <w:spacing w:line="341" w:lineRule="exact"/>
        <w:ind w:right="0"/>
        <w:jc w:val="both"/>
        <w:rPr>
          <w:i w:val="0"/>
        </w:rPr>
      </w:pPr>
      <w:bookmarkStart w:name="_bookmark138" w:id="139"/>
      <w:bookmarkEnd w:id="139"/>
      <w:r>
        <w:rPr>
          <w:i w:val="0"/>
        </w:rPr>
      </w:r>
      <w:r>
        <w:rPr>
          <w:i/>
        </w:rPr>
        <w:t>Psychographic</w:t>
      </w:r>
      <w:r>
        <w:rPr>
          <w:i/>
          <w:spacing w:val="-11"/>
        </w:rPr>
        <w:t> </w:t>
      </w:r>
      <w:r>
        <w:rPr>
          <w:i/>
        </w:rPr>
        <w:t>traits</w:t>
      </w:r>
      <w:r>
        <w:rPr>
          <w:i w:val="0"/>
        </w:rPr>
      </w:r>
    </w:p>
    <w:p>
      <w:pPr>
        <w:pStyle w:val="BodyText"/>
        <w:spacing w:line="240" w:lineRule="auto"/>
        <w:ind w:right="1432"/>
        <w:jc w:val="both"/>
      </w:pPr>
      <w:r>
        <w:rPr/>
        <w:t>The</w:t>
      </w:r>
      <w:r>
        <w:rPr>
          <w:spacing w:val="-12"/>
        </w:rPr>
        <w:t> </w:t>
      </w:r>
      <w:r>
        <w:rPr/>
        <w:t>psychographic</w:t>
      </w:r>
      <w:r>
        <w:rPr>
          <w:spacing w:val="-12"/>
        </w:rPr>
        <w:t> </w:t>
      </w:r>
      <w:r>
        <w:rPr/>
        <w:t>traits</w:t>
      </w:r>
      <w:r>
        <w:rPr>
          <w:spacing w:val="-13"/>
        </w:rPr>
        <w:t> </w:t>
      </w:r>
      <w:r>
        <w:rPr/>
        <w:t>of</w:t>
      </w:r>
      <w:r>
        <w:rPr>
          <w:spacing w:val="-12"/>
        </w:rPr>
        <w:t> </w:t>
      </w:r>
      <w:r>
        <w:rPr/>
        <w:t>this</w:t>
      </w:r>
      <w:r>
        <w:rPr>
          <w:spacing w:val="-13"/>
        </w:rPr>
        <w:t> </w:t>
      </w:r>
      <w:r>
        <w:rPr/>
        <w:t>market</w:t>
      </w:r>
      <w:r>
        <w:rPr>
          <w:spacing w:val="-9"/>
        </w:rPr>
        <w:t> </w:t>
      </w:r>
      <w:r>
        <w:rPr/>
        <w:t>segment</w:t>
      </w:r>
      <w:r>
        <w:rPr>
          <w:spacing w:val="-11"/>
        </w:rPr>
        <w:t> </w:t>
      </w:r>
      <w:r>
        <w:rPr/>
        <w:t>reveal</w:t>
      </w:r>
      <w:r>
        <w:rPr>
          <w:spacing w:val="-11"/>
        </w:rPr>
        <w:t> </w:t>
      </w:r>
      <w:r>
        <w:rPr/>
        <w:t>that</w:t>
      </w:r>
      <w:r>
        <w:rPr>
          <w:spacing w:val="-11"/>
        </w:rPr>
        <w:t> </w:t>
      </w:r>
      <w:r>
        <w:rPr/>
        <w:t>the</w:t>
      </w:r>
      <w:r>
        <w:rPr>
          <w:spacing w:val="-12"/>
        </w:rPr>
        <w:t> </w:t>
      </w:r>
      <w:r>
        <w:rPr/>
        <w:t>tourists</w:t>
      </w:r>
      <w:r>
        <w:rPr>
          <w:spacing w:val="-10"/>
        </w:rPr>
        <w:t> </w:t>
      </w:r>
      <w:r>
        <w:rPr/>
        <w:t>possess</w:t>
      </w:r>
      <w:r>
        <w:rPr>
          <w:spacing w:val="-10"/>
        </w:rPr>
        <w:t> </w:t>
      </w:r>
      <w:r>
        <w:rPr/>
        <w:t>a</w:t>
      </w:r>
      <w:r>
        <w:rPr>
          <w:spacing w:val="-11"/>
        </w:rPr>
        <w:t> </w:t>
      </w:r>
      <w:r>
        <w:rPr/>
        <w:t>relatively</w:t>
      </w:r>
      <w:r>
        <w:rPr>
          <w:spacing w:val="-11"/>
        </w:rPr>
        <w:t> </w:t>
      </w:r>
      <w:r>
        <w:rPr/>
        <w:t>low</w:t>
      </w:r>
      <w:r>
        <w:rPr>
          <w:spacing w:val="-12"/>
        </w:rPr>
        <w:t> </w:t>
      </w:r>
      <w:r>
        <w:rPr/>
        <w:t>level</w:t>
      </w:r>
      <w:r>
        <w:rPr>
          <w:spacing w:val="-12"/>
        </w:rPr>
        <w:t> </w:t>
      </w:r>
      <w:r>
        <w:rPr/>
        <w:t>of</w:t>
      </w:r>
      <w:r>
        <w:rPr>
          <w:spacing w:val="-12"/>
        </w:rPr>
        <w:t> </w:t>
      </w:r>
      <w:r>
        <w:rPr/>
        <w:t>brand</w:t>
      </w:r>
      <w:r>
        <w:rPr>
          <w:spacing w:val="-11"/>
        </w:rPr>
        <w:t> </w:t>
      </w:r>
      <w:r>
        <w:rPr/>
        <w:t>loyalty </w:t>
      </w:r>
      <w:r>
        <w:rPr/>
        <w:t>with a mean of 2.93 (1 being the lowest and 6 being the highest form of brand loyalty). This is valuable information </w:t>
      </w:r>
      <w:r>
        <w:rPr>
          <w:rFonts w:ascii="Calibri" w:hAnsi="Calibri" w:cs="Calibri" w:eastAsia="Calibri" w:hint="default"/>
        </w:rPr>
        <w:t>for the CTB to learn regarding this market segment’</w:t>
      </w:r>
      <w:r>
        <w:rPr/>
        <w:t>s brand preferences. Curaçao does not currently boast a large brand portfolio for tourism-related products. However, this market segment does not favor branded products over that of</w:t>
      </w:r>
      <w:r>
        <w:rPr>
          <w:spacing w:val="-7"/>
        </w:rPr>
        <w:t> </w:t>
      </w:r>
      <w:r>
        <w:rPr/>
        <w:t>others.</w:t>
      </w:r>
    </w:p>
    <w:p>
      <w:pPr>
        <w:spacing w:line="240" w:lineRule="auto" w:before="1"/>
        <w:ind w:right="0"/>
        <w:rPr>
          <w:rFonts w:ascii="Calibri" w:hAnsi="Calibri" w:cs="Calibri" w:eastAsia="Calibri" w:hint="default"/>
          <w:sz w:val="20"/>
          <w:szCs w:val="20"/>
        </w:rPr>
      </w:pPr>
    </w:p>
    <w:p>
      <w:pPr>
        <w:pStyle w:val="BodyText"/>
        <w:spacing w:line="240" w:lineRule="auto"/>
        <w:ind w:right="1441"/>
        <w:jc w:val="both"/>
      </w:pPr>
      <w:r>
        <w:rPr/>
        <w:t>The goal for the 2015-2020 Strategic Tourism Master Plan is for Curaçao to optimize the existing supply. With this goal</w:t>
      </w:r>
      <w:r>
        <w:rPr>
          <w:spacing w:val="-3"/>
        </w:rPr>
        <w:t> </w:t>
      </w:r>
      <w:r>
        <w:rPr/>
        <w:t>in</w:t>
      </w:r>
      <w:r>
        <w:rPr>
          <w:spacing w:val="-2"/>
        </w:rPr>
        <w:t> </w:t>
      </w:r>
      <w:r>
        <w:rPr/>
        <w:t>mind,</w:t>
      </w:r>
      <w:r>
        <w:rPr>
          <w:spacing w:val="-2"/>
        </w:rPr>
        <w:t> </w:t>
      </w:r>
      <w:r>
        <w:rPr/>
        <w:t>and</w:t>
      </w:r>
      <w:r>
        <w:rPr>
          <w:spacing w:val="-2"/>
        </w:rPr>
        <w:t> </w:t>
      </w:r>
      <w:r>
        <w:rPr/>
        <w:t>from</w:t>
      </w:r>
      <w:r>
        <w:rPr>
          <w:spacing w:val="-2"/>
        </w:rPr>
        <w:t> </w:t>
      </w:r>
      <w:r>
        <w:rPr/>
        <w:t>the</w:t>
      </w:r>
      <w:r>
        <w:rPr>
          <w:spacing w:val="-3"/>
        </w:rPr>
        <w:t> </w:t>
      </w:r>
      <w:r>
        <w:rPr/>
        <w:t>perspective</w:t>
      </w:r>
      <w:r>
        <w:rPr>
          <w:spacing w:val="-3"/>
        </w:rPr>
        <w:t> </w:t>
      </w:r>
      <w:r>
        <w:rPr/>
        <w:t>of</w:t>
      </w:r>
      <w:r>
        <w:rPr>
          <w:spacing w:val="-4"/>
        </w:rPr>
        <w:t> </w:t>
      </w:r>
      <w:r>
        <w:rPr/>
        <w:t>this</w:t>
      </w:r>
      <w:r>
        <w:rPr>
          <w:spacing w:val="-4"/>
        </w:rPr>
        <w:t> </w:t>
      </w:r>
      <w:r>
        <w:rPr/>
        <w:t>market</w:t>
      </w:r>
      <w:r>
        <w:rPr>
          <w:spacing w:val="-2"/>
        </w:rPr>
        <w:t> </w:t>
      </w:r>
      <w:r>
        <w:rPr/>
        <w:t>segment,</w:t>
      </w:r>
      <w:r>
        <w:rPr>
          <w:spacing w:val="-2"/>
        </w:rPr>
        <w:t> </w:t>
      </w:r>
      <w:r>
        <w:rPr/>
        <w:t>it</w:t>
      </w:r>
      <w:r>
        <w:rPr>
          <w:spacing w:val="-2"/>
        </w:rPr>
        <w:t> </w:t>
      </w:r>
      <w:r>
        <w:rPr/>
        <w:t>is</w:t>
      </w:r>
      <w:r>
        <w:rPr>
          <w:spacing w:val="-3"/>
        </w:rPr>
        <w:t> </w:t>
      </w:r>
      <w:r>
        <w:rPr/>
        <w:t>not</w:t>
      </w:r>
      <w:r>
        <w:rPr>
          <w:spacing w:val="-2"/>
        </w:rPr>
        <w:t> </w:t>
      </w:r>
      <w:r>
        <w:rPr/>
        <w:t>necessary</w:t>
      </w:r>
      <w:r>
        <w:rPr>
          <w:spacing w:val="-2"/>
        </w:rPr>
        <w:t> </w:t>
      </w:r>
      <w:r>
        <w:rPr/>
        <w:t>for</w:t>
      </w:r>
      <w:r>
        <w:rPr>
          <w:spacing w:val="-2"/>
        </w:rPr>
        <w:t> </w:t>
      </w:r>
      <w:r>
        <w:rPr/>
        <w:t>the</w:t>
      </w:r>
      <w:r>
        <w:rPr>
          <w:spacing w:val="-1"/>
        </w:rPr>
        <w:t> </w:t>
      </w:r>
      <w:r>
        <w:rPr/>
        <w:t>existing</w:t>
      </w:r>
      <w:r>
        <w:rPr>
          <w:spacing w:val="-3"/>
        </w:rPr>
        <w:t> </w:t>
      </w:r>
      <w:r>
        <w:rPr/>
        <w:t>tourism</w:t>
      </w:r>
      <w:r>
        <w:rPr>
          <w:spacing w:val="-1"/>
        </w:rPr>
        <w:t> </w:t>
      </w:r>
      <w:r>
        <w:rPr/>
        <w:t>supply</w:t>
      </w:r>
      <w:r>
        <w:rPr>
          <w:spacing w:val="-2"/>
        </w:rPr>
        <w:t> </w:t>
      </w:r>
      <w:r>
        <w:rPr/>
        <w:t>to </w:t>
      </w:r>
      <w:r>
        <w:rPr/>
        <w:t>contain a large amount of branded products in order for this segment to consume</w:t>
      </w:r>
      <w:r>
        <w:rPr>
          <w:spacing w:val="-29"/>
        </w:rPr>
        <w:t> </w:t>
      </w:r>
      <w:r>
        <w:rPr/>
        <w:t>the destination.</w:t>
      </w:r>
    </w:p>
    <w:p>
      <w:pPr>
        <w:spacing w:line="240" w:lineRule="auto" w:before="1"/>
        <w:ind w:right="0"/>
        <w:rPr>
          <w:rFonts w:ascii="Calibri" w:hAnsi="Calibri" w:cs="Calibri" w:eastAsia="Calibri" w:hint="default"/>
          <w:sz w:val="20"/>
          <w:szCs w:val="20"/>
        </w:rPr>
      </w:pPr>
    </w:p>
    <w:p>
      <w:pPr>
        <w:pStyle w:val="BodyText"/>
        <w:spacing w:line="240" w:lineRule="auto"/>
        <w:ind w:right="1436"/>
        <w:jc w:val="both"/>
      </w:pPr>
      <w:r>
        <w:rPr/>
        <w:t>With regard to the level of price sensitivity, this market contains tourists who are not a price sensitive group of travelers. The mean score for price sensitivity was 3.35, with 1 being not price sensitive at all and 6 being very price sensitive.</w:t>
      </w:r>
      <w:r>
        <w:rPr>
          <w:spacing w:val="28"/>
        </w:rPr>
        <w:t> </w:t>
      </w:r>
      <w:r>
        <w:rPr/>
        <w:t>As</w:t>
      </w:r>
      <w:r>
        <w:rPr>
          <w:spacing w:val="-10"/>
        </w:rPr>
        <w:t> </w:t>
      </w:r>
      <w:r>
        <w:rPr/>
        <w:t>previously</w:t>
      </w:r>
      <w:r>
        <w:rPr>
          <w:spacing w:val="-10"/>
        </w:rPr>
        <w:t> </w:t>
      </w:r>
      <w:r>
        <w:rPr/>
        <w:t>mentioned,</w:t>
      </w:r>
      <w:r>
        <w:rPr>
          <w:spacing w:val="-10"/>
        </w:rPr>
        <w:t> </w:t>
      </w:r>
      <w:r>
        <w:rPr/>
        <w:t>this</w:t>
      </w:r>
      <w:r>
        <w:rPr>
          <w:spacing w:val="-11"/>
        </w:rPr>
        <w:t> </w:t>
      </w:r>
      <w:r>
        <w:rPr/>
        <w:t>market</w:t>
      </w:r>
      <w:r>
        <w:rPr>
          <w:spacing w:val="-10"/>
        </w:rPr>
        <w:t> </w:t>
      </w:r>
      <w:r>
        <w:rPr/>
        <w:t>segment</w:t>
      </w:r>
      <w:r>
        <w:rPr>
          <w:spacing w:val="-7"/>
        </w:rPr>
        <w:t> </w:t>
      </w:r>
      <w:r>
        <w:rPr/>
        <w:t>was</w:t>
      </w:r>
      <w:r>
        <w:rPr>
          <w:spacing w:val="-10"/>
        </w:rPr>
        <w:t> </w:t>
      </w:r>
      <w:r>
        <w:rPr/>
        <w:t>satisfied</w:t>
      </w:r>
      <w:r>
        <w:rPr>
          <w:spacing w:val="-7"/>
        </w:rPr>
        <w:t> </w:t>
      </w:r>
      <w:r>
        <w:rPr/>
        <w:t>with</w:t>
      </w:r>
      <w:r>
        <w:rPr>
          <w:spacing w:val="-9"/>
        </w:rPr>
        <w:t> </w:t>
      </w:r>
      <w:r>
        <w:rPr/>
        <w:t>the</w:t>
      </w:r>
      <w:r>
        <w:rPr>
          <w:spacing w:val="-10"/>
        </w:rPr>
        <w:t> </w:t>
      </w:r>
      <w:r>
        <w:rPr/>
        <w:t>overall</w:t>
      </w:r>
      <w:r>
        <w:rPr>
          <w:spacing w:val="-2"/>
        </w:rPr>
        <w:t> </w:t>
      </w:r>
      <w:r>
        <w:rPr/>
        <w:t>Curaçao</w:t>
      </w:r>
      <w:r>
        <w:rPr>
          <w:spacing w:val="-9"/>
        </w:rPr>
        <w:t> </w:t>
      </w:r>
      <w:r>
        <w:rPr/>
        <w:t>tourism</w:t>
      </w:r>
      <w:r>
        <w:rPr>
          <w:spacing w:val="-9"/>
        </w:rPr>
        <w:t> </w:t>
      </w:r>
      <w:r>
        <w:rPr/>
        <w:t>product</w:t>
      </w:r>
      <w:r>
        <w:rPr>
          <w:spacing w:val="-10"/>
        </w:rPr>
        <w:t> </w:t>
      </w:r>
      <w:r>
        <w:rPr/>
        <w:t>and </w:t>
      </w:r>
      <w:r>
        <w:rPr/>
        <w:t>felt that the value of the product was high. This implies that this market segment may have a more tolerant </w:t>
      </w:r>
      <w:r>
        <w:rPr>
          <w:spacing w:val="2"/>
        </w:rPr>
        <w:t>price </w:t>
      </w:r>
      <w:r>
        <w:rPr>
          <w:spacing w:val="2"/>
        </w:rPr>
      </w:r>
      <w:r>
        <w:rPr/>
        <w:t>threshold for hotel rooms than that of other</w:t>
      </w:r>
      <w:r>
        <w:rPr>
          <w:spacing w:val="-23"/>
        </w:rPr>
        <w:t> </w:t>
      </w:r>
      <w:r>
        <w:rPr/>
        <w:t>segments.</w:t>
      </w:r>
    </w:p>
    <w:p>
      <w:pPr>
        <w:spacing w:line="240" w:lineRule="auto" w:before="11"/>
        <w:ind w:right="0"/>
        <w:rPr>
          <w:rFonts w:ascii="Calibri" w:hAnsi="Calibri" w:cs="Calibri" w:eastAsia="Calibri" w:hint="default"/>
          <w:sz w:val="19"/>
          <w:szCs w:val="19"/>
        </w:rPr>
      </w:pPr>
    </w:p>
    <w:p>
      <w:pPr>
        <w:pStyle w:val="BodyText"/>
        <w:spacing w:line="240" w:lineRule="auto"/>
        <w:ind w:right="1438"/>
        <w:jc w:val="both"/>
      </w:pPr>
      <w:r>
        <w:rPr/>
        <w:t>An interesting psychographic trait that emerged within this market was their willingness to try and experience new things.</w:t>
      </w:r>
      <w:r>
        <w:rPr>
          <w:spacing w:val="23"/>
        </w:rPr>
        <w:t> </w:t>
      </w:r>
      <w:r>
        <w:rPr/>
        <w:t>The</w:t>
      </w:r>
      <w:r>
        <w:rPr>
          <w:spacing w:val="-10"/>
        </w:rPr>
        <w:t> </w:t>
      </w:r>
      <w:r>
        <w:rPr/>
        <w:t>group</w:t>
      </w:r>
      <w:r>
        <w:rPr>
          <w:spacing w:val="-11"/>
        </w:rPr>
        <w:t> </w:t>
      </w:r>
      <w:r>
        <w:rPr/>
        <w:t>was</w:t>
      </w:r>
      <w:r>
        <w:rPr>
          <w:spacing w:val="-12"/>
        </w:rPr>
        <w:t> </w:t>
      </w:r>
      <w:r>
        <w:rPr/>
        <w:t>deemed</w:t>
      </w:r>
      <w:r>
        <w:rPr>
          <w:spacing w:val="-11"/>
        </w:rPr>
        <w:t> </w:t>
      </w:r>
      <w:r>
        <w:rPr/>
        <w:t>an</w:t>
      </w:r>
      <w:r>
        <w:rPr>
          <w:spacing w:val="-10"/>
        </w:rPr>
        <w:t> </w:t>
      </w:r>
      <w:r>
        <w:rPr/>
        <w:t>innovative</w:t>
      </w:r>
      <w:r>
        <w:rPr>
          <w:spacing w:val="-12"/>
        </w:rPr>
        <w:t> </w:t>
      </w:r>
      <w:r>
        <w:rPr/>
        <w:t>form</w:t>
      </w:r>
      <w:r>
        <w:rPr>
          <w:spacing w:val="-12"/>
        </w:rPr>
        <w:t> </w:t>
      </w:r>
      <w:r>
        <w:rPr/>
        <w:t>of</w:t>
      </w:r>
      <w:r>
        <w:rPr>
          <w:spacing w:val="-12"/>
        </w:rPr>
        <w:t> </w:t>
      </w:r>
      <w:r>
        <w:rPr/>
        <w:t>traveler</w:t>
      </w:r>
      <w:r>
        <w:rPr>
          <w:spacing w:val="-12"/>
        </w:rPr>
        <w:t> </w:t>
      </w:r>
      <w:r>
        <w:rPr/>
        <w:t>with</w:t>
      </w:r>
      <w:r>
        <w:rPr>
          <w:spacing w:val="-11"/>
        </w:rPr>
        <w:t> </w:t>
      </w:r>
      <w:r>
        <w:rPr/>
        <w:t>a</w:t>
      </w:r>
      <w:r>
        <w:rPr>
          <w:spacing w:val="-11"/>
        </w:rPr>
        <w:t> </w:t>
      </w:r>
      <w:r>
        <w:rPr/>
        <w:t>mean</w:t>
      </w:r>
      <w:r>
        <w:rPr>
          <w:spacing w:val="-10"/>
        </w:rPr>
        <w:t> </w:t>
      </w:r>
      <w:r>
        <w:rPr/>
        <w:t>score</w:t>
      </w:r>
      <w:r>
        <w:rPr>
          <w:spacing w:val="-12"/>
        </w:rPr>
        <w:t> </w:t>
      </w:r>
      <w:r>
        <w:rPr/>
        <w:t>of</w:t>
      </w:r>
      <w:r>
        <w:rPr>
          <w:spacing w:val="-12"/>
        </w:rPr>
        <w:t> </w:t>
      </w:r>
      <w:r>
        <w:rPr/>
        <w:t>4.01.</w:t>
      </w:r>
      <w:r>
        <w:rPr>
          <w:spacing w:val="24"/>
        </w:rPr>
        <w:t> </w:t>
      </w:r>
      <w:r>
        <w:rPr/>
        <w:t>This</w:t>
      </w:r>
      <w:r>
        <w:rPr>
          <w:spacing w:val="-11"/>
        </w:rPr>
        <w:t> </w:t>
      </w:r>
      <w:r>
        <w:rPr/>
        <w:t>means</w:t>
      </w:r>
      <w:r>
        <w:rPr>
          <w:spacing w:val="-13"/>
        </w:rPr>
        <w:t> </w:t>
      </w:r>
      <w:r>
        <w:rPr/>
        <w:t>that</w:t>
      </w:r>
      <w:r>
        <w:rPr>
          <w:spacing w:val="-11"/>
        </w:rPr>
        <w:t> </w:t>
      </w:r>
      <w:r>
        <w:rPr/>
        <w:t>this</w:t>
      </w:r>
      <w:r>
        <w:rPr>
          <w:spacing w:val="-3"/>
        </w:rPr>
        <w:t> </w:t>
      </w:r>
      <w:r>
        <w:rPr/>
        <w:t>market </w:t>
      </w:r>
      <w:r>
        <w:rPr/>
        <w:t>segment is willing, able, and ready to consume travel-related products that are different and perhaps fall off the beaten path of other travelers. This may be a primary reason why this group of tourists selected to vacation in Curaçao. The DPITS </w:t>
      </w:r>
      <w:r>
        <w:rPr>
          <w:rFonts w:ascii="Calibri" w:hAnsi="Calibri" w:cs="Calibri" w:eastAsia="Calibri" w:hint="default"/>
        </w:rPr>
        <w:t>feels that the suggested slogan, “</w:t>
      </w:r>
      <w:r>
        <w:rPr/>
        <w:t>Curaçao</w:t>
      </w:r>
      <w:r>
        <w:rPr>
          <w:rFonts w:ascii="Calibri" w:hAnsi="Calibri" w:cs="Calibri" w:eastAsia="Calibri" w:hint="default"/>
        </w:rPr>
        <w:t>, a different Dutch Caribbean,” may entice more </w:t>
      </w:r>
      <w:r>
        <w:rPr/>
        <w:t>travelers like those from this segment to sample the</w:t>
      </w:r>
      <w:r>
        <w:rPr>
          <w:spacing w:val="-24"/>
        </w:rPr>
        <w:t> </w:t>
      </w:r>
      <w:r>
        <w:rPr/>
        <w:t>island.</w:t>
      </w:r>
    </w:p>
    <w:p>
      <w:pPr>
        <w:spacing w:after="0" w:line="240" w:lineRule="auto"/>
        <w:jc w:val="both"/>
        <w:sectPr>
          <w:headerReference w:type="default" r:id="rId65"/>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9"/>
        <w:jc w:val="both"/>
      </w:pPr>
      <w:r>
        <w:rPr/>
        <w:t>In</w:t>
      </w:r>
      <w:r>
        <w:rPr>
          <w:spacing w:val="-8"/>
        </w:rPr>
        <w:t> </w:t>
      </w:r>
      <w:r>
        <w:rPr/>
        <w:t>terms</w:t>
      </w:r>
      <w:r>
        <w:rPr>
          <w:spacing w:val="-10"/>
        </w:rPr>
        <w:t> </w:t>
      </w:r>
      <w:r>
        <w:rPr/>
        <w:t>of</w:t>
      </w:r>
      <w:r>
        <w:rPr>
          <w:spacing w:val="-8"/>
        </w:rPr>
        <w:t> </w:t>
      </w:r>
      <w:r>
        <w:rPr/>
        <w:t>future</w:t>
      </w:r>
      <w:r>
        <w:rPr>
          <w:spacing w:val="-10"/>
        </w:rPr>
        <w:t> </w:t>
      </w:r>
      <w:r>
        <w:rPr/>
        <w:t>behavioral</w:t>
      </w:r>
      <w:r>
        <w:rPr>
          <w:spacing w:val="-9"/>
        </w:rPr>
        <w:t> </w:t>
      </w:r>
      <w:r>
        <w:rPr/>
        <w:t>intentions</w:t>
      </w:r>
      <w:r>
        <w:rPr>
          <w:spacing w:val="-10"/>
        </w:rPr>
        <w:t> </w:t>
      </w:r>
      <w:r>
        <w:rPr/>
        <w:t>with</w:t>
      </w:r>
      <w:r>
        <w:rPr>
          <w:spacing w:val="-8"/>
        </w:rPr>
        <w:t> </w:t>
      </w:r>
      <w:r>
        <w:rPr/>
        <w:t>tourists</w:t>
      </w:r>
      <w:r>
        <w:rPr>
          <w:spacing w:val="-7"/>
        </w:rPr>
        <w:t> </w:t>
      </w:r>
      <w:r>
        <w:rPr/>
        <w:t>from</w:t>
      </w:r>
      <w:r>
        <w:rPr>
          <w:spacing w:val="-10"/>
        </w:rPr>
        <w:t> </w:t>
      </w:r>
      <w:r>
        <w:rPr/>
        <w:t>this</w:t>
      </w:r>
      <w:r>
        <w:rPr>
          <w:spacing w:val="-11"/>
        </w:rPr>
        <w:t> </w:t>
      </w:r>
      <w:r>
        <w:rPr/>
        <w:t>segment,</w:t>
      </w:r>
      <w:r>
        <w:rPr>
          <w:spacing w:val="-8"/>
        </w:rPr>
        <w:t> </w:t>
      </w:r>
      <w:r>
        <w:rPr/>
        <w:t>a</w:t>
      </w:r>
      <w:r>
        <w:rPr>
          <w:spacing w:val="-9"/>
        </w:rPr>
        <w:t> </w:t>
      </w:r>
      <w:r>
        <w:rPr/>
        <w:t>large</w:t>
      </w:r>
      <w:r>
        <w:rPr>
          <w:spacing w:val="-10"/>
        </w:rPr>
        <w:t> </w:t>
      </w:r>
      <w:r>
        <w:rPr/>
        <w:t>amount</w:t>
      </w:r>
      <w:r>
        <w:rPr>
          <w:spacing w:val="-9"/>
        </w:rPr>
        <w:t> </w:t>
      </w:r>
      <w:r>
        <w:rPr/>
        <w:t>of</w:t>
      </w:r>
      <w:r>
        <w:rPr>
          <w:spacing w:val="-10"/>
        </w:rPr>
        <w:t> </w:t>
      </w:r>
      <w:r>
        <w:rPr/>
        <w:t>them</w:t>
      </w:r>
      <w:r>
        <w:rPr>
          <w:spacing w:val="-8"/>
        </w:rPr>
        <w:t> </w:t>
      </w:r>
      <w:r>
        <w:rPr/>
        <w:t>would</w:t>
      </w:r>
      <w:r>
        <w:rPr>
          <w:spacing w:val="-9"/>
        </w:rPr>
        <w:t> </w:t>
      </w:r>
      <w:r>
        <w:rPr>
          <w:spacing w:val="2"/>
        </w:rPr>
        <w:t>like</w:t>
      </w:r>
      <w:r>
        <w:rPr>
          <w:spacing w:val="-10"/>
        </w:rPr>
        <w:t> </w:t>
      </w:r>
      <w:r>
        <w:rPr/>
        <w:t>to</w:t>
      </w:r>
      <w:r>
        <w:rPr>
          <w:spacing w:val="-9"/>
        </w:rPr>
        <w:t> </w:t>
      </w:r>
      <w:r>
        <w:rPr/>
        <w:t>return </w:t>
      </w:r>
      <w:r>
        <w:rPr/>
        <w:t>to Curaçao (4.53 mean). The majority of these tourists would also provide Curaçao with a good reference (4.99 mean).</w:t>
      </w:r>
    </w:p>
    <w:p>
      <w:pPr>
        <w:pStyle w:val="Heading2"/>
        <w:spacing w:line="240" w:lineRule="auto" w:before="37"/>
        <w:ind w:right="0"/>
        <w:jc w:val="both"/>
        <w:rPr>
          <w:b w:val="0"/>
          <w:bCs w:val="0"/>
        </w:rPr>
      </w:pPr>
      <w:bookmarkStart w:name="_bookmark139" w:id="140"/>
      <w:bookmarkEnd w:id="140"/>
      <w:r>
        <w:rPr>
          <w:b w:val="0"/>
        </w:rPr>
      </w:r>
      <w:r>
        <w:rPr/>
        <w:t>The quality, market maven American</w:t>
      </w:r>
      <w:r>
        <w:rPr>
          <w:spacing w:val="-23"/>
        </w:rPr>
        <w:t> </w:t>
      </w:r>
      <w:r>
        <w:rPr/>
        <w:t>tourist</w:t>
      </w:r>
      <w:r>
        <w:rPr>
          <w:b w:val="0"/>
        </w:rPr>
      </w:r>
    </w:p>
    <w:p>
      <w:pPr>
        <w:pStyle w:val="Heading3"/>
        <w:spacing w:line="341" w:lineRule="exact" w:before="192"/>
        <w:ind w:right="0"/>
        <w:jc w:val="both"/>
        <w:rPr>
          <w:i w:val="0"/>
        </w:rPr>
      </w:pPr>
      <w:bookmarkStart w:name="_bookmark140" w:id="141"/>
      <w:bookmarkEnd w:id="141"/>
      <w:r>
        <w:rPr>
          <w:i w:val="0"/>
        </w:rPr>
      </w:r>
      <w:r>
        <w:rPr>
          <w:i/>
        </w:rPr>
        <w:t>Demographic and geographic</w:t>
      </w:r>
      <w:r>
        <w:rPr>
          <w:i/>
          <w:spacing w:val="-19"/>
        </w:rPr>
        <w:t> </w:t>
      </w:r>
      <w:r>
        <w:rPr>
          <w:i/>
        </w:rPr>
        <w:t>traits</w:t>
      </w:r>
      <w:r>
        <w:rPr>
          <w:i w:val="0"/>
        </w:rPr>
      </w:r>
    </w:p>
    <w:p>
      <w:pPr>
        <w:pStyle w:val="BodyText"/>
        <w:spacing w:line="240" w:lineRule="auto"/>
        <w:ind w:right="1442"/>
        <w:jc w:val="both"/>
      </w:pPr>
      <w:r>
        <w:rPr/>
        <w:t>The market maven segment is comprised of 54% males who are also close to 50 years old and are married with children. This segment is more educated than the previous segment with nearly 40% having an undergraduate college degree and approximately 36% possessing a masters or doctorate degree. Again, a 100% of this market segment makes over US$75,000 on an annual basis. Approximately, 37% come from the USA, 23% from Canada, and</w:t>
      </w:r>
      <w:r>
        <w:rPr>
          <w:spacing w:val="-7"/>
        </w:rPr>
        <w:t> </w:t>
      </w:r>
      <w:r>
        <w:rPr/>
        <w:t>17%</w:t>
      </w:r>
      <w:r>
        <w:rPr>
          <w:spacing w:val="-9"/>
        </w:rPr>
        <w:t> </w:t>
      </w:r>
      <w:r>
        <w:rPr/>
        <w:t>from</w:t>
      </w:r>
      <w:r>
        <w:rPr>
          <w:spacing w:val="-9"/>
        </w:rPr>
        <w:t> </w:t>
      </w:r>
      <w:r>
        <w:rPr/>
        <w:t>the</w:t>
      </w:r>
      <w:r>
        <w:rPr>
          <w:spacing w:val="-9"/>
        </w:rPr>
        <w:t> </w:t>
      </w:r>
      <w:r>
        <w:rPr/>
        <w:t>Netherlands,</w:t>
      </w:r>
      <w:r>
        <w:rPr>
          <w:spacing w:val="-7"/>
        </w:rPr>
        <w:t> </w:t>
      </w:r>
      <w:r>
        <w:rPr/>
        <w:t>with</w:t>
      </w:r>
      <w:r>
        <w:rPr>
          <w:spacing w:val="-7"/>
        </w:rPr>
        <w:t> </w:t>
      </w:r>
      <w:r>
        <w:rPr/>
        <w:t>the</w:t>
      </w:r>
      <w:r>
        <w:rPr>
          <w:spacing w:val="-9"/>
        </w:rPr>
        <w:t> </w:t>
      </w:r>
      <w:r>
        <w:rPr/>
        <w:t>remaining</w:t>
      </w:r>
      <w:r>
        <w:rPr>
          <w:spacing w:val="-8"/>
        </w:rPr>
        <w:t> </w:t>
      </w:r>
      <w:r>
        <w:rPr/>
        <w:t>23%</w:t>
      </w:r>
      <w:r>
        <w:rPr>
          <w:spacing w:val="-9"/>
        </w:rPr>
        <w:t> </w:t>
      </w:r>
      <w:r>
        <w:rPr/>
        <w:t>arriving</w:t>
      </w:r>
      <w:r>
        <w:rPr>
          <w:spacing w:val="-8"/>
        </w:rPr>
        <w:t> </w:t>
      </w:r>
      <w:r>
        <w:rPr/>
        <w:t>to</w:t>
      </w:r>
      <w:r>
        <w:rPr>
          <w:spacing w:val="-3"/>
        </w:rPr>
        <w:t> </w:t>
      </w:r>
      <w:r>
        <w:rPr/>
        <w:t>Curaçao</w:t>
      </w:r>
      <w:r>
        <w:rPr>
          <w:spacing w:val="-7"/>
        </w:rPr>
        <w:t> </w:t>
      </w:r>
      <w:r>
        <w:rPr>
          <w:rFonts w:ascii="Calibri" w:hAnsi="Calibri" w:cs="Calibri" w:eastAsia="Calibri" w:hint="default"/>
        </w:rPr>
        <w:t>from</w:t>
      </w:r>
      <w:r>
        <w:rPr>
          <w:rFonts w:ascii="Calibri" w:hAnsi="Calibri" w:cs="Calibri" w:eastAsia="Calibri" w:hint="default"/>
          <w:spacing w:val="-9"/>
        </w:rPr>
        <w:t> </w:t>
      </w:r>
      <w:r>
        <w:rPr>
          <w:rFonts w:ascii="Calibri" w:hAnsi="Calibri" w:cs="Calibri" w:eastAsia="Calibri" w:hint="default"/>
        </w:rPr>
        <w:t>“other”</w:t>
      </w:r>
      <w:r>
        <w:rPr>
          <w:rFonts w:ascii="Calibri" w:hAnsi="Calibri" w:cs="Calibri" w:eastAsia="Calibri" w:hint="default"/>
          <w:spacing w:val="-7"/>
        </w:rPr>
        <w:t> </w:t>
      </w:r>
      <w:r>
        <w:rPr>
          <w:rFonts w:ascii="Calibri" w:hAnsi="Calibri" w:cs="Calibri" w:eastAsia="Calibri" w:hint="default"/>
        </w:rPr>
        <w:t>countries.</w:t>
      </w:r>
      <w:r>
        <w:rPr>
          <w:rFonts w:ascii="Calibri" w:hAnsi="Calibri" w:cs="Calibri" w:eastAsia="Calibri" w:hint="default"/>
          <w:spacing w:val="31"/>
        </w:rPr>
        <w:t> </w:t>
      </w:r>
      <w:r>
        <w:rPr>
          <w:rFonts w:ascii="Calibri" w:hAnsi="Calibri" w:cs="Calibri" w:eastAsia="Calibri" w:hint="default"/>
        </w:rPr>
        <w:t>This</w:t>
      </w:r>
      <w:r>
        <w:rPr>
          <w:rFonts w:ascii="Calibri" w:hAnsi="Calibri" w:cs="Calibri" w:eastAsia="Calibri" w:hint="default"/>
          <w:spacing w:val="-7"/>
        </w:rPr>
        <w:t> </w:t>
      </w:r>
      <w:r>
        <w:rPr>
          <w:rFonts w:ascii="Calibri" w:hAnsi="Calibri" w:cs="Calibri" w:eastAsia="Calibri" w:hint="default"/>
        </w:rPr>
        <w:t>means</w:t>
      </w:r>
      <w:r>
        <w:rPr>
          <w:rFonts w:ascii="Calibri" w:hAnsi="Calibri" w:cs="Calibri" w:eastAsia="Calibri" w:hint="default"/>
          <w:spacing w:val="-9"/>
        </w:rPr>
        <w:t> </w:t>
      </w:r>
      <w:r>
        <w:rPr>
          <w:rFonts w:ascii="Calibri" w:hAnsi="Calibri" w:cs="Calibri" w:eastAsia="Calibri" w:hint="default"/>
        </w:rPr>
        <w:t>that </w:t>
      </w:r>
      <w:r>
        <w:rPr>
          <w:rFonts w:ascii="Calibri" w:hAnsi="Calibri" w:cs="Calibri" w:eastAsia="Calibri" w:hint="default"/>
        </w:rPr>
      </w:r>
      <w:r>
        <w:rPr/>
        <w:t>approximately 60% of this segment arrive to Curaçao from North</w:t>
      </w:r>
      <w:r>
        <w:rPr>
          <w:spacing w:val="-27"/>
        </w:rPr>
        <w:t> </w:t>
      </w:r>
      <w:r>
        <w:rPr/>
        <w:t>America.</w:t>
      </w:r>
    </w:p>
    <w:p>
      <w:pPr>
        <w:spacing w:line="240" w:lineRule="auto" w:before="11"/>
        <w:ind w:right="0"/>
        <w:rPr>
          <w:rFonts w:ascii="Calibri" w:hAnsi="Calibri" w:cs="Calibri" w:eastAsia="Calibri" w:hint="default"/>
          <w:sz w:val="19"/>
          <w:szCs w:val="19"/>
        </w:rPr>
      </w:pPr>
    </w:p>
    <w:p>
      <w:pPr>
        <w:pStyle w:val="BodyText"/>
        <w:spacing w:line="240" w:lineRule="auto"/>
        <w:ind w:right="1438"/>
        <w:jc w:val="both"/>
      </w:pPr>
      <w:r>
        <w:rPr/>
        <w:t>Fifty four percent of the tourists in this market segment had a previous trip to Curaçao with the average length of stay of 7.19 nights and an average trip expenditure of $1,485.43. Contrary to the previously discussed market segment, the majority of these tourists (73%) did not use a travel agent to book their travel (i.e. airline ticket and lodging). Forty two percent used an airline website and 31% percent used the Internet for an airline ticket. One third of the tourists from this segment used a travel agency to book lodging and another one third used hotel websites to book</w:t>
      </w:r>
      <w:r>
        <w:rPr>
          <w:spacing w:val="-13"/>
        </w:rPr>
        <w:t> </w:t>
      </w:r>
      <w:r>
        <w:rPr/>
        <w:t>accommodations.</w:t>
      </w:r>
    </w:p>
    <w:p>
      <w:pPr>
        <w:spacing w:line="240" w:lineRule="auto" w:before="11"/>
        <w:ind w:right="0"/>
        <w:rPr>
          <w:rFonts w:ascii="Calibri" w:hAnsi="Calibri" w:cs="Calibri" w:eastAsia="Calibri" w:hint="default"/>
          <w:sz w:val="19"/>
          <w:szCs w:val="19"/>
        </w:rPr>
      </w:pPr>
    </w:p>
    <w:p>
      <w:pPr>
        <w:pStyle w:val="BodyText"/>
        <w:spacing w:line="240" w:lineRule="auto"/>
        <w:ind w:right="1433"/>
        <w:jc w:val="both"/>
      </w:pPr>
      <w:r>
        <w:rPr/>
        <w:t>On</w:t>
      </w:r>
      <w:r>
        <w:rPr>
          <w:spacing w:val="-4"/>
        </w:rPr>
        <w:t> </w:t>
      </w:r>
      <w:r>
        <w:rPr/>
        <w:t>a</w:t>
      </w:r>
      <w:r>
        <w:rPr>
          <w:spacing w:val="-4"/>
        </w:rPr>
        <w:t> </w:t>
      </w:r>
      <w:r>
        <w:rPr/>
        <w:t>Likert</w:t>
      </w:r>
      <w:r>
        <w:rPr>
          <w:spacing w:val="-4"/>
        </w:rPr>
        <w:t> </w:t>
      </w:r>
      <w:r>
        <w:rPr/>
        <w:t>scale</w:t>
      </w:r>
      <w:r>
        <w:rPr>
          <w:spacing w:val="-5"/>
        </w:rPr>
        <w:t> </w:t>
      </w:r>
      <w:r>
        <w:rPr/>
        <w:t>of</w:t>
      </w:r>
      <w:r>
        <w:rPr>
          <w:spacing w:val="-5"/>
        </w:rPr>
        <w:t> </w:t>
      </w:r>
      <w:r>
        <w:rPr/>
        <w:t>1-6</w:t>
      </w:r>
      <w:r>
        <w:rPr>
          <w:spacing w:val="-5"/>
        </w:rPr>
        <w:t> </w:t>
      </w:r>
      <w:r>
        <w:rPr/>
        <w:t>the</w:t>
      </w:r>
      <w:r>
        <w:rPr>
          <w:spacing w:val="-5"/>
        </w:rPr>
        <w:t> </w:t>
      </w:r>
      <w:r>
        <w:rPr/>
        <w:t>segment</w:t>
      </w:r>
      <w:r>
        <w:rPr>
          <w:spacing w:val="-4"/>
        </w:rPr>
        <w:t> </w:t>
      </w:r>
      <w:r>
        <w:rPr/>
        <w:t>possesses</w:t>
      </w:r>
      <w:r>
        <w:rPr>
          <w:spacing w:val="-5"/>
        </w:rPr>
        <w:t> </w:t>
      </w:r>
      <w:r>
        <w:rPr/>
        <w:t>a</w:t>
      </w:r>
      <w:r>
        <w:rPr>
          <w:spacing w:val="-4"/>
        </w:rPr>
        <w:t> </w:t>
      </w:r>
      <w:r>
        <w:rPr/>
        <w:t>mean</w:t>
      </w:r>
      <w:r>
        <w:rPr>
          <w:spacing w:val="-3"/>
        </w:rPr>
        <w:t> </w:t>
      </w:r>
      <w:r>
        <w:rPr/>
        <w:t>satisfaction</w:t>
      </w:r>
      <w:r>
        <w:rPr>
          <w:spacing w:val="-4"/>
        </w:rPr>
        <w:t> </w:t>
      </w:r>
      <w:r>
        <w:rPr/>
        <w:t>score</w:t>
      </w:r>
      <w:r>
        <w:rPr>
          <w:spacing w:val="-5"/>
        </w:rPr>
        <w:t> </w:t>
      </w:r>
      <w:r>
        <w:rPr/>
        <w:t>of</w:t>
      </w:r>
      <w:r>
        <w:rPr>
          <w:spacing w:val="-5"/>
        </w:rPr>
        <w:t> </w:t>
      </w:r>
      <w:r>
        <w:rPr/>
        <w:t>5.03.</w:t>
      </w:r>
      <w:r>
        <w:rPr>
          <w:spacing w:val="36"/>
        </w:rPr>
        <w:t> </w:t>
      </w:r>
      <w:r>
        <w:rPr/>
        <w:t>This</w:t>
      </w:r>
      <w:r>
        <w:rPr>
          <w:spacing w:val="-6"/>
        </w:rPr>
        <w:t> </w:t>
      </w:r>
      <w:r>
        <w:rPr/>
        <w:t>means</w:t>
      </w:r>
      <w:r>
        <w:rPr>
          <w:spacing w:val="-5"/>
        </w:rPr>
        <w:t> </w:t>
      </w:r>
      <w:r>
        <w:rPr/>
        <w:t>that</w:t>
      </w:r>
      <w:r>
        <w:rPr>
          <w:spacing w:val="2"/>
        </w:rPr>
        <w:t> </w:t>
      </w:r>
      <w:r>
        <w:rPr/>
        <w:t>the</w:t>
      </w:r>
      <w:r>
        <w:rPr>
          <w:spacing w:val="-5"/>
        </w:rPr>
        <w:t> </w:t>
      </w:r>
      <w:r>
        <w:rPr/>
        <w:t>tourists</w:t>
      </w:r>
      <w:r>
        <w:rPr>
          <w:spacing w:val="-5"/>
        </w:rPr>
        <w:t> </w:t>
      </w:r>
      <w:r>
        <w:rPr/>
        <w:t>in</w:t>
      </w:r>
      <w:r>
        <w:rPr>
          <w:spacing w:val="-4"/>
        </w:rPr>
        <w:t> </w:t>
      </w:r>
      <w:r>
        <w:rPr/>
        <w:t>this </w:t>
      </w:r>
      <w:r>
        <w:rPr/>
        <w:t>segment</w:t>
      </w:r>
      <w:r>
        <w:rPr>
          <w:spacing w:val="-11"/>
        </w:rPr>
        <w:t> </w:t>
      </w:r>
      <w:r>
        <w:rPr/>
        <w:t>are</w:t>
      </w:r>
      <w:r>
        <w:rPr>
          <w:spacing w:val="-12"/>
        </w:rPr>
        <w:t> </w:t>
      </w:r>
      <w:r>
        <w:rPr/>
        <w:t>highly</w:t>
      </w:r>
      <w:r>
        <w:rPr>
          <w:spacing w:val="-11"/>
        </w:rPr>
        <w:t> </w:t>
      </w:r>
      <w:r>
        <w:rPr/>
        <w:t>satisfied</w:t>
      </w:r>
      <w:r>
        <w:rPr>
          <w:spacing w:val="-11"/>
        </w:rPr>
        <w:t> </w:t>
      </w:r>
      <w:r>
        <w:rPr/>
        <w:t>with</w:t>
      </w:r>
      <w:r>
        <w:rPr>
          <w:spacing w:val="-9"/>
        </w:rPr>
        <w:t> </w:t>
      </w:r>
      <w:r>
        <w:rPr>
          <w:rFonts w:ascii="Calibri" w:hAnsi="Calibri" w:cs="Calibri" w:eastAsia="Calibri" w:hint="default"/>
        </w:rPr>
        <w:t>Curaçao’s</w:t>
      </w:r>
      <w:r>
        <w:rPr>
          <w:rFonts w:ascii="Calibri" w:hAnsi="Calibri" w:cs="Calibri" w:eastAsia="Calibri" w:hint="default"/>
          <w:spacing w:val="-12"/>
        </w:rPr>
        <w:t> </w:t>
      </w:r>
      <w:r>
        <w:rPr/>
        <w:t>overall</w:t>
      </w:r>
      <w:r>
        <w:rPr>
          <w:spacing w:val="-12"/>
        </w:rPr>
        <w:t> </w:t>
      </w:r>
      <w:r>
        <w:rPr/>
        <w:t>tourism</w:t>
      </w:r>
      <w:r>
        <w:rPr>
          <w:spacing w:val="-12"/>
        </w:rPr>
        <w:t> </w:t>
      </w:r>
      <w:r>
        <w:rPr/>
        <w:t>product</w:t>
      </w:r>
      <w:r>
        <w:rPr>
          <w:spacing w:val="-11"/>
        </w:rPr>
        <w:t> </w:t>
      </w:r>
      <w:r>
        <w:rPr/>
        <w:t>and</w:t>
      </w:r>
      <w:r>
        <w:rPr>
          <w:spacing w:val="-11"/>
        </w:rPr>
        <w:t> </w:t>
      </w:r>
      <w:r>
        <w:rPr/>
        <w:t>this</w:t>
      </w:r>
      <w:r>
        <w:rPr>
          <w:spacing w:val="-13"/>
        </w:rPr>
        <w:t> </w:t>
      </w:r>
      <w:r>
        <w:rPr/>
        <w:t>segment</w:t>
      </w:r>
      <w:r>
        <w:rPr>
          <w:spacing w:val="-11"/>
        </w:rPr>
        <w:t> </w:t>
      </w:r>
      <w:r>
        <w:rPr/>
        <w:t>is</w:t>
      </w:r>
      <w:r>
        <w:rPr>
          <w:spacing w:val="-11"/>
        </w:rPr>
        <w:t> </w:t>
      </w:r>
      <w:r>
        <w:rPr/>
        <w:t>more</w:t>
      </w:r>
      <w:r>
        <w:rPr>
          <w:spacing w:val="-12"/>
        </w:rPr>
        <w:t> </w:t>
      </w:r>
      <w:r>
        <w:rPr/>
        <w:t>satisfied</w:t>
      </w:r>
      <w:r>
        <w:rPr>
          <w:spacing w:val="-10"/>
        </w:rPr>
        <w:t> </w:t>
      </w:r>
      <w:r>
        <w:rPr/>
        <w:t>with</w:t>
      </w:r>
      <w:r>
        <w:rPr>
          <w:spacing w:val="-11"/>
        </w:rPr>
        <w:t> </w:t>
      </w:r>
      <w:r>
        <w:rPr/>
        <w:t>the</w:t>
      </w:r>
      <w:r>
        <w:rPr>
          <w:spacing w:val="-12"/>
        </w:rPr>
        <w:t> </w:t>
      </w:r>
      <w:r>
        <w:rPr/>
        <w:t>island </w:t>
      </w:r>
      <w:r>
        <w:rPr/>
        <w:t>than</w:t>
      </w:r>
      <w:r>
        <w:rPr>
          <w:spacing w:val="-10"/>
        </w:rPr>
        <w:t> </w:t>
      </w:r>
      <w:r>
        <w:rPr/>
        <w:t>the</w:t>
      </w:r>
      <w:r>
        <w:rPr>
          <w:spacing w:val="-11"/>
        </w:rPr>
        <w:t> </w:t>
      </w:r>
      <w:r>
        <w:rPr/>
        <w:t>previously</w:t>
      </w:r>
      <w:r>
        <w:rPr>
          <w:spacing w:val="-10"/>
        </w:rPr>
        <w:t> </w:t>
      </w:r>
      <w:r>
        <w:rPr/>
        <w:t>discussed</w:t>
      </w:r>
      <w:r>
        <w:rPr>
          <w:spacing w:val="-10"/>
        </w:rPr>
        <w:t> </w:t>
      </w:r>
      <w:r>
        <w:rPr/>
        <w:t>segment.</w:t>
      </w:r>
      <w:r>
        <w:rPr>
          <w:spacing w:val="26"/>
        </w:rPr>
        <w:t> </w:t>
      </w:r>
      <w:r>
        <w:rPr/>
        <w:t>These</w:t>
      </w:r>
      <w:r>
        <w:rPr>
          <w:spacing w:val="-11"/>
        </w:rPr>
        <w:t> </w:t>
      </w:r>
      <w:r>
        <w:rPr/>
        <w:t>tourists</w:t>
      </w:r>
      <w:r>
        <w:rPr>
          <w:spacing w:val="-11"/>
        </w:rPr>
        <w:t> </w:t>
      </w:r>
      <w:r>
        <w:rPr/>
        <w:t>also</w:t>
      </w:r>
      <w:r>
        <w:rPr>
          <w:spacing w:val="-8"/>
        </w:rPr>
        <w:t> </w:t>
      </w:r>
      <w:r>
        <w:rPr/>
        <w:t>perceive</w:t>
      </w:r>
      <w:r>
        <w:rPr>
          <w:spacing w:val="-11"/>
        </w:rPr>
        <w:t> </w:t>
      </w:r>
      <w:r>
        <w:rPr/>
        <w:t>the</w:t>
      </w:r>
      <w:r>
        <w:rPr>
          <w:spacing w:val="-11"/>
        </w:rPr>
        <w:t> </w:t>
      </w:r>
      <w:r>
        <w:rPr/>
        <w:t>quality</w:t>
      </w:r>
      <w:r>
        <w:rPr>
          <w:spacing w:val="-9"/>
        </w:rPr>
        <w:t> </w:t>
      </w:r>
      <w:r>
        <w:rPr/>
        <w:t>of</w:t>
      </w:r>
      <w:r>
        <w:rPr>
          <w:spacing w:val="-5"/>
        </w:rPr>
        <w:t> </w:t>
      </w:r>
      <w:r>
        <w:rPr>
          <w:rFonts w:ascii="Calibri" w:hAnsi="Calibri" w:cs="Calibri" w:eastAsia="Calibri" w:hint="default"/>
        </w:rPr>
        <w:t>Curaçao’s</w:t>
      </w:r>
      <w:r>
        <w:rPr>
          <w:rFonts w:ascii="Calibri" w:hAnsi="Calibri" w:cs="Calibri" w:eastAsia="Calibri" w:hint="default"/>
          <w:spacing w:val="-11"/>
        </w:rPr>
        <w:t> </w:t>
      </w:r>
      <w:r>
        <w:rPr/>
        <w:t>tourism</w:t>
      </w:r>
      <w:r>
        <w:rPr>
          <w:spacing w:val="-11"/>
        </w:rPr>
        <w:t> </w:t>
      </w:r>
      <w:r>
        <w:rPr/>
        <w:t>product</w:t>
      </w:r>
      <w:r>
        <w:rPr>
          <w:spacing w:val="-10"/>
        </w:rPr>
        <w:t> </w:t>
      </w:r>
      <w:r>
        <w:rPr/>
        <w:t>as</w:t>
      </w:r>
      <w:r>
        <w:rPr>
          <w:spacing w:val="-11"/>
        </w:rPr>
        <w:t> </w:t>
      </w:r>
      <w:r>
        <w:rPr/>
        <w:t>high </w:t>
      </w:r>
      <w:r>
        <w:rPr/>
        <w:t>with</w:t>
      </w:r>
      <w:r>
        <w:rPr>
          <w:spacing w:val="10"/>
        </w:rPr>
        <w:t> </w:t>
      </w:r>
      <w:r>
        <w:rPr/>
        <w:t>a</w:t>
      </w:r>
      <w:r>
        <w:rPr>
          <w:spacing w:val="10"/>
        </w:rPr>
        <w:t> </w:t>
      </w:r>
      <w:r>
        <w:rPr/>
        <w:t>mean</w:t>
      </w:r>
      <w:r>
        <w:rPr>
          <w:spacing w:val="11"/>
        </w:rPr>
        <w:t> </w:t>
      </w:r>
      <w:r>
        <w:rPr/>
        <w:t>score</w:t>
      </w:r>
      <w:r>
        <w:rPr>
          <w:spacing w:val="9"/>
        </w:rPr>
        <w:t> </w:t>
      </w:r>
      <w:r>
        <w:rPr/>
        <w:t>of</w:t>
      </w:r>
      <w:r>
        <w:rPr>
          <w:spacing w:val="9"/>
        </w:rPr>
        <w:t> </w:t>
      </w:r>
      <w:r>
        <w:rPr/>
        <w:t>4.67,</w:t>
      </w:r>
      <w:r>
        <w:rPr>
          <w:spacing w:val="11"/>
        </w:rPr>
        <w:t> </w:t>
      </w:r>
      <w:r>
        <w:rPr/>
        <w:t>and</w:t>
      </w:r>
      <w:r>
        <w:rPr>
          <w:spacing w:val="10"/>
        </w:rPr>
        <w:t> </w:t>
      </w:r>
      <w:r>
        <w:rPr/>
        <w:t>perceive</w:t>
      </w:r>
      <w:r>
        <w:rPr>
          <w:spacing w:val="9"/>
        </w:rPr>
        <w:t> </w:t>
      </w:r>
      <w:r>
        <w:rPr/>
        <w:t>the</w:t>
      </w:r>
      <w:r>
        <w:rPr>
          <w:spacing w:val="11"/>
        </w:rPr>
        <w:t> </w:t>
      </w:r>
      <w:r>
        <w:rPr/>
        <w:t>value</w:t>
      </w:r>
      <w:r>
        <w:rPr>
          <w:spacing w:val="11"/>
        </w:rPr>
        <w:t> </w:t>
      </w:r>
      <w:r>
        <w:rPr/>
        <w:t>(i.e.</w:t>
      </w:r>
      <w:r>
        <w:rPr>
          <w:spacing w:val="10"/>
        </w:rPr>
        <w:t> </w:t>
      </w:r>
      <w:r>
        <w:rPr/>
        <w:t>price</w:t>
      </w:r>
      <w:r>
        <w:rPr>
          <w:spacing w:val="9"/>
        </w:rPr>
        <w:t> </w:t>
      </w:r>
      <w:r>
        <w:rPr/>
        <w:t>and</w:t>
      </w:r>
      <w:r>
        <w:rPr>
          <w:spacing w:val="10"/>
        </w:rPr>
        <w:t> </w:t>
      </w:r>
      <w:r>
        <w:rPr/>
        <w:t>quality)</w:t>
      </w:r>
      <w:r>
        <w:rPr>
          <w:spacing w:val="9"/>
        </w:rPr>
        <w:t> </w:t>
      </w:r>
      <w:r>
        <w:rPr/>
        <w:t>as</w:t>
      </w:r>
      <w:r>
        <w:rPr>
          <w:spacing w:val="9"/>
        </w:rPr>
        <w:t> </w:t>
      </w:r>
      <w:r>
        <w:rPr/>
        <w:t>also</w:t>
      </w:r>
      <w:r>
        <w:rPr>
          <w:spacing w:val="10"/>
        </w:rPr>
        <w:t> </w:t>
      </w:r>
      <w:r>
        <w:rPr/>
        <w:t>being</w:t>
      </w:r>
      <w:r>
        <w:rPr>
          <w:spacing w:val="12"/>
        </w:rPr>
        <w:t> </w:t>
      </w:r>
      <w:r>
        <w:rPr/>
        <w:t>high</w:t>
      </w:r>
      <w:r>
        <w:rPr>
          <w:spacing w:val="10"/>
        </w:rPr>
        <w:t> </w:t>
      </w:r>
      <w:r>
        <w:rPr/>
        <w:t>with</w:t>
      </w:r>
      <w:r>
        <w:rPr>
          <w:spacing w:val="10"/>
        </w:rPr>
        <w:t> </w:t>
      </w:r>
      <w:r>
        <w:rPr/>
        <w:t>a</w:t>
      </w:r>
      <w:r>
        <w:rPr>
          <w:spacing w:val="10"/>
        </w:rPr>
        <w:t> </w:t>
      </w:r>
      <w:r>
        <w:rPr/>
        <w:t>mean</w:t>
      </w:r>
      <w:r>
        <w:rPr>
          <w:spacing w:val="11"/>
        </w:rPr>
        <w:t> </w:t>
      </w:r>
      <w:r>
        <w:rPr/>
        <w:t>score</w:t>
      </w:r>
      <w:r>
        <w:rPr>
          <w:spacing w:val="9"/>
        </w:rPr>
        <w:t> </w:t>
      </w:r>
      <w:r>
        <w:rPr/>
        <w:t>of</w:t>
      </w:r>
    </w:p>
    <w:p>
      <w:pPr>
        <w:pStyle w:val="ListParagraph"/>
        <w:numPr>
          <w:ilvl w:val="1"/>
          <w:numId w:val="9"/>
        </w:numPr>
        <w:tabs>
          <w:tab w:pos="1959" w:val="left" w:leader="none"/>
        </w:tabs>
        <w:spacing w:line="240" w:lineRule="auto" w:before="0" w:after="0"/>
        <w:ind w:left="1440" w:right="1440" w:firstLine="0"/>
        <w:jc w:val="both"/>
        <w:rPr>
          <w:rFonts w:ascii="Calibri" w:hAnsi="Calibri" w:cs="Calibri" w:eastAsia="Calibri" w:hint="default"/>
          <w:sz w:val="20"/>
          <w:szCs w:val="20"/>
        </w:rPr>
      </w:pPr>
      <w:r>
        <w:rPr>
          <w:rFonts w:ascii="Calibri" w:hAnsi="Calibri"/>
          <w:sz w:val="20"/>
        </w:rPr>
        <w:t>Although a smaller percentage of tourists in this segment chose to travel to Curaçao for the sun and beach than</w:t>
      </w:r>
      <w:r>
        <w:rPr>
          <w:rFonts w:ascii="Calibri" w:hAnsi="Calibri"/>
          <w:spacing w:val="-2"/>
          <w:sz w:val="20"/>
        </w:rPr>
        <w:t> </w:t>
      </w:r>
      <w:r>
        <w:rPr>
          <w:rFonts w:ascii="Calibri" w:hAnsi="Calibri"/>
          <w:sz w:val="20"/>
        </w:rPr>
        <w:t>in</w:t>
      </w:r>
      <w:r>
        <w:rPr>
          <w:rFonts w:ascii="Calibri" w:hAnsi="Calibri"/>
          <w:spacing w:val="-3"/>
          <w:sz w:val="20"/>
        </w:rPr>
        <w:t> </w:t>
      </w:r>
      <w:r>
        <w:rPr>
          <w:rFonts w:ascii="Calibri" w:hAnsi="Calibri"/>
          <w:sz w:val="20"/>
        </w:rPr>
        <w:t>the</w:t>
      </w:r>
      <w:r>
        <w:rPr>
          <w:rFonts w:ascii="Calibri" w:hAnsi="Calibri"/>
          <w:spacing w:val="-4"/>
          <w:sz w:val="20"/>
        </w:rPr>
        <w:t> </w:t>
      </w:r>
      <w:r>
        <w:rPr>
          <w:rFonts w:ascii="Calibri" w:hAnsi="Calibri"/>
          <w:sz w:val="20"/>
        </w:rPr>
        <w:t>first</w:t>
      </w:r>
      <w:r>
        <w:rPr>
          <w:rFonts w:ascii="Calibri" w:hAnsi="Calibri"/>
          <w:spacing w:val="-3"/>
          <w:sz w:val="20"/>
        </w:rPr>
        <w:t> </w:t>
      </w:r>
      <w:r>
        <w:rPr>
          <w:rFonts w:ascii="Calibri" w:hAnsi="Calibri"/>
          <w:sz w:val="20"/>
        </w:rPr>
        <w:t>segment</w:t>
      </w:r>
      <w:r>
        <w:rPr>
          <w:rFonts w:ascii="Calibri" w:hAnsi="Calibri"/>
          <w:spacing w:val="-1"/>
          <w:sz w:val="20"/>
        </w:rPr>
        <w:t> </w:t>
      </w:r>
      <w:r>
        <w:rPr>
          <w:rFonts w:ascii="Calibri" w:hAnsi="Calibri"/>
          <w:sz w:val="20"/>
        </w:rPr>
        <w:t>(76%),</w:t>
      </w:r>
      <w:r>
        <w:rPr>
          <w:rFonts w:ascii="Calibri" w:hAnsi="Calibri"/>
          <w:spacing w:val="-3"/>
          <w:sz w:val="20"/>
        </w:rPr>
        <w:t> </w:t>
      </w:r>
      <w:r>
        <w:rPr>
          <w:rFonts w:ascii="Calibri" w:hAnsi="Calibri"/>
          <w:sz w:val="20"/>
        </w:rPr>
        <w:t>the</w:t>
      </w:r>
      <w:r>
        <w:rPr>
          <w:rFonts w:ascii="Calibri" w:hAnsi="Calibri"/>
          <w:spacing w:val="-4"/>
          <w:sz w:val="20"/>
        </w:rPr>
        <w:t> </w:t>
      </w:r>
      <w:r>
        <w:rPr>
          <w:rFonts w:ascii="Calibri" w:hAnsi="Calibri"/>
          <w:sz w:val="20"/>
        </w:rPr>
        <w:t>majority of</w:t>
      </w:r>
      <w:r>
        <w:rPr>
          <w:rFonts w:ascii="Calibri" w:hAnsi="Calibri"/>
          <w:spacing w:val="-5"/>
          <w:sz w:val="20"/>
        </w:rPr>
        <w:t> </w:t>
      </w:r>
      <w:r>
        <w:rPr>
          <w:rFonts w:ascii="Calibri" w:hAnsi="Calibri"/>
          <w:sz w:val="20"/>
        </w:rPr>
        <w:t>69%</w:t>
      </w:r>
      <w:r>
        <w:rPr>
          <w:rFonts w:ascii="Calibri" w:hAnsi="Calibri"/>
          <w:spacing w:val="-2"/>
          <w:sz w:val="20"/>
        </w:rPr>
        <w:t> </w:t>
      </w:r>
      <w:r>
        <w:rPr>
          <w:rFonts w:ascii="Calibri" w:hAnsi="Calibri"/>
          <w:sz w:val="20"/>
        </w:rPr>
        <w:t>still</w:t>
      </w:r>
      <w:r>
        <w:rPr>
          <w:rFonts w:ascii="Calibri" w:hAnsi="Calibri"/>
          <w:spacing w:val="-3"/>
          <w:sz w:val="20"/>
        </w:rPr>
        <w:t> </w:t>
      </w:r>
      <w:r>
        <w:rPr>
          <w:rFonts w:ascii="Calibri" w:hAnsi="Calibri"/>
          <w:sz w:val="20"/>
        </w:rPr>
        <w:t>come</w:t>
      </w:r>
      <w:r>
        <w:rPr>
          <w:rFonts w:ascii="Calibri" w:hAnsi="Calibri"/>
          <w:spacing w:val="-4"/>
          <w:sz w:val="20"/>
        </w:rPr>
        <w:t> </w:t>
      </w:r>
      <w:r>
        <w:rPr>
          <w:rFonts w:ascii="Calibri" w:hAnsi="Calibri"/>
          <w:sz w:val="20"/>
        </w:rPr>
        <w:t>for</w:t>
      </w:r>
      <w:r>
        <w:rPr>
          <w:rFonts w:ascii="Calibri" w:hAnsi="Calibri"/>
          <w:spacing w:val="-3"/>
          <w:sz w:val="20"/>
        </w:rPr>
        <w:t> </w:t>
      </w:r>
      <w:r>
        <w:rPr>
          <w:rFonts w:ascii="Calibri" w:hAnsi="Calibri"/>
          <w:sz w:val="20"/>
        </w:rPr>
        <w:t>a sun,</w:t>
      </w:r>
      <w:r>
        <w:rPr>
          <w:rFonts w:ascii="Calibri" w:hAnsi="Calibri"/>
          <w:spacing w:val="-3"/>
          <w:sz w:val="20"/>
        </w:rPr>
        <w:t> </w:t>
      </w:r>
      <w:r>
        <w:rPr>
          <w:rFonts w:ascii="Calibri" w:hAnsi="Calibri"/>
          <w:sz w:val="20"/>
        </w:rPr>
        <w:t>sand,</w:t>
      </w:r>
      <w:r>
        <w:rPr>
          <w:rFonts w:ascii="Calibri" w:hAnsi="Calibri"/>
          <w:spacing w:val="-3"/>
          <w:sz w:val="20"/>
        </w:rPr>
        <w:t> </w:t>
      </w:r>
      <w:r>
        <w:rPr>
          <w:rFonts w:ascii="Calibri" w:hAnsi="Calibri"/>
          <w:sz w:val="20"/>
        </w:rPr>
        <w:t>and</w:t>
      </w:r>
      <w:r>
        <w:rPr>
          <w:rFonts w:ascii="Calibri" w:hAnsi="Calibri"/>
          <w:spacing w:val="-3"/>
          <w:sz w:val="20"/>
        </w:rPr>
        <w:t> </w:t>
      </w:r>
      <w:r>
        <w:rPr>
          <w:rFonts w:ascii="Calibri" w:hAnsi="Calibri"/>
          <w:sz w:val="20"/>
        </w:rPr>
        <w:t>sea</w:t>
      </w:r>
      <w:r>
        <w:rPr>
          <w:rFonts w:ascii="Calibri" w:hAnsi="Calibri"/>
          <w:spacing w:val="-3"/>
          <w:sz w:val="20"/>
        </w:rPr>
        <w:t> </w:t>
      </w:r>
      <w:r>
        <w:rPr>
          <w:rFonts w:ascii="Calibri" w:hAnsi="Calibri"/>
          <w:sz w:val="20"/>
        </w:rPr>
        <w:t>destination.</w:t>
      </w:r>
    </w:p>
    <w:p>
      <w:pPr>
        <w:spacing w:line="240" w:lineRule="auto" w:before="11"/>
        <w:ind w:right="0"/>
        <w:rPr>
          <w:rFonts w:ascii="Calibri" w:hAnsi="Calibri" w:cs="Calibri" w:eastAsia="Calibri" w:hint="default"/>
          <w:sz w:val="19"/>
          <w:szCs w:val="19"/>
        </w:rPr>
      </w:pPr>
    </w:p>
    <w:p>
      <w:pPr>
        <w:pStyle w:val="BodyText"/>
        <w:spacing w:line="240" w:lineRule="auto"/>
        <w:ind w:right="1438"/>
        <w:jc w:val="both"/>
      </w:pPr>
      <w:r>
        <w:rPr/>
        <w:t>It is appropriate to assume that, given the even higher satisfaction, quality, and value scores for Curaçao</w:t>
      </w:r>
      <w:r>
        <w:rPr>
          <w:rFonts w:ascii="Calibri" w:hAnsi="Calibri" w:cs="Calibri" w:eastAsia="Calibri" w:hint="default"/>
        </w:rPr>
        <w:t>’s overall </w:t>
      </w:r>
      <w:r>
        <w:rPr/>
        <w:t>tourism product, this segment is also highly satisfied with the beach and weather in Curaçao. Nearly 90% of the tourists</w:t>
      </w:r>
      <w:r>
        <w:rPr>
          <w:spacing w:val="-7"/>
        </w:rPr>
        <w:t> </w:t>
      </w:r>
      <w:r>
        <w:rPr/>
        <w:t>in</w:t>
      </w:r>
      <w:r>
        <w:rPr>
          <w:spacing w:val="-6"/>
        </w:rPr>
        <w:t> </w:t>
      </w:r>
      <w:r>
        <w:rPr/>
        <w:t>this</w:t>
      </w:r>
      <w:r>
        <w:rPr>
          <w:spacing w:val="-8"/>
        </w:rPr>
        <w:t> </w:t>
      </w:r>
      <w:r>
        <w:rPr/>
        <w:t>segment</w:t>
      </w:r>
      <w:r>
        <w:rPr>
          <w:spacing w:val="-6"/>
        </w:rPr>
        <w:t> </w:t>
      </w:r>
      <w:r>
        <w:rPr/>
        <w:t>also</w:t>
      </w:r>
      <w:r>
        <w:rPr>
          <w:spacing w:val="-7"/>
        </w:rPr>
        <w:t> </w:t>
      </w:r>
      <w:r>
        <w:rPr/>
        <w:t>prefer</w:t>
      </w:r>
      <w:r>
        <w:rPr>
          <w:spacing w:val="-5"/>
        </w:rPr>
        <w:t> </w:t>
      </w:r>
      <w:r>
        <w:rPr/>
        <w:t>to</w:t>
      </w:r>
      <w:r>
        <w:rPr>
          <w:spacing w:val="-6"/>
        </w:rPr>
        <w:t> </w:t>
      </w:r>
      <w:r>
        <w:rPr/>
        <w:t>stay</w:t>
      </w:r>
      <w:r>
        <w:rPr>
          <w:spacing w:val="-6"/>
        </w:rPr>
        <w:t> </w:t>
      </w:r>
      <w:r>
        <w:rPr/>
        <w:t>in</w:t>
      </w:r>
      <w:r>
        <w:rPr>
          <w:spacing w:val="-6"/>
        </w:rPr>
        <w:t> </w:t>
      </w:r>
      <w:r>
        <w:rPr/>
        <w:t>and</w:t>
      </w:r>
      <w:r>
        <w:rPr>
          <w:spacing w:val="-6"/>
        </w:rPr>
        <w:t> </w:t>
      </w:r>
      <w:r>
        <w:rPr/>
        <w:t>use</w:t>
      </w:r>
      <w:r>
        <w:rPr>
          <w:spacing w:val="-8"/>
        </w:rPr>
        <w:t> </w:t>
      </w:r>
      <w:r>
        <w:rPr/>
        <w:t>traditional</w:t>
      </w:r>
      <w:r>
        <w:rPr>
          <w:spacing w:val="-6"/>
        </w:rPr>
        <w:t> </w:t>
      </w:r>
      <w:r>
        <w:rPr/>
        <w:t>lodging</w:t>
      </w:r>
      <w:r>
        <w:rPr>
          <w:spacing w:val="-7"/>
        </w:rPr>
        <w:t> </w:t>
      </w:r>
      <w:r>
        <w:rPr/>
        <w:t>accommodations</w:t>
      </w:r>
      <w:r>
        <w:rPr>
          <w:spacing w:val="-6"/>
        </w:rPr>
        <w:t> </w:t>
      </w:r>
      <w:r>
        <w:rPr/>
        <w:t>with</w:t>
      </w:r>
      <w:r>
        <w:rPr>
          <w:spacing w:val="-6"/>
        </w:rPr>
        <w:t> </w:t>
      </w:r>
      <w:r>
        <w:rPr/>
        <w:t>80%</w:t>
      </w:r>
      <w:r>
        <w:rPr>
          <w:spacing w:val="-5"/>
        </w:rPr>
        <w:t> </w:t>
      </w:r>
      <w:r>
        <w:rPr/>
        <w:t>staying</w:t>
      </w:r>
      <w:r>
        <w:rPr>
          <w:spacing w:val="-7"/>
        </w:rPr>
        <w:t> </w:t>
      </w:r>
      <w:r>
        <w:rPr/>
        <w:t>in</w:t>
      </w:r>
      <w:r>
        <w:rPr>
          <w:spacing w:val="-6"/>
        </w:rPr>
        <w:t> </w:t>
      </w:r>
      <w:r>
        <w:rPr/>
        <w:t>hotels </w:t>
      </w:r>
      <w:r>
        <w:rPr/>
        <w:t>and 10% staying in all-inclusive resorts. Again, this is a valid segment for Curaçao to target in order to increase the economic impact of tourism through the hotel</w:t>
      </w:r>
      <w:r>
        <w:rPr>
          <w:spacing w:val="-20"/>
        </w:rPr>
        <w:t> </w:t>
      </w:r>
      <w:r>
        <w:rPr/>
        <w:t>sector.</w:t>
      </w:r>
    </w:p>
    <w:p>
      <w:pPr>
        <w:spacing w:before="39"/>
        <w:ind w:left="1440" w:right="0" w:firstLine="0"/>
        <w:jc w:val="both"/>
        <w:rPr>
          <w:rFonts w:ascii="Calibri" w:hAnsi="Calibri" w:cs="Calibri" w:eastAsia="Calibri" w:hint="default"/>
          <w:sz w:val="22"/>
          <w:szCs w:val="22"/>
        </w:rPr>
      </w:pPr>
      <w:bookmarkStart w:name="_bookmark141" w:id="142"/>
      <w:bookmarkEnd w:id="142"/>
      <w:r>
        <w:rPr/>
      </w:r>
      <w:r>
        <w:rPr>
          <w:rFonts w:ascii="Calibri"/>
          <w:sz w:val="22"/>
        </w:rPr>
        <w:t>Psychographic</w:t>
      </w:r>
      <w:r>
        <w:rPr>
          <w:rFonts w:ascii="Calibri"/>
          <w:spacing w:val="-4"/>
          <w:sz w:val="22"/>
        </w:rPr>
        <w:t> </w:t>
      </w:r>
      <w:r>
        <w:rPr>
          <w:rFonts w:ascii="Calibri"/>
          <w:sz w:val="22"/>
        </w:rPr>
        <w:t>traits</w:t>
      </w:r>
    </w:p>
    <w:p>
      <w:pPr>
        <w:pStyle w:val="BodyText"/>
        <w:spacing w:line="240" w:lineRule="auto" w:before="2"/>
        <w:ind w:right="1436"/>
        <w:jc w:val="both"/>
      </w:pPr>
      <w:r>
        <w:rPr/>
        <w:t>The psychographic traits of this market segment reveal that, although statistically different than the first segment, these</w:t>
      </w:r>
      <w:r>
        <w:rPr>
          <w:spacing w:val="-6"/>
        </w:rPr>
        <w:t> </w:t>
      </w:r>
      <w:r>
        <w:rPr/>
        <w:t>tourists</w:t>
      </w:r>
      <w:r>
        <w:rPr>
          <w:spacing w:val="-6"/>
        </w:rPr>
        <w:t> </w:t>
      </w:r>
      <w:r>
        <w:rPr/>
        <w:t>also</w:t>
      </w:r>
      <w:r>
        <w:rPr>
          <w:spacing w:val="-5"/>
        </w:rPr>
        <w:t> </w:t>
      </w:r>
      <w:r>
        <w:rPr/>
        <w:t>possess</w:t>
      </w:r>
      <w:r>
        <w:rPr>
          <w:spacing w:val="-6"/>
        </w:rPr>
        <w:t> </w:t>
      </w:r>
      <w:r>
        <w:rPr/>
        <w:t>a</w:t>
      </w:r>
      <w:r>
        <w:rPr>
          <w:spacing w:val="-5"/>
        </w:rPr>
        <w:t> </w:t>
      </w:r>
      <w:r>
        <w:rPr/>
        <w:t>relatively</w:t>
      </w:r>
      <w:r>
        <w:rPr>
          <w:spacing w:val="-5"/>
        </w:rPr>
        <w:t> </w:t>
      </w:r>
      <w:r>
        <w:rPr/>
        <w:t>low</w:t>
      </w:r>
      <w:r>
        <w:rPr>
          <w:spacing w:val="-6"/>
        </w:rPr>
        <w:t> </w:t>
      </w:r>
      <w:r>
        <w:rPr/>
        <w:t>level</w:t>
      </w:r>
      <w:r>
        <w:rPr>
          <w:spacing w:val="-6"/>
        </w:rPr>
        <w:t> </w:t>
      </w:r>
      <w:r>
        <w:rPr/>
        <w:t>of</w:t>
      </w:r>
      <w:r>
        <w:rPr>
          <w:spacing w:val="-6"/>
        </w:rPr>
        <w:t> </w:t>
      </w:r>
      <w:r>
        <w:rPr/>
        <w:t>brand</w:t>
      </w:r>
      <w:r>
        <w:rPr>
          <w:spacing w:val="-5"/>
        </w:rPr>
        <w:t> </w:t>
      </w:r>
      <w:r>
        <w:rPr/>
        <w:t>loyalty</w:t>
      </w:r>
      <w:r>
        <w:rPr>
          <w:spacing w:val="-5"/>
        </w:rPr>
        <w:t> </w:t>
      </w:r>
      <w:r>
        <w:rPr/>
        <w:t>with</w:t>
      </w:r>
      <w:r>
        <w:rPr>
          <w:spacing w:val="-5"/>
        </w:rPr>
        <w:t> </w:t>
      </w:r>
      <w:r>
        <w:rPr/>
        <w:t>a</w:t>
      </w:r>
      <w:r>
        <w:rPr>
          <w:spacing w:val="-7"/>
        </w:rPr>
        <w:t> </w:t>
      </w:r>
      <w:r>
        <w:rPr/>
        <w:t>mean</w:t>
      </w:r>
      <w:r>
        <w:rPr>
          <w:spacing w:val="-4"/>
        </w:rPr>
        <w:t> </w:t>
      </w:r>
      <w:r>
        <w:rPr/>
        <w:t>of</w:t>
      </w:r>
      <w:r>
        <w:rPr>
          <w:spacing w:val="-6"/>
        </w:rPr>
        <w:t> </w:t>
      </w:r>
      <w:r>
        <w:rPr/>
        <w:t>3.37</w:t>
      </w:r>
      <w:r>
        <w:rPr>
          <w:spacing w:val="-6"/>
        </w:rPr>
        <w:t> </w:t>
      </w:r>
      <w:r>
        <w:rPr/>
        <w:t>(1</w:t>
      </w:r>
      <w:r>
        <w:rPr>
          <w:spacing w:val="-6"/>
        </w:rPr>
        <w:t> </w:t>
      </w:r>
      <w:r>
        <w:rPr/>
        <w:t>being</w:t>
      </w:r>
      <w:r>
        <w:rPr>
          <w:spacing w:val="-6"/>
        </w:rPr>
        <w:t> </w:t>
      </w:r>
      <w:r>
        <w:rPr/>
        <w:t>the</w:t>
      </w:r>
      <w:r>
        <w:rPr>
          <w:spacing w:val="-6"/>
        </w:rPr>
        <w:t> </w:t>
      </w:r>
      <w:r>
        <w:rPr/>
        <w:t>lowest</w:t>
      </w:r>
      <w:r>
        <w:rPr>
          <w:spacing w:val="-5"/>
        </w:rPr>
        <w:t> </w:t>
      </w:r>
      <w:r>
        <w:rPr/>
        <w:t>and</w:t>
      </w:r>
      <w:r>
        <w:rPr>
          <w:spacing w:val="-5"/>
        </w:rPr>
        <w:t> </w:t>
      </w:r>
      <w:r>
        <w:rPr/>
        <w:t>6</w:t>
      </w:r>
      <w:r>
        <w:rPr>
          <w:spacing w:val="-8"/>
        </w:rPr>
        <w:t> </w:t>
      </w:r>
      <w:r>
        <w:rPr/>
        <w:t>being </w:t>
      </w:r>
      <w:r>
        <w:rPr/>
        <w:t>the highest form of brand loyalty). While this segment may seem to tentatively trend towards branded products, this</w:t>
      </w:r>
      <w:r>
        <w:rPr>
          <w:spacing w:val="-4"/>
        </w:rPr>
        <w:t> </w:t>
      </w:r>
      <w:r>
        <w:rPr/>
        <w:t>consumption</w:t>
      </w:r>
      <w:r>
        <w:rPr>
          <w:spacing w:val="-2"/>
        </w:rPr>
        <w:t> </w:t>
      </w:r>
      <w:r>
        <w:rPr/>
        <w:t>style</w:t>
      </w:r>
      <w:r>
        <w:rPr>
          <w:spacing w:val="-1"/>
        </w:rPr>
        <w:t> </w:t>
      </w:r>
      <w:r>
        <w:rPr/>
        <w:t>may</w:t>
      </w:r>
      <w:r>
        <w:rPr>
          <w:spacing w:val="-1"/>
        </w:rPr>
        <w:t> </w:t>
      </w:r>
      <w:r>
        <w:rPr/>
        <w:t>be</w:t>
      </w:r>
      <w:r>
        <w:rPr>
          <w:spacing w:val="-3"/>
        </w:rPr>
        <w:t> </w:t>
      </w:r>
      <w:r>
        <w:rPr/>
        <w:t>due</w:t>
      </w:r>
      <w:r>
        <w:rPr>
          <w:spacing w:val="-3"/>
        </w:rPr>
        <w:t> </w:t>
      </w:r>
      <w:r>
        <w:rPr/>
        <w:t>to</w:t>
      </w:r>
      <w:r>
        <w:rPr>
          <w:spacing w:val="-2"/>
        </w:rPr>
        <w:t> </w:t>
      </w:r>
      <w:r>
        <w:rPr/>
        <w:t>this</w:t>
      </w:r>
      <w:r>
        <w:rPr>
          <w:spacing w:val="-4"/>
        </w:rPr>
        <w:t> </w:t>
      </w:r>
      <w:r>
        <w:rPr/>
        <w:t>market</w:t>
      </w:r>
      <w:r>
        <w:rPr>
          <w:rFonts w:ascii="Calibri" w:hAnsi="Calibri" w:cs="Calibri" w:eastAsia="Calibri" w:hint="default"/>
        </w:rPr>
        <w:t>’s</w:t>
      </w:r>
      <w:r>
        <w:rPr>
          <w:rFonts w:ascii="Calibri" w:hAnsi="Calibri" w:cs="Calibri" w:eastAsia="Calibri" w:hint="default"/>
          <w:spacing w:val="-4"/>
        </w:rPr>
        <w:t> </w:t>
      </w:r>
      <w:r>
        <w:rPr>
          <w:rFonts w:ascii="Calibri" w:hAnsi="Calibri" w:cs="Calibri" w:eastAsia="Calibri" w:hint="default"/>
        </w:rPr>
        <w:t>high</w:t>
      </w:r>
      <w:r>
        <w:rPr/>
        <w:t>-quality</w:t>
      </w:r>
      <w:r>
        <w:rPr>
          <w:spacing w:val="-2"/>
        </w:rPr>
        <w:t> </w:t>
      </w:r>
      <w:r>
        <w:rPr/>
        <w:t>consciousness</w:t>
      </w:r>
      <w:r>
        <w:rPr>
          <w:spacing w:val="-4"/>
        </w:rPr>
        <w:t> </w:t>
      </w:r>
      <w:r>
        <w:rPr/>
        <w:t>(mean</w:t>
      </w:r>
      <w:r>
        <w:rPr>
          <w:spacing w:val="-1"/>
        </w:rPr>
        <w:t> </w:t>
      </w:r>
      <w:r>
        <w:rPr/>
        <w:t>4.86</w:t>
      </w:r>
      <w:r>
        <w:rPr>
          <w:spacing w:val="-3"/>
        </w:rPr>
        <w:t> </w:t>
      </w:r>
      <w:r>
        <w:rPr/>
        <w:t>out</w:t>
      </w:r>
      <w:r>
        <w:rPr>
          <w:spacing w:val="-2"/>
        </w:rPr>
        <w:t> </w:t>
      </w:r>
      <w:r>
        <w:rPr/>
        <w:t>of</w:t>
      </w:r>
      <w:r>
        <w:rPr>
          <w:spacing w:val="-4"/>
        </w:rPr>
        <w:t> </w:t>
      </w:r>
      <w:r>
        <w:rPr/>
        <w:t>6).</w:t>
      </w:r>
    </w:p>
    <w:p>
      <w:pPr>
        <w:spacing w:line="240" w:lineRule="auto" w:before="11"/>
        <w:ind w:right="0"/>
        <w:rPr>
          <w:rFonts w:ascii="Calibri" w:hAnsi="Calibri" w:cs="Calibri" w:eastAsia="Calibri" w:hint="default"/>
          <w:sz w:val="19"/>
          <w:szCs w:val="19"/>
        </w:rPr>
      </w:pPr>
    </w:p>
    <w:p>
      <w:pPr>
        <w:pStyle w:val="BodyText"/>
        <w:spacing w:line="240" w:lineRule="auto"/>
        <w:ind w:right="1435"/>
        <w:jc w:val="both"/>
      </w:pPr>
      <w:r>
        <w:rPr/>
        <w:t>The previously discussed market segment possessed a mean score of 3.57 for quality consciousness. Therefore, the current market segment may be slightly more skewed toward branded products that guarantee a higher level of quality. The DPITS feels that Curaçao may replace this market segment</w:t>
      </w:r>
      <w:r>
        <w:rPr>
          <w:rFonts w:ascii="Calibri" w:hAnsi="Calibri" w:cs="Calibri" w:eastAsia="Calibri" w:hint="default"/>
        </w:rPr>
        <w:t>’s interest in brands with high</w:t>
      </w:r>
      <w:r>
        <w:rPr/>
        <w:t>-quality, non- branded products. In order to do this, non-branded properties would need to carefully craft advertising materials that reference extremely high-quality standards and performance. This market segment is slightly more price sensitive with a mean score of 3.43, albeit still low, with 1 being not price sensitive and 6 being very price sensitive. This market again revealed its willingness to try and experience new events and features. This group was also deemed an innovative form of traveler with a mean score of 4.6, which is significantly higher than the previous market segment at</w:t>
      </w:r>
      <w:r>
        <w:rPr>
          <w:spacing w:val="-9"/>
        </w:rPr>
        <w:t> </w:t>
      </w:r>
      <w:r>
        <w:rPr/>
        <w:t>4.01.</w:t>
      </w:r>
    </w:p>
    <w:p>
      <w:pPr>
        <w:spacing w:line="240" w:lineRule="auto" w:before="1"/>
        <w:ind w:right="0"/>
        <w:rPr>
          <w:rFonts w:ascii="Calibri" w:hAnsi="Calibri" w:cs="Calibri" w:eastAsia="Calibri" w:hint="default"/>
          <w:sz w:val="20"/>
          <w:szCs w:val="20"/>
        </w:rPr>
      </w:pPr>
    </w:p>
    <w:p>
      <w:pPr>
        <w:pStyle w:val="BodyText"/>
        <w:spacing w:line="240" w:lineRule="auto"/>
        <w:ind w:right="1438"/>
        <w:jc w:val="both"/>
      </w:pPr>
      <w:r>
        <w:rPr/>
        <w:t>The</w:t>
      </w:r>
      <w:r>
        <w:rPr>
          <w:spacing w:val="-6"/>
        </w:rPr>
        <w:t> </w:t>
      </w:r>
      <w:r>
        <w:rPr/>
        <w:t>most</w:t>
      </w:r>
      <w:r>
        <w:rPr>
          <w:spacing w:val="-5"/>
        </w:rPr>
        <w:t> </w:t>
      </w:r>
      <w:r>
        <w:rPr/>
        <w:t>interesting</w:t>
      </w:r>
      <w:r>
        <w:rPr>
          <w:spacing w:val="-6"/>
        </w:rPr>
        <w:t> </w:t>
      </w:r>
      <w:r>
        <w:rPr/>
        <w:t>psychographic</w:t>
      </w:r>
      <w:r>
        <w:rPr>
          <w:spacing w:val="-6"/>
        </w:rPr>
        <w:t> </w:t>
      </w:r>
      <w:r>
        <w:rPr/>
        <w:t>trait</w:t>
      </w:r>
      <w:r>
        <w:rPr>
          <w:spacing w:val="-5"/>
        </w:rPr>
        <w:t> </w:t>
      </w:r>
      <w:r>
        <w:rPr/>
        <w:t>that</w:t>
      </w:r>
      <w:r>
        <w:rPr>
          <w:spacing w:val="-5"/>
        </w:rPr>
        <w:t> </w:t>
      </w:r>
      <w:r>
        <w:rPr/>
        <w:t>emerged</w:t>
      </w:r>
      <w:r>
        <w:rPr>
          <w:spacing w:val="-5"/>
        </w:rPr>
        <w:t> </w:t>
      </w:r>
      <w:r>
        <w:rPr/>
        <w:t>for</w:t>
      </w:r>
      <w:r>
        <w:rPr>
          <w:spacing w:val="-5"/>
        </w:rPr>
        <w:t> </w:t>
      </w:r>
      <w:r>
        <w:rPr/>
        <w:t>this</w:t>
      </w:r>
      <w:r>
        <w:rPr>
          <w:spacing w:val="-7"/>
        </w:rPr>
        <w:t> </w:t>
      </w:r>
      <w:r>
        <w:rPr/>
        <w:t>market</w:t>
      </w:r>
      <w:r>
        <w:rPr>
          <w:spacing w:val="-5"/>
        </w:rPr>
        <w:t> </w:t>
      </w:r>
      <w:r>
        <w:rPr/>
        <w:t>segment</w:t>
      </w:r>
      <w:r>
        <w:rPr>
          <w:spacing w:val="-5"/>
        </w:rPr>
        <w:t> </w:t>
      </w:r>
      <w:r>
        <w:rPr/>
        <w:t>was</w:t>
      </w:r>
      <w:r>
        <w:rPr>
          <w:spacing w:val="-3"/>
        </w:rPr>
        <w:t> </w:t>
      </w:r>
      <w:r>
        <w:rPr/>
        <w:t>its</w:t>
      </w:r>
      <w:r>
        <w:rPr>
          <w:spacing w:val="-6"/>
        </w:rPr>
        <w:t> </w:t>
      </w:r>
      <w:r>
        <w:rPr/>
        <w:t>need</w:t>
      </w:r>
      <w:r>
        <w:rPr>
          <w:spacing w:val="-5"/>
        </w:rPr>
        <w:t> </w:t>
      </w:r>
      <w:r>
        <w:rPr/>
        <w:t>for</w:t>
      </w:r>
      <w:r>
        <w:rPr>
          <w:spacing w:val="-5"/>
        </w:rPr>
        <w:t> </w:t>
      </w:r>
      <w:r>
        <w:rPr/>
        <w:t>market</w:t>
      </w:r>
      <w:r>
        <w:rPr>
          <w:spacing w:val="-5"/>
        </w:rPr>
        <w:t> </w:t>
      </w:r>
      <w:r>
        <w:rPr/>
        <w:t>information </w:t>
      </w:r>
      <w:r>
        <w:rPr/>
        <w:t>prior to their consumption of travel-related experiences. Market mavens are considered to be persons that</w:t>
      </w:r>
      <w:r>
        <w:rPr>
          <w:spacing w:val="-11"/>
        </w:rPr>
        <w:t> </w:t>
      </w:r>
      <w:r>
        <w:rPr/>
        <w:t>require</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40"/>
        <w:jc w:val="both"/>
        <w:rPr>
          <w:rFonts w:ascii="Calibri" w:hAnsi="Calibri" w:cs="Calibri" w:eastAsia="Calibri" w:hint="default"/>
        </w:rPr>
      </w:pPr>
      <w:r>
        <w:rPr/>
        <w:t>a large amount of information to educate themselves prior to the consumption of any product. After the consumption of the product, mavens enjoy </w:t>
      </w:r>
      <w:r>
        <w:rPr>
          <w:rFonts w:ascii="Calibri" w:hAnsi="Calibri" w:cs="Calibri" w:eastAsia="Calibri" w:hint="default"/>
        </w:rPr>
        <w:t>sharing their “expert opinion” with</w:t>
      </w:r>
      <w:r>
        <w:rPr>
          <w:rFonts w:ascii="Calibri" w:hAnsi="Calibri" w:cs="Calibri" w:eastAsia="Calibri" w:hint="default"/>
          <w:spacing w:val="-29"/>
        </w:rPr>
        <w:t> </w:t>
      </w:r>
      <w:r>
        <w:rPr>
          <w:rFonts w:ascii="Calibri" w:hAnsi="Calibri" w:cs="Calibri" w:eastAsia="Calibri" w:hint="default"/>
        </w:rPr>
        <w:t>others.</w:t>
      </w:r>
    </w:p>
    <w:p>
      <w:pPr>
        <w:pStyle w:val="BodyText"/>
        <w:spacing w:line="240" w:lineRule="auto"/>
        <w:ind w:right="1439"/>
        <w:jc w:val="both"/>
      </w:pPr>
      <w:r>
        <w:rPr/>
        <w:t>This market segment seems to possess a large amount of market mavens.</w:t>
      </w:r>
      <w:r>
        <w:rPr>
          <w:spacing w:val="-9"/>
        </w:rPr>
        <w:t> </w:t>
      </w:r>
      <w:r>
        <w:rPr/>
        <w:t>They construct what they feel are expert </w:t>
      </w:r>
      <w:r>
        <w:rPr/>
        <w:t>opinions from the information they find on the destination pre-consumption, followed by their post-consumption evaluations</w:t>
      </w:r>
      <w:r>
        <w:rPr>
          <w:spacing w:val="-8"/>
        </w:rPr>
        <w:t> </w:t>
      </w:r>
      <w:r>
        <w:rPr/>
        <w:t>of</w:t>
      </w:r>
      <w:r>
        <w:rPr>
          <w:spacing w:val="-8"/>
        </w:rPr>
        <w:t> </w:t>
      </w:r>
      <w:r>
        <w:rPr/>
        <w:t>the</w:t>
      </w:r>
      <w:r>
        <w:rPr>
          <w:spacing w:val="-8"/>
        </w:rPr>
        <w:t> </w:t>
      </w:r>
      <w:r>
        <w:rPr/>
        <w:t>destination.</w:t>
      </w:r>
      <w:r>
        <w:rPr>
          <w:spacing w:val="33"/>
        </w:rPr>
        <w:t> </w:t>
      </w:r>
      <w:r>
        <w:rPr/>
        <w:t>This</w:t>
      </w:r>
      <w:r>
        <w:rPr>
          <w:spacing w:val="-6"/>
        </w:rPr>
        <w:t> </w:t>
      </w:r>
      <w:r>
        <w:rPr/>
        <w:t>group</w:t>
      </w:r>
      <w:r>
        <w:rPr>
          <w:spacing w:val="-6"/>
        </w:rPr>
        <w:t> </w:t>
      </w:r>
      <w:r>
        <w:rPr/>
        <w:t>also</w:t>
      </w:r>
      <w:r>
        <w:rPr>
          <w:spacing w:val="-7"/>
        </w:rPr>
        <w:t> </w:t>
      </w:r>
      <w:r>
        <w:rPr/>
        <w:t>revealed</w:t>
      </w:r>
      <w:r>
        <w:rPr>
          <w:spacing w:val="-6"/>
        </w:rPr>
        <w:t> </w:t>
      </w:r>
      <w:r>
        <w:rPr/>
        <w:t>that</w:t>
      </w:r>
      <w:r>
        <w:rPr>
          <w:spacing w:val="-6"/>
        </w:rPr>
        <w:t> </w:t>
      </w:r>
      <w:r>
        <w:rPr/>
        <w:t>they</w:t>
      </w:r>
      <w:r>
        <w:rPr>
          <w:spacing w:val="-6"/>
        </w:rPr>
        <w:t> </w:t>
      </w:r>
      <w:r>
        <w:rPr/>
        <w:t>had</w:t>
      </w:r>
      <w:r>
        <w:rPr>
          <w:spacing w:val="-6"/>
        </w:rPr>
        <w:t> </w:t>
      </w:r>
      <w:r>
        <w:rPr/>
        <w:t>more</w:t>
      </w:r>
      <w:r>
        <w:rPr>
          <w:spacing w:val="-8"/>
        </w:rPr>
        <w:t> </w:t>
      </w:r>
      <w:r>
        <w:rPr/>
        <w:t>of</w:t>
      </w:r>
      <w:r>
        <w:rPr>
          <w:spacing w:val="-5"/>
        </w:rPr>
        <w:t> </w:t>
      </w:r>
      <w:r>
        <w:rPr/>
        <w:t>a</w:t>
      </w:r>
      <w:r>
        <w:rPr>
          <w:spacing w:val="-6"/>
        </w:rPr>
        <w:t> </w:t>
      </w:r>
      <w:r>
        <w:rPr/>
        <w:t>likelihood</w:t>
      </w:r>
      <w:r>
        <w:rPr>
          <w:spacing w:val="-6"/>
        </w:rPr>
        <w:t> </w:t>
      </w:r>
      <w:r>
        <w:rPr/>
        <w:t>to</w:t>
      </w:r>
      <w:r>
        <w:rPr>
          <w:spacing w:val="-6"/>
        </w:rPr>
        <w:t> </w:t>
      </w:r>
      <w:r>
        <w:rPr/>
        <w:t>share</w:t>
      </w:r>
      <w:r>
        <w:rPr>
          <w:spacing w:val="-8"/>
        </w:rPr>
        <w:t> </w:t>
      </w:r>
      <w:r>
        <w:rPr/>
        <w:t>their</w:t>
      </w:r>
      <w:r>
        <w:rPr>
          <w:spacing w:val="-5"/>
        </w:rPr>
        <w:t> </w:t>
      </w:r>
      <w:r>
        <w:rPr/>
        <w:t>experience </w:t>
      </w:r>
      <w:r>
        <w:rPr/>
        <w:t>on</w:t>
      </w:r>
      <w:r>
        <w:rPr>
          <w:spacing w:val="-3"/>
        </w:rPr>
        <w:t> </w:t>
      </w:r>
      <w:r>
        <w:rPr/>
        <w:t>social</w:t>
      </w:r>
      <w:r>
        <w:rPr>
          <w:spacing w:val="-3"/>
        </w:rPr>
        <w:t> </w:t>
      </w:r>
      <w:r>
        <w:rPr/>
        <w:t>media</w:t>
      </w:r>
      <w:r>
        <w:rPr>
          <w:spacing w:val="-1"/>
        </w:rPr>
        <w:t> </w:t>
      </w:r>
      <w:r>
        <w:rPr/>
        <w:t>sites</w:t>
      </w:r>
      <w:r>
        <w:rPr>
          <w:spacing w:val="-5"/>
        </w:rPr>
        <w:t> </w:t>
      </w:r>
      <w:r>
        <w:rPr/>
        <w:t>(mean</w:t>
      </w:r>
      <w:r>
        <w:rPr>
          <w:spacing w:val="-2"/>
        </w:rPr>
        <w:t> </w:t>
      </w:r>
      <w:r>
        <w:rPr/>
        <w:t>score</w:t>
      </w:r>
      <w:r>
        <w:rPr>
          <w:spacing w:val="-4"/>
        </w:rPr>
        <w:t> </w:t>
      </w:r>
      <w:r>
        <w:rPr/>
        <w:t>4.14</w:t>
      </w:r>
      <w:r>
        <w:rPr>
          <w:spacing w:val="-1"/>
        </w:rPr>
        <w:t> </w:t>
      </w:r>
      <w:r>
        <w:rPr/>
        <w:t>compared</w:t>
      </w:r>
      <w:r>
        <w:rPr>
          <w:spacing w:val="-3"/>
        </w:rPr>
        <w:t> </w:t>
      </w:r>
      <w:r>
        <w:rPr/>
        <w:t>to</w:t>
      </w:r>
      <w:r>
        <w:rPr>
          <w:spacing w:val="-3"/>
        </w:rPr>
        <w:t> </w:t>
      </w:r>
      <w:r>
        <w:rPr/>
        <w:t>3.87</w:t>
      </w:r>
      <w:r>
        <w:rPr>
          <w:spacing w:val="-3"/>
        </w:rPr>
        <w:t> </w:t>
      </w:r>
      <w:r>
        <w:rPr/>
        <w:t>for</w:t>
      </w:r>
      <w:r>
        <w:rPr>
          <w:spacing w:val="-1"/>
        </w:rPr>
        <w:t> </w:t>
      </w:r>
      <w:r>
        <w:rPr/>
        <w:t>the</w:t>
      </w:r>
      <w:r>
        <w:rPr>
          <w:spacing w:val="-4"/>
        </w:rPr>
        <w:t> </w:t>
      </w:r>
      <w:r>
        <w:rPr/>
        <w:t>previous</w:t>
      </w:r>
      <w:r>
        <w:rPr>
          <w:spacing w:val="-2"/>
        </w:rPr>
        <w:t> </w:t>
      </w:r>
      <w:r>
        <w:rPr/>
        <w:t>market</w:t>
      </w:r>
      <w:r>
        <w:rPr>
          <w:spacing w:val="-3"/>
        </w:rPr>
        <w:t> </w:t>
      </w:r>
      <w:r>
        <w:rPr/>
        <w:t>segment).</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t>Based on the need for this market segment to acquire a vast amount of pre-consumption information, it may behoove the CTB to concert efforts on improving the available information on the CTB site. This recommendation was</w:t>
      </w:r>
      <w:r>
        <w:rPr>
          <w:spacing w:val="-11"/>
        </w:rPr>
        <w:t> </w:t>
      </w:r>
      <w:r>
        <w:rPr/>
        <w:t>also</w:t>
      </w:r>
      <w:r>
        <w:rPr>
          <w:spacing w:val="-10"/>
        </w:rPr>
        <w:t> </w:t>
      </w:r>
      <w:r>
        <w:rPr/>
        <w:t>documented</w:t>
      </w:r>
      <w:r>
        <w:rPr>
          <w:spacing w:val="-10"/>
        </w:rPr>
        <w:t> </w:t>
      </w:r>
      <w:r>
        <w:rPr/>
        <w:t>in</w:t>
      </w:r>
      <w:r>
        <w:rPr>
          <w:spacing w:val="-10"/>
        </w:rPr>
        <w:t> </w:t>
      </w:r>
      <w:r>
        <w:rPr/>
        <w:t>a</w:t>
      </w:r>
      <w:r>
        <w:rPr>
          <w:spacing w:val="-10"/>
        </w:rPr>
        <w:t> </w:t>
      </w:r>
      <w:r>
        <w:rPr/>
        <w:t>previous</w:t>
      </w:r>
      <w:r>
        <w:rPr>
          <w:spacing w:val="-11"/>
        </w:rPr>
        <w:t> </w:t>
      </w:r>
      <w:r>
        <w:rPr/>
        <w:t>DPITS</w:t>
      </w:r>
      <w:r>
        <w:rPr>
          <w:spacing w:val="-11"/>
        </w:rPr>
        <w:t> </w:t>
      </w:r>
      <w:r>
        <w:rPr/>
        <w:t>monthly</w:t>
      </w:r>
      <w:r>
        <w:rPr>
          <w:spacing w:val="-10"/>
        </w:rPr>
        <w:t> </w:t>
      </w:r>
      <w:r>
        <w:rPr/>
        <w:t>report</w:t>
      </w:r>
      <w:r>
        <w:rPr>
          <w:spacing w:val="-10"/>
        </w:rPr>
        <w:t> </w:t>
      </w:r>
      <w:r>
        <w:rPr/>
        <w:t>that</w:t>
      </w:r>
      <w:r>
        <w:rPr>
          <w:spacing w:val="-9"/>
        </w:rPr>
        <w:t> </w:t>
      </w:r>
      <w:r>
        <w:rPr/>
        <w:t>referenced</w:t>
      </w:r>
      <w:r>
        <w:rPr>
          <w:spacing w:val="-4"/>
        </w:rPr>
        <w:t> </w:t>
      </w:r>
      <w:r>
        <w:rPr>
          <w:rFonts w:ascii="Calibri" w:hAnsi="Calibri" w:cs="Calibri" w:eastAsia="Calibri" w:hint="default"/>
        </w:rPr>
        <w:t>the</w:t>
      </w:r>
      <w:r>
        <w:rPr>
          <w:rFonts w:ascii="Calibri" w:hAnsi="Calibri" w:cs="Calibri" w:eastAsia="Calibri" w:hint="default"/>
          <w:spacing w:val="-11"/>
        </w:rPr>
        <w:t> </w:t>
      </w:r>
      <w:r>
        <w:rPr>
          <w:rFonts w:ascii="Calibri" w:hAnsi="Calibri" w:cs="Calibri" w:eastAsia="Calibri" w:hint="default"/>
        </w:rPr>
        <w:t>CTB</w:t>
      </w:r>
      <w:r>
        <w:rPr>
          <w:rFonts w:ascii="Calibri" w:hAnsi="Calibri" w:cs="Calibri" w:eastAsia="Calibri" w:hint="default"/>
          <w:spacing w:val="-11"/>
        </w:rPr>
        <w:t> </w:t>
      </w:r>
      <w:r>
        <w:rPr>
          <w:rFonts w:ascii="Calibri" w:hAnsi="Calibri" w:cs="Calibri" w:eastAsia="Calibri" w:hint="default"/>
        </w:rPr>
        <w:t>websites’</w:t>
      </w:r>
      <w:r>
        <w:rPr>
          <w:rFonts w:ascii="Calibri" w:hAnsi="Calibri" w:cs="Calibri" w:eastAsia="Calibri" w:hint="default"/>
          <w:spacing w:val="-10"/>
        </w:rPr>
        <w:t> </w:t>
      </w:r>
      <w:r>
        <w:rPr>
          <w:rFonts w:ascii="Calibri" w:hAnsi="Calibri" w:cs="Calibri" w:eastAsia="Calibri" w:hint="default"/>
        </w:rPr>
        <w:t>shortcomings</w:t>
      </w:r>
      <w:r>
        <w:rPr/>
        <w:t>.</w:t>
      </w:r>
      <w:r>
        <w:rPr>
          <w:position w:val="5"/>
          <w:sz w:val="12"/>
          <w:szCs w:val="12"/>
        </w:rPr>
        <w:t>64</w:t>
      </w:r>
      <w:r>
        <w:rPr>
          <w:spacing w:val="7"/>
          <w:position w:val="5"/>
          <w:sz w:val="12"/>
          <w:szCs w:val="12"/>
        </w:rPr>
        <w:t> </w:t>
      </w:r>
      <w:r>
        <w:rPr/>
        <w:t>Building </w:t>
      </w:r>
      <w:r>
        <w:rPr/>
        <w:t>and maintaining an up to date website and strong presence on social media platforms is imperative for the destination to nurture the interests and willingness of the market segments (especially the maven tourist) to visit the destination. Additionally, it is necessary for Curaçao</w:t>
      </w:r>
      <w:r>
        <w:rPr>
          <w:rFonts w:ascii="Calibri" w:hAnsi="Calibri" w:cs="Calibri" w:eastAsia="Calibri" w:hint="default"/>
        </w:rPr>
        <w:t>’s tourism businesses to provide up to date, reliable, </w:t>
      </w:r>
      <w:r>
        <w:rPr/>
        <w:t>meaningful, and trustworthy information to positively influence the perception of this segment. The CTB may play a</w:t>
      </w:r>
      <w:r>
        <w:rPr>
          <w:spacing w:val="-3"/>
        </w:rPr>
        <w:t> </w:t>
      </w:r>
      <w:r>
        <w:rPr/>
        <w:t>key</w:t>
      </w:r>
      <w:r>
        <w:rPr>
          <w:spacing w:val="-3"/>
        </w:rPr>
        <w:t> </w:t>
      </w:r>
      <w:r>
        <w:rPr/>
        <w:t>role</w:t>
      </w:r>
      <w:r>
        <w:rPr>
          <w:spacing w:val="-5"/>
        </w:rPr>
        <w:t> </w:t>
      </w:r>
      <w:r>
        <w:rPr/>
        <w:t>in</w:t>
      </w:r>
      <w:r>
        <w:rPr>
          <w:spacing w:val="-3"/>
        </w:rPr>
        <w:t> </w:t>
      </w:r>
      <w:r>
        <w:rPr/>
        <w:t>furnishing</w:t>
      </w:r>
      <w:r>
        <w:rPr>
          <w:spacing w:val="-4"/>
        </w:rPr>
        <w:t> </w:t>
      </w:r>
      <w:r>
        <w:rPr/>
        <w:t>the</w:t>
      </w:r>
      <w:r>
        <w:rPr>
          <w:spacing w:val="-4"/>
        </w:rPr>
        <w:t> </w:t>
      </w:r>
      <w:r>
        <w:rPr/>
        <w:t>private</w:t>
      </w:r>
      <w:r>
        <w:rPr>
          <w:spacing w:val="-4"/>
        </w:rPr>
        <w:t> </w:t>
      </w:r>
      <w:r>
        <w:rPr/>
        <w:t>sector</w:t>
      </w:r>
      <w:r>
        <w:rPr>
          <w:spacing w:val="-3"/>
        </w:rPr>
        <w:t> </w:t>
      </w:r>
      <w:r>
        <w:rPr/>
        <w:t>with</w:t>
      </w:r>
      <w:r>
        <w:rPr>
          <w:spacing w:val="-3"/>
        </w:rPr>
        <w:t> </w:t>
      </w:r>
      <w:r>
        <w:rPr/>
        <w:t>guidance</w:t>
      </w:r>
      <w:r>
        <w:rPr>
          <w:spacing w:val="-5"/>
        </w:rPr>
        <w:t> </w:t>
      </w:r>
      <w:r>
        <w:rPr/>
        <w:t>in</w:t>
      </w:r>
      <w:r>
        <w:rPr>
          <w:spacing w:val="-3"/>
        </w:rPr>
        <w:t> </w:t>
      </w:r>
      <w:r>
        <w:rPr/>
        <w:t>formulating</w:t>
      </w:r>
      <w:r>
        <w:rPr>
          <w:spacing w:val="-4"/>
        </w:rPr>
        <w:t> </w:t>
      </w:r>
      <w:r>
        <w:rPr/>
        <w:t>this</w:t>
      </w:r>
      <w:r>
        <w:rPr>
          <w:spacing w:val="-5"/>
        </w:rPr>
        <w:t> </w:t>
      </w:r>
      <w:r>
        <w:rPr/>
        <w:t>type</w:t>
      </w:r>
      <w:r>
        <w:rPr>
          <w:spacing w:val="-4"/>
        </w:rPr>
        <w:t> </w:t>
      </w:r>
      <w:r>
        <w:rPr/>
        <w:t>of</w:t>
      </w:r>
      <w:r>
        <w:rPr>
          <w:spacing w:val="-5"/>
        </w:rPr>
        <w:t> </w:t>
      </w:r>
      <w:r>
        <w:rPr/>
        <w:t>information.</w:t>
      </w:r>
    </w:p>
    <w:p>
      <w:pPr>
        <w:spacing w:line="240" w:lineRule="auto" w:before="2"/>
        <w:ind w:right="0"/>
        <w:rPr>
          <w:rFonts w:ascii="Calibri" w:hAnsi="Calibri" w:cs="Calibri" w:eastAsia="Calibri" w:hint="default"/>
          <w:sz w:val="20"/>
          <w:szCs w:val="20"/>
        </w:rPr>
      </w:pPr>
    </w:p>
    <w:p>
      <w:pPr>
        <w:pStyle w:val="BodyText"/>
        <w:spacing w:line="240" w:lineRule="auto"/>
        <w:ind w:right="1438"/>
        <w:jc w:val="both"/>
      </w:pPr>
      <w:r>
        <w:rPr/>
        <w:t>In terms of future behavioral intentions with tourists from this segment, an even larger amount of them would like to return to Curaçao (5.01 mean). They would also provide Curaçao with a good reference (5.23), would consider Curaçao</w:t>
      </w:r>
      <w:r>
        <w:rPr>
          <w:spacing w:val="-11"/>
        </w:rPr>
        <w:t> </w:t>
      </w:r>
      <w:r>
        <w:rPr/>
        <w:t>as</w:t>
      </w:r>
      <w:r>
        <w:rPr>
          <w:spacing w:val="-12"/>
        </w:rPr>
        <w:t> </w:t>
      </w:r>
      <w:r>
        <w:rPr/>
        <w:t>a</w:t>
      </w:r>
      <w:r>
        <w:rPr>
          <w:spacing w:val="-10"/>
        </w:rPr>
        <w:t> </w:t>
      </w:r>
      <w:r>
        <w:rPr/>
        <w:t>first</w:t>
      </w:r>
      <w:r>
        <w:rPr>
          <w:spacing w:val="-11"/>
        </w:rPr>
        <w:t> </w:t>
      </w:r>
      <w:r>
        <w:rPr/>
        <w:t>destination</w:t>
      </w:r>
      <w:r>
        <w:rPr>
          <w:spacing w:val="-11"/>
        </w:rPr>
        <w:t> </w:t>
      </w:r>
      <w:r>
        <w:rPr/>
        <w:t>(4.1</w:t>
      </w:r>
      <w:r>
        <w:rPr>
          <w:spacing w:val="-12"/>
        </w:rPr>
        <w:t> </w:t>
      </w:r>
      <w:r>
        <w:rPr/>
        <w:t>compared</w:t>
      </w:r>
      <w:r>
        <w:rPr>
          <w:spacing w:val="-11"/>
        </w:rPr>
        <w:t> </w:t>
      </w:r>
      <w:r>
        <w:rPr/>
        <w:t>to</w:t>
      </w:r>
      <w:r>
        <w:rPr>
          <w:spacing w:val="-11"/>
        </w:rPr>
        <w:t> </w:t>
      </w:r>
      <w:r>
        <w:rPr/>
        <w:t>3.76),</w:t>
      </w:r>
      <w:r>
        <w:rPr>
          <w:spacing w:val="-12"/>
        </w:rPr>
        <w:t> </w:t>
      </w:r>
      <w:r>
        <w:rPr/>
        <w:t>and</w:t>
      </w:r>
      <w:r>
        <w:rPr>
          <w:spacing w:val="-11"/>
        </w:rPr>
        <w:t> </w:t>
      </w:r>
      <w:r>
        <w:rPr/>
        <w:t>would</w:t>
      </w:r>
      <w:r>
        <w:rPr>
          <w:spacing w:val="-11"/>
        </w:rPr>
        <w:t> </w:t>
      </w:r>
      <w:r>
        <w:rPr/>
        <w:t>encourage</w:t>
      </w:r>
      <w:r>
        <w:rPr>
          <w:spacing w:val="-11"/>
        </w:rPr>
        <w:t> </w:t>
      </w:r>
      <w:r>
        <w:rPr/>
        <w:t>friends</w:t>
      </w:r>
      <w:r>
        <w:rPr>
          <w:spacing w:val="-11"/>
        </w:rPr>
        <w:t> </w:t>
      </w:r>
      <w:r>
        <w:rPr/>
        <w:t>and</w:t>
      </w:r>
      <w:r>
        <w:rPr>
          <w:spacing w:val="-11"/>
        </w:rPr>
        <w:t> </w:t>
      </w:r>
      <w:r>
        <w:rPr/>
        <w:t>families</w:t>
      </w:r>
      <w:r>
        <w:rPr>
          <w:spacing w:val="-11"/>
        </w:rPr>
        <w:t> </w:t>
      </w:r>
      <w:r>
        <w:rPr/>
        <w:t>to</w:t>
      </w:r>
      <w:r>
        <w:rPr>
          <w:spacing w:val="-11"/>
        </w:rPr>
        <w:t> </w:t>
      </w:r>
      <w:r>
        <w:rPr/>
        <w:t>visit</w:t>
      </w:r>
      <w:r>
        <w:rPr>
          <w:spacing w:val="-2"/>
        </w:rPr>
        <w:t> </w:t>
      </w:r>
      <w:r>
        <w:rPr/>
        <w:t>Curaçao</w:t>
      </w:r>
      <w:r>
        <w:rPr>
          <w:spacing w:val="-11"/>
        </w:rPr>
        <w:t> </w:t>
      </w:r>
      <w:r>
        <w:rPr/>
        <w:t>(4.87 </w:t>
      </w:r>
      <w:r>
        <w:rPr/>
        <w:t>compared to</w:t>
      </w:r>
      <w:r>
        <w:rPr>
          <w:spacing w:val="-7"/>
        </w:rPr>
        <w:t> </w:t>
      </w:r>
      <w:r>
        <w:rPr/>
        <w:t>4.5).</w:t>
      </w:r>
    </w:p>
    <w:p>
      <w:pPr>
        <w:pStyle w:val="Heading2"/>
        <w:spacing w:line="240" w:lineRule="auto" w:before="37"/>
        <w:ind w:right="0"/>
        <w:jc w:val="both"/>
        <w:rPr>
          <w:rFonts w:ascii="Calibri" w:hAnsi="Calibri" w:cs="Calibri" w:eastAsia="Calibri" w:hint="default"/>
          <w:b w:val="0"/>
          <w:bCs w:val="0"/>
        </w:rPr>
      </w:pPr>
      <w:bookmarkStart w:name="_bookmark142" w:id="143"/>
      <w:bookmarkEnd w:id="143"/>
      <w:r>
        <w:rPr>
          <w:b w:val="0"/>
          <w:bCs w:val="0"/>
        </w:rPr>
      </w:r>
      <w:r>
        <w:rPr>
          <w:rFonts w:ascii="Calibri" w:hAnsi="Calibri" w:cs="Calibri" w:eastAsia="Calibri" w:hint="default"/>
        </w:rPr>
        <w:t>“</w:t>
      </w:r>
      <w:r>
        <w:rPr/>
        <w:t>Curaçao, a different Dutch</w:t>
      </w:r>
      <w:r>
        <w:rPr>
          <w:spacing w:val="-18"/>
        </w:rPr>
        <w:t> </w:t>
      </w:r>
      <w:r>
        <w:rPr/>
        <w:t>Caribbean</w:t>
      </w:r>
      <w:r>
        <w:rPr>
          <w:rFonts w:ascii="Calibri" w:hAnsi="Calibri" w:cs="Calibri" w:eastAsia="Calibri" w:hint="default"/>
        </w:rPr>
        <w:t>”</w:t>
      </w:r>
      <w:r>
        <w:rPr>
          <w:rFonts w:ascii="Calibri" w:hAnsi="Calibri" w:cs="Calibri" w:eastAsia="Calibri" w:hint="default"/>
          <w:b w:val="0"/>
          <w:bCs w:val="0"/>
        </w:rPr>
      </w:r>
    </w:p>
    <w:p>
      <w:pPr>
        <w:pStyle w:val="BodyText"/>
        <w:spacing w:line="240" w:lineRule="auto" w:before="189"/>
        <w:ind w:right="1437"/>
        <w:jc w:val="both"/>
      </w:pPr>
      <w:r>
        <w:rPr/>
        <w:t>The two identified market segments, innovative American tourists and quality, market maven American tourists, reveal that these tourists do not have complaints pertaining to the overall value and quality of the Curaçao tourism product. The market segments also reveal that, overall, they were satisfied with the destination and the Caribbean experience they received in Curaçao. The majority of the tourists from both segments came to Curaçao for the Caribbean experience of great weather and the</w:t>
      </w:r>
      <w:r>
        <w:rPr>
          <w:spacing w:val="-22"/>
        </w:rPr>
        <w:t> </w:t>
      </w:r>
      <w:r>
        <w:rPr/>
        <w:t>beach.</w:t>
      </w:r>
    </w:p>
    <w:p>
      <w:pPr>
        <w:spacing w:line="240" w:lineRule="auto" w:before="12"/>
        <w:ind w:right="0"/>
        <w:rPr>
          <w:rFonts w:ascii="Calibri" w:hAnsi="Calibri" w:cs="Calibri" w:eastAsia="Calibri" w:hint="default"/>
          <w:sz w:val="19"/>
          <w:szCs w:val="19"/>
        </w:rPr>
      </w:pPr>
    </w:p>
    <w:p>
      <w:pPr>
        <w:pStyle w:val="BodyText"/>
        <w:spacing w:line="240" w:lineRule="auto"/>
        <w:ind w:right="1436"/>
        <w:jc w:val="both"/>
      </w:pPr>
      <w:r>
        <w:rPr/>
        <w:t>Both of the market segments were deemed as innovative travelers that desire to try new and different activities/destinations/products (See Table 46). This is fortuitous information for Curaçao in that the destination is not well </w:t>
      </w:r>
      <w:r>
        <w:rPr>
          <w:rFonts w:ascii="Calibri" w:hAnsi="Calibri" w:cs="Calibri" w:eastAsia="Calibri" w:hint="default"/>
        </w:rPr>
        <w:t>known in the American market. Therefore, the destination is qualified as “different.” Hence, the slogan, “</w:t>
      </w:r>
      <w:r>
        <w:rPr/>
        <w:t>Curaçao</w:t>
      </w:r>
      <w:r>
        <w:rPr>
          <w:rFonts w:ascii="Calibri" w:hAnsi="Calibri" w:cs="Calibri" w:eastAsia="Calibri" w:hint="default"/>
        </w:rPr>
        <w:t>, a different Dutch Caribbean.” The slogan represents the desire of both of these markets to sample new </w:t>
      </w:r>
      <w:r>
        <w:rPr/>
        <w:t>products, </w:t>
      </w:r>
      <w:r>
        <w:rPr>
          <w:rFonts w:ascii="Calibri" w:hAnsi="Calibri" w:cs="Calibri" w:eastAsia="Calibri" w:hint="default"/>
        </w:rPr>
        <w:t>but also captures the Caribbean that is branded as sun, sand, and sea destinations. The use of “Dutch” </w:t>
      </w:r>
      <w:r>
        <w:rPr/>
        <w:t>affords Curaçao the safety and high-quality perspectives that are associated with other Dutch</w:t>
      </w:r>
      <w:r>
        <w:rPr>
          <w:spacing w:val="-28"/>
        </w:rPr>
        <w:t> </w:t>
      </w:r>
      <w:r>
        <w:rPr/>
        <w:t>islands.</w:t>
      </w:r>
    </w:p>
    <w:p>
      <w:pPr>
        <w:spacing w:line="240" w:lineRule="auto" w:before="1"/>
        <w:ind w:right="0"/>
        <w:rPr>
          <w:rFonts w:ascii="Calibri" w:hAnsi="Calibri" w:cs="Calibri" w:eastAsia="Calibri" w:hint="default"/>
          <w:sz w:val="20"/>
          <w:szCs w:val="20"/>
        </w:rPr>
      </w:pPr>
    </w:p>
    <w:p>
      <w:pPr>
        <w:pStyle w:val="BodyText"/>
        <w:spacing w:line="240" w:lineRule="auto"/>
        <w:ind w:right="1438"/>
        <w:jc w:val="both"/>
      </w:pPr>
      <w:r>
        <w:rPr/>
        <w:t>With</w:t>
      </w:r>
      <w:r>
        <w:rPr>
          <w:spacing w:val="-4"/>
        </w:rPr>
        <w:t> </w:t>
      </w:r>
      <w:r>
        <w:rPr/>
        <w:t>regard</w:t>
      </w:r>
      <w:r>
        <w:rPr>
          <w:spacing w:val="-5"/>
        </w:rPr>
        <w:t> </w:t>
      </w:r>
      <w:r>
        <w:rPr/>
        <w:t>to</w:t>
      </w:r>
      <w:r>
        <w:rPr>
          <w:spacing w:val="-7"/>
        </w:rPr>
        <w:t> </w:t>
      </w:r>
      <w:r>
        <w:rPr/>
        <w:t>the</w:t>
      </w:r>
      <w:r>
        <w:rPr>
          <w:spacing w:val="-6"/>
        </w:rPr>
        <w:t> </w:t>
      </w:r>
      <w:r>
        <w:rPr/>
        <w:t>construction</w:t>
      </w:r>
      <w:r>
        <w:rPr>
          <w:spacing w:val="-5"/>
        </w:rPr>
        <w:t> </w:t>
      </w:r>
      <w:r>
        <w:rPr/>
        <w:t>of</w:t>
      </w:r>
      <w:r>
        <w:rPr>
          <w:spacing w:val="-6"/>
        </w:rPr>
        <w:t> </w:t>
      </w:r>
      <w:r>
        <w:rPr/>
        <w:t>future</w:t>
      </w:r>
      <w:r>
        <w:rPr>
          <w:spacing w:val="-6"/>
        </w:rPr>
        <w:t> </w:t>
      </w:r>
      <w:r>
        <w:rPr/>
        <w:t>advertising</w:t>
      </w:r>
      <w:r>
        <w:rPr>
          <w:spacing w:val="-6"/>
        </w:rPr>
        <w:t> </w:t>
      </w:r>
      <w:r>
        <w:rPr/>
        <w:t>materials</w:t>
      </w:r>
      <w:r>
        <w:rPr>
          <w:spacing w:val="-7"/>
        </w:rPr>
        <w:t> </w:t>
      </w:r>
      <w:r>
        <w:rPr/>
        <w:t>for</w:t>
      </w:r>
      <w:r>
        <w:rPr>
          <w:spacing w:val="-5"/>
        </w:rPr>
        <w:t> </w:t>
      </w:r>
      <w:r>
        <w:rPr/>
        <w:t>these</w:t>
      </w:r>
      <w:r>
        <w:rPr>
          <w:spacing w:val="-6"/>
        </w:rPr>
        <w:t> </w:t>
      </w:r>
      <w:r>
        <w:rPr/>
        <w:t>two</w:t>
      </w:r>
      <w:r>
        <w:rPr>
          <w:spacing w:val="-5"/>
        </w:rPr>
        <w:t> </w:t>
      </w:r>
      <w:r>
        <w:rPr/>
        <w:t>segments,</w:t>
      </w:r>
      <w:r>
        <w:rPr>
          <w:spacing w:val="-5"/>
        </w:rPr>
        <w:t> </w:t>
      </w:r>
      <w:r>
        <w:rPr/>
        <w:t>it</w:t>
      </w:r>
      <w:r>
        <w:rPr>
          <w:spacing w:val="-5"/>
        </w:rPr>
        <w:t> </w:t>
      </w:r>
      <w:r>
        <w:rPr/>
        <w:t>is</w:t>
      </w:r>
      <w:r>
        <w:rPr>
          <w:spacing w:val="-7"/>
        </w:rPr>
        <w:t> </w:t>
      </w:r>
      <w:r>
        <w:rPr/>
        <w:t>important</w:t>
      </w:r>
      <w:r>
        <w:rPr>
          <w:spacing w:val="-5"/>
        </w:rPr>
        <w:t> </w:t>
      </w:r>
      <w:r>
        <w:rPr/>
        <w:t>to</w:t>
      </w:r>
      <w:r>
        <w:rPr>
          <w:spacing w:val="-7"/>
        </w:rPr>
        <w:t> </w:t>
      </w:r>
      <w:r>
        <w:rPr/>
        <w:t>remember </w:t>
      </w:r>
      <w:r>
        <w:rPr/>
        <w:t>that the markets seem to have a higher price threshold than other markets that Curaçao currently services. Therefore, as long as the tourism products represent a high-quality product, these groups will appreciate the value of different, non-branded, high-quality</w:t>
      </w:r>
      <w:r>
        <w:rPr>
          <w:spacing w:val="-17"/>
        </w:rPr>
        <w:t> </w:t>
      </w:r>
      <w:r>
        <w:rPr/>
        <w:t>products.</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t>It is also very important for the CTB to identify the particular needs of one of the segments that included market mavens. This market segment has a high need and desire to acquire large amounts of information regarding the destination prior to their consumption of the island. This group also has a high propensity to recommend the island via</w:t>
      </w:r>
      <w:r>
        <w:rPr>
          <w:spacing w:val="-8"/>
        </w:rPr>
        <w:t> </w:t>
      </w:r>
      <w:r>
        <w:rPr/>
        <w:t>social</w:t>
      </w:r>
      <w:r>
        <w:rPr>
          <w:spacing w:val="-6"/>
        </w:rPr>
        <w:t> </w:t>
      </w:r>
      <w:r>
        <w:rPr/>
        <w:t>media</w:t>
      </w:r>
      <w:r>
        <w:rPr>
          <w:spacing w:val="-8"/>
        </w:rPr>
        <w:t> </w:t>
      </w:r>
      <w:r>
        <w:rPr/>
        <w:t>and</w:t>
      </w:r>
      <w:r>
        <w:rPr>
          <w:spacing w:val="-7"/>
        </w:rPr>
        <w:t> </w:t>
      </w:r>
      <w:r>
        <w:rPr/>
        <w:t>other</w:t>
      </w:r>
      <w:r>
        <w:rPr>
          <w:spacing w:val="-8"/>
        </w:rPr>
        <w:t> </w:t>
      </w:r>
      <w:r>
        <w:rPr/>
        <w:t>forms</w:t>
      </w:r>
      <w:r>
        <w:rPr>
          <w:spacing w:val="-9"/>
        </w:rPr>
        <w:t> </w:t>
      </w:r>
      <w:r>
        <w:rPr/>
        <w:t>of</w:t>
      </w:r>
      <w:r>
        <w:rPr>
          <w:spacing w:val="-6"/>
        </w:rPr>
        <w:t> </w:t>
      </w:r>
      <w:r>
        <w:rPr/>
        <w:t>word-of-mouth</w:t>
      </w:r>
      <w:r>
        <w:rPr>
          <w:spacing w:val="-7"/>
        </w:rPr>
        <w:t> </w:t>
      </w:r>
      <w:r>
        <w:rPr/>
        <w:t>recommendations</w:t>
      </w:r>
      <w:r>
        <w:rPr>
          <w:spacing w:val="-9"/>
        </w:rPr>
        <w:t> </w:t>
      </w:r>
      <w:r>
        <w:rPr/>
        <w:t>post</w:t>
      </w:r>
      <w:r>
        <w:rPr>
          <w:spacing w:val="-7"/>
        </w:rPr>
        <w:t> </w:t>
      </w:r>
      <w:r>
        <w:rPr/>
        <w:t>consumption</w:t>
      </w:r>
      <w:r>
        <w:rPr>
          <w:spacing w:val="-7"/>
        </w:rPr>
        <w:t> </w:t>
      </w:r>
      <w:r>
        <w:rPr/>
        <w:t>of</w:t>
      </w:r>
      <w:r>
        <w:rPr>
          <w:spacing w:val="-8"/>
        </w:rPr>
        <w:t> </w:t>
      </w:r>
      <w:r>
        <w:rPr/>
        <w:t>Curaçao.</w:t>
      </w:r>
      <w:r>
        <w:rPr>
          <w:spacing w:val="31"/>
        </w:rPr>
        <w:t> </w:t>
      </w:r>
      <w:r>
        <w:rPr/>
        <w:t>Therefore,</w:t>
      </w:r>
      <w:r>
        <w:rPr>
          <w:spacing w:val="-7"/>
        </w:rPr>
        <w:t> </w:t>
      </w:r>
      <w:r>
        <w:rPr/>
        <w:t>the </w:t>
      </w:r>
      <w:r>
        <w:rPr/>
        <w:t>CTB</w:t>
      </w:r>
      <w:r>
        <w:rPr>
          <w:spacing w:val="-3"/>
        </w:rPr>
        <w:t> </w:t>
      </w:r>
      <w:r>
        <w:rPr/>
        <w:t>needs</w:t>
      </w:r>
      <w:r>
        <w:rPr>
          <w:spacing w:val="-4"/>
        </w:rPr>
        <w:t> </w:t>
      </w:r>
      <w:r>
        <w:rPr/>
        <w:t>to</w:t>
      </w:r>
      <w:r>
        <w:rPr>
          <w:spacing w:val="-2"/>
        </w:rPr>
        <w:t> </w:t>
      </w:r>
      <w:r>
        <w:rPr/>
        <w:t>streamline</w:t>
      </w:r>
      <w:r>
        <w:rPr>
          <w:spacing w:val="-3"/>
        </w:rPr>
        <w:t> </w:t>
      </w:r>
      <w:r>
        <w:rPr/>
        <w:t>a</w:t>
      </w:r>
      <w:r>
        <w:rPr>
          <w:spacing w:val="-2"/>
        </w:rPr>
        <w:t> </w:t>
      </w:r>
      <w:r>
        <w:rPr/>
        <w:t>process</w:t>
      </w:r>
      <w:r>
        <w:rPr>
          <w:spacing w:val="-4"/>
        </w:rPr>
        <w:t> </w:t>
      </w:r>
      <w:r>
        <w:rPr/>
        <w:t>for</w:t>
      </w:r>
      <w:r>
        <w:rPr>
          <w:spacing w:val="-2"/>
        </w:rPr>
        <w:t> </w:t>
      </w:r>
      <w:r>
        <w:rPr/>
        <w:t>types</w:t>
      </w:r>
      <w:r>
        <w:rPr>
          <w:spacing w:val="-4"/>
        </w:rPr>
        <w:t> </w:t>
      </w:r>
      <w:r>
        <w:rPr/>
        <w:t>of</w:t>
      </w:r>
      <w:r>
        <w:rPr>
          <w:spacing w:val="-4"/>
        </w:rPr>
        <w:t> </w:t>
      </w:r>
      <w:r>
        <w:rPr/>
        <w:t>travelers</w:t>
      </w:r>
      <w:r>
        <w:rPr>
          <w:spacing w:val="1"/>
        </w:rPr>
        <w:t> </w:t>
      </w:r>
      <w:r>
        <w:rPr/>
        <w:t>like this</w:t>
      </w:r>
      <w:r>
        <w:rPr>
          <w:spacing w:val="-4"/>
        </w:rPr>
        <w:t> </w:t>
      </w:r>
      <w:r>
        <w:rPr/>
        <w:t>to</w:t>
      </w:r>
      <w:r>
        <w:rPr>
          <w:spacing w:val="-2"/>
        </w:rPr>
        <w:t> </w:t>
      </w:r>
      <w:r>
        <w:rPr/>
        <w:t>have</w:t>
      </w:r>
      <w:r>
        <w:rPr>
          <w:spacing w:val="-3"/>
        </w:rPr>
        <w:t> </w:t>
      </w:r>
      <w:r>
        <w:rPr/>
        <w:t>efficient</w:t>
      </w:r>
      <w:r>
        <w:rPr>
          <w:spacing w:val="-2"/>
        </w:rPr>
        <w:t> </w:t>
      </w:r>
      <w:r>
        <w:rPr/>
        <w:t>access</w:t>
      </w:r>
      <w:r>
        <w:rPr>
          <w:spacing w:val="-4"/>
        </w:rPr>
        <w:t> </w:t>
      </w:r>
      <w:r>
        <w:rPr/>
        <w:t>to</w:t>
      </w:r>
      <w:r>
        <w:rPr>
          <w:spacing w:val="-2"/>
        </w:rPr>
        <w:t> </w:t>
      </w:r>
      <w:r>
        <w:rPr/>
        <w:t>in-depth</w:t>
      </w:r>
      <w:r>
        <w:rPr>
          <w:spacing w:val="-2"/>
        </w:rPr>
        <w:t> </w:t>
      </w:r>
      <w:r>
        <w:rPr/>
        <w:t>information.</w:t>
      </w:r>
    </w:p>
    <w:p>
      <w:pPr>
        <w:pStyle w:val="BodyText"/>
        <w:spacing w:line="240" w:lineRule="auto"/>
        <w:ind w:left="1486" w:right="0"/>
        <w:jc w:val="both"/>
      </w:pPr>
      <w:r>
        <w:rPr/>
        <w:t>See Table 46 for a comparison between the two market</w:t>
      </w:r>
      <w:r>
        <w:rPr>
          <w:spacing w:val="-27"/>
        </w:rPr>
        <w:t> </w:t>
      </w:r>
      <w:r>
        <w:rPr/>
        <w:t>segments.</w:t>
      </w:r>
    </w:p>
    <w:p>
      <w:pPr>
        <w:spacing w:line="240" w:lineRule="auto" w:before="0"/>
        <w:ind w:right="0"/>
        <w:rPr>
          <w:rFonts w:ascii="Calibri" w:hAnsi="Calibri" w:cs="Calibri" w:eastAsia="Calibri" w:hint="default"/>
          <w:sz w:val="20"/>
          <w:szCs w:val="20"/>
        </w:rPr>
      </w:pPr>
    </w:p>
    <w:p>
      <w:pPr>
        <w:spacing w:line="240" w:lineRule="auto" w:before="5" w:after="0"/>
        <w:ind w:right="0"/>
        <w:rPr>
          <w:rFonts w:ascii="Calibri" w:hAnsi="Calibri" w:cs="Calibri" w:eastAsia="Calibri" w:hint="default"/>
          <w:sz w:val="20"/>
          <w:szCs w:val="20"/>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2" w:lineRule="auto" w:before="91"/>
        <w:ind w:left="1440" w:right="1464" w:firstLine="0"/>
        <w:jc w:val="both"/>
        <w:rPr>
          <w:rFonts w:ascii="Calibri" w:hAnsi="Calibri" w:cs="Calibri" w:eastAsia="Calibri" w:hint="default"/>
          <w:sz w:val="16"/>
          <w:szCs w:val="16"/>
        </w:rPr>
      </w:pPr>
      <w:r>
        <w:rPr>
          <w:rFonts w:ascii="Calibri" w:hAnsi="Calibri" w:cs="Calibri" w:eastAsia="Calibri" w:hint="default"/>
          <w:position w:val="5"/>
          <w:sz w:val="12"/>
          <w:szCs w:val="12"/>
        </w:rPr>
        <w:t>64 </w:t>
      </w:r>
      <w:r>
        <w:rPr>
          <w:rFonts w:ascii="Calibri" w:hAnsi="Calibri" w:cs="Calibri" w:eastAsia="Calibri" w:hint="default"/>
          <w:sz w:val="16"/>
          <w:szCs w:val="16"/>
        </w:rPr>
        <w:t>In our monthly report 5, we performed a descriptive comparative analysis of different dimensions of website design. The report shares some </w:t>
      </w:r>
      <w:r>
        <w:rPr>
          <w:rFonts w:ascii="Calibri" w:hAnsi="Calibri" w:cs="Calibri" w:eastAsia="Calibri" w:hint="default"/>
          <w:sz w:val="16"/>
          <w:szCs w:val="16"/>
        </w:rPr>
        <w:t>knowledge about status quo and potential improvement areas for the Curaçao Tourism official website. Four principal dimensions were used to assess</w:t>
      </w:r>
      <w:r>
        <w:rPr>
          <w:rFonts w:ascii="Calibri" w:hAnsi="Calibri" w:cs="Calibri" w:eastAsia="Calibri" w:hint="default"/>
          <w:spacing w:val="-4"/>
          <w:sz w:val="16"/>
          <w:szCs w:val="16"/>
        </w:rPr>
        <w:t> </w:t>
      </w:r>
      <w:r>
        <w:rPr>
          <w:rFonts w:ascii="Calibri" w:hAnsi="Calibri" w:cs="Calibri" w:eastAsia="Calibri" w:hint="default"/>
          <w:sz w:val="16"/>
          <w:szCs w:val="16"/>
        </w:rPr>
        <w:t>the</w:t>
      </w:r>
      <w:r>
        <w:rPr>
          <w:rFonts w:ascii="Calibri" w:hAnsi="Calibri" w:cs="Calibri" w:eastAsia="Calibri" w:hint="default"/>
          <w:spacing w:val="-5"/>
          <w:sz w:val="16"/>
          <w:szCs w:val="16"/>
        </w:rPr>
        <w:t> </w:t>
      </w:r>
      <w:r>
        <w:rPr>
          <w:rFonts w:ascii="Calibri" w:hAnsi="Calibri" w:cs="Calibri" w:eastAsia="Calibri" w:hint="default"/>
          <w:sz w:val="16"/>
          <w:szCs w:val="16"/>
        </w:rPr>
        <w:t>website.</w:t>
      </w:r>
      <w:r>
        <w:rPr>
          <w:rFonts w:ascii="Calibri" w:hAnsi="Calibri" w:cs="Calibri" w:eastAsia="Calibri" w:hint="default"/>
          <w:spacing w:val="-3"/>
          <w:sz w:val="16"/>
          <w:szCs w:val="16"/>
        </w:rPr>
        <w:t> </w:t>
      </w:r>
      <w:r>
        <w:rPr>
          <w:rFonts w:ascii="Calibri" w:hAnsi="Calibri" w:cs="Calibri" w:eastAsia="Calibri" w:hint="default"/>
          <w:sz w:val="16"/>
          <w:szCs w:val="16"/>
        </w:rPr>
        <w:t>These</w:t>
      </w:r>
      <w:r>
        <w:rPr>
          <w:rFonts w:ascii="Calibri" w:hAnsi="Calibri" w:cs="Calibri" w:eastAsia="Calibri" w:hint="default"/>
          <w:spacing w:val="-5"/>
          <w:sz w:val="16"/>
          <w:szCs w:val="16"/>
        </w:rPr>
        <w:t> </w:t>
      </w:r>
      <w:r>
        <w:rPr>
          <w:rFonts w:ascii="Calibri" w:hAnsi="Calibri" w:cs="Calibri" w:eastAsia="Calibri" w:hint="default"/>
          <w:sz w:val="16"/>
          <w:szCs w:val="16"/>
        </w:rPr>
        <w:t>dimensions</w:t>
      </w:r>
      <w:r>
        <w:rPr>
          <w:rFonts w:ascii="Calibri" w:hAnsi="Calibri" w:cs="Calibri" w:eastAsia="Calibri" w:hint="default"/>
          <w:spacing w:val="-2"/>
          <w:sz w:val="16"/>
          <w:szCs w:val="16"/>
        </w:rPr>
        <w:t> </w:t>
      </w:r>
      <w:r>
        <w:rPr>
          <w:rFonts w:ascii="Calibri" w:hAnsi="Calibri" w:cs="Calibri" w:eastAsia="Calibri" w:hint="default"/>
          <w:sz w:val="16"/>
          <w:szCs w:val="16"/>
        </w:rPr>
        <w:t>included:</w:t>
      </w:r>
      <w:r>
        <w:rPr>
          <w:rFonts w:ascii="Calibri" w:hAnsi="Calibri" w:cs="Calibri" w:eastAsia="Calibri" w:hint="default"/>
          <w:spacing w:val="-4"/>
          <w:sz w:val="16"/>
          <w:szCs w:val="16"/>
        </w:rPr>
        <w:t> </w:t>
      </w:r>
      <w:r>
        <w:rPr>
          <w:rFonts w:ascii="Calibri" w:hAnsi="Calibri" w:cs="Calibri" w:eastAsia="Calibri" w:hint="default"/>
          <w:sz w:val="16"/>
          <w:szCs w:val="16"/>
        </w:rPr>
        <w:t>“attributes”,</w:t>
      </w:r>
      <w:r>
        <w:rPr>
          <w:rFonts w:ascii="Calibri" w:hAnsi="Calibri" w:cs="Calibri" w:eastAsia="Calibri" w:hint="default"/>
          <w:spacing w:val="-3"/>
          <w:sz w:val="16"/>
          <w:szCs w:val="16"/>
        </w:rPr>
        <w:t> </w:t>
      </w:r>
      <w:r>
        <w:rPr>
          <w:rFonts w:ascii="Calibri" w:hAnsi="Calibri" w:cs="Calibri" w:eastAsia="Calibri" w:hint="default"/>
          <w:sz w:val="16"/>
          <w:szCs w:val="16"/>
        </w:rPr>
        <w:t>“interactive”,</w:t>
      </w:r>
      <w:r>
        <w:rPr>
          <w:rFonts w:ascii="Calibri" w:hAnsi="Calibri" w:cs="Calibri" w:eastAsia="Calibri" w:hint="default"/>
          <w:spacing w:val="-1"/>
          <w:sz w:val="16"/>
          <w:szCs w:val="16"/>
        </w:rPr>
        <w:t> </w:t>
      </w:r>
      <w:r>
        <w:rPr>
          <w:rFonts w:ascii="Calibri" w:hAnsi="Calibri" w:cs="Calibri" w:eastAsia="Calibri" w:hint="default"/>
          <w:sz w:val="16"/>
          <w:szCs w:val="16"/>
        </w:rPr>
        <w:t>“informative”,</w:t>
      </w:r>
      <w:r>
        <w:rPr>
          <w:rFonts w:ascii="Calibri" w:hAnsi="Calibri" w:cs="Calibri" w:eastAsia="Calibri" w:hint="default"/>
          <w:spacing w:val="-3"/>
          <w:sz w:val="16"/>
          <w:szCs w:val="16"/>
        </w:rPr>
        <w:t> </w:t>
      </w:r>
      <w:r>
        <w:rPr>
          <w:rFonts w:ascii="Calibri" w:hAnsi="Calibri" w:cs="Calibri" w:eastAsia="Calibri" w:hint="default"/>
          <w:sz w:val="16"/>
          <w:szCs w:val="16"/>
        </w:rPr>
        <w:t>and</w:t>
      </w:r>
      <w:r>
        <w:rPr>
          <w:rFonts w:ascii="Calibri" w:hAnsi="Calibri" w:cs="Calibri" w:eastAsia="Calibri" w:hint="default"/>
          <w:spacing w:val="-4"/>
          <w:sz w:val="16"/>
          <w:szCs w:val="16"/>
        </w:rPr>
        <w:t> </w:t>
      </w:r>
      <w:r>
        <w:rPr>
          <w:rFonts w:ascii="Calibri" w:hAnsi="Calibri" w:cs="Calibri" w:eastAsia="Calibri" w:hint="default"/>
          <w:sz w:val="16"/>
          <w:szCs w:val="16"/>
        </w:rPr>
        <w:t>“technical.”</w:t>
      </w:r>
    </w:p>
    <w:p>
      <w:pPr>
        <w:spacing w:line="242" w:lineRule="auto" w:before="0"/>
        <w:ind w:left="1440" w:right="1927" w:firstLine="0"/>
        <w:jc w:val="left"/>
        <w:rPr>
          <w:rFonts w:ascii="Calibri" w:hAnsi="Calibri" w:cs="Calibri" w:eastAsia="Calibri" w:hint="default"/>
          <w:sz w:val="16"/>
          <w:szCs w:val="16"/>
        </w:rPr>
      </w:pPr>
      <w:r>
        <w:rPr>
          <w:rFonts w:ascii="Calibri" w:hAnsi="Calibri" w:cs="Calibri" w:eastAsia="Calibri" w:hint="default"/>
          <w:sz w:val="16"/>
          <w:szCs w:val="16"/>
        </w:rPr>
        <w:t>Eleven destinations’ websites in the Caribbean were carefully analyzed to prepare the analysis. The destinations are as follo</w:t>
      </w:r>
      <w:r>
        <w:rPr>
          <w:rFonts w:ascii="Calibri" w:hAnsi="Calibri" w:cs="Calibri" w:eastAsia="Calibri" w:hint="default"/>
          <w:sz w:val="16"/>
          <w:szCs w:val="16"/>
        </w:rPr>
        <w:t>ws: St. Lucia, Barbados,</w:t>
      </w:r>
      <w:r>
        <w:rPr>
          <w:rFonts w:ascii="Calibri" w:hAnsi="Calibri" w:cs="Calibri" w:eastAsia="Calibri" w:hint="default"/>
          <w:spacing w:val="-3"/>
          <w:sz w:val="16"/>
          <w:szCs w:val="16"/>
        </w:rPr>
        <w:t> </w:t>
      </w:r>
      <w:r>
        <w:rPr>
          <w:rFonts w:ascii="Calibri" w:hAnsi="Calibri" w:cs="Calibri" w:eastAsia="Calibri" w:hint="default"/>
          <w:sz w:val="16"/>
          <w:szCs w:val="16"/>
        </w:rPr>
        <w:t>Bahamas,</w:t>
      </w:r>
      <w:r>
        <w:rPr>
          <w:rFonts w:ascii="Calibri" w:hAnsi="Calibri" w:cs="Calibri" w:eastAsia="Calibri" w:hint="default"/>
          <w:spacing w:val="-3"/>
          <w:sz w:val="16"/>
          <w:szCs w:val="16"/>
        </w:rPr>
        <w:t> </w:t>
      </w:r>
      <w:r>
        <w:rPr>
          <w:rFonts w:ascii="Calibri" w:hAnsi="Calibri" w:cs="Calibri" w:eastAsia="Calibri" w:hint="default"/>
          <w:sz w:val="16"/>
          <w:szCs w:val="16"/>
        </w:rPr>
        <w:t>Cayman</w:t>
      </w:r>
      <w:r>
        <w:rPr>
          <w:rFonts w:ascii="Calibri" w:hAnsi="Calibri" w:cs="Calibri" w:eastAsia="Calibri" w:hint="default"/>
          <w:spacing w:val="-4"/>
          <w:sz w:val="16"/>
          <w:szCs w:val="16"/>
        </w:rPr>
        <w:t> </w:t>
      </w:r>
      <w:r>
        <w:rPr>
          <w:rFonts w:ascii="Calibri" w:hAnsi="Calibri" w:cs="Calibri" w:eastAsia="Calibri" w:hint="default"/>
          <w:sz w:val="16"/>
          <w:szCs w:val="16"/>
        </w:rPr>
        <w:t>Islands,</w:t>
      </w:r>
      <w:r>
        <w:rPr>
          <w:rFonts w:ascii="Calibri" w:hAnsi="Calibri" w:cs="Calibri" w:eastAsia="Calibri" w:hint="default"/>
          <w:spacing w:val="-5"/>
          <w:sz w:val="16"/>
          <w:szCs w:val="16"/>
        </w:rPr>
        <w:t> </w:t>
      </w:r>
      <w:r>
        <w:rPr>
          <w:rFonts w:ascii="Calibri" w:hAnsi="Calibri" w:cs="Calibri" w:eastAsia="Calibri" w:hint="default"/>
          <w:sz w:val="16"/>
          <w:szCs w:val="16"/>
        </w:rPr>
        <w:t>Aruba,</w:t>
      </w:r>
      <w:r>
        <w:rPr>
          <w:rFonts w:ascii="Calibri" w:hAnsi="Calibri" w:cs="Calibri" w:eastAsia="Calibri" w:hint="default"/>
          <w:spacing w:val="-3"/>
          <w:sz w:val="16"/>
          <w:szCs w:val="16"/>
        </w:rPr>
        <w:t> </w:t>
      </w:r>
      <w:r>
        <w:rPr>
          <w:rFonts w:ascii="Calibri" w:hAnsi="Calibri" w:cs="Calibri" w:eastAsia="Calibri" w:hint="default"/>
          <w:sz w:val="16"/>
          <w:szCs w:val="16"/>
        </w:rPr>
        <w:t>Bonaire,</w:t>
      </w:r>
      <w:r>
        <w:rPr>
          <w:rFonts w:ascii="Calibri" w:hAnsi="Calibri" w:cs="Calibri" w:eastAsia="Calibri" w:hint="default"/>
          <w:spacing w:val="-3"/>
          <w:sz w:val="16"/>
          <w:szCs w:val="16"/>
        </w:rPr>
        <w:t> </w:t>
      </w:r>
      <w:r>
        <w:rPr>
          <w:rFonts w:ascii="Calibri" w:hAnsi="Calibri" w:cs="Calibri" w:eastAsia="Calibri" w:hint="default"/>
          <w:sz w:val="16"/>
          <w:szCs w:val="16"/>
        </w:rPr>
        <w:t>Surinam,</w:t>
      </w:r>
      <w:r>
        <w:rPr>
          <w:rFonts w:ascii="Calibri" w:hAnsi="Calibri" w:cs="Calibri" w:eastAsia="Calibri" w:hint="default"/>
          <w:spacing w:val="-3"/>
          <w:sz w:val="16"/>
          <w:szCs w:val="16"/>
        </w:rPr>
        <w:t> </w:t>
      </w:r>
      <w:r>
        <w:rPr>
          <w:rFonts w:ascii="Calibri" w:hAnsi="Calibri" w:cs="Calibri" w:eastAsia="Calibri" w:hint="default"/>
          <w:sz w:val="16"/>
          <w:szCs w:val="16"/>
        </w:rPr>
        <w:t>St.</w:t>
      </w:r>
      <w:r>
        <w:rPr>
          <w:rFonts w:ascii="Calibri" w:hAnsi="Calibri" w:cs="Calibri" w:eastAsia="Calibri" w:hint="default"/>
          <w:spacing w:val="-3"/>
          <w:sz w:val="16"/>
          <w:szCs w:val="16"/>
        </w:rPr>
        <w:t> </w:t>
      </w:r>
      <w:r>
        <w:rPr>
          <w:rFonts w:ascii="Calibri" w:hAnsi="Calibri" w:cs="Calibri" w:eastAsia="Calibri" w:hint="default"/>
          <w:sz w:val="16"/>
          <w:szCs w:val="16"/>
        </w:rPr>
        <w:t>Martin,</w:t>
      </w:r>
      <w:r>
        <w:rPr>
          <w:rFonts w:ascii="Calibri" w:hAnsi="Calibri" w:cs="Calibri" w:eastAsia="Calibri" w:hint="default"/>
          <w:spacing w:val="-3"/>
          <w:sz w:val="16"/>
          <w:szCs w:val="16"/>
        </w:rPr>
        <w:t> </w:t>
      </w:r>
      <w:r>
        <w:rPr>
          <w:rFonts w:ascii="Calibri" w:hAnsi="Calibri" w:cs="Calibri" w:eastAsia="Calibri" w:hint="default"/>
          <w:sz w:val="16"/>
          <w:szCs w:val="16"/>
        </w:rPr>
        <w:t>St.</w:t>
      </w:r>
      <w:r>
        <w:rPr>
          <w:rFonts w:ascii="Calibri" w:hAnsi="Calibri" w:cs="Calibri" w:eastAsia="Calibri" w:hint="default"/>
          <w:spacing w:val="-3"/>
          <w:sz w:val="16"/>
          <w:szCs w:val="16"/>
        </w:rPr>
        <w:t> </w:t>
      </w:r>
      <w:r>
        <w:rPr>
          <w:rFonts w:ascii="Calibri" w:hAnsi="Calibri" w:cs="Calibri" w:eastAsia="Calibri" w:hint="default"/>
          <w:sz w:val="16"/>
          <w:szCs w:val="16"/>
        </w:rPr>
        <w:t>Thomas,</w:t>
      </w:r>
      <w:r>
        <w:rPr>
          <w:rFonts w:ascii="Calibri" w:hAnsi="Calibri" w:cs="Calibri" w:eastAsia="Calibri" w:hint="default"/>
          <w:spacing w:val="-3"/>
          <w:sz w:val="16"/>
          <w:szCs w:val="16"/>
        </w:rPr>
        <w:t> </w:t>
      </w:r>
      <w:r>
        <w:rPr>
          <w:rFonts w:ascii="Calibri" w:hAnsi="Calibri" w:cs="Calibri" w:eastAsia="Calibri" w:hint="default"/>
          <w:sz w:val="16"/>
          <w:szCs w:val="16"/>
        </w:rPr>
        <w:t>Jamaica,</w:t>
      </w:r>
      <w:r>
        <w:rPr>
          <w:rFonts w:ascii="Calibri" w:hAnsi="Calibri" w:cs="Calibri" w:eastAsia="Calibri" w:hint="default"/>
          <w:spacing w:val="-3"/>
          <w:sz w:val="16"/>
          <w:szCs w:val="16"/>
        </w:rPr>
        <w:t> </w:t>
      </w:r>
      <w:r>
        <w:rPr>
          <w:rFonts w:ascii="Calibri" w:hAnsi="Calibri" w:cs="Calibri" w:eastAsia="Calibri" w:hint="default"/>
          <w:sz w:val="16"/>
          <w:szCs w:val="16"/>
        </w:rPr>
        <w:t>and</w:t>
      </w:r>
      <w:r>
        <w:rPr>
          <w:rFonts w:ascii="Calibri" w:hAnsi="Calibri" w:cs="Calibri" w:eastAsia="Calibri" w:hint="default"/>
          <w:spacing w:val="-4"/>
          <w:sz w:val="16"/>
          <w:szCs w:val="16"/>
        </w:rPr>
        <w:t> </w:t>
      </w:r>
      <w:r>
        <w:rPr>
          <w:rFonts w:ascii="Calibri" w:hAnsi="Calibri" w:cs="Calibri" w:eastAsia="Calibri" w:hint="default"/>
          <w:sz w:val="16"/>
          <w:szCs w:val="16"/>
        </w:rPr>
        <w:t>Dominican</w:t>
      </w:r>
      <w:r>
        <w:rPr>
          <w:rFonts w:ascii="Calibri" w:hAnsi="Calibri" w:cs="Calibri" w:eastAsia="Calibri" w:hint="default"/>
          <w:spacing w:val="-7"/>
          <w:sz w:val="16"/>
          <w:szCs w:val="16"/>
        </w:rPr>
        <w:t> </w:t>
      </w:r>
      <w:r>
        <w:rPr>
          <w:rFonts w:ascii="Calibri" w:hAnsi="Calibri" w:cs="Calibri" w:eastAsia="Calibri" w:hint="default"/>
          <w:sz w:val="16"/>
          <w:szCs w:val="16"/>
        </w:rPr>
        <w:t>Republic.</w:t>
      </w:r>
    </w:p>
    <w:p>
      <w:pPr>
        <w:spacing w:after="0" w:line="242"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Heading9"/>
        <w:tabs>
          <w:tab w:pos="3681" w:val="left" w:leader="none"/>
          <w:tab w:pos="10820" w:val="left" w:leader="none"/>
        </w:tabs>
        <w:spacing w:line="240" w:lineRule="auto" w:before="59" w:after="51"/>
        <w:ind w:left="1440" w:right="0"/>
        <w:jc w:val="left"/>
        <w:rPr>
          <w:b w:val="0"/>
          <w:bCs w:val="0"/>
        </w:rPr>
      </w:pPr>
      <w:bookmarkStart w:name="_bookmark143" w:id="144"/>
      <w:bookmarkEnd w:id="144"/>
      <w:r>
        <w:rPr>
          <w:b w:val="0"/>
        </w:rPr>
      </w:r>
      <w:r>
        <w:rPr>
          <w:w w:val="99"/>
        </w:rPr>
      </w:r>
      <w:r>
        <w:rPr>
          <w:w w:val="99"/>
          <w:u w:val="single" w:color="000000"/>
        </w:rPr>
        <w:t> </w:t>
      </w:r>
      <w:r>
        <w:rPr>
          <w:u w:val="single" w:color="000000"/>
        </w:rPr>
        <w:tab/>
        <w:t>Table 46:  Comparison of two suggested American</w:t>
      </w:r>
      <w:r>
        <w:rPr>
          <w:spacing w:val="-23"/>
          <w:u w:val="single" w:color="000000"/>
        </w:rPr>
        <w:t> </w:t>
      </w:r>
      <w:r>
        <w:rPr>
          <w:u w:val="single" w:color="000000"/>
        </w:rPr>
        <w:t>markets</w:t>
        <w:tab/>
      </w:r>
      <w:r>
        <w:rPr/>
      </w:r>
      <w:r>
        <w:rPr>
          <w:b w:val="0"/>
        </w:rPr>
      </w:r>
    </w:p>
    <w:tbl>
      <w:tblPr>
        <w:tblW w:w="0" w:type="auto"/>
        <w:jc w:val="left"/>
        <w:tblInd w:w="1426" w:type="dxa"/>
        <w:tblLayout w:type="fixed"/>
        <w:tblCellMar>
          <w:top w:w="0" w:type="dxa"/>
          <w:left w:w="0" w:type="dxa"/>
          <w:bottom w:w="0" w:type="dxa"/>
          <w:right w:w="0" w:type="dxa"/>
        </w:tblCellMar>
        <w:tblLook w:val="01E0"/>
      </w:tblPr>
      <w:tblGrid>
        <w:gridCol w:w="4812"/>
        <w:gridCol w:w="2280"/>
        <w:gridCol w:w="2302"/>
      </w:tblGrid>
      <w:tr>
        <w:trPr>
          <w:trHeight w:val="452" w:hRule="exact"/>
        </w:trPr>
        <w:tc>
          <w:tcPr>
            <w:tcW w:w="4812" w:type="dxa"/>
            <w:tcBorders>
              <w:top w:val="nil" w:sz="6" w:space="0" w:color="auto"/>
              <w:left w:val="nil" w:sz="6" w:space="0" w:color="auto"/>
              <w:bottom w:val="single" w:sz="4" w:space="0" w:color="000000"/>
              <w:right w:val="nil" w:sz="6" w:space="0" w:color="auto"/>
            </w:tcBorders>
          </w:tcPr>
          <w:p>
            <w:pPr/>
          </w:p>
        </w:tc>
        <w:tc>
          <w:tcPr>
            <w:tcW w:w="2280" w:type="dxa"/>
            <w:tcBorders>
              <w:top w:val="nil" w:sz="6" w:space="0" w:color="auto"/>
              <w:left w:val="nil" w:sz="6" w:space="0" w:color="auto"/>
              <w:bottom w:val="single" w:sz="4" w:space="0" w:color="000000"/>
              <w:right w:val="nil" w:sz="6" w:space="0" w:color="auto"/>
            </w:tcBorders>
          </w:tcPr>
          <w:p>
            <w:pPr>
              <w:pStyle w:val="TableParagraph"/>
              <w:spacing w:line="203" w:lineRule="exact"/>
              <w:ind w:left="77" w:right="0"/>
              <w:jc w:val="center"/>
              <w:rPr>
                <w:rFonts w:ascii="Calibri" w:hAnsi="Calibri" w:cs="Calibri" w:eastAsia="Calibri" w:hint="default"/>
                <w:sz w:val="20"/>
                <w:szCs w:val="20"/>
              </w:rPr>
            </w:pPr>
            <w:r>
              <w:rPr>
                <w:rFonts w:ascii="Calibri"/>
                <w:b/>
                <w:sz w:val="20"/>
              </w:rPr>
              <w:t>Innovative</w:t>
            </w:r>
            <w:r>
              <w:rPr>
                <w:rFonts w:ascii="Calibri"/>
                <w:b/>
                <w:spacing w:val="-11"/>
                <w:sz w:val="20"/>
              </w:rPr>
              <w:t> </w:t>
            </w:r>
            <w:r>
              <w:rPr>
                <w:rFonts w:ascii="Calibri"/>
                <w:b/>
                <w:sz w:val="20"/>
              </w:rPr>
              <w:t>American</w:t>
            </w:r>
            <w:r>
              <w:rPr>
                <w:rFonts w:ascii="Calibri"/>
                <w:sz w:val="20"/>
              </w:rPr>
            </w:r>
          </w:p>
          <w:p>
            <w:pPr>
              <w:pStyle w:val="TableParagraph"/>
              <w:spacing w:line="240" w:lineRule="auto"/>
              <w:ind w:left="78" w:right="0"/>
              <w:jc w:val="center"/>
              <w:rPr>
                <w:rFonts w:ascii="Calibri" w:hAnsi="Calibri" w:cs="Calibri" w:eastAsia="Calibri" w:hint="default"/>
                <w:sz w:val="20"/>
                <w:szCs w:val="20"/>
              </w:rPr>
            </w:pPr>
            <w:r>
              <w:rPr>
                <w:rFonts w:ascii="Calibri"/>
                <w:b/>
                <w:sz w:val="20"/>
              </w:rPr>
              <w:t>Tourist</w:t>
            </w:r>
            <w:r>
              <w:rPr>
                <w:rFonts w:ascii="Calibri"/>
                <w:sz w:val="20"/>
              </w:rPr>
            </w:r>
          </w:p>
        </w:tc>
        <w:tc>
          <w:tcPr>
            <w:tcW w:w="2302" w:type="dxa"/>
            <w:tcBorders>
              <w:top w:val="nil" w:sz="6" w:space="0" w:color="auto"/>
              <w:left w:val="nil" w:sz="6" w:space="0" w:color="auto"/>
              <w:bottom w:val="single" w:sz="4" w:space="0" w:color="000000"/>
              <w:right w:val="nil" w:sz="6" w:space="0" w:color="auto"/>
            </w:tcBorders>
          </w:tcPr>
          <w:p>
            <w:pPr>
              <w:pStyle w:val="TableParagraph"/>
              <w:spacing w:line="203" w:lineRule="exact"/>
              <w:ind w:left="115" w:right="0"/>
              <w:jc w:val="center"/>
              <w:rPr>
                <w:rFonts w:ascii="Calibri" w:hAnsi="Calibri" w:cs="Calibri" w:eastAsia="Calibri" w:hint="default"/>
                <w:sz w:val="20"/>
                <w:szCs w:val="20"/>
              </w:rPr>
            </w:pPr>
            <w:r>
              <w:rPr>
                <w:rFonts w:ascii="Calibri"/>
                <w:b/>
                <w:sz w:val="20"/>
              </w:rPr>
              <w:t>Quality, Market</w:t>
            </w:r>
            <w:r>
              <w:rPr>
                <w:rFonts w:ascii="Calibri"/>
                <w:b/>
                <w:spacing w:val="-7"/>
                <w:sz w:val="20"/>
              </w:rPr>
              <w:t> </w:t>
            </w:r>
            <w:r>
              <w:rPr>
                <w:rFonts w:ascii="Calibri"/>
                <w:b/>
                <w:sz w:val="20"/>
              </w:rPr>
              <w:t>Maven</w:t>
            </w:r>
            <w:r>
              <w:rPr>
                <w:rFonts w:ascii="Calibri"/>
                <w:sz w:val="20"/>
              </w:rPr>
            </w:r>
          </w:p>
          <w:p>
            <w:pPr>
              <w:pStyle w:val="TableParagraph"/>
              <w:spacing w:line="240" w:lineRule="auto"/>
              <w:ind w:left="112" w:right="0"/>
              <w:jc w:val="center"/>
              <w:rPr>
                <w:rFonts w:ascii="Calibri" w:hAnsi="Calibri" w:cs="Calibri" w:eastAsia="Calibri" w:hint="default"/>
                <w:sz w:val="20"/>
                <w:szCs w:val="20"/>
              </w:rPr>
            </w:pPr>
            <w:r>
              <w:rPr>
                <w:rFonts w:ascii="Calibri"/>
                <w:b/>
                <w:sz w:val="20"/>
              </w:rPr>
              <w:t>American</w:t>
            </w:r>
            <w:r>
              <w:rPr>
                <w:rFonts w:ascii="Calibri"/>
                <w:b/>
                <w:spacing w:val="-9"/>
                <w:sz w:val="20"/>
              </w:rPr>
              <w:t> </w:t>
            </w:r>
            <w:r>
              <w:rPr>
                <w:rFonts w:ascii="Calibri"/>
                <w:b/>
                <w:sz w:val="20"/>
              </w:rPr>
              <w:t>Tourist</w:t>
            </w:r>
            <w:r>
              <w:rPr>
                <w:rFonts w:ascii="Calibri"/>
                <w:sz w:val="20"/>
              </w:rPr>
            </w:r>
          </w:p>
        </w:tc>
      </w:tr>
      <w:tr>
        <w:trPr>
          <w:trHeight w:val="297" w:hRule="exact"/>
        </w:trPr>
        <w:tc>
          <w:tcPr>
            <w:tcW w:w="4812"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122" w:right="0"/>
              <w:jc w:val="left"/>
              <w:rPr>
                <w:rFonts w:ascii="Calibri" w:hAnsi="Calibri" w:cs="Calibri" w:eastAsia="Calibri" w:hint="default"/>
                <w:sz w:val="20"/>
                <w:szCs w:val="20"/>
              </w:rPr>
            </w:pPr>
            <w:r>
              <w:rPr>
                <w:rFonts w:ascii="Calibri"/>
                <w:b/>
                <w:sz w:val="20"/>
              </w:rPr>
              <w:t>Market</w:t>
            </w:r>
            <w:r>
              <w:rPr>
                <w:rFonts w:ascii="Calibri"/>
                <w:b/>
                <w:spacing w:val="-4"/>
                <w:sz w:val="20"/>
              </w:rPr>
              <w:t> </w:t>
            </w:r>
            <w:r>
              <w:rPr>
                <w:rFonts w:ascii="Calibri"/>
                <w:b/>
                <w:sz w:val="20"/>
              </w:rPr>
              <w:t>Maven</w:t>
            </w:r>
            <w:r>
              <w:rPr>
                <w:rFonts w:ascii="Calibri"/>
                <w:sz w:val="20"/>
              </w:rPr>
            </w:r>
          </w:p>
        </w:tc>
        <w:tc>
          <w:tcPr>
            <w:tcW w:w="2280"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945"/>
              <w:jc w:val="right"/>
              <w:rPr>
                <w:rFonts w:ascii="Calibri" w:hAnsi="Calibri" w:cs="Calibri" w:eastAsia="Calibri" w:hint="default"/>
                <w:sz w:val="20"/>
                <w:szCs w:val="20"/>
              </w:rPr>
            </w:pPr>
            <w:r>
              <w:rPr>
                <w:rFonts w:ascii="Calibri"/>
                <w:spacing w:val="-1"/>
                <w:sz w:val="20"/>
              </w:rPr>
              <w:t>-----</w:t>
            </w:r>
          </w:p>
        </w:tc>
        <w:tc>
          <w:tcPr>
            <w:tcW w:w="2302" w:type="dxa"/>
            <w:tcBorders>
              <w:top w:val="single" w:sz="4" w:space="0" w:color="000000"/>
              <w:left w:val="nil" w:sz="6" w:space="0" w:color="auto"/>
              <w:bottom w:val="nil" w:sz="6" w:space="0" w:color="auto"/>
              <w:right w:val="nil" w:sz="6" w:space="0" w:color="auto"/>
            </w:tcBorders>
          </w:tcPr>
          <w:p>
            <w:pPr>
              <w:pStyle w:val="TableParagraph"/>
              <w:spacing w:line="240" w:lineRule="auto"/>
              <w:ind w:left="1059"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65" name="image37.png" descr=""/>
                  <wp:cNvGraphicFramePr>
                    <a:graphicFrameLocks noChangeAspect="1"/>
                  </wp:cNvGraphicFramePr>
                  <a:graphic>
                    <a:graphicData uri="http://schemas.openxmlformats.org/drawingml/2006/picture">
                      <pic:pic>
                        <pic:nvPicPr>
                          <pic:cNvPr id="66"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r>
      <w:tr>
        <w:trPr>
          <w:trHeight w:val="300" w:hRule="exact"/>
        </w:trPr>
        <w:tc>
          <w:tcPr>
            <w:tcW w:w="4812" w:type="dxa"/>
            <w:tcBorders>
              <w:top w:val="nil" w:sz="6" w:space="0" w:color="auto"/>
              <w:left w:val="nil" w:sz="6" w:space="0" w:color="auto"/>
              <w:bottom w:val="nil" w:sz="6" w:space="0" w:color="auto"/>
              <w:right w:val="nil" w:sz="6" w:space="0" w:color="auto"/>
            </w:tcBorders>
          </w:tcPr>
          <w:p>
            <w:pPr>
              <w:pStyle w:val="TableParagraph"/>
              <w:spacing w:line="240" w:lineRule="auto" w:before="9"/>
              <w:ind w:left="122" w:right="0"/>
              <w:jc w:val="left"/>
              <w:rPr>
                <w:rFonts w:ascii="Calibri" w:hAnsi="Calibri" w:cs="Calibri" w:eastAsia="Calibri" w:hint="default"/>
                <w:sz w:val="20"/>
                <w:szCs w:val="20"/>
              </w:rPr>
            </w:pPr>
            <w:r>
              <w:rPr>
                <w:rFonts w:ascii="Calibri"/>
                <w:b/>
                <w:sz w:val="20"/>
              </w:rPr>
              <w:t>Quality</w:t>
            </w:r>
            <w:r>
              <w:rPr>
                <w:rFonts w:ascii="Calibri"/>
                <w:b/>
                <w:spacing w:val="-7"/>
                <w:sz w:val="20"/>
              </w:rPr>
              <w:t> </w:t>
            </w:r>
            <w:r>
              <w:rPr>
                <w:rFonts w:ascii="Calibri"/>
                <w:b/>
                <w:sz w:val="20"/>
              </w:rPr>
              <w:t>Conscious</w:t>
            </w:r>
            <w:r>
              <w:rPr>
                <w:rFonts w:ascii="Calibri"/>
                <w:sz w:val="20"/>
              </w:rPr>
            </w:r>
          </w:p>
        </w:tc>
        <w:tc>
          <w:tcPr>
            <w:tcW w:w="2280" w:type="dxa"/>
            <w:tcBorders>
              <w:top w:val="nil" w:sz="6" w:space="0" w:color="auto"/>
              <w:left w:val="nil" w:sz="6" w:space="0" w:color="auto"/>
              <w:bottom w:val="nil" w:sz="6" w:space="0" w:color="auto"/>
              <w:right w:val="nil" w:sz="6" w:space="0" w:color="auto"/>
            </w:tcBorders>
          </w:tcPr>
          <w:p>
            <w:pPr>
              <w:pStyle w:val="TableParagraph"/>
              <w:spacing w:line="240" w:lineRule="auto" w:before="9"/>
              <w:ind w:right="945"/>
              <w:jc w:val="right"/>
              <w:rPr>
                <w:rFonts w:ascii="Calibri" w:hAnsi="Calibri" w:cs="Calibri" w:eastAsia="Calibri" w:hint="default"/>
                <w:sz w:val="20"/>
                <w:szCs w:val="20"/>
              </w:rPr>
            </w:pPr>
            <w:r>
              <w:rPr>
                <w:rFonts w:ascii="Calibri"/>
                <w:spacing w:val="-1"/>
                <w:sz w:val="20"/>
              </w:rPr>
              <w:t>-----</w:t>
            </w:r>
          </w:p>
        </w:tc>
        <w:tc>
          <w:tcPr>
            <w:tcW w:w="2302" w:type="dxa"/>
            <w:tcBorders>
              <w:top w:val="nil" w:sz="6" w:space="0" w:color="auto"/>
              <w:left w:val="nil" w:sz="6" w:space="0" w:color="auto"/>
              <w:bottom w:val="nil" w:sz="6" w:space="0" w:color="auto"/>
              <w:right w:val="nil" w:sz="6" w:space="0" w:color="auto"/>
            </w:tcBorders>
          </w:tcPr>
          <w:p>
            <w:pPr>
              <w:pStyle w:val="TableParagraph"/>
              <w:spacing w:line="240" w:lineRule="auto"/>
              <w:ind w:left="1059"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67" name="image37.png" descr=""/>
                  <wp:cNvGraphicFramePr>
                    <a:graphicFrameLocks noChangeAspect="1"/>
                  </wp:cNvGraphicFramePr>
                  <a:graphic>
                    <a:graphicData uri="http://schemas.openxmlformats.org/drawingml/2006/picture">
                      <pic:pic>
                        <pic:nvPicPr>
                          <pic:cNvPr id="68"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r>
      <w:tr>
        <w:trPr>
          <w:trHeight w:val="271" w:hRule="exact"/>
        </w:trPr>
        <w:tc>
          <w:tcPr>
            <w:tcW w:w="4812" w:type="dxa"/>
            <w:tcBorders>
              <w:top w:val="nil" w:sz="6" w:space="0" w:color="auto"/>
              <w:left w:val="nil" w:sz="6" w:space="0" w:color="auto"/>
              <w:bottom w:val="nil" w:sz="6" w:space="0" w:color="auto"/>
              <w:right w:val="nil" w:sz="6" w:space="0" w:color="auto"/>
            </w:tcBorders>
          </w:tcPr>
          <w:p>
            <w:pPr>
              <w:pStyle w:val="TableParagraph"/>
              <w:spacing w:line="240" w:lineRule="auto" w:before="9"/>
              <w:ind w:left="122" w:right="0"/>
              <w:jc w:val="left"/>
              <w:rPr>
                <w:rFonts w:ascii="Calibri" w:hAnsi="Calibri" w:cs="Calibri" w:eastAsia="Calibri" w:hint="default"/>
                <w:sz w:val="20"/>
                <w:szCs w:val="20"/>
              </w:rPr>
            </w:pPr>
            <w:r>
              <w:rPr>
                <w:rFonts w:ascii="Calibri"/>
                <w:b/>
                <w:sz w:val="20"/>
              </w:rPr>
              <w:t>Pressed for</w:t>
            </w:r>
            <w:r>
              <w:rPr>
                <w:rFonts w:ascii="Calibri"/>
                <w:b/>
                <w:spacing w:val="-10"/>
                <w:sz w:val="20"/>
              </w:rPr>
              <w:t> </w:t>
            </w:r>
            <w:r>
              <w:rPr>
                <w:rFonts w:ascii="Calibri"/>
                <w:b/>
                <w:sz w:val="20"/>
              </w:rPr>
              <w:t>Time</w:t>
            </w:r>
            <w:r>
              <w:rPr>
                <w:rFonts w:ascii="Calibri"/>
                <w:sz w:val="20"/>
              </w:rPr>
            </w:r>
          </w:p>
        </w:tc>
        <w:tc>
          <w:tcPr>
            <w:tcW w:w="2280" w:type="dxa"/>
            <w:tcBorders>
              <w:top w:val="nil" w:sz="6" w:space="0" w:color="auto"/>
              <w:left w:val="nil" w:sz="6" w:space="0" w:color="auto"/>
              <w:bottom w:val="nil" w:sz="6" w:space="0" w:color="auto"/>
              <w:right w:val="nil" w:sz="6" w:space="0" w:color="auto"/>
            </w:tcBorders>
          </w:tcPr>
          <w:p>
            <w:pPr>
              <w:pStyle w:val="TableParagraph"/>
              <w:spacing w:line="240" w:lineRule="auto" w:before="9"/>
              <w:ind w:right="945"/>
              <w:jc w:val="right"/>
              <w:rPr>
                <w:rFonts w:ascii="Calibri" w:hAnsi="Calibri" w:cs="Calibri" w:eastAsia="Calibri" w:hint="default"/>
                <w:sz w:val="20"/>
                <w:szCs w:val="20"/>
              </w:rPr>
            </w:pPr>
            <w:r>
              <w:rPr>
                <w:rFonts w:ascii="Calibri"/>
                <w:spacing w:val="-1"/>
                <w:sz w:val="20"/>
              </w:rPr>
              <w:t>-----</w:t>
            </w:r>
          </w:p>
        </w:tc>
        <w:tc>
          <w:tcPr>
            <w:tcW w:w="2302" w:type="dxa"/>
            <w:tcBorders>
              <w:top w:val="nil" w:sz="6" w:space="0" w:color="auto"/>
              <w:left w:val="nil" w:sz="6" w:space="0" w:color="auto"/>
              <w:bottom w:val="nil" w:sz="6" w:space="0" w:color="auto"/>
              <w:right w:val="nil" w:sz="6" w:space="0" w:color="auto"/>
            </w:tcBorders>
          </w:tcPr>
          <w:p>
            <w:pPr>
              <w:pStyle w:val="TableParagraph"/>
              <w:spacing w:line="240" w:lineRule="auto" w:before="9"/>
              <w:ind w:right="938"/>
              <w:jc w:val="right"/>
              <w:rPr>
                <w:rFonts w:ascii="Calibri" w:hAnsi="Calibri" w:cs="Calibri" w:eastAsia="Calibri" w:hint="default"/>
                <w:sz w:val="20"/>
                <w:szCs w:val="20"/>
              </w:rPr>
            </w:pPr>
            <w:r>
              <w:rPr>
                <w:rFonts w:ascii="Calibri"/>
                <w:spacing w:val="-1"/>
                <w:sz w:val="20"/>
              </w:rPr>
              <w:t>-----</w:t>
            </w:r>
          </w:p>
        </w:tc>
      </w:tr>
      <w:tr>
        <w:trPr>
          <w:trHeight w:val="271" w:hRule="exact"/>
        </w:trPr>
        <w:tc>
          <w:tcPr>
            <w:tcW w:w="4812" w:type="dxa"/>
            <w:tcBorders>
              <w:top w:val="nil" w:sz="6" w:space="0" w:color="auto"/>
              <w:left w:val="nil" w:sz="6" w:space="0" w:color="auto"/>
              <w:bottom w:val="nil" w:sz="6" w:space="0" w:color="auto"/>
              <w:right w:val="nil" w:sz="6" w:space="0" w:color="auto"/>
            </w:tcBorders>
          </w:tcPr>
          <w:p>
            <w:pPr>
              <w:pStyle w:val="TableParagraph"/>
              <w:spacing w:line="225" w:lineRule="exact"/>
              <w:ind w:left="122" w:right="0"/>
              <w:jc w:val="left"/>
              <w:rPr>
                <w:rFonts w:ascii="Calibri" w:hAnsi="Calibri" w:cs="Calibri" w:eastAsia="Calibri" w:hint="default"/>
                <w:sz w:val="20"/>
                <w:szCs w:val="20"/>
              </w:rPr>
            </w:pPr>
            <w:r>
              <w:rPr>
                <w:rFonts w:ascii="Calibri"/>
                <w:b/>
                <w:sz w:val="20"/>
              </w:rPr>
              <w:t>Innovative</w:t>
            </w:r>
            <w:r>
              <w:rPr>
                <w:rFonts w:ascii="Calibri"/>
                <w:sz w:val="20"/>
              </w:rPr>
            </w:r>
          </w:p>
        </w:tc>
        <w:tc>
          <w:tcPr>
            <w:tcW w:w="2280" w:type="dxa"/>
            <w:tcBorders>
              <w:top w:val="nil" w:sz="6" w:space="0" w:color="auto"/>
              <w:left w:val="nil" w:sz="6" w:space="0" w:color="auto"/>
              <w:bottom w:val="nil" w:sz="6" w:space="0" w:color="auto"/>
              <w:right w:val="nil" w:sz="6" w:space="0" w:color="auto"/>
            </w:tcBorders>
          </w:tcPr>
          <w:p>
            <w:pPr>
              <w:pStyle w:val="TableParagraph"/>
              <w:spacing w:line="240" w:lineRule="auto"/>
              <w:ind w:left="1031"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69" name="image37.png" descr=""/>
                  <wp:cNvGraphicFramePr>
                    <a:graphicFrameLocks noChangeAspect="1"/>
                  </wp:cNvGraphicFramePr>
                  <a:graphic>
                    <a:graphicData uri="http://schemas.openxmlformats.org/drawingml/2006/picture">
                      <pic:pic>
                        <pic:nvPicPr>
                          <pic:cNvPr id="70"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c>
          <w:tcPr>
            <w:tcW w:w="2302" w:type="dxa"/>
            <w:tcBorders>
              <w:top w:val="nil" w:sz="6" w:space="0" w:color="auto"/>
              <w:left w:val="nil" w:sz="6" w:space="0" w:color="auto"/>
              <w:bottom w:val="nil" w:sz="6" w:space="0" w:color="auto"/>
              <w:right w:val="nil" w:sz="6" w:space="0" w:color="auto"/>
            </w:tcBorders>
          </w:tcPr>
          <w:p>
            <w:pPr>
              <w:pStyle w:val="TableParagraph"/>
              <w:spacing w:line="240" w:lineRule="auto"/>
              <w:ind w:left="1059"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71" name="image37.png" descr=""/>
                  <wp:cNvGraphicFramePr>
                    <a:graphicFrameLocks noChangeAspect="1"/>
                  </wp:cNvGraphicFramePr>
                  <a:graphic>
                    <a:graphicData uri="http://schemas.openxmlformats.org/drawingml/2006/picture">
                      <pic:pic>
                        <pic:nvPicPr>
                          <pic:cNvPr id="72"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r>
      <w:tr>
        <w:trPr>
          <w:trHeight w:val="300" w:hRule="exact"/>
        </w:trPr>
        <w:tc>
          <w:tcPr>
            <w:tcW w:w="4812" w:type="dxa"/>
            <w:tcBorders>
              <w:top w:val="nil" w:sz="6" w:space="0" w:color="auto"/>
              <w:left w:val="nil" w:sz="6" w:space="0" w:color="auto"/>
              <w:bottom w:val="nil" w:sz="6" w:space="0" w:color="auto"/>
              <w:right w:val="nil" w:sz="6" w:space="0" w:color="auto"/>
            </w:tcBorders>
          </w:tcPr>
          <w:p>
            <w:pPr>
              <w:pStyle w:val="TableParagraph"/>
              <w:spacing w:line="240" w:lineRule="auto" w:before="9"/>
              <w:ind w:left="122" w:right="0"/>
              <w:jc w:val="left"/>
              <w:rPr>
                <w:rFonts w:ascii="Calibri" w:hAnsi="Calibri" w:cs="Calibri" w:eastAsia="Calibri" w:hint="default"/>
                <w:sz w:val="20"/>
                <w:szCs w:val="20"/>
              </w:rPr>
            </w:pPr>
            <w:r>
              <w:rPr>
                <w:rFonts w:ascii="Calibri"/>
                <w:b/>
                <w:sz w:val="20"/>
              </w:rPr>
              <w:t>Brand</w:t>
            </w:r>
            <w:r>
              <w:rPr>
                <w:rFonts w:ascii="Calibri"/>
                <w:b/>
                <w:spacing w:val="-5"/>
                <w:sz w:val="20"/>
              </w:rPr>
              <w:t> </w:t>
            </w:r>
            <w:r>
              <w:rPr>
                <w:rFonts w:ascii="Calibri"/>
                <w:b/>
                <w:sz w:val="20"/>
              </w:rPr>
              <w:t>Loyalty</w:t>
            </w:r>
            <w:r>
              <w:rPr>
                <w:rFonts w:ascii="Calibri"/>
                <w:sz w:val="20"/>
              </w:rPr>
            </w:r>
          </w:p>
        </w:tc>
        <w:tc>
          <w:tcPr>
            <w:tcW w:w="2280" w:type="dxa"/>
            <w:tcBorders>
              <w:top w:val="nil" w:sz="6" w:space="0" w:color="auto"/>
              <w:left w:val="nil" w:sz="6" w:space="0" w:color="auto"/>
              <w:bottom w:val="nil" w:sz="6" w:space="0" w:color="auto"/>
              <w:right w:val="nil" w:sz="6" w:space="0" w:color="auto"/>
            </w:tcBorders>
          </w:tcPr>
          <w:p>
            <w:pPr>
              <w:pStyle w:val="TableParagraph"/>
              <w:spacing w:line="240" w:lineRule="auto" w:before="9"/>
              <w:ind w:right="945"/>
              <w:jc w:val="right"/>
              <w:rPr>
                <w:rFonts w:ascii="Calibri" w:hAnsi="Calibri" w:cs="Calibri" w:eastAsia="Calibri" w:hint="default"/>
                <w:sz w:val="20"/>
                <w:szCs w:val="20"/>
              </w:rPr>
            </w:pPr>
            <w:r>
              <w:rPr>
                <w:rFonts w:ascii="Calibri"/>
                <w:spacing w:val="-1"/>
                <w:sz w:val="20"/>
              </w:rPr>
              <w:t>-----</w:t>
            </w:r>
          </w:p>
        </w:tc>
        <w:tc>
          <w:tcPr>
            <w:tcW w:w="2302" w:type="dxa"/>
            <w:tcBorders>
              <w:top w:val="nil" w:sz="6" w:space="0" w:color="auto"/>
              <w:left w:val="nil" w:sz="6" w:space="0" w:color="auto"/>
              <w:bottom w:val="nil" w:sz="6" w:space="0" w:color="auto"/>
              <w:right w:val="nil" w:sz="6" w:space="0" w:color="auto"/>
            </w:tcBorders>
          </w:tcPr>
          <w:p>
            <w:pPr>
              <w:pStyle w:val="TableParagraph"/>
              <w:spacing w:line="240" w:lineRule="auto"/>
              <w:ind w:left="1059"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73" name="image37.png" descr=""/>
                  <wp:cNvGraphicFramePr>
                    <a:graphicFrameLocks noChangeAspect="1"/>
                  </wp:cNvGraphicFramePr>
                  <a:graphic>
                    <a:graphicData uri="http://schemas.openxmlformats.org/drawingml/2006/picture">
                      <pic:pic>
                        <pic:nvPicPr>
                          <pic:cNvPr id="74"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r>
      <w:tr>
        <w:trPr>
          <w:trHeight w:val="272" w:hRule="exact"/>
        </w:trPr>
        <w:tc>
          <w:tcPr>
            <w:tcW w:w="4812" w:type="dxa"/>
            <w:tcBorders>
              <w:top w:val="nil" w:sz="6" w:space="0" w:color="auto"/>
              <w:left w:val="nil" w:sz="6" w:space="0" w:color="auto"/>
              <w:bottom w:val="nil" w:sz="6" w:space="0" w:color="auto"/>
              <w:right w:val="nil" w:sz="6" w:space="0" w:color="auto"/>
            </w:tcBorders>
          </w:tcPr>
          <w:p>
            <w:pPr>
              <w:pStyle w:val="TableParagraph"/>
              <w:spacing w:line="240" w:lineRule="auto" w:before="9"/>
              <w:ind w:left="122" w:right="0"/>
              <w:jc w:val="left"/>
              <w:rPr>
                <w:rFonts w:ascii="Calibri" w:hAnsi="Calibri" w:cs="Calibri" w:eastAsia="Calibri" w:hint="default"/>
                <w:sz w:val="20"/>
                <w:szCs w:val="20"/>
              </w:rPr>
            </w:pPr>
            <w:r>
              <w:rPr>
                <w:rFonts w:ascii="Calibri"/>
                <w:b/>
                <w:sz w:val="20"/>
              </w:rPr>
              <w:t>Price</w:t>
            </w:r>
            <w:r>
              <w:rPr>
                <w:rFonts w:ascii="Calibri"/>
                <w:b/>
                <w:spacing w:val="-8"/>
                <w:sz w:val="20"/>
              </w:rPr>
              <w:t> </w:t>
            </w:r>
            <w:r>
              <w:rPr>
                <w:rFonts w:ascii="Calibri"/>
                <w:b/>
                <w:sz w:val="20"/>
              </w:rPr>
              <w:t>Sensitive</w:t>
            </w:r>
            <w:r>
              <w:rPr>
                <w:rFonts w:ascii="Calibri"/>
                <w:sz w:val="20"/>
              </w:rPr>
            </w:r>
          </w:p>
        </w:tc>
        <w:tc>
          <w:tcPr>
            <w:tcW w:w="2280" w:type="dxa"/>
            <w:tcBorders>
              <w:top w:val="nil" w:sz="6" w:space="0" w:color="auto"/>
              <w:left w:val="nil" w:sz="6" w:space="0" w:color="auto"/>
              <w:bottom w:val="nil" w:sz="6" w:space="0" w:color="auto"/>
              <w:right w:val="nil" w:sz="6" w:space="0" w:color="auto"/>
            </w:tcBorders>
          </w:tcPr>
          <w:p>
            <w:pPr>
              <w:pStyle w:val="TableParagraph"/>
              <w:spacing w:line="240" w:lineRule="auto" w:before="9"/>
              <w:ind w:right="945"/>
              <w:jc w:val="right"/>
              <w:rPr>
                <w:rFonts w:ascii="Calibri" w:hAnsi="Calibri" w:cs="Calibri" w:eastAsia="Calibri" w:hint="default"/>
                <w:sz w:val="20"/>
                <w:szCs w:val="20"/>
              </w:rPr>
            </w:pPr>
            <w:r>
              <w:rPr>
                <w:rFonts w:ascii="Calibri"/>
                <w:spacing w:val="-1"/>
                <w:sz w:val="20"/>
              </w:rPr>
              <w:t>-----</w:t>
            </w:r>
          </w:p>
        </w:tc>
        <w:tc>
          <w:tcPr>
            <w:tcW w:w="2302" w:type="dxa"/>
            <w:tcBorders>
              <w:top w:val="nil" w:sz="6" w:space="0" w:color="auto"/>
              <w:left w:val="nil" w:sz="6" w:space="0" w:color="auto"/>
              <w:bottom w:val="nil" w:sz="6" w:space="0" w:color="auto"/>
              <w:right w:val="nil" w:sz="6" w:space="0" w:color="auto"/>
            </w:tcBorders>
          </w:tcPr>
          <w:p>
            <w:pPr>
              <w:pStyle w:val="TableParagraph"/>
              <w:spacing w:line="240" w:lineRule="auto" w:before="9"/>
              <w:ind w:right="908"/>
              <w:jc w:val="right"/>
              <w:rPr>
                <w:rFonts w:ascii="Calibri" w:hAnsi="Calibri" w:cs="Calibri" w:eastAsia="Calibri" w:hint="default"/>
                <w:sz w:val="20"/>
                <w:szCs w:val="20"/>
              </w:rPr>
            </w:pPr>
            <w:r>
              <w:rPr>
                <w:rFonts w:ascii="Calibri"/>
                <w:spacing w:val="-1"/>
                <w:sz w:val="20"/>
              </w:rPr>
              <w:t>------</w:t>
            </w:r>
          </w:p>
        </w:tc>
      </w:tr>
      <w:tr>
        <w:trPr>
          <w:trHeight w:val="272" w:hRule="exact"/>
        </w:trPr>
        <w:tc>
          <w:tcPr>
            <w:tcW w:w="4812" w:type="dxa"/>
            <w:tcBorders>
              <w:top w:val="nil" w:sz="6" w:space="0" w:color="auto"/>
              <w:left w:val="nil" w:sz="6" w:space="0" w:color="auto"/>
              <w:bottom w:val="nil" w:sz="6" w:space="0" w:color="auto"/>
              <w:right w:val="nil" w:sz="6" w:space="0" w:color="auto"/>
            </w:tcBorders>
          </w:tcPr>
          <w:p>
            <w:pPr>
              <w:pStyle w:val="TableParagraph"/>
              <w:spacing w:line="226" w:lineRule="exact"/>
              <w:ind w:left="122" w:right="0"/>
              <w:jc w:val="left"/>
              <w:rPr>
                <w:rFonts w:ascii="Calibri" w:hAnsi="Calibri" w:cs="Calibri" w:eastAsia="Calibri" w:hint="default"/>
                <w:sz w:val="20"/>
                <w:szCs w:val="20"/>
              </w:rPr>
            </w:pPr>
            <w:r>
              <w:rPr>
                <w:rFonts w:ascii="Calibri" w:hAnsi="Calibri"/>
                <w:b/>
                <w:sz w:val="20"/>
              </w:rPr>
              <w:t>Satisfied with</w:t>
            </w:r>
            <w:r>
              <w:rPr>
                <w:rFonts w:ascii="Calibri" w:hAnsi="Calibri"/>
                <w:b/>
                <w:spacing w:val="-10"/>
                <w:sz w:val="20"/>
              </w:rPr>
              <w:t> </w:t>
            </w:r>
            <w:r>
              <w:rPr>
                <w:rFonts w:ascii="Calibri" w:hAnsi="Calibri"/>
                <w:b/>
                <w:sz w:val="20"/>
              </w:rPr>
              <w:t>Curaçao</w:t>
            </w:r>
            <w:r>
              <w:rPr>
                <w:rFonts w:ascii="Calibri" w:hAnsi="Calibri"/>
                <w:sz w:val="20"/>
              </w:rPr>
            </w:r>
          </w:p>
        </w:tc>
        <w:tc>
          <w:tcPr>
            <w:tcW w:w="2280" w:type="dxa"/>
            <w:tcBorders>
              <w:top w:val="nil" w:sz="6" w:space="0" w:color="auto"/>
              <w:left w:val="nil" w:sz="6" w:space="0" w:color="auto"/>
              <w:bottom w:val="nil" w:sz="6" w:space="0" w:color="auto"/>
              <w:right w:val="nil" w:sz="6" w:space="0" w:color="auto"/>
            </w:tcBorders>
          </w:tcPr>
          <w:p>
            <w:pPr>
              <w:pStyle w:val="TableParagraph"/>
              <w:spacing w:line="240" w:lineRule="auto"/>
              <w:ind w:left="1031"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75" name="image37.png" descr=""/>
                  <wp:cNvGraphicFramePr>
                    <a:graphicFrameLocks noChangeAspect="1"/>
                  </wp:cNvGraphicFramePr>
                  <a:graphic>
                    <a:graphicData uri="http://schemas.openxmlformats.org/drawingml/2006/picture">
                      <pic:pic>
                        <pic:nvPicPr>
                          <pic:cNvPr id="76"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c>
          <w:tcPr>
            <w:tcW w:w="2302" w:type="dxa"/>
            <w:tcBorders>
              <w:top w:val="nil" w:sz="6" w:space="0" w:color="auto"/>
              <w:left w:val="nil" w:sz="6" w:space="0" w:color="auto"/>
              <w:bottom w:val="nil" w:sz="6" w:space="0" w:color="auto"/>
              <w:right w:val="nil" w:sz="6" w:space="0" w:color="auto"/>
            </w:tcBorders>
          </w:tcPr>
          <w:p>
            <w:pPr>
              <w:pStyle w:val="TableParagraph"/>
              <w:spacing w:line="240" w:lineRule="auto"/>
              <w:ind w:left="1059"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77" name="image37.png" descr=""/>
                  <wp:cNvGraphicFramePr>
                    <a:graphicFrameLocks noChangeAspect="1"/>
                  </wp:cNvGraphicFramePr>
                  <a:graphic>
                    <a:graphicData uri="http://schemas.openxmlformats.org/drawingml/2006/picture">
                      <pic:pic>
                        <pic:nvPicPr>
                          <pic:cNvPr id="78"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r>
      <w:tr>
        <w:trPr>
          <w:trHeight w:val="300" w:hRule="exact"/>
        </w:trPr>
        <w:tc>
          <w:tcPr>
            <w:tcW w:w="4812" w:type="dxa"/>
            <w:tcBorders>
              <w:top w:val="nil" w:sz="6" w:space="0" w:color="auto"/>
              <w:left w:val="nil" w:sz="6" w:space="0" w:color="auto"/>
              <w:bottom w:val="nil" w:sz="6" w:space="0" w:color="auto"/>
              <w:right w:val="nil" w:sz="6" w:space="0" w:color="auto"/>
            </w:tcBorders>
          </w:tcPr>
          <w:p>
            <w:pPr>
              <w:pStyle w:val="TableParagraph"/>
              <w:spacing w:line="240" w:lineRule="auto" w:before="9"/>
              <w:ind w:left="122" w:right="0"/>
              <w:jc w:val="left"/>
              <w:rPr>
                <w:rFonts w:ascii="Calibri" w:hAnsi="Calibri" w:cs="Calibri" w:eastAsia="Calibri" w:hint="default"/>
                <w:sz w:val="20"/>
                <w:szCs w:val="20"/>
              </w:rPr>
            </w:pPr>
            <w:r>
              <w:rPr>
                <w:rFonts w:ascii="Calibri" w:hAnsi="Calibri" w:cs="Calibri" w:eastAsia="Calibri" w:hint="default"/>
                <w:b/>
                <w:bCs/>
                <w:sz w:val="20"/>
                <w:szCs w:val="20"/>
              </w:rPr>
              <w:t>Perceived Quality Level of Curaçao </w:t>
            </w:r>
            <w:r>
              <w:rPr>
                <w:rFonts w:ascii="Calibri" w:hAnsi="Calibri" w:cs="Calibri" w:eastAsia="Calibri" w:hint="default"/>
                <w:b/>
                <w:bCs/>
                <w:sz w:val="20"/>
                <w:szCs w:val="20"/>
              </w:rPr>
              <w:t>’s Tourism</w:t>
            </w:r>
            <w:r>
              <w:rPr>
                <w:rFonts w:ascii="Calibri" w:hAnsi="Calibri" w:cs="Calibri" w:eastAsia="Calibri" w:hint="default"/>
                <w:b/>
                <w:bCs/>
                <w:spacing w:val="-19"/>
                <w:sz w:val="20"/>
                <w:szCs w:val="20"/>
              </w:rPr>
              <w:t> </w:t>
            </w:r>
            <w:r>
              <w:rPr>
                <w:rFonts w:ascii="Calibri" w:hAnsi="Calibri" w:cs="Calibri" w:eastAsia="Calibri" w:hint="default"/>
                <w:b/>
                <w:bCs/>
                <w:sz w:val="20"/>
                <w:szCs w:val="20"/>
              </w:rPr>
              <w:t>Product</w:t>
            </w:r>
            <w:r>
              <w:rPr>
                <w:rFonts w:ascii="Calibri" w:hAnsi="Calibri" w:cs="Calibri" w:eastAsia="Calibri" w:hint="default"/>
                <w:sz w:val="20"/>
                <w:szCs w:val="20"/>
              </w:rPr>
            </w:r>
          </w:p>
        </w:tc>
        <w:tc>
          <w:tcPr>
            <w:tcW w:w="2280" w:type="dxa"/>
            <w:tcBorders>
              <w:top w:val="nil" w:sz="6" w:space="0" w:color="auto"/>
              <w:left w:val="nil" w:sz="6" w:space="0" w:color="auto"/>
              <w:bottom w:val="nil" w:sz="6" w:space="0" w:color="auto"/>
              <w:right w:val="nil" w:sz="6" w:space="0" w:color="auto"/>
            </w:tcBorders>
          </w:tcPr>
          <w:p>
            <w:pPr>
              <w:pStyle w:val="TableParagraph"/>
              <w:spacing w:line="240" w:lineRule="auto"/>
              <w:ind w:left="1031"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79" name="image37.png" descr=""/>
                  <wp:cNvGraphicFramePr>
                    <a:graphicFrameLocks noChangeAspect="1"/>
                  </wp:cNvGraphicFramePr>
                  <a:graphic>
                    <a:graphicData uri="http://schemas.openxmlformats.org/drawingml/2006/picture">
                      <pic:pic>
                        <pic:nvPicPr>
                          <pic:cNvPr id="80"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c>
          <w:tcPr>
            <w:tcW w:w="2302" w:type="dxa"/>
            <w:tcBorders>
              <w:top w:val="nil" w:sz="6" w:space="0" w:color="auto"/>
              <w:left w:val="nil" w:sz="6" w:space="0" w:color="auto"/>
              <w:bottom w:val="nil" w:sz="6" w:space="0" w:color="auto"/>
              <w:right w:val="nil" w:sz="6" w:space="0" w:color="auto"/>
            </w:tcBorders>
          </w:tcPr>
          <w:p>
            <w:pPr>
              <w:pStyle w:val="TableParagraph"/>
              <w:spacing w:line="240" w:lineRule="auto"/>
              <w:ind w:left="1059"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81" name="image37.png" descr=""/>
                  <wp:cNvGraphicFramePr>
                    <a:graphicFrameLocks noChangeAspect="1"/>
                  </wp:cNvGraphicFramePr>
                  <a:graphic>
                    <a:graphicData uri="http://schemas.openxmlformats.org/drawingml/2006/picture">
                      <pic:pic>
                        <pic:nvPicPr>
                          <pic:cNvPr id="82"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r>
      <w:tr>
        <w:trPr>
          <w:trHeight w:val="300" w:hRule="exact"/>
        </w:trPr>
        <w:tc>
          <w:tcPr>
            <w:tcW w:w="4812" w:type="dxa"/>
            <w:tcBorders>
              <w:top w:val="nil" w:sz="6" w:space="0" w:color="auto"/>
              <w:left w:val="nil" w:sz="6" w:space="0" w:color="auto"/>
              <w:bottom w:val="nil" w:sz="6" w:space="0" w:color="auto"/>
              <w:right w:val="nil" w:sz="6" w:space="0" w:color="auto"/>
            </w:tcBorders>
          </w:tcPr>
          <w:p>
            <w:pPr>
              <w:pStyle w:val="TableParagraph"/>
              <w:spacing w:line="240" w:lineRule="auto" w:before="9"/>
              <w:ind w:left="122" w:right="0"/>
              <w:jc w:val="left"/>
              <w:rPr>
                <w:rFonts w:ascii="Calibri" w:hAnsi="Calibri" w:cs="Calibri" w:eastAsia="Calibri" w:hint="default"/>
                <w:sz w:val="20"/>
                <w:szCs w:val="20"/>
              </w:rPr>
            </w:pPr>
            <w:r>
              <w:rPr>
                <w:rFonts w:ascii="Calibri" w:hAnsi="Calibri" w:cs="Calibri" w:eastAsia="Calibri" w:hint="default"/>
                <w:b/>
                <w:bCs/>
                <w:sz w:val="20"/>
                <w:szCs w:val="20"/>
              </w:rPr>
              <w:t>Perceived Value Level of Curaçao </w:t>
            </w:r>
            <w:r>
              <w:rPr>
                <w:rFonts w:ascii="Calibri" w:hAnsi="Calibri" w:cs="Calibri" w:eastAsia="Calibri" w:hint="default"/>
                <w:b/>
                <w:bCs/>
                <w:sz w:val="20"/>
                <w:szCs w:val="20"/>
              </w:rPr>
              <w:t>’s Tourism</w:t>
            </w:r>
            <w:r>
              <w:rPr>
                <w:rFonts w:ascii="Calibri" w:hAnsi="Calibri" w:cs="Calibri" w:eastAsia="Calibri" w:hint="default"/>
                <w:b/>
                <w:bCs/>
                <w:spacing w:val="-21"/>
                <w:sz w:val="20"/>
                <w:szCs w:val="20"/>
              </w:rPr>
              <w:t> </w:t>
            </w:r>
            <w:r>
              <w:rPr>
                <w:rFonts w:ascii="Calibri" w:hAnsi="Calibri" w:cs="Calibri" w:eastAsia="Calibri" w:hint="default"/>
                <w:b/>
                <w:bCs/>
                <w:sz w:val="20"/>
                <w:szCs w:val="20"/>
              </w:rPr>
              <w:t>Product</w:t>
            </w:r>
            <w:r>
              <w:rPr>
                <w:rFonts w:ascii="Calibri" w:hAnsi="Calibri" w:cs="Calibri" w:eastAsia="Calibri" w:hint="default"/>
                <w:sz w:val="20"/>
                <w:szCs w:val="20"/>
              </w:rPr>
            </w:r>
          </w:p>
        </w:tc>
        <w:tc>
          <w:tcPr>
            <w:tcW w:w="2280" w:type="dxa"/>
            <w:tcBorders>
              <w:top w:val="nil" w:sz="6" w:space="0" w:color="auto"/>
              <w:left w:val="nil" w:sz="6" w:space="0" w:color="auto"/>
              <w:bottom w:val="nil" w:sz="6" w:space="0" w:color="auto"/>
              <w:right w:val="nil" w:sz="6" w:space="0" w:color="auto"/>
            </w:tcBorders>
          </w:tcPr>
          <w:p>
            <w:pPr>
              <w:pStyle w:val="TableParagraph"/>
              <w:spacing w:line="240" w:lineRule="auto"/>
              <w:ind w:left="1031"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83" name="image37.png" descr=""/>
                  <wp:cNvGraphicFramePr>
                    <a:graphicFrameLocks noChangeAspect="1"/>
                  </wp:cNvGraphicFramePr>
                  <a:graphic>
                    <a:graphicData uri="http://schemas.openxmlformats.org/drawingml/2006/picture">
                      <pic:pic>
                        <pic:nvPicPr>
                          <pic:cNvPr id="84"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c>
          <w:tcPr>
            <w:tcW w:w="2302" w:type="dxa"/>
            <w:tcBorders>
              <w:top w:val="nil" w:sz="6" w:space="0" w:color="auto"/>
              <w:left w:val="nil" w:sz="6" w:space="0" w:color="auto"/>
              <w:bottom w:val="nil" w:sz="6" w:space="0" w:color="auto"/>
              <w:right w:val="nil" w:sz="6" w:space="0" w:color="auto"/>
            </w:tcBorders>
          </w:tcPr>
          <w:p>
            <w:pPr>
              <w:pStyle w:val="TableParagraph"/>
              <w:spacing w:line="240" w:lineRule="auto"/>
              <w:ind w:left="1059"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85" name="image37.png" descr=""/>
                  <wp:cNvGraphicFramePr>
                    <a:graphicFrameLocks noChangeAspect="1"/>
                  </wp:cNvGraphicFramePr>
                  <a:graphic>
                    <a:graphicData uri="http://schemas.openxmlformats.org/drawingml/2006/picture">
                      <pic:pic>
                        <pic:nvPicPr>
                          <pic:cNvPr id="86"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r>
      <w:tr>
        <w:trPr>
          <w:trHeight w:val="300" w:hRule="exact"/>
        </w:trPr>
        <w:tc>
          <w:tcPr>
            <w:tcW w:w="4812" w:type="dxa"/>
            <w:tcBorders>
              <w:top w:val="nil" w:sz="6" w:space="0" w:color="auto"/>
              <w:left w:val="nil" w:sz="6" w:space="0" w:color="auto"/>
              <w:bottom w:val="nil" w:sz="6" w:space="0" w:color="auto"/>
              <w:right w:val="nil" w:sz="6" w:space="0" w:color="auto"/>
            </w:tcBorders>
          </w:tcPr>
          <w:p>
            <w:pPr>
              <w:pStyle w:val="TableParagraph"/>
              <w:spacing w:line="240" w:lineRule="auto" w:before="9"/>
              <w:ind w:left="122" w:right="0"/>
              <w:jc w:val="left"/>
              <w:rPr>
                <w:rFonts w:ascii="Calibri" w:hAnsi="Calibri" w:cs="Calibri" w:eastAsia="Calibri" w:hint="default"/>
                <w:sz w:val="20"/>
                <w:szCs w:val="20"/>
              </w:rPr>
            </w:pPr>
            <w:r>
              <w:rPr>
                <w:rFonts w:ascii="Calibri"/>
                <w:b/>
                <w:sz w:val="20"/>
              </w:rPr>
              <w:t>Share Experience on Social</w:t>
            </w:r>
            <w:r>
              <w:rPr>
                <w:rFonts w:ascii="Calibri"/>
                <w:b/>
                <w:spacing w:val="-17"/>
                <w:sz w:val="20"/>
              </w:rPr>
              <w:t> </w:t>
            </w:r>
            <w:r>
              <w:rPr>
                <w:rFonts w:ascii="Calibri"/>
                <w:b/>
                <w:sz w:val="20"/>
              </w:rPr>
              <w:t>Media</w:t>
            </w:r>
            <w:r>
              <w:rPr>
                <w:rFonts w:ascii="Calibri"/>
                <w:sz w:val="20"/>
              </w:rPr>
            </w:r>
          </w:p>
        </w:tc>
        <w:tc>
          <w:tcPr>
            <w:tcW w:w="2280" w:type="dxa"/>
            <w:tcBorders>
              <w:top w:val="nil" w:sz="6" w:space="0" w:color="auto"/>
              <w:left w:val="nil" w:sz="6" w:space="0" w:color="auto"/>
              <w:bottom w:val="nil" w:sz="6" w:space="0" w:color="auto"/>
              <w:right w:val="nil" w:sz="6" w:space="0" w:color="auto"/>
            </w:tcBorders>
          </w:tcPr>
          <w:p>
            <w:pPr>
              <w:pStyle w:val="TableParagraph"/>
              <w:spacing w:line="240" w:lineRule="auto" w:before="9"/>
              <w:ind w:right="945"/>
              <w:jc w:val="right"/>
              <w:rPr>
                <w:rFonts w:ascii="Calibri" w:hAnsi="Calibri" w:cs="Calibri" w:eastAsia="Calibri" w:hint="default"/>
                <w:sz w:val="20"/>
                <w:szCs w:val="20"/>
              </w:rPr>
            </w:pPr>
            <w:r>
              <w:rPr>
                <w:rFonts w:ascii="Calibri"/>
                <w:spacing w:val="-1"/>
                <w:sz w:val="20"/>
              </w:rPr>
              <w:t>-----</w:t>
            </w:r>
          </w:p>
        </w:tc>
        <w:tc>
          <w:tcPr>
            <w:tcW w:w="2302" w:type="dxa"/>
            <w:tcBorders>
              <w:top w:val="nil" w:sz="6" w:space="0" w:color="auto"/>
              <w:left w:val="nil" w:sz="6" w:space="0" w:color="auto"/>
              <w:bottom w:val="nil" w:sz="6" w:space="0" w:color="auto"/>
              <w:right w:val="nil" w:sz="6" w:space="0" w:color="auto"/>
            </w:tcBorders>
          </w:tcPr>
          <w:p>
            <w:pPr>
              <w:pStyle w:val="TableParagraph"/>
              <w:spacing w:line="240" w:lineRule="auto"/>
              <w:ind w:left="1059"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87" name="image37.png" descr=""/>
                  <wp:cNvGraphicFramePr>
                    <a:graphicFrameLocks noChangeAspect="1"/>
                  </wp:cNvGraphicFramePr>
                  <a:graphic>
                    <a:graphicData uri="http://schemas.openxmlformats.org/drawingml/2006/picture">
                      <pic:pic>
                        <pic:nvPicPr>
                          <pic:cNvPr id="88"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r>
      <w:tr>
        <w:trPr>
          <w:trHeight w:val="300" w:hRule="exact"/>
        </w:trPr>
        <w:tc>
          <w:tcPr>
            <w:tcW w:w="4812" w:type="dxa"/>
            <w:tcBorders>
              <w:top w:val="nil" w:sz="6" w:space="0" w:color="auto"/>
              <w:left w:val="nil" w:sz="6" w:space="0" w:color="auto"/>
              <w:bottom w:val="nil" w:sz="6" w:space="0" w:color="auto"/>
              <w:right w:val="nil" w:sz="6" w:space="0" w:color="auto"/>
            </w:tcBorders>
          </w:tcPr>
          <w:p>
            <w:pPr>
              <w:pStyle w:val="TableParagraph"/>
              <w:spacing w:line="240" w:lineRule="auto" w:before="9"/>
              <w:ind w:left="122" w:right="0"/>
              <w:jc w:val="left"/>
              <w:rPr>
                <w:rFonts w:ascii="Calibri" w:hAnsi="Calibri" w:cs="Calibri" w:eastAsia="Calibri" w:hint="default"/>
                <w:sz w:val="20"/>
                <w:szCs w:val="20"/>
              </w:rPr>
            </w:pPr>
            <w:r>
              <w:rPr>
                <w:rFonts w:ascii="Calibri" w:hAnsi="Calibri"/>
                <w:b/>
                <w:sz w:val="20"/>
              </w:rPr>
              <w:t>Return to</w:t>
            </w:r>
            <w:r>
              <w:rPr>
                <w:rFonts w:ascii="Calibri" w:hAnsi="Calibri"/>
                <w:b/>
                <w:spacing w:val="-5"/>
                <w:sz w:val="20"/>
              </w:rPr>
              <w:t> </w:t>
            </w:r>
            <w:r>
              <w:rPr>
                <w:rFonts w:ascii="Calibri" w:hAnsi="Calibri"/>
                <w:b/>
                <w:sz w:val="20"/>
              </w:rPr>
              <w:t>Curaçao</w:t>
            </w:r>
            <w:r>
              <w:rPr>
                <w:rFonts w:ascii="Calibri" w:hAnsi="Calibri"/>
                <w:sz w:val="20"/>
              </w:rPr>
            </w:r>
          </w:p>
        </w:tc>
        <w:tc>
          <w:tcPr>
            <w:tcW w:w="2280" w:type="dxa"/>
            <w:tcBorders>
              <w:top w:val="nil" w:sz="6" w:space="0" w:color="auto"/>
              <w:left w:val="nil" w:sz="6" w:space="0" w:color="auto"/>
              <w:bottom w:val="nil" w:sz="6" w:space="0" w:color="auto"/>
              <w:right w:val="nil" w:sz="6" w:space="0" w:color="auto"/>
            </w:tcBorders>
          </w:tcPr>
          <w:p>
            <w:pPr>
              <w:pStyle w:val="TableParagraph"/>
              <w:spacing w:line="240" w:lineRule="auto"/>
              <w:ind w:left="1031"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89" name="image37.png" descr=""/>
                  <wp:cNvGraphicFramePr>
                    <a:graphicFrameLocks noChangeAspect="1"/>
                  </wp:cNvGraphicFramePr>
                  <a:graphic>
                    <a:graphicData uri="http://schemas.openxmlformats.org/drawingml/2006/picture">
                      <pic:pic>
                        <pic:nvPicPr>
                          <pic:cNvPr id="90"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c>
          <w:tcPr>
            <w:tcW w:w="2302" w:type="dxa"/>
            <w:tcBorders>
              <w:top w:val="nil" w:sz="6" w:space="0" w:color="auto"/>
              <w:left w:val="nil" w:sz="6" w:space="0" w:color="auto"/>
              <w:bottom w:val="nil" w:sz="6" w:space="0" w:color="auto"/>
              <w:right w:val="nil" w:sz="6" w:space="0" w:color="auto"/>
            </w:tcBorders>
          </w:tcPr>
          <w:p>
            <w:pPr>
              <w:pStyle w:val="TableParagraph"/>
              <w:spacing w:line="240" w:lineRule="auto"/>
              <w:ind w:left="1059"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91" name="image37.png" descr=""/>
                  <wp:cNvGraphicFramePr>
                    <a:graphicFrameLocks noChangeAspect="1"/>
                  </wp:cNvGraphicFramePr>
                  <a:graphic>
                    <a:graphicData uri="http://schemas.openxmlformats.org/drawingml/2006/picture">
                      <pic:pic>
                        <pic:nvPicPr>
                          <pic:cNvPr id="92"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r>
      <w:tr>
        <w:trPr>
          <w:trHeight w:val="291" w:hRule="exact"/>
        </w:trPr>
        <w:tc>
          <w:tcPr>
            <w:tcW w:w="4812" w:type="dxa"/>
            <w:tcBorders>
              <w:top w:val="nil" w:sz="6" w:space="0" w:color="auto"/>
              <w:left w:val="nil" w:sz="6" w:space="0" w:color="auto"/>
              <w:bottom w:val="nil" w:sz="6" w:space="0" w:color="auto"/>
              <w:right w:val="nil" w:sz="6" w:space="0" w:color="auto"/>
            </w:tcBorders>
          </w:tcPr>
          <w:p>
            <w:pPr>
              <w:pStyle w:val="TableParagraph"/>
              <w:spacing w:line="240" w:lineRule="auto" w:before="9"/>
              <w:ind w:left="122" w:right="0"/>
              <w:jc w:val="left"/>
              <w:rPr>
                <w:rFonts w:ascii="Calibri" w:hAnsi="Calibri" w:cs="Calibri" w:eastAsia="Calibri" w:hint="default"/>
                <w:sz w:val="20"/>
                <w:szCs w:val="20"/>
              </w:rPr>
            </w:pPr>
            <w:r>
              <w:rPr>
                <w:rFonts w:ascii="Calibri" w:hAnsi="Calibri"/>
                <w:b/>
                <w:sz w:val="20"/>
              </w:rPr>
              <w:t>Give Curaçao a Good</w:t>
            </w:r>
            <w:r>
              <w:rPr>
                <w:rFonts w:ascii="Calibri" w:hAnsi="Calibri"/>
                <w:b/>
                <w:spacing w:val="-15"/>
                <w:sz w:val="20"/>
              </w:rPr>
              <w:t> </w:t>
            </w:r>
            <w:r>
              <w:rPr>
                <w:rFonts w:ascii="Calibri" w:hAnsi="Calibri"/>
                <w:b/>
                <w:sz w:val="20"/>
              </w:rPr>
              <w:t>Reference</w:t>
            </w:r>
            <w:r>
              <w:rPr>
                <w:rFonts w:ascii="Calibri" w:hAnsi="Calibri"/>
                <w:sz w:val="20"/>
              </w:rPr>
            </w:r>
          </w:p>
        </w:tc>
        <w:tc>
          <w:tcPr>
            <w:tcW w:w="2280" w:type="dxa"/>
            <w:tcBorders>
              <w:top w:val="nil" w:sz="6" w:space="0" w:color="auto"/>
              <w:left w:val="nil" w:sz="6" w:space="0" w:color="auto"/>
              <w:bottom w:val="nil" w:sz="6" w:space="0" w:color="auto"/>
              <w:right w:val="nil" w:sz="6" w:space="0" w:color="auto"/>
            </w:tcBorders>
          </w:tcPr>
          <w:p>
            <w:pPr>
              <w:pStyle w:val="TableParagraph"/>
              <w:spacing w:line="240" w:lineRule="auto"/>
              <w:ind w:left="1031"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0022" cy="180022"/>
                  <wp:effectExtent l="0" t="0" r="0" b="0"/>
                  <wp:docPr id="93" name="image37.png" descr=""/>
                  <wp:cNvGraphicFramePr>
                    <a:graphicFrameLocks noChangeAspect="1"/>
                  </wp:cNvGraphicFramePr>
                  <a:graphic>
                    <a:graphicData uri="http://schemas.openxmlformats.org/drawingml/2006/picture">
                      <pic:pic>
                        <pic:nvPicPr>
                          <pic:cNvPr id="94" name="image37.png"/>
                          <pic:cNvPicPr/>
                        </pic:nvPicPr>
                        <pic:blipFill>
                          <a:blip r:embed="rId66" cstate="print"/>
                          <a:stretch>
                            <a:fillRect/>
                          </a:stretch>
                        </pic:blipFill>
                        <pic:spPr>
                          <a:xfrm>
                            <a:off x="0" y="0"/>
                            <a:ext cx="180022" cy="180022"/>
                          </a:xfrm>
                          <a:prstGeom prst="rect">
                            <a:avLst/>
                          </a:prstGeom>
                        </pic:spPr>
                      </pic:pic>
                    </a:graphicData>
                  </a:graphic>
                </wp:inline>
              </w:drawing>
            </w:r>
            <w:r>
              <w:rPr>
                <w:rFonts w:ascii="Calibri" w:hAnsi="Calibri" w:cs="Calibri" w:eastAsia="Calibri" w:hint="default"/>
                <w:sz w:val="20"/>
                <w:szCs w:val="20"/>
              </w:rPr>
            </w:r>
          </w:p>
        </w:tc>
        <w:tc>
          <w:tcPr>
            <w:tcW w:w="2302" w:type="dxa"/>
            <w:tcBorders>
              <w:top w:val="nil" w:sz="6" w:space="0" w:color="auto"/>
              <w:left w:val="nil" w:sz="6" w:space="0" w:color="auto"/>
              <w:bottom w:val="nil" w:sz="6" w:space="0" w:color="auto"/>
              <w:right w:val="nil" w:sz="6" w:space="0" w:color="auto"/>
            </w:tcBorders>
          </w:tcPr>
          <w:p>
            <w:pPr>
              <w:pStyle w:val="TableParagraph"/>
              <w:spacing w:line="240" w:lineRule="auto"/>
              <w:ind w:left="1059"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0022" cy="180022"/>
                  <wp:effectExtent l="0" t="0" r="0" b="0"/>
                  <wp:docPr id="95" name="image37.png" descr=""/>
                  <wp:cNvGraphicFramePr>
                    <a:graphicFrameLocks noChangeAspect="1"/>
                  </wp:cNvGraphicFramePr>
                  <a:graphic>
                    <a:graphicData uri="http://schemas.openxmlformats.org/drawingml/2006/picture">
                      <pic:pic>
                        <pic:nvPicPr>
                          <pic:cNvPr id="96" name="image37.png"/>
                          <pic:cNvPicPr/>
                        </pic:nvPicPr>
                        <pic:blipFill>
                          <a:blip r:embed="rId66" cstate="print"/>
                          <a:stretch>
                            <a:fillRect/>
                          </a:stretch>
                        </pic:blipFill>
                        <pic:spPr>
                          <a:xfrm>
                            <a:off x="0" y="0"/>
                            <a:ext cx="180022" cy="180022"/>
                          </a:xfrm>
                          <a:prstGeom prst="rect">
                            <a:avLst/>
                          </a:prstGeom>
                        </pic:spPr>
                      </pic:pic>
                    </a:graphicData>
                  </a:graphic>
                </wp:inline>
              </w:drawing>
            </w:r>
            <w:r>
              <w:rPr>
                <w:rFonts w:ascii="Calibri" w:hAnsi="Calibri" w:cs="Calibri" w:eastAsia="Calibri" w:hint="default"/>
                <w:sz w:val="20"/>
                <w:szCs w:val="20"/>
              </w:rPr>
            </w:r>
          </w:p>
        </w:tc>
      </w:tr>
      <w:tr>
        <w:trPr>
          <w:trHeight w:val="309" w:hRule="exact"/>
        </w:trPr>
        <w:tc>
          <w:tcPr>
            <w:tcW w:w="481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122" w:right="0"/>
              <w:jc w:val="left"/>
              <w:rPr>
                <w:rFonts w:ascii="Calibri" w:hAnsi="Calibri" w:cs="Calibri" w:eastAsia="Calibri" w:hint="default"/>
                <w:sz w:val="20"/>
                <w:szCs w:val="20"/>
              </w:rPr>
            </w:pPr>
            <w:r>
              <w:rPr>
                <w:rFonts w:ascii="Calibri" w:hAnsi="Calibri"/>
                <w:b/>
                <w:sz w:val="20"/>
              </w:rPr>
              <w:t>Consider Curaçao as a 1</w:t>
            </w:r>
            <w:r>
              <w:rPr>
                <w:rFonts w:ascii="Calibri" w:hAnsi="Calibri"/>
                <w:b/>
                <w:position w:val="7"/>
                <w:sz w:val="13"/>
              </w:rPr>
              <w:t>st </w:t>
            </w:r>
            <w:r>
              <w:rPr>
                <w:rFonts w:ascii="Calibri" w:hAnsi="Calibri"/>
                <w:b/>
                <w:sz w:val="20"/>
              </w:rPr>
              <w:t>Choice</w:t>
            </w:r>
            <w:r>
              <w:rPr>
                <w:rFonts w:ascii="Calibri" w:hAnsi="Calibri"/>
                <w:b/>
                <w:spacing w:val="-7"/>
                <w:sz w:val="20"/>
              </w:rPr>
              <w:t> </w:t>
            </w:r>
            <w:r>
              <w:rPr>
                <w:rFonts w:ascii="Calibri" w:hAnsi="Calibri"/>
                <w:b/>
                <w:sz w:val="20"/>
              </w:rPr>
              <w:t>Destination</w:t>
            </w:r>
            <w:r>
              <w:rPr>
                <w:rFonts w:ascii="Calibri" w:hAnsi="Calibri"/>
                <w:sz w:val="20"/>
              </w:rPr>
            </w:r>
          </w:p>
        </w:tc>
        <w:tc>
          <w:tcPr>
            <w:tcW w:w="2280" w:type="dxa"/>
            <w:tcBorders>
              <w:top w:val="nil" w:sz="6" w:space="0" w:color="auto"/>
              <w:left w:val="nil" w:sz="6" w:space="0" w:color="auto"/>
              <w:bottom w:val="nil" w:sz="6" w:space="0" w:color="auto"/>
              <w:right w:val="nil" w:sz="6" w:space="0" w:color="auto"/>
            </w:tcBorders>
          </w:tcPr>
          <w:p>
            <w:pPr>
              <w:pStyle w:val="TableParagraph"/>
              <w:spacing w:line="240" w:lineRule="auto" w:before="18"/>
              <w:ind w:right="945"/>
              <w:jc w:val="right"/>
              <w:rPr>
                <w:rFonts w:ascii="Calibri" w:hAnsi="Calibri" w:cs="Calibri" w:eastAsia="Calibri" w:hint="default"/>
                <w:sz w:val="20"/>
                <w:szCs w:val="20"/>
              </w:rPr>
            </w:pPr>
            <w:r>
              <w:rPr>
                <w:rFonts w:ascii="Calibri"/>
                <w:spacing w:val="-1"/>
                <w:sz w:val="20"/>
              </w:rPr>
              <w:t>-----</w:t>
            </w:r>
          </w:p>
        </w:tc>
        <w:tc>
          <w:tcPr>
            <w:tcW w:w="2302" w:type="dxa"/>
            <w:tcBorders>
              <w:top w:val="nil" w:sz="6" w:space="0" w:color="auto"/>
              <w:left w:val="nil" w:sz="6" w:space="0" w:color="auto"/>
              <w:bottom w:val="nil" w:sz="6" w:space="0" w:color="auto"/>
              <w:right w:val="nil" w:sz="6" w:space="0" w:color="auto"/>
            </w:tcBorders>
          </w:tcPr>
          <w:p>
            <w:pPr>
              <w:pStyle w:val="TableParagraph"/>
              <w:spacing w:line="240" w:lineRule="auto"/>
              <w:ind w:left="1059"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97" name="image37.png" descr=""/>
                  <wp:cNvGraphicFramePr>
                    <a:graphicFrameLocks noChangeAspect="1"/>
                  </wp:cNvGraphicFramePr>
                  <a:graphic>
                    <a:graphicData uri="http://schemas.openxmlformats.org/drawingml/2006/picture">
                      <pic:pic>
                        <pic:nvPicPr>
                          <pic:cNvPr id="98"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r>
      <w:tr>
        <w:trPr>
          <w:trHeight w:val="300" w:hRule="exact"/>
        </w:trPr>
        <w:tc>
          <w:tcPr>
            <w:tcW w:w="4812" w:type="dxa"/>
            <w:tcBorders>
              <w:top w:val="nil" w:sz="6" w:space="0" w:color="auto"/>
              <w:left w:val="nil" w:sz="6" w:space="0" w:color="auto"/>
              <w:bottom w:val="nil" w:sz="6" w:space="0" w:color="auto"/>
              <w:right w:val="nil" w:sz="6" w:space="0" w:color="auto"/>
            </w:tcBorders>
          </w:tcPr>
          <w:p>
            <w:pPr>
              <w:pStyle w:val="TableParagraph"/>
              <w:spacing w:line="240" w:lineRule="auto" w:before="9"/>
              <w:ind w:left="122" w:right="0"/>
              <w:jc w:val="left"/>
              <w:rPr>
                <w:rFonts w:ascii="Calibri" w:hAnsi="Calibri" w:cs="Calibri" w:eastAsia="Calibri" w:hint="default"/>
                <w:sz w:val="20"/>
                <w:szCs w:val="20"/>
              </w:rPr>
            </w:pPr>
            <w:r>
              <w:rPr>
                <w:rFonts w:ascii="Calibri" w:hAnsi="Calibri"/>
                <w:b/>
                <w:sz w:val="20"/>
              </w:rPr>
              <w:t>Encourage Family/Friends to Visit</w:t>
            </w:r>
            <w:r>
              <w:rPr>
                <w:rFonts w:ascii="Calibri" w:hAnsi="Calibri"/>
                <w:b/>
                <w:spacing w:val="-18"/>
                <w:sz w:val="20"/>
              </w:rPr>
              <w:t> </w:t>
            </w:r>
            <w:r>
              <w:rPr>
                <w:rFonts w:ascii="Calibri" w:hAnsi="Calibri"/>
                <w:b/>
                <w:sz w:val="20"/>
              </w:rPr>
              <w:t>Curaçao</w:t>
            </w:r>
            <w:r>
              <w:rPr>
                <w:rFonts w:ascii="Calibri" w:hAnsi="Calibri"/>
                <w:sz w:val="20"/>
              </w:rPr>
            </w:r>
          </w:p>
        </w:tc>
        <w:tc>
          <w:tcPr>
            <w:tcW w:w="2280" w:type="dxa"/>
            <w:tcBorders>
              <w:top w:val="nil" w:sz="6" w:space="0" w:color="auto"/>
              <w:left w:val="nil" w:sz="6" w:space="0" w:color="auto"/>
              <w:bottom w:val="nil" w:sz="6" w:space="0" w:color="auto"/>
              <w:right w:val="nil" w:sz="6" w:space="0" w:color="auto"/>
            </w:tcBorders>
          </w:tcPr>
          <w:p>
            <w:pPr>
              <w:pStyle w:val="TableParagraph"/>
              <w:spacing w:line="240" w:lineRule="auto"/>
              <w:ind w:left="1031"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99" name="image37.png" descr=""/>
                  <wp:cNvGraphicFramePr>
                    <a:graphicFrameLocks noChangeAspect="1"/>
                  </wp:cNvGraphicFramePr>
                  <a:graphic>
                    <a:graphicData uri="http://schemas.openxmlformats.org/drawingml/2006/picture">
                      <pic:pic>
                        <pic:nvPicPr>
                          <pic:cNvPr id="100"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c>
          <w:tcPr>
            <w:tcW w:w="2302" w:type="dxa"/>
            <w:tcBorders>
              <w:top w:val="nil" w:sz="6" w:space="0" w:color="auto"/>
              <w:left w:val="nil" w:sz="6" w:space="0" w:color="auto"/>
              <w:bottom w:val="nil" w:sz="6" w:space="0" w:color="auto"/>
              <w:right w:val="nil" w:sz="6" w:space="0" w:color="auto"/>
            </w:tcBorders>
          </w:tcPr>
          <w:p>
            <w:pPr>
              <w:pStyle w:val="TableParagraph"/>
              <w:spacing w:line="240" w:lineRule="auto"/>
              <w:ind w:left="1059"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101" name="image37.png" descr=""/>
                  <wp:cNvGraphicFramePr>
                    <a:graphicFrameLocks noChangeAspect="1"/>
                  </wp:cNvGraphicFramePr>
                  <a:graphic>
                    <a:graphicData uri="http://schemas.openxmlformats.org/drawingml/2006/picture">
                      <pic:pic>
                        <pic:nvPicPr>
                          <pic:cNvPr id="102"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r>
      <w:tr>
        <w:trPr>
          <w:trHeight w:val="315" w:hRule="exact"/>
        </w:trPr>
        <w:tc>
          <w:tcPr>
            <w:tcW w:w="4812" w:type="dxa"/>
            <w:tcBorders>
              <w:top w:val="nil" w:sz="6" w:space="0" w:color="auto"/>
              <w:left w:val="nil" w:sz="6" w:space="0" w:color="auto"/>
              <w:bottom w:val="single" w:sz="4" w:space="0" w:color="000000"/>
              <w:right w:val="nil" w:sz="6" w:space="0" w:color="auto"/>
            </w:tcBorders>
          </w:tcPr>
          <w:p>
            <w:pPr>
              <w:pStyle w:val="TableParagraph"/>
              <w:spacing w:line="240" w:lineRule="auto" w:before="9"/>
              <w:ind w:left="122" w:right="0"/>
              <w:jc w:val="left"/>
              <w:rPr>
                <w:rFonts w:ascii="Calibri" w:hAnsi="Calibri" w:cs="Calibri" w:eastAsia="Calibri" w:hint="default"/>
                <w:sz w:val="20"/>
                <w:szCs w:val="20"/>
              </w:rPr>
            </w:pPr>
            <w:r>
              <w:rPr>
                <w:rFonts w:ascii="Calibri" w:hAnsi="Calibri"/>
                <w:b/>
                <w:sz w:val="20"/>
              </w:rPr>
              <w:t>Recommend Curaçao to Anyone Who Asks</w:t>
            </w:r>
            <w:r>
              <w:rPr>
                <w:rFonts w:ascii="Calibri" w:hAnsi="Calibri"/>
                <w:b/>
                <w:spacing w:val="-17"/>
                <w:sz w:val="20"/>
              </w:rPr>
              <w:t> </w:t>
            </w:r>
            <w:r>
              <w:rPr>
                <w:rFonts w:ascii="Calibri" w:hAnsi="Calibri"/>
                <w:b/>
                <w:sz w:val="20"/>
              </w:rPr>
              <w:t>Me</w:t>
            </w:r>
            <w:r>
              <w:rPr>
                <w:rFonts w:ascii="Calibri" w:hAnsi="Calibri"/>
                <w:sz w:val="20"/>
              </w:rPr>
            </w:r>
          </w:p>
        </w:tc>
        <w:tc>
          <w:tcPr>
            <w:tcW w:w="2280" w:type="dxa"/>
            <w:tcBorders>
              <w:top w:val="nil" w:sz="6" w:space="0" w:color="auto"/>
              <w:left w:val="nil" w:sz="6" w:space="0" w:color="auto"/>
              <w:bottom w:val="single" w:sz="4" w:space="0" w:color="000000"/>
              <w:right w:val="nil" w:sz="6" w:space="0" w:color="auto"/>
            </w:tcBorders>
          </w:tcPr>
          <w:p>
            <w:pPr>
              <w:pStyle w:val="TableParagraph"/>
              <w:spacing w:line="240" w:lineRule="auto"/>
              <w:ind w:left="1031"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103" name="image37.png" descr=""/>
                  <wp:cNvGraphicFramePr>
                    <a:graphicFrameLocks noChangeAspect="1"/>
                  </wp:cNvGraphicFramePr>
                  <a:graphic>
                    <a:graphicData uri="http://schemas.openxmlformats.org/drawingml/2006/picture">
                      <pic:pic>
                        <pic:nvPicPr>
                          <pic:cNvPr id="104"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c>
          <w:tcPr>
            <w:tcW w:w="2302" w:type="dxa"/>
            <w:tcBorders>
              <w:top w:val="nil" w:sz="6" w:space="0" w:color="auto"/>
              <w:left w:val="nil" w:sz="6" w:space="0" w:color="auto"/>
              <w:bottom w:val="single" w:sz="4" w:space="0" w:color="000000"/>
              <w:right w:val="nil" w:sz="6" w:space="0" w:color="auto"/>
            </w:tcBorders>
          </w:tcPr>
          <w:p>
            <w:pPr>
              <w:pStyle w:val="TableParagraph"/>
              <w:spacing w:line="240" w:lineRule="auto"/>
              <w:ind w:left="1059" w:right="0"/>
              <w:jc w:val="left"/>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2879" cy="182879"/>
                  <wp:effectExtent l="0" t="0" r="0" b="0"/>
                  <wp:docPr id="105" name="image37.png" descr=""/>
                  <wp:cNvGraphicFramePr>
                    <a:graphicFrameLocks noChangeAspect="1"/>
                  </wp:cNvGraphicFramePr>
                  <a:graphic>
                    <a:graphicData uri="http://schemas.openxmlformats.org/drawingml/2006/picture">
                      <pic:pic>
                        <pic:nvPicPr>
                          <pic:cNvPr id="106" name="image37.png"/>
                          <pic:cNvPicPr/>
                        </pic:nvPicPr>
                        <pic:blipFill>
                          <a:blip r:embed="rId66" cstate="print"/>
                          <a:stretch>
                            <a:fillRect/>
                          </a:stretch>
                        </pic:blipFill>
                        <pic:spPr>
                          <a:xfrm>
                            <a:off x="0" y="0"/>
                            <a:ext cx="182879" cy="182879"/>
                          </a:xfrm>
                          <a:prstGeom prst="rect">
                            <a:avLst/>
                          </a:prstGeom>
                        </pic:spPr>
                      </pic:pic>
                    </a:graphicData>
                  </a:graphic>
                </wp:inline>
              </w:drawing>
            </w:r>
            <w:r>
              <w:rPr>
                <w:rFonts w:ascii="Calibri" w:hAnsi="Calibri" w:cs="Calibri" w:eastAsia="Calibri" w:hint="default"/>
                <w:sz w:val="20"/>
                <w:szCs w:val="20"/>
              </w:rPr>
            </w:r>
          </w:p>
        </w:tc>
      </w:tr>
    </w:tbl>
    <w:p>
      <w:pPr>
        <w:spacing w:line="240" w:lineRule="auto" w:before="2"/>
        <w:ind w:right="0"/>
        <w:rPr>
          <w:rFonts w:ascii="Calibri" w:hAnsi="Calibri" w:cs="Calibri" w:eastAsia="Calibri" w:hint="default"/>
          <w:b/>
          <w:bCs/>
          <w:sz w:val="20"/>
          <w:szCs w:val="20"/>
        </w:rPr>
      </w:pPr>
    </w:p>
    <w:p>
      <w:pPr>
        <w:pStyle w:val="Heading2"/>
        <w:spacing w:line="240" w:lineRule="auto"/>
        <w:ind w:right="0"/>
        <w:jc w:val="left"/>
        <w:rPr>
          <w:b w:val="0"/>
          <w:bCs w:val="0"/>
        </w:rPr>
      </w:pPr>
      <w:bookmarkStart w:name="_bookmark144" w:id="145"/>
      <w:bookmarkEnd w:id="145"/>
      <w:r>
        <w:rPr>
          <w:b w:val="0"/>
        </w:rPr>
      </w:r>
      <w:r>
        <w:rPr/>
        <w:t>The new</w:t>
      </w:r>
      <w:r>
        <w:rPr>
          <w:spacing w:val="-9"/>
        </w:rPr>
        <w:t> </w:t>
      </w:r>
      <w:r>
        <w:rPr/>
        <w:t>CTB</w:t>
      </w:r>
      <w:r>
        <w:rPr>
          <w:b w:val="0"/>
        </w:rPr>
      </w:r>
    </w:p>
    <w:p>
      <w:pPr>
        <w:spacing w:line="240" w:lineRule="auto" w:before="8"/>
        <w:ind w:right="0"/>
        <w:rPr>
          <w:rFonts w:ascii="Calibri" w:hAnsi="Calibri" w:cs="Calibri" w:eastAsia="Calibri" w:hint="default"/>
          <w:b/>
          <w:bCs/>
          <w:sz w:val="10"/>
          <w:szCs w:val="10"/>
        </w:rPr>
      </w:pPr>
    </w:p>
    <w:p>
      <w:pPr>
        <w:pStyle w:val="BodyText"/>
        <w:spacing w:line="240" w:lineRule="auto" w:before="59"/>
        <w:ind w:right="1438"/>
        <w:jc w:val="both"/>
      </w:pPr>
      <w:r>
        <w:rPr/>
        <w:t>For Curaçao to capture the American market as described in the aforementioned two main segments, the destination must meet two conditions. First, the present CTB should be reengineered toward a flexible and market oriented organization. This new CTB will need to have a different governance structure that would make it more agile and ready to engage in a new type of conversation with</w:t>
      </w:r>
      <w:r>
        <w:rPr>
          <w:spacing w:val="-29"/>
        </w:rPr>
        <w:t> </w:t>
      </w:r>
      <w:r>
        <w:rPr/>
        <w:t>stakeholders.</w:t>
      </w:r>
    </w:p>
    <w:p>
      <w:pPr>
        <w:spacing w:line="240" w:lineRule="auto" w:before="12"/>
        <w:ind w:right="0"/>
        <w:rPr>
          <w:rFonts w:ascii="Calibri" w:hAnsi="Calibri" w:cs="Calibri" w:eastAsia="Calibri" w:hint="default"/>
          <w:sz w:val="19"/>
          <w:szCs w:val="19"/>
        </w:rPr>
      </w:pPr>
    </w:p>
    <w:p>
      <w:pPr>
        <w:pStyle w:val="BodyText"/>
        <w:spacing w:line="240" w:lineRule="auto"/>
        <w:ind w:right="1440"/>
        <w:jc w:val="both"/>
      </w:pPr>
      <w:r>
        <w:rPr/>
        <w:t>Second, the financial resources must be present from the immediate implementation of the strategic plan to conquer</w:t>
      </w:r>
      <w:r>
        <w:rPr>
          <w:spacing w:val="-4"/>
        </w:rPr>
        <w:t> </w:t>
      </w:r>
      <w:r>
        <w:rPr/>
        <w:t>the</w:t>
      </w:r>
      <w:r>
        <w:rPr>
          <w:spacing w:val="-5"/>
        </w:rPr>
        <w:t> </w:t>
      </w:r>
      <w:r>
        <w:rPr/>
        <w:t>American</w:t>
      </w:r>
      <w:r>
        <w:rPr>
          <w:spacing w:val="-4"/>
        </w:rPr>
        <w:t> </w:t>
      </w:r>
      <w:r>
        <w:rPr/>
        <w:t>market,</w:t>
      </w:r>
      <w:r>
        <w:rPr>
          <w:spacing w:val="-3"/>
        </w:rPr>
        <w:t> </w:t>
      </w:r>
      <w:r>
        <w:rPr/>
        <w:t>as</w:t>
      </w:r>
      <w:r>
        <w:rPr>
          <w:spacing w:val="-5"/>
        </w:rPr>
        <w:t> </w:t>
      </w:r>
      <w:r>
        <w:rPr/>
        <w:t>well</w:t>
      </w:r>
      <w:r>
        <w:rPr>
          <w:spacing w:val="-5"/>
        </w:rPr>
        <w:t> </w:t>
      </w:r>
      <w:r>
        <w:rPr/>
        <w:t>as</w:t>
      </w:r>
      <w:r>
        <w:rPr>
          <w:spacing w:val="-5"/>
        </w:rPr>
        <w:t> </w:t>
      </w:r>
      <w:r>
        <w:rPr/>
        <w:t>to</w:t>
      </w:r>
      <w:r>
        <w:rPr>
          <w:spacing w:val="-4"/>
        </w:rPr>
        <w:t> </w:t>
      </w:r>
      <w:r>
        <w:rPr/>
        <w:t>irradiate</w:t>
      </w:r>
      <w:r>
        <w:rPr>
          <w:spacing w:val="-5"/>
        </w:rPr>
        <w:t> </w:t>
      </w:r>
      <w:r>
        <w:rPr/>
        <w:t>credibility</w:t>
      </w:r>
      <w:r>
        <w:rPr>
          <w:spacing w:val="-3"/>
        </w:rPr>
        <w:t> </w:t>
      </w:r>
      <w:r>
        <w:rPr/>
        <w:t>in</w:t>
      </w:r>
      <w:r>
        <w:rPr>
          <w:spacing w:val="-4"/>
        </w:rPr>
        <w:t> </w:t>
      </w:r>
      <w:r>
        <w:rPr/>
        <w:t>the</w:t>
      </w:r>
      <w:r>
        <w:rPr>
          <w:spacing w:val="-5"/>
        </w:rPr>
        <w:t> </w:t>
      </w:r>
      <w:r>
        <w:rPr/>
        <w:t>plan</w:t>
      </w:r>
      <w:r>
        <w:rPr>
          <w:spacing w:val="-6"/>
        </w:rPr>
        <w:t> </w:t>
      </w:r>
      <w:r>
        <w:rPr/>
        <w:t>from</w:t>
      </w:r>
      <w:r>
        <w:rPr>
          <w:spacing w:val="-5"/>
        </w:rPr>
        <w:t> </w:t>
      </w:r>
      <w:r>
        <w:rPr/>
        <w:t>the</w:t>
      </w:r>
      <w:r>
        <w:rPr>
          <w:spacing w:val="-5"/>
        </w:rPr>
        <w:t> </w:t>
      </w:r>
      <w:r>
        <w:rPr/>
        <w:t>start.</w:t>
      </w:r>
      <w:r>
        <w:rPr>
          <w:spacing w:val="-4"/>
        </w:rPr>
        <w:t> </w:t>
      </w:r>
      <w:r>
        <w:rPr/>
        <w:t>The</w:t>
      </w:r>
      <w:r>
        <w:rPr>
          <w:spacing w:val="-5"/>
        </w:rPr>
        <w:t> </w:t>
      </w:r>
      <w:r>
        <w:rPr/>
        <w:t>discussion</w:t>
      </w:r>
      <w:r>
        <w:rPr>
          <w:spacing w:val="-4"/>
        </w:rPr>
        <w:t> </w:t>
      </w:r>
      <w:r>
        <w:rPr/>
        <w:t>below</w:t>
      </w:r>
      <w:r>
        <w:rPr>
          <w:spacing w:val="-5"/>
        </w:rPr>
        <w:t> </w:t>
      </w:r>
      <w:r>
        <w:rPr/>
        <w:t>is</w:t>
      </w:r>
      <w:r>
        <w:rPr>
          <w:spacing w:val="-6"/>
        </w:rPr>
        <w:t> </w:t>
      </w:r>
      <w:r>
        <w:rPr/>
        <w:t>to </w:t>
      </w:r>
      <w:r>
        <w:rPr/>
        <w:t>provide</w:t>
      </w:r>
      <w:r>
        <w:rPr>
          <w:spacing w:val="-2"/>
        </w:rPr>
        <w:t> </w:t>
      </w:r>
      <w:r>
        <w:rPr/>
        <w:t>and</w:t>
      </w:r>
      <w:r>
        <w:rPr>
          <w:spacing w:val="-2"/>
        </w:rPr>
        <w:t> </w:t>
      </w:r>
      <w:r>
        <w:rPr/>
        <w:t>define</w:t>
      </w:r>
      <w:r>
        <w:rPr>
          <w:spacing w:val="-2"/>
        </w:rPr>
        <w:t> </w:t>
      </w:r>
      <w:r>
        <w:rPr/>
        <w:t>the</w:t>
      </w:r>
      <w:r>
        <w:rPr>
          <w:spacing w:val="-3"/>
        </w:rPr>
        <w:t> </w:t>
      </w:r>
      <w:r>
        <w:rPr/>
        <w:t>parameters</w:t>
      </w:r>
      <w:r>
        <w:rPr>
          <w:spacing w:val="-4"/>
        </w:rPr>
        <w:t> </w:t>
      </w:r>
      <w:r>
        <w:rPr/>
        <w:t>of</w:t>
      </w:r>
      <w:r>
        <w:rPr>
          <w:spacing w:val="-4"/>
        </w:rPr>
        <w:t> </w:t>
      </w:r>
      <w:r>
        <w:rPr/>
        <w:t>this</w:t>
      </w:r>
      <w:r>
        <w:rPr>
          <w:spacing w:val="-4"/>
        </w:rPr>
        <w:t> </w:t>
      </w:r>
      <w:r>
        <w:rPr/>
        <w:t>new</w:t>
      </w:r>
      <w:r>
        <w:rPr>
          <w:spacing w:val="-3"/>
        </w:rPr>
        <w:t> </w:t>
      </w:r>
      <w:r>
        <w:rPr/>
        <w:t>CTB,</w:t>
      </w:r>
      <w:r>
        <w:rPr>
          <w:spacing w:val="-1"/>
        </w:rPr>
        <w:t> </w:t>
      </w:r>
      <w:r>
        <w:rPr/>
        <w:t>and</w:t>
      </w:r>
      <w:r>
        <w:rPr>
          <w:spacing w:val="-1"/>
        </w:rPr>
        <w:t> </w:t>
      </w:r>
      <w:r>
        <w:rPr/>
        <w:t>to</w:t>
      </w:r>
      <w:r>
        <w:rPr>
          <w:spacing w:val="-2"/>
        </w:rPr>
        <w:t> </w:t>
      </w:r>
      <w:r>
        <w:rPr/>
        <w:t>gain</w:t>
      </w:r>
      <w:r>
        <w:rPr>
          <w:spacing w:val="-1"/>
        </w:rPr>
        <w:t> </w:t>
      </w:r>
      <w:r>
        <w:rPr/>
        <w:t>credibility</w:t>
      </w:r>
      <w:r>
        <w:rPr>
          <w:spacing w:val="-1"/>
        </w:rPr>
        <w:t> </w:t>
      </w:r>
      <w:r>
        <w:rPr/>
        <w:t>in</w:t>
      </w:r>
      <w:r>
        <w:rPr>
          <w:spacing w:val="-2"/>
        </w:rPr>
        <w:t> </w:t>
      </w:r>
      <w:r>
        <w:rPr/>
        <w:t>the</w:t>
      </w:r>
      <w:r>
        <w:rPr>
          <w:spacing w:val="-3"/>
        </w:rPr>
        <w:t> </w:t>
      </w:r>
      <w:r>
        <w:rPr/>
        <w:t>sustainability</w:t>
      </w:r>
      <w:r>
        <w:rPr>
          <w:spacing w:val="-1"/>
        </w:rPr>
        <w:t> </w:t>
      </w:r>
      <w:r>
        <w:rPr/>
        <w:t>of</w:t>
      </w:r>
      <w:r>
        <w:rPr>
          <w:spacing w:val="-4"/>
        </w:rPr>
        <w:t> </w:t>
      </w:r>
      <w:r>
        <w:rPr/>
        <w:t>the</w:t>
      </w:r>
      <w:r>
        <w:rPr>
          <w:spacing w:val="-3"/>
        </w:rPr>
        <w:t> </w:t>
      </w:r>
      <w:r>
        <w:rPr/>
        <w:t>plan.</w:t>
      </w:r>
    </w:p>
    <w:p>
      <w:pPr>
        <w:pStyle w:val="BodyText"/>
        <w:spacing w:line="240" w:lineRule="auto"/>
        <w:ind w:right="1444"/>
        <w:jc w:val="both"/>
        <w:rPr>
          <w:sz w:val="12"/>
          <w:szCs w:val="12"/>
        </w:rPr>
      </w:pPr>
      <w:r>
        <w:rPr>
          <w:rFonts w:ascii="Calibri" w:hAnsi="Calibri"/>
        </w:rPr>
        <w:t>The CTB is a component of the Curaҫao Tourism Development Foundation which was founded in 1989. The </w:t>
      </w:r>
      <w:r>
        <w:rPr/>
        <w:t>foundation consists of a Supervisory Board of 7 members, including a chairperson, appointed by the Minister of Economic Affairs. The organization is funded by the government and managed by a director and deputy director under the articles of association. The bylaws of the Foundation were amended in</w:t>
      </w:r>
      <w:r>
        <w:rPr>
          <w:spacing w:val="-27"/>
        </w:rPr>
        <w:t> </w:t>
      </w:r>
      <w:r>
        <w:rPr/>
        <w:t>2012.</w:t>
      </w:r>
      <w:r>
        <w:rPr>
          <w:position w:val="5"/>
          <w:sz w:val="12"/>
        </w:rPr>
        <w:t>65</w:t>
      </w:r>
      <w:r>
        <w:rPr>
          <w:sz w:val="12"/>
        </w:rPr>
      </w:r>
    </w:p>
    <w:p>
      <w:pPr>
        <w:spacing w:line="240" w:lineRule="auto" w:before="1"/>
        <w:ind w:right="0"/>
        <w:rPr>
          <w:rFonts w:ascii="Calibri" w:hAnsi="Calibri" w:cs="Calibri" w:eastAsia="Calibri" w:hint="default"/>
          <w:sz w:val="20"/>
          <w:szCs w:val="20"/>
        </w:rPr>
      </w:pPr>
    </w:p>
    <w:p>
      <w:pPr>
        <w:pStyle w:val="BodyText"/>
        <w:spacing w:line="240" w:lineRule="auto"/>
        <w:ind w:right="1436"/>
        <w:jc w:val="both"/>
      </w:pPr>
      <w:r>
        <w:rPr/>
        <w:t>CTB</w:t>
      </w:r>
      <w:r>
        <w:rPr>
          <w:spacing w:val="-5"/>
        </w:rPr>
        <w:t> </w:t>
      </w:r>
      <w:r>
        <w:rPr/>
        <w:t>has</w:t>
      </w:r>
      <w:r>
        <w:rPr>
          <w:spacing w:val="-5"/>
        </w:rPr>
        <w:t> </w:t>
      </w:r>
      <w:r>
        <w:rPr/>
        <w:t>a</w:t>
      </w:r>
      <w:r>
        <w:rPr>
          <w:spacing w:val="-4"/>
        </w:rPr>
        <w:t> </w:t>
      </w:r>
      <w:r>
        <w:rPr/>
        <w:t>pivotal</w:t>
      </w:r>
      <w:r>
        <w:rPr>
          <w:spacing w:val="-5"/>
        </w:rPr>
        <w:t> </w:t>
      </w:r>
      <w:r>
        <w:rPr/>
        <w:t>role</w:t>
      </w:r>
      <w:r>
        <w:rPr>
          <w:spacing w:val="-5"/>
        </w:rPr>
        <w:t> </w:t>
      </w:r>
      <w:r>
        <w:rPr/>
        <w:t>in</w:t>
      </w:r>
      <w:r>
        <w:rPr>
          <w:spacing w:val="-4"/>
        </w:rPr>
        <w:t> </w:t>
      </w:r>
      <w:r>
        <w:rPr/>
        <w:t>realizing</w:t>
      </w:r>
      <w:r>
        <w:rPr>
          <w:spacing w:val="-5"/>
        </w:rPr>
        <w:t> </w:t>
      </w:r>
      <w:r>
        <w:rPr/>
        <w:t>the</w:t>
      </w:r>
      <w:r>
        <w:rPr>
          <w:spacing w:val="-5"/>
        </w:rPr>
        <w:t> </w:t>
      </w:r>
      <w:r>
        <w:rPr/>
        <w:t>plan.</w:t>
      </w:r>
      <w:r>
        <w:rPr>
          <w:spacing w:val="-1"/>
        </w:rPr>
        <w:t> </w:t>
      </w:r>
      <w:r>
        <w:rPr/>
        <w:t>The</w:t>
      </w:r>
      <w:r>
        <w:rPr>
          <w:spacing w:val="-5"/>
        </w:rPr>
        <w:t> </w:t>
      </w:r>
      <w:r>
        <w:rPr/>
        <w:t>current</w:t>
      </w:r>
      <w:r>
        <w:rPr>
          <w:spacing w:val="-4"/>
        </w:rPr>
        <w:t> </w:t>
      </w:r>
      <w:r>
        <w:rPr/>
        <w:t>organizational</w:t>
      </w:r>
      <w:r>
        <w:rPr>
          <w:spacing w:val="-4"/>
        </w:rPr>
        <w:t> </w:t>
      </w:r>
      <w:r>
        <w:rPr/>
        <w:t>structure</w:t>
      </w:r>
      <w:r>
        <w:rPr>
          <w:spacing w:val="-5"/>
        </w:rPr>
        <w:t> </w:t>
      </w:r>
      <w:r>
        <w:rPr/>
        <w:t>of</w:t>
      </w:r>
      <w:r>
        <w:rPr>
          <w:spacing w:val="-5"/>
        </w:rPr>
        <w:t> </w:t>
      </w:r>
      <w:r>
        <w:rPr/>
        <w:t>the</w:t>
      </w:r>
      <w:r>
        <w:rPr>
          <w:spacing w:val="-5"/>
        </w:rPr>
        <w:t> </w:t>
      </w:r>
      <w:r>
        <w:rPr/>
        <w:t>CTB</w:t>
      </w:r>
      <w:r>
        <w:rPr>
          <w:spacing w:val="-5"/>
        </w:rPr>
        <w:t> </w:t>
      </w:r>
      <w:r>
        <w:rPr/>
        <w:t>does</w:t>
      </w:r>
      <w:r>
        <w:rPr>
          <w:spacing w:val="-5"/>
        </w:rPr>
        <w:t> </w:t>
      </w:r>
      <w:r>
        <w:rPr/>
        <w:t>not</w:t>
      </w:r>
      <w:r>
        <w:rPr>
          <w:spacing w:val="-4"/>
        </w:rPr>
        <w:t> </w:t>
      </w:r>
      <w:r>
        <w:rPr/>
        <w:t>seem</w:t>
      </w:r>
      <w:r>
        <w:rPr>
          <w:spacing w:val="-5"/>
        </w:rPr>
        <w:t> </w:t>
      </w:r>
      <w:r>
        <w:rPr/>
        <w:t>conducive </w:t>
      </w:r>
      <w:r>
        <w:rPr/>
        <w:t>to provide effective direction to the plan through to its successful completion. Several important modifications to the organizational structure should take</w:t>
      </w:r>
      <w:r>
        <w:rPr>
          <w:spacing w:val="-14"/>
        </w:rPr>
        <w:t> </w:t>
      </w:r>
      <w:r>
        <w:rPr/>
        <w:t>place.</w:t>
      </w:r>
    </w:p>
    <w:p>
      <w:pPr>
        <w:pStyle w:val="Heading3"/>
        <w:spacing w:line="341" w:lineRule="exact" w:before="42"/>
        <w:ind w:right="0"/>
        <w:jc w:val="both"/>
        <w:rPr>
          <w:i w:val="0"/>
        </w:rPr>
      </w:pPr>
      <w:bookmarkStart w:name="_bookmark145" w:id="146"/>
      <w:bookmarkEnd w:id="146"/>
      <w:r>
        <w:rPr>
          <w:i w:val="0"/>
        </w:rPr>
      </w:r>
      <w:r>
        <w:rPr>
          <w:i/>
        </w:rPr>
        <w:t>Modifying the current tourism organization</w:t>
      </w:r>
      <w:r>
        <w:rPr>
          <w:i/>
          <w:spacing w:val="-13"/>
        </w:rPr>
        <w:t> </w:t>
      </w:r>
      <w:r>
        <w:rPr>
          <w:i/>
        </w:rPr>
        <w:t>framework</w:t>
      </w:r>
      <w:r>
        <w:rPr>
          <w:i w:val="0"/>
        </w:rPr>
      </w:r>
    </w:p>
    <w:p>
      <w:pPr>
        <w:pStyle w:val="BodyText"/>
        <w:spacing w:line="240" w:lineRule="auto"/>
        <w:ind w:right="1436"/>
        <w:jc w:val="both"/>
      </w:pPr>
      <w:r>
        <w:rPr/>
        <w:t>Organizational framework assumes that policy coordination will occur and that a strong collaboration will exist between the public and private sectors. Moreover, the framework assumes that policies, actions and projects will be regularly monitored, evaluated, and adjusted. The new tourism framework consists of the Minister of Economic Development,</w:t>
      </w:r>
      <w:r>
        <w:rPr>
          <w:spacing w:val="-7"/>
        </w:rPr>
        <w:t> </w:t>
      </w:r>
      <w:r>
        <w:rPr/>
        <w:t>the</w:t>
      </w:r>
      <w:r>
        <w:rPr>
          <w:spacing w:val="-7"/>
        </w:rPr>
        <w:t> </w:t>
      </w:r>
      <w:r>
        <w:rPr/>
        <w:t>new</w:t>
      </w:r>
      <w:r>
        <w:rPr>
          <w:spacing w:val="-8"/>
        </w:rPr>
        <w:t> </w:t>
      </w:r>
      <w:r>
        <w:rPr/>
        <w:t>CTB</w:t>
      </w:r>
      <w:r>
        <w:rPr>
          <w:spacing w:val="-6"/>
        </w:rPr>
        <w:t> </w:t>
      </w:r>
      <w:r>
        <w:rPr/>
        <w:t>Board,</w:t>
      </w:r>
      <w:r>
        <w:rPr>
          <w:spacing w:val="-7"/>
        </w:rPr>
        <w:t> </w:t>
      </w:r>
      <w:r>
        <w:rPr/>
        <w:t>and</w:t>
      </w:r>
      <w:r>
        <w:rPr>
          <w:spacing w:val="-7"/>
        </w:rPr>
        <w:t> </w:t>
      </w:r>
      <w:r>
        <w:rPr/>
        <w:t>the</w:t>
      </w:r>
      <w:r>
        <w:rPr>
          <w:spacing w:val="-9"/>
        </w:rPr>
        <w:t> </w:t>
      </w:r>
      <w:r>
        <w:rPr/>
        <w:t>restructured</w:t>
      </w:r>
      <w:r>
        <w:rPr>
          <w:spacing w:val="-7"/>
        </w:rPr>
        <w:t> </w:t>
      </w:r>
      <w:r>
        <w:rPr/>
        <w:t>CTB.</w:t>
      </w:r>
      <w:r>
        <w:rPr>
          <w:spacing w:val="-8"/>
        </w:rPr>
        <w:t> </w:t>
      </w:r>
      <w:r>
        <w:rPr/>
        <w:t>Each</w:t>
      </w:r>
      <w:r>
        <w:rPr>
          <w:spacing w:val="-7"/>
        </w:rPr>
        <w:t> </w:t>
      </w:r>
      <w:r>
        <w:rPr/>
        <w:t>one</w:t>
      </w:r>
      <w:r>
        <w:rPr>
          <w:spacing w:val="-9"/>
        </w:rPr>
        <w:t> </w:t>
      </w:r>
      <w:r>
        <w:rPr/>
        <w:t>will</w:t>
      </w:r>
      <w:r>
        <w:rPr>
          <w:spacing w:val="-8"/>
        </w:rPr>
        <w:t> </w:t>
      </w:r>
      <w:r>
        <w:rPr/>
        <w:t>have</w:t>
      </w:r>
      <w:r>
        <w:rPr>
          <w:spacing w:val="-9"/>
        </w:rPr>
        <w:t> </w:t>
      </w:r>
      <w:r>
        <w:rPr/>
        <w:t>their</w:t>
      </w:r>
      <w:r>
        <w:rPr>
          <w:spacing w:val="-8"/>
        </w:rPr>
        <w:t> </w:t>
      </w:r>
      <w:r>
        <w:rPr/>
        <w:t>own</w:t>
      </w:r>
      <w:r>
        <w:rPr>
          <w:spacing w:val="-7"/>
        </w:rPr>
        <w:t> </w:t>
      </w:r>
      <w:r>
        <w:rPr/>
        <w:t>responsibilities</w:t>
      </w:r>
      <w:r>
        <w:rPr>
          <w:spacing w:val="-9"/>
        </w:rPr>
        <w:t> </w:t>
      </w:r>
      <w:r>
        <w:rPr/>
        <w:t>and</w:t>
      </w:r>
      <w:r>
        <w:rPr>
          <w:spacing w:val="-7"/>
        </w:rPr>
        <w:t> </w:t>
      </w:r>
      <w:r>
        <w:rPr/>
        <w:t>tasks. </w:t>
      </w:r>
      <w:r>
        <w:rPr/>
        <w:t>The</w:t>
      </w:r>
      <w:r>
        <w:rPr>
          <w:spacing w:val="-8"/>
        </w:rPr>
        <w:t> </w:t>
      </w:r>
      <w:r>
        <w:rPr/>
        <w:t>Minister</w:t>
      </w:r>
      <w:r>
        <w:rPr>
          <w:spacing w:val="-7"/>
        </w:rPr>
        <w:t> </w:t>
      </w:r>
      <w:r>
        <w:rPr/>
        <w:t>of</w:t>
      </w:r>
      <w:r>
        <w:rPr>
          <w:spacing w:val="-8"/>
        </w:rPr>
        <w:t> </w:t>
      </w:r>
      <w:r>
        <w:rPr/>
        <w:t>Economic</w:t>
      </w:r>
      <w:r>
        <w:rPr>
          <w:spacing w:val="-7"/>
        </w:rPr>
        <w:t> </w:t>
      </w:r>
      <w:r>
        <w:rPr/>
        <w:t>Development</w:t>
      </w:r>
      <w:r>
        <w:rPr>
          <w:spacing w:val="-4"/>
        </w:rPr>
        <w:t> </w:t>
      </w:r>
      <w:r>
        <w:rPr/>
        <w:t>is</w:t>
      </w:r>
      <w:r>
        <w:rPr>
          <w:spacing w:val="-8"/>
        </w:rPr>
        <w:t> </w:t>
      </w:r>
      <w:r>
        <w:rPr/>
        <w:t>in</w:t>
      </w:r>
      <w:r>
        <w:rPr>
          <w:spacing w:val="-6"/>
        </w:rPr>
        <w:t> </w:t>
      </w:r>
      <w:r>
        <w:rPr/>
        <w:t>charge</w:t>
      </w:r>
      <w:r>
        <w:rPr>
          <w:spacing w:val="-8"/>
        </w:rPr>
        <w:t> </w:t>
      </w:r>
      <w:r>
        <w:rPr/>
        <w:t>of</w:t>
      </w:r>
      <w:r>
        <w:rPr>
          <w:spacing w:val="-8"/>
        </w:rPr>
        <w:t> </w:t>
      </w:r>
      <w:r>
        <w:rPr/>
        <w:t>the</w:t>
      </w:r>
      <w:r>
        <w:rPr>
          <w:spacing w:val="-8"/>
        </w:rPr>
        <w:t> </w:t>
      </w:r>
      <w:r>
        <w:rPr/>
        <w:t>tourism</w:t>
      </w:r>
      <w:r>
        <w:rPr>
          <w:spacing w:val="-8"/>
        </w:rPr>
        <w:t> </w:t>
      </w:r>
      <w:r>
        <w:rPr/>
        <w:t>policy</w:t>
      </w:r>
      <w:r>
        <w:rPr>
          <w:spacing w:val="-6"/>
        </w:rPr>
        <w:t> </w:t>
      </w:r>
      <w:r>
        <w:rPr/>
        <w:t>design</w:t>
      </w:r>
      <w:r>
        <w:rPr>
          <w:spacing w:val="-7"/>
        </w:rPr>
        <w:t> </w:t>
      </w:r>
      <w:r>
        <w:rPr/>
        <w:t>and</w:t>
      </w:r>
      <w:r>
        <w:rPr>
          <w:spacing w:val="-3"/>
        </w:rPr>
        <w:t> </w:t>
      </w:r>
      <w:r>
        <w:rPr/>
        <w:t>formulation,</w:t>
      </w:r>
      <w:r>
        <w:rPr>
          <w:spacing w:val="-6"/>
        </w:rPr>
        <w:t> </w:t>
      </w:r>
      <w:r>
        <w:rPr/>
        <w:t>while</w:t>
      </w:r>
      <w:r>
        <w:rPr>
          <w:spacing w:val="-8"/>
        </w:rPr>
        <w:t> </w:t>
      </w:r>
      <w:r>
        <w:rPr/>
        <w:t>the</w:t>
      </w:r>
      <w:r>
        <w:rPr>
          <w:spacing w:val="-8"/>
        </w:rPr>
        <w:t> </w:t>
      </w:r>
      <w:r>
        <w:rPr/>
        <w:t>new</w:t>
      </w:r>
      <w:r>
        <w:rPr>
          <w:spacing w:val="-8"/>
        </w:rPr>
        <w:t> </w:t>
      </w:r>
      <w:r>
        <w:rPr/>
        <w:t>CTB </w:t>
      </w:r>
      <w:r>
        <w:rPr/>
        <w:t>is in charge of the implementation of those policies. For this purpose, a special tourism unit should be included in the Ministry to support the Minister with responsibilities and tasks. The unit should consist of highly qualified professionals</w:t>
      </w:r>
      <w:r>
        <w:rPr>
          <w:spacing w:val="-6"/>
        </w:rPr>
        <w:t> </w:t>
      </w:r>
      <w:r>
        <w:rPr/>
        <w:t>that</w:t>
      </w:r>
      <w:r>
        <w:rPr>
          <w:spacing w:val="-5"/>
        </w:rPr>
        <w:t> </w:t>
      </w:r>
      <w:r>
        <w:rPr/>
        <w:t>can</w:t>
      </w:r>
      <w:r>
        <w:rPr>
          <w:spacing w:val="-4"/>
        </w:rPr>
        <w:t> </w:t>
      </w:r>
      <w:r>
        <w:rPr/>
        <w:t>perform</w:t>
      </w:r>
      <w:r>
        <w:rPr>
          <w:spacing w:val="-6"/>
        </w:rPr>
        <w:t> </w:t>
      </w:r>
      <w:r>
        <w:rPr/>
        <w:t>high</w:t>
      </w:r>
      <w:r>
        <w:rPr>
          <w:spacing w:val="-5"/>
        </w:rPr>
        <w:t> </w:t>
      </w:r>
      <w:r>
        <w:rPr/>
        <w:t>quality</w:t>
      </w:r>
      <w:r>
        <w:rPr>
          <w:spacing w:val="-5"/>
        </w:rPr>
        <w:t> </w:t>
      </w:r>
      <w:r>
        <w:rPr/>
        <w:t>analyses</w:t>
      </w:r>
      <w:r>
        <w:rPr>
          <w:spacing w:val="-6"/>
        </w:rPr>
        <w:t> </w:t>
      </w:r>
      <w:r>
        <w:rPr/>
        <w:t>to</w:t>
      </w:r>
      <w:r>
        <w:rPr>
          <w:spacing w:val="-5"/>
        </w:rPr>
        <w:t> </w:t>
      </w:r>
      <w:r>
        <w:rPr/>
        <w:t>support</w:t>
      </w:r>
      <w:r>
        <w:rPr>
          <w:spacing w:val="-5"/>
        </w:rPr>
        <w:t> </w:t>
      </w:r>
      <w:r>
        <w:rPr/>
        <w:t>sound</w:t>
      </w:r>
      <w:r>
        <w:rPr>
          <w:spacing w:val="-5"/>
        </w:rPr>
        <w:t> </w:t>
      </w:r>
      <w:r>
        <w:rPr/>
        <w:t>decision-making</w:t>
      </w:r>
      <w:r>
        <w:rPr>
          <w:spacing w:val="-6"/>
        </w:rPr>
        <w:t> </w:t>
      </w:r>
      <w:r>
        <w:rPr/>
        <w:t>and</w:t>
      </w:r>
      <w:r>
        <w:rPr>
          <w:spacing w:val="-5"/>
        </w:rPr>
        <w:t> </w:t>
      </w:r>
      <w:r>
        <w:rPr/>
        <w:t>choices.</w:t>
      </w:r>
      <w:r>
        <w:rPr>
          <w:spacing w:val="-5"/>
        </w:rPr>
        <w:t> </w:t>
      </w:r>
      <w:r>
        <w:rPr/>
        <w:t>The</w:t>
      </w:r>
      <w:r>
        <w:rPr>
          <w:spacing w:val="-6"/>
        </w:rPr>
        <w:t> </w:t>
      </w:r>
      <w:r>
        <w:rPr/>
        <w:t>unit</w:t>
      </w:r>
      <w:r>
        <w:rPr>
          <w:spacing w:val="-5"/>
        </w:rPr>
        <w:t> </w:t>
      </w:r>
      <w:r>
        <w:rPr/>
        <w:t>should</w:t>
      </w:r>
    </w:p>
    <w:p>
      <w:pPr>
        <w:spacing w:line="240" w:lineRule="auto" w:before="0"/>
        <w:ind w:right="0"/>
        <w:rPr>
          <w:rFonts w:ascii="Calibri" w:hAnsi="Calibri" w:cs="Calibri" w:eastAsia="Calibri" w:hint="default"/>
          <w:sz w:val="20"/>
          <w:szCs w:val="20"/>
        </w:rPr>
      </w:pPr>
    </w:p>
    <w:p>
      <w:pPr>
        <w:spacing w:line="240" w:lineRule="auto" w:before="5"/>
        <w:ind w:right="0"/>
        <w:rPr>
          <w:rFonts w:ascii="Calibri" w:hAnsi="Calibri" w:cs="Calibri" w:eastAsia="Calibri" w:hint="default"/>
          <w:sz w:val="11"/>
          <w:szCs w:val="11"/>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before="89"/>
        <w:ind w:left="1440" w:right="0" w:firstLine="0"/>
        <w:jc w:val="left"/>
        <w:rPr>
          <w:rFonts w:ascii="Calibri" w:hAnsi="Calibri" w:cs="Calibri" w:eastAsia="Calibri" w:hint="default"/>
          <w:sz w:val="16"/>
          <w:szCs w:val="16"/>
        </w:rPr>
      </w:pPr>
      <w:r>
        <w:rPr>
          <w:rFonts w:ascii="Calibri" w:hAnsi="Calibri"/>
          <w:position w:val="5"/>
          <w:sz w:val="12"/>
        </w:rPr>
        <w:t>65 </w:t>
      </w:r>
      <w:r>
        <w:rPr>
          <w:rFonts w:ascii="Calibri" w:hAnsi="Calibri"/>
          <w:sz w:val="16"/>
        </w:rPr>
        <w:t>See Curaçao Tourism Development Foundation, 2014 Business</w:t>
      </w:r>
      <w:r>
        <w:rPr>
          <w:rFonts w:ascii="Calibri" w:hAnsi="Calibri"/>
          <w:spacing w:val="-19"/>
          <w:sz w:val="16"/>
        </w:rPr>
        <w:t> </w:t>
      </w:r>
      <w:r>
        <w:rPr>
          <w:rFonts w:ascii="Calibri" w:hAnsi="Calibri"/>
          <w:sz w:val="16"/>
        </w:rPr>
        <w:t>Plan.</w:t>
      </w:r>
    </w:p>
    <w:p>
      <w:pPr>
        <w:spacing w:after="0"/>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52"/>
        <w:jc w:val="both"/>
      </w:pPr>
      <w:r>
        <w:rPr/>
        <w:t>be headed by a person who will be directly in charge of the implementation and updating of the Tourism Master Plan.</w:t>
      </w:r>
    </w:p>
    <w:p>
      <w:pPr>
        <w:pStyle w:val="BodyText"/>
        <w:spacing w:line="242" w:lineRule="exact"/>
        <w:ind w:right="0"/>
        <w:jc w:val="both"/>
      </w:pPr>
      <w:r>
        <w:rPr/>
        <w:t>The Minister of Economic development should expeditiously take</w:t>
      </w:r>
      <w:r>
        <w:rPr>
          <w:spacing w:val="-32"/>
        </w:rPr>
        <w:t> </w:t>
      </w:r>
      <w:r>
        <w:rPr/>
        <w:t>a decision on two areas:</w:t>
      </w:r>
    </w:p>
    <w:p>
      <w:pPr>
        <w:pStyle w:val="ListParagraph"/>
        <w:numPr>
          <w:ilvl w:val="2"/>
          <w:numId w:val="9"/>
        </w:numPr>
        <w:tabs>
          <w:tab w:pos="2206" w:val="left" w:leader="none"/>
        </w:tabs>
        <w:spacing w:line="256" w:lineRule="auto" w:before="0" w:after="0"/>
        <w:ind w:left="2206" w:right="1610" w:hanging="360"/>
        <w:jc w:val="left"/>
        <w:rPr>
          <w:rFonts w:ascii="Calibri" w:hAnsi="Calibri" w:cs="Calibri" w:eastAsia="Calibri" w:hint="default"/>
          <w:sz w:val="20"/>
          <w:szCs w:val="20"/>
        </w:rPr>
      </w:pPr>
      <w:r>
        <w:rPr>
          <w:rFonts w:ascii="Calibri"/>
          <w:sz w:val="20"/>
        </w:rPr>
        <w:t>To appoint in consultation with The CTB Board a new CTB CEO in the short term. The CTB CEO should have a clear profile revealing these competencies along with those skills and competencies required to manage a DMO organization and destination. Expertise and experience in these areas, as well as strong leadership skills, are required to direct the new</w:t>
      </w:r>
      <w:r>
        <w:rPr>
          <w:rFonts w:ascii="Calibri"/>
          <w:spacing w:val="-16"/>
          <w:sz w:val="20"/>
        </w:rPr>
        <w:t> </w:t>
      </w:r>
      <w:r>
        <w:rPr>
          <w:rFonts w:ascii="Calibri"/>
          <w:sz w:val="20"/>
        </w:rPr>
        <w:t>CTB.</w:t>
      </w:r>
    </w:p>
    <w:p>
      <w:pPr>
        <w:pStyle w:val="ListParagraph"/>
        <w:numPr>
          <w:ilvl w:val="2"/>
          <w:numId w:val="9"/>
        </w:numPr>
        <w:tabs>
          <w:tab w:pos="2206" w:val="left" w:leader="none"/>
        </w:tabs>
        <w:spacing w:line="256" w:lineRule="auto" w:before="0" w:after="0"/>
        <w:ind w:left="2206" w:right="1587" w:hanging="360"/>
        <w:jc w:val="left"/>
        <w:rPr>
          <w:rFonts w:ascii="Calibri" w:hAnsi="Calibri" w:cs="Calibri" w:eastAsia="Calibri" w:hint="default"/>
          <w:sz w:val="20"/>
          <w:szCs w:val="20"/>
        </w:rPr>
      </w:pPr>
      <w:r>
        <w:rPr>
          <w:rFonts w:ascii="Calibri"/>
          <w:sz w:val="20"/>
        </w:rPr>
        <w:t>To select in consultation with the CTB Board expeditiously hire a marketing agency in the USA market</w:t>
      </w:r>
      <w:r>
        <w:rPr>
          <w:rFonts w:ascii="Calibri"/>
          <w:spacing w:val="-29"/>
          <w:sz w:val="20"/>
        </w:rPr>
        <w:t> </w:t>
      </w:r>
      <w:r>
        <w:rPr>
          <w:rFonts w:ascii="Calibri"/>
          <w:sz w:val="20"/>
        </w:rPr>
        <w:t>to </w:t>
      </w:r>
      <w:r>
        <w:rPr>
          <w:rFonts w:ascii="Calibri"/>
          <w:sz w:val="20"/>
        </w:rPr>
        <w:t>support the strategic plan. Currently, the CTB does not have such representations in the</w:t>
      </w:r>
      <w:r>
        <w:rPr>
          <w:rFonts w:ascii="Calibri"/>
          <w:spacing w:val="-2"/>
          <w:sz w:val="20"/>
        </w:rPr>
        <w:t> </w:t>
      </w:r>
      <w:r>
        <w:rPr>
          <w:rFonts w:ascii="Calibri"/>
          <w:sz w:val="20"/>
        </w:rPr>
        <w:t>USA.</w:t>
      </w:r>
    </w:p>
    <w:p>
      <w:pPr>
        <w:pStyle w:val="BodyText"/>
        <w:spacing w:line="240" w:lineRule="auto" w:before="158"/>
        <w:ind w:right="1433"/>
        <w:jc w:val="both"/>
      </w:pPr>
      <w:r>
        <w:rPr/>
        <w:t>The</w:t>
      </w:r>
      <w:r>
        <w:rPr>
          <w:spacing w:val="-6"/>
        </w:rPr>
        <w:t> </w:t>
      </w:r>
      <w:r>
        <w:rPr/>
        <w:t>current</w:t>
      </w:r>
      <w:r>
        <w:rPr>
          <w:spacing w:val="-5"/>
        </w:rPr>
        <w:t> </w:t>
      </w:r>
      <w:r>
        <w:rPr/>
        <w:t>CTB</w:t>
      </w:r>
      <w:r>
        <w:rPr>
          <w:spacing w:val="-5"/>
        </w:rPr>
        <w:t> </w:t>
      </w:r>
      <w:r>
        <w:rPr/>
        <w:t>Board</w:t>
      </w:r>
      <w:r>
        <w:rPr>
          <w:spacing w:val="-2"/>
        </w:rPr>
        <w:t> </w:t>
      </w:r>
      <w:r>
        <w:rPr/>
        <w:t>structure</w:t>
      </w:r>
      <w:r>
        <w:rPr>
          <w:spacing w:val="-6"/>
        </w:rPr>
        <w:t> </w:t>
      </w:r>
      <w:r>
        <w:rPr/>
        <w:t>should</w:t>
      </w:r>
      <w:r>
        <w:rPr>
          <w:spacing w:val="-5"/>
        </w:rPr>
        <w:t> </w:t>
      </w:r>
      <w:r>
        <w:rPr/>
        <w:t>be</w:t>
      </w:r>
      <w:r>
        <w:rPr>
          <w:spacing w:val="-4"/>
        </w:rPr>
        <w:t> </w:t>
      </w:r>
      <w:r>
        <w:rPr/>
        <w:t>modified</w:t>
      </w:r>
      <w:r>
        <w:rPr>
          <w:spacing w:val="-5"/>
        </w:rPr>
        <w:t> </w:t>
      </w:r>
      <w:r>
        <w:rPr/>
        <w:t>to</w:t>
      </w:r>
      <w:r>
        <w:rPr>
          <w:spacing w:val="-5"/>
        </w:rPr>
        <w:t> </w:t>
      </w:r>
      <w:r>
        <w:rPr/>
        <w:t>reveal</w:t>
      </w:r>
      <w:r>
        <w:rPr>
          <w:spacing w:val="-5"/>
        </w:rPr>
        <w:t> </w:t>
      </w:r>
      <w:r>
        <w:rPr/>
        <w:t>the</w:t>
      </w:r>
      <w:r>
        <w:rPr>
          <w:spacing w:val="-6"/>
        </w:rPr>
        <w:t> </w:t>
      </w:r>
      <w:r>
        <w:rPr/>
        <w:t>public/private</w:t>
      </w:r>
      <w:r>
        <w:rPr>
          <w:spacing w:val="-6"/>
        </w:rPr>
        <w:t> </w:t>
      </w:r>
      <w:r>
        <w:rPr/>
        <w:t>partnership.</w:t>
      </w:r>
      <w:r>
        <w:rPr>
          <w:spacing w:val="-5"/>
        </w:rPr>
        <w:t> </w:t>
      </w:r>
      <w:r>
        <w:rPr/>
        <w:t>Both</w:t>
      </w:r>
      <w:r>
        <w:rPr>
          <w:spacing w:val="-5"/>
        </w:rPr>
        <w:t> </w:t>
      </w:r>
      <w:r>
        <w:rPr/>
        <w:t>instances</w:t>
      </w:r>
      <w:r>
        <w:rPr>
          <w:spacing w:val="-6"/>
        </w:rPr>
        <w:t> </w:t>
      </w:r>
      <w:r>
        <w:rPr/>
        <w:t>(public </w:t>
      </w:r>
      <w:r>
        <w:rPr/>
        <w:t>and</w:t>
      </w:r>
      <w:r>
        <w:rPr>
          <w:spacing w:val="-6"/>
        </w:rPr>
        <w:t> </w:t>
      </w:r>
      <w:r>
        <w:rPr/>
        <w:t>private)</w:t>
      </w:r>
      <w:r>
        <w:rPr>
          <w:spacing w:val="-5"/>
        </w:rPr>
        <w:t> </w:t>
      </w:r>
      <w:r>
        <w:rPr/>
        <w:t>should</w:t>
      </w:r>
      <w:r>
        <w:rPr>
          <w:spacing w:val="-6"/>
        </w:rPr>
        <w:t> </w:t>
      </w:r>
      <w:r>
        <w:rPr/>
        <w:t>have</w:t>
      </w:r>
      <w:r>
        <w:rPr>
          <w:spacing w:val="-5"/>
        </w:rPr>
        <w:t> </w:t>
      </w:r>
      <w:r>
        <w:rPr/>
        <w:t>parity</w:t>
      </w:r>
      <w:r>
        <w:rPr>
          <w:spacing w:val="-6"/>
        </w:rPr>
        <w:t> </w:t>
      </w:r>
      <w:r>
        <w:rPr/>
        <w:t>in</w:t>
      </w:r>
      <w:r>
        <w:rPr>
          <w:spacing w:val="-6"/>
        </w:rPr>
        <w:t> </w:t>
      </w:r>
      <w:r>
        <w:rPr/>
        <w:t>membership</w:t>
      </w:r>
      <w:r>
        <w:rPr>
          <w:spacing w:val="-6"/>
        </w:rPr>
        <w:t> </w:t>
      </w:r>
      <w:r>
        <w:rPr/>
        <w:t>and</w:t>
      </w:r>
      <w:r>
        <w:rPr>
          <w:spacing w:val="-6"/>
        </w:rPr>
        <w:t> </w:t>
      </w:r>
      <w:r>
        <w:rPr/>
        <w:t>decision-making</w:t>
      </w:r>
      <w:r>
        <w:rPr>
          <w:spacing w:val="-7"/>
        </w:rPr>
        <w:t> </w:t>
      </w:r>
      <w:r>
        <w:rPr/>
        <w:t>power.</w:t>
      </w:r>
      <w:r>
        <w:rPr>
          <w:spacing w:val="-7"/>
        </w:rPr>
        <w:t> </w:t>
      </w:r>
      <w:r>
        <w:rPr/>
        <w:t>Neither</w:t>
      </w:r>
      <w:r>
        <w:rPr>
          <w:spacing w:val="-7"/>
        </w:rPr>
        <w:t> </w:t>
      </w:r>
      <w:r>
        <w:rPr/>
        <w:t>the</w:t>
      </w:r>
      <w:r>
        <w:rPr>
          <w:spacing w:val="-8"/>
        </w:rPr>
        <w:t> </w:t>
      </w:r>
      <w:r>
        <w:rPr/>
        <w:t>government</w:t>
      </w:r>
      <w:r>
        <w:rPr>
          <w:spacing w:val="-6"/>
        </w:rPr>
        <w:t> </w:t>
      </w:r>
      <w:r>
        <w:rPr/>
        <w:t>nor</w:t>
      </w:r>
      <w:r>
        <w:rPr>
          <w:spacing w:val="-7"/>
        </w:rPr>
        <w:t> </w:t>
      </w:r>
      <w:r>
        <w:rPr/>
        <w:t>the</w:t>
      </w:r>
      <w:r>
        <w:rPr>
          <w:spacing w:val="-8"/>
        </w:rPr>
        <w:t> </w:t>
      </w:r>
      <w:r>
        <w:rPr/>
        <w:t>private </w:t>
      </w:r>
      <w:r>
        <w:rPr/>
        <w:t>sector should have the upper hand in the decision-</w:t>
      </w:r>
      <w:r>
        <w:rPr>
          <w:rFonts w:ascii="Calibri" w:hAnsi="Calibri" w:cs="Calibri" w:eastAsia="Calibri" w:hint="default"/>
        </w:rPr>
        <w:t>making process. The board should function at arm’s length from </w:t>
      </w:r>
      <w:r>
        <w:rPr/>
        <w:t>the political process. The board should be inclusive </w:t>
      </w:r>
      <w:r>
        <w:rPr>
          <w:spacing w:val="3"/>
        </w:rPr>
        <w:t>to </w:t>
      </w:r>
      <w:r>
        <w:rPr/>
        <w:t>all sectors participating in and benefiting from the tourism </w:t>
      </w:r>
      <w:r>
        <w:rPr/>
        <w:t>industry. The government should appoint three members representing a broad spectrum of the industry, while the private sector should appoint three members. The six members should appoint a president to the board. The new composition of the CTB board facilitates the integration of stakeholders other than those directly involved with the tourism industry. In addition, the inclusion of these stakeholders facilitates the support of branding and marketing efforts</w:t>
      </w:r>
      <w:r>
        <w:rPr>
          <w:spacing w:val="-4"/>
        </w:rPr>
        <w:t> </w:t>
      </w:r>
      <w:r>
        <w:rPr/>
        <w:t>of</w:t>
      </w:r>
      <w:r>
        <w:rPr>
          <w:spacing w:val="-4"/>
        </w:rPr>
        <w:t> </w:t>
      </w:r>
      <w:r>
        <w:rPr/>
        <w:t>the</w:t>
      </w:r>
      <w:r>
        <w:rPr>
          <w:spacing w:val="-3"/>
        </w:rPr>
        <w:t> </w:t>
      </w:r>
      <w:r>
        <w:rPr/>
        <w:t>CTB.</w:t>
      </w:r>
      <w:r>
        <w:rPr>
          <w:spacing w:val="1"/>
        </w:rPr>
        <w:t> </w:t>
      </w:r>
      <w:r>
        <w:rPr/>
        <w:t>The</w:t>
      </w:r>
      <w:r>
        <w:rPr>
          <w:spacing w:val="-3"/>
        </w:rPr>
        <w:t> </w:t>
      </w:r>
      <w:r>
        <w:rPr/>
        <w:t>board</w:t>
      </w:r>
      <w:r>
        <w:rPr>
          <w:spacing w:val="-2"/>
        </w:rPr>
        <w:t> </w:t>
      </w:r>
      <w:r>
        <w:rPr/>
        <w:t>will</w:t>
      </w:r>
      <w:r>
        <w:rPr>
          <w:spacing w:val="-3"/>
        </w:rPr>
        <w:t> </w:t>
      </w:r>
      <w:r>
        <w:rPr/>
        <w:t>have</w:t>
      </w:r>
      <w:r>
        <w:rPr>
          <w:spacing w:val="-3"/>
        </w:rPr>
        <w:t> </w:t>
      </w:r>
      <w:r>
        <w:rPr/>
        <w:t>a</w:t>
      </w:r>
      <w:r>
        <w:rPr>
          <w:spacing w:val="-2"/>
        </w:rPr>
        <w:t> </w:t>
      </w:r>
      <w:r>
        <w:rPr/>
        <w:t>supervisory</w:t>
      </w:r>
      <w:r>
        <w:rPr>
          <w:spacing w:val="-2"/>
        </w:rPr>
        <w:t> </w:t>
      </w:r>
      <w:r>
        <w:rPr/>
        <w:t>role</w:t>
      </w:r>
      <w:r>
        <w:rPr>
          <w:spacing w:val="-4"/>
        </w:rPr>
        <w:t> </w:t>
      </w:r>
      <w:r>
        <w:rPr/>
        <w:t>in</w:t>
      </w:r>
      <w:r>
        <w:rPr>
          <w:spacing w:val="1"/>
        </w:rPr>
        <w:t> </w:t>
      </w:r>
      <w:r>
        <w:rPr/>
        <w:t>the</w:t>
      </w:r>
      <w:r>
        <w:rPr>
          <w:spacing w:val="-3"/>
        </w:rPr>
        <w:t> </w:t>
      </w:r>
      <w:r>
        <w:rPr/>
        <w:t>CTB</w:t>
      </w:r>
      <w:r>
        <w:rPr>
          <w:spacing w:val="-3"/>
        </w:rPr>
        <w:t> </w:t>
      </w:r>
      <w:r>
        <w:rPr/>
        <w:t>decision-making</w:t>
      </w:r>
      <w:r>
        <w:rPr>
          <w:spacing w:val="-3"/>
        </w:rPr>
        <w:t> </w:t>
      </w:r>
      <w:r>
        <w:rPr/>
        <w:t>process.</w:t>
      </w:r>
    </w:p>
    <w:p>
      <w:pPr>
        <w:spacing w:line="240" w:lineRule="auto" w:before="4"/>
        <w:ind w:right="0"/>
        <w:rPr>
          <w:rFonts w:ascii="Calibri" w:hAnsi="Calibri" w:cs="Calibri" w:eastAsia="Calibri" w:hint="default"/>
          <w:sz w:val="23"/>
          <w:szCs w:val="23"/>
        </w:rPr>
      </w:pPr>
    </w:p>
    <w:p>
      <w:pPr>
        <w:pStyle w:val="Heading3"/>
        <w:spacing w:line="341" w:lineRule="exact"/>
        <w:ind w:right="0"/>
        <w:jc w:val="both"/>
        <w:rPr>
          <w:i w:val="0"/>
        </w:rPr>
      </w:pPr>
      <w:bookmarkStart w:name="_bookmark146" w:id="147"/>
      <w:bookmarkEnd w:id="147"/>
      <w:r>
        <w:rPr>
          <w:i w:val="0"/>
        </w:rPr>
      </w:r>
      <w:r>
        <w:rPr>
          <w:i/>
        </w:rPr>
        <w:t>The role of the</w:t>
      </w:r>
      <w:r>
        <w:rPr>
          <w:i/>
          <w:spacing w:val="-7"/>
        </w:rPr>
        <w:t> </w:t>
      </w:r>
      <w:r>
        <w:rPr>
          <w:i/>
        </w:rPr>
        <w:t>CTB</w:t>
      </w:r>
      <w:r>
        <w:rPr>
          <w:i w:val="0"/>
        </w:rPr>
      </w:r>
    </w:p>
    <w:p>
      <w:pPr>
        <w:pStyle w:val="BodyText"/>
        <w:spacing w:line="240" w:lineRule="auto"/>
        <w:ind w:right="1442"/>
        <w:jc w:val="both"/>
      </w:pPr>
      <w:r>
        <w:rPr/>
        <w:t>The main role of the new CTB is to serve as an interface between market (consumer) demand and destination (industry)</w:t>
      </w:r>
      <w:r>
        <w:rPr>
          <w:spacing w:val="-5"/>
        </w:rPr>
        <w:t> </w:t>
      </w:r>
      <w:r>
        <w:rPr/>
        <w:t>supply.</w:t>
      </w:r>
      <w:r>
        <w:rPr>
          <w:spacing w:val="-4"/>
        </w:rPr>
        <w:t> </w:t>
      </w:r>
      <w:r>
        <w:rPr/>
        <w:t>The</w:t>
      </w:r>
      <w:r>
        <w:rPr>
          <w:spacing w:val="-5"/>
        </w:rPr>
        <w:t> </w:t>
      </w:r>
      <w:r>
        <w:rPr/>
        <w:t>CTB</w:t>
      </w:r>
      <w:r>
        <w:rPr>
          <w:spacing w:val="-3"/>
        </w:rPr>
        <w:t> </w:t>
      </w:r>
      <w:r>
        <w:rPr/>
        <w:t>should</w:t>
      </w:r>
      <w:r>
        <w:rPr>
          <w:spacing w:val="-4"/>
        </w:rPr>
        <w:t> </w:t>
      </w:r>
      <w:r>
        <w:rPr/>
        <w:t>embrace</w:t>
      </w:r>
      <w:r>
        <w:rPr>
          <w:spacing w:val="-5"/>
        </w:rPr>
        <w:t> </w:t>
      </w:r>
      <w:r>
        <w:rPr/>
        <w:t>a</w:t>
      </w:r>
      <w:r>
        <w:rPr>
          <w:spacing w:val="-4"/>
        </w:rPr>
        <w:t> </w:t>
      </w:r>
      <w:r>
        <w:rPr/>
        <w:t>dual</w:t>
      </w:r>
      <w:r>
        <w:rPr>
          <w:spacing w:val="-4"/>
        </w:rPr>
        <w:t> </w:t>
      </w:r>
      <w:r>
        <w:rPr/>
        <w:t>role</w:t>
      </w:r>
      <w:r>
        <w:rPr>
          <w:spacing w:val="-5"/>
        </w:rPr>
        <w:t> </w:t>
      </w:r>
      <w:r>
        <w:rPr/>
        <w:t>as</w:t>
      </w:r>
      <w:r>
        <w:rPr>
          <w:spacing w:val="-5"/>
        </w:rPr>
        <w:t> </w:t>
      </w:r>
      <w:r>
        <w:rPr/>
        <w:t>a</w:t>
      </w:r>
      <w:r>
        <w:rPr>
          <w:spacing w:val="-4"/>
        </w:rPr>
        <w:t> </w:t>
      </w:r>
      <w:r>
        <w:rPr/>
        <w:t>tourism</w:t>
      </w:r>
      <w:r>
        <w:rPr>
          <w:spacing w:val="-4"/>
        </w:rPr>
        <w:t> </w:t>
      </w:r>
      <w:r>
        <w:rPr/>
        <w:t>sales</w:t>
      </w:r>
      <w:r>
        <w:rPr>
          <w:spacing w:val="-5"/>
        </w:rPr>
        <w:t> </w:t>
      </w:r>
      <w:r>
        <w:rPr/>
        <w:t>and</w:t>
      </w:r>
      <w:r>
        <w:rPr>
          <w:spacing w:val="-4"/>
        </w:rPr>
        <w:t> </w:t>
      </w:r>
      <w:r>
        <w:rPr/>
        <w:t>marketing</w:t>
      </w:r>
      <w:r>
        <w:rPr>
          <w:spacing w:val="-5"/>
        </w:rPr>
        <w:t> </w:t>
      </w:r>
      <w:r>
        <w:rPr/>
        <w:t>tool</w:t>
      </w:r>
      <w:r>
        <w:rPr>
          <w:spacing w:val="-5"/>
        </w:rPr>
        <w:t> </w:t>
      </w:r>
      <w:r>
        <w:rPr/>
        <w:t>for</w:t>
      </w:r>
      <w:r>
        <w:rPr>
          <w:spacing w:val="-4"/>
        </w:rPr>
        <w:t> </w:t>
      </w:r>
      <w:r>
        <w:rPr/>
        <w:t>the</w:t>
      </w:r>
      <w:r>
        <w:rPr>
          <w:spacing w:val="-5"/>
        </w:rPr>
        <w:t> </w:t>
      </w:r>
      <w:r>
        <w:rPr/>
        <w:t>industry,</w:t>
      </w:r>
      <w:r>
        <w:rPr>
          <w:spacing w:val="-4"/>
        </w:rPr>
        <w:t> </w:t>
      </w:r>
      <w:r>
        <w:rPr/>
        <w:t>as</w:t>
      </w:r>
      <w:r>
        <w:rPr>
          <w:spacing w:val="-5"/>
        </w:rPr>
        <w:t> </w:t>
      </w:r>
      <w:r>
        <w:rPr/>
        <w:t>well </w:t>
      </w:r>
      <w:r>
        <w:rPr/>
        <w:t>as coordination amongst stakeholder. This main role should be supported by a smart communication program consisting of two aspects. The first aspect is to inform visitors in a quick and efficient way about the products and services</w:t>
      </w:r>
      <w:r>
        <w:rPr>
          <w:spacing w:val="-9"/>
        </w:rPr>
        <w:t> </w:t>
      </w:r>
      <w:r>
        <w:rPr/>
        <w:t>available</w:t>
      </w:r>
      <w:r>
        <w:rPr>
          <w:spacing w:val="-9"/>
        </w:rPr>
        <w:t> </w:t>
      </w:r>
      <w:r>
        <w:rPr/>
        <w:t>on</w:t>
      </w:r>
      <w:r>
        <w:rPr>
          <w:spacing w:val="-7"/>
        </w:rPr>
        <w:t> </w:t>
      </w:r>
      <w:r>
        <w:rPr/>
        <w:t>the</w:t>
      </w:r>
      <w:r>
        <w:rPr>
          <w:spacing w:val="-9"/>
        </w:rPr>
        <w:t> </w:t>
      </w:r>
      <w:r>
        <w:rPr/>
        <w:t>island</w:t>
      </w:r>
      <w:r>
        <w:rPr>
          <w:spacing w:val="-7"/>
        </w:rPr>
        <w:t> </w:t>
      </w:r>
      <w:r>
        <w:rPr/>
        <w:t>(visitor</w:t>
      </w:r>
      <w:r>
        <w:rPr>
          <w:spacing w:val="-8"/>
        </w:rPr>
        <w:t> </w:t>
      </w:r>
      <w:r>
        <w:rPr/>
        <w:t>servicing).</w:t>
      </w:r>
      <w:r>
        <w:rPr>
          <w:spacing w:val="-6"/>
        </w:rPr>
        <w:t> </w:t>
      </w:r>
      <w:r>
        <w:rPr/>
        <w:t>The</w:t>
      </w:r>
      <w:r>
        <w:rPr>
          <w:spacing w:val="-9"/>
        </w:rPr>
        <w:t> </w:t>
      </w:r>
      <w:r>
        <w:rPr/>
        <w:t>second</w:t>
      </w:r>
      <w:r>
        <w:rPr>
          <w:spacing w:val="-7"/>
        </w:rPr>
        <w:t> </w:t>
      </w:r>
      <w:r>
        <w:rPr/>
        <w:t>aspect</w:t>
      </w:r>
      <w:r>
        <w:rPr>
          <w:spacing w:val="-8"/>
        </w:rPr>
        <w:t> </w:t>
      </w:r>
      <w:r>
        <w:rPr/>
        <w:t>is</w:t>
      </w:r>
      <w:r>
        <w:rPr>
          <w:spacing w:val="-9"/>
        </w:rPr>
        <w:t> </w:t>
      </w:r>
      <w:r>
        <w:rPr/>
        <w:t>to</w:t>
      </w:r>
      <w:r>
        <w:rPr>
          <w:spacing w:val="-7"/>
        </w:rPr>
        <w:t> </w:t>
      </w:r>
      <w:r>
        <w:rPr/>
        <w:t>provide</w:t>
      </w:r>
      <w:r>
        <w:rPr>
          <w:spacing w:val="-9"/>
        </w:rPr>
        <w:t> </w:t>
      </w:r>
      <w:r>
        <w:rPr/>
        <w:t>research/information</w:t>
      </w:r>
      <w:r>
        <w:rPr>
          <w:spacing w:val="-7"/>
        </w:rPr>
        <w:t> </w:t>
      </w:r>
      <w:r>
        <w:rPr/>
        <w:t>that</w:t>
      </w:r>
      <w:r>
        <w:rPr>
          <w:spacing w:val="-7"/>
        </w:rPr>
        <w:t> </w:t>
      </w:r>
      <w:r>
        <w:rPr/>
        <w:t>enables </w:t>
      </w:r>
      <w:r>
        <w:rPr/>
        <w:t>the</w:t>
      </w:r>
      <w:r>
        <w:rPr>
          <w:spacing w:val="-11"/>
        </w:rPr>
        <w:t> </w:t>
      </w:r>
      <w:r>
        <w:rPr/>
        <w:t>CTB</w:t>
      </w:r>
      <w:r>
        <w:rPr>
          <w:spacing w:val="-11"/>
        </w:rPr>
        <w:t> </w:t>
      </w:r>
      <w:r>
        <w:rPr/>
        <w:t>to</w:t>
      </w:r>
      <w:r>
        <w:rPr>
          <w:spacing w:val="-10"/>
        </w:rPr>
        <w:t> </w:t>
      </w:r>
      <w:r>
        <w:rPr/>
        <w:t>have</w:t>
      </w:r>
      <w:r>
        <w:rPr>
          <w:spacing w:val="-11"/>
        </w:rPr>
        <w:t> </w:t>
      </w:r>
      <w:r>
        <w:rPr/>
        <w:t>the</w:t>
      </w:r>
      <w:r>
        <w:rPr>
          <w:spacing w:val="-11"/>
        </w:rPr>
        <w:t> </w:t>
      </w:r>
      <w:r>
        <w:rPr/>
        <w:t>necessary</w:t>
      </w:r>
      <w:r>
        <w:rPr>
          <w:spacing w:val="-10"/>
        </w:rPr>
        <w:t> </w:t>
      </w:r>
      <w:r>
        <w:rPr/>
        <w:t>business</w:t>
      </w:r>
      <w:r>
        <w:rPr>
          <w:spacing w:val="-11"/>
        </w:rPr>
        <w:t> </w:t>
      </w:r>
      <w:r>
        <w:rPr/>
        <w:t>intelligence</w:t>
      </w:r>
      <w:r>
        <w:rPr>
          <w:spacing w:val="-11"/>
        </w:rPr>
        <w:t> </w:t>
      </w:r>
      <w:r>
        <w:rPr/>
        <w:t>required</w:t>
      </w:r>
      <w:r>
        <w:rPr>
          <w:spacing w:val="-10"/>
        </w:rPr>
        <w:t> </w:t>
      </w:r>
      <w:r>
        <w:rPr/>
        <w:t>to</w:t>
      </w:r>
      <w:r>
        <w:rPr>
          <w:spacing w:val="-10"/>
        </w:rPr>
        <w:t> </w:t>
      </w:r>
      <w:r>
        <w:rPr/>
        <w:t>function</w:t>
      </w:r>
      <w:r>
        <w:rPr>
          <w:spacing w:val="-10"/>
        </w:rPr>
        <w:t> </w:t>
      </w:r>
      <w:r>
        <w:rPr/>
        <w:t>and</w:t>
      </w:r>
      <w:r>
        <w:rPr>
          <w:spacing w:val="-7"/>
        </w:rPr>
        <w:t> </w:t>
      </w:r>
      <w:r>
        <w:rPr/>
        <w:t>understand</w:t>
      </w:r>
      <w:r>
        <w:rPr>
          <w:spacing w:val="-10"/>
        </w:rPr>
        <w:t> </w:t>
      </w:r>
      <w:r>
        <w:rPr/>
        <w:t>emerging</w:t>
      </w:r>
      <w:r>
        <w:rPr>
          <w:spacing w:val="-9"/>
        </w:rPr>
        <w:t> </w:t>
      </w:r>
      <w:r>
        <w:rPr/>
        <w:t>market</w:t>
      </w:r>
      <w:r>
        <w:rPr>
          <w:spacing w:val="-10"/>
        </w:rPr>
        <w:t> </w:t>
      </w:r>
      <w:r>
        <w:rPr/>
        <w:t>demands, </w:t>
      </w:r>
      <w:r>
        <w:rPr/>
        <w:t>current industry supply, and the gaps that need to be addressed through planning and development. Product development should be a task of the new CTB only with reference to supporting the alignment between demand and supply. In this context, product development should mainly become a tool for business intelligence in supporting the creation of innovative and high-quality offerings. In order for the CTB to achieve the second aspect, </w:t>
      </w:r>
      <w:r>
        <w:rPr>
          <w:rFonts w:ascii="Calibri" w:hAnsi="Calibri" w:cs="Calibri" w:eastAsia="Calibri" w:hint="default"/>
        </w:rPr>
        <w:t>it is necessary for the CTB’s researc</w:t>
      </w:r>
      <w:r>
        <w:rPr/>
        <w:t>h unit to be</w:t>
      </w:r>
      <w:r>
        <w:rPr>
          <w:spacing w:val="-14"/>
        </w:rPr>
        <w:t> </w:t>
      </w:r>
      <w:r>
        <w:rPr/>
        <w:t>expanded.</w:t>
      </w:r>
    </w:p>
    <w:p>
      <w:pPr>
        <w:spacing w:line="240" w:lineRule="auto" w:before="1"/>
        <w:ind w:right="0"/>
        <w:rPr>
          <w:rFonts w:ascii="Calibri" w:hAnsi="Calibri" w:cs="Calibri" w:eastAsia="Calibri" w:hint="default"/>
          <w:sz w:val="20"/>
          <w:szCs w:val="20"/>
        </w:rPr>
      </w:pPr>
    </w:p>
    <w:p>
      <w:pPr>
        <w:pStyle w:val="BodyText"/>
        <w:spacing w:line="240" w:lineRule="auto"/>
        <w:ind w:right="1437"/>
        <w:jc w:val="both"/>
      </w:pPr>
      <w:r>
        <w:rPr/>
        <w:t>In addition, the CTB should be engaged in active coordination of concerted efforts of all stakeholders to support its sales and marketing activities. An important assessment of the DMO ability to foster coordination will be directly related</w:t>
      </w:r>
      <w:r>
        <w:rPr>
          <w:spacing w:val="-10"/>
        </w:rPr>
        <w:t> </w:t>
      </w:r>
      <w:r>
        <w:rPr/>
        <w:t>to</w:t>
      </w:r>
      <w:r>
        <w:rPr>
          <w:spacing w:val="-10"/>
        </w:rPr>
        <w:t> </w:t>
      </w:r>
      <w:r>
        <w:rPr/>
        <w:t>the</w:t>
      </w:r>
      <w:r>
        <w:rPr>
          <w:spacing w:val="-10"/>
        </w:rPr>
        <w:t> </w:t>
      </w:r>
      <w:r>
        <w:rPr/>
        <w:t>number</w:t>
      </w:r>
      <w:r>
        <w:rPr>
          <w:spacing w:val="-10"/>
        </w:rPr>
        <w:t> </w:t>
      </w:r>
      <w:r>
        <w:rPr/>
        <w:t>and</w:t>
      </w:r>
      <w:r>
        <w:rPr>
          <w:spacing w:val="-10"/>
        </w:rPr>
        <w:t> </w:t>
      </w:r>
      <w:r>
        <w:rPr/>
        <w:t>quality</w:t>
      </w:r>
      <w:r>
        <w:rPr>
          <w:spacing w:val="-9"/>
        </w:rPr>
        <w:t> </w:t>
      </w:r>
      <w:r>
        <w:rPr/>
        <w:t>of</w:t>
      </w:r>
      <w:r>
        <w:rPr>
          <w:spacing w:val="-10"/>
        </w:rPr>
        <w:t> </w:t>
      </w:r>
      <w:r>
        <w:rPr/>
        <w:t>relationships</w:t>
      </w:r>
      <w:r>
        <w:rPr>
          <w:spacing w:val="-10"/>
        </w:rPr>
        <w:t> </w:t>
      </w:r>
      <w:r>
        <w:rPr/>
        <w:t>with</w:t>
      </w:r>
      <w:r>
        <w:rPr>
          <w:spacing w:val="-9"/>
        </w:rPr>
        <w:t> </w:t>
      </w:r>
      <w:r>
        <w:rPr/>
        <w:t>tourism</w:t>
      </w:r>
      <w:r>
        <w:rPr>
          <w:spacing w:val="-9"/>
        </w:rPr>
        <w:t> </w:t>
      </w:r>
      <w:r>
        <w:rPr/>
        <w:t>stakeholders.</w:t>
      </w:r>
      <w:r>
        <w:rPr>
          <w:spacing w:val="27"/>
        </w:rPr>
        <w:t> </w:t>
      </w:r>
      <w:r>
        <w:rPr/>
        <w:t>In</w:t>
      </w:r>
      <w:r>
        <w:rPr>
          <w:spacing w:val="-9"/>
        </w:rPr>
        <w:t> </w:t>
      </w:r>
      <w:r>
        <w:rPr/>
        <w:t>this</w:t>
      </w:r>
      <w:r>
        <w:rPr>
          <w:spacing w:val="-11"/>
        </w:rPr>
        <w:t> </w:t>
      </w:r>
      <w:r>
        <w:rPr/>
        <w:t>regard,</w:t>
      </w:r>
      <w:r>
        <w:rPr>
          <w:spacing w:val="-10"/>
        </w:rPr>
        <w:t> </w:t>
      </w:r>
      <w:r>
        <w:rPr/>
        <w:t>network</w:t>
      </w:r>
      <w:r>
        <w:rPr>
          <w:spacing w:val="-9"/>
        </w:rPr>
        <w:t> </w:t>
      </w:r>
      <w:r>
        <w:rPr/>
        <w:t>analyses</w:t>
      </w:r>
      <w:r>
        <w:rPr>
          <w:spacing w:val="-9"/>
        </w:rPr>
        <w:t> </w:t>
      </w:r>
      <w:r>
        <w:rPr/>
        <w:t>might </w:t>
      </w:r>
      <w:r>
        <w:rPr/>
      </w:r>
      <w:r>
        <w:rPr>
          <w:rFonts w:ascii="Calibri" w:hAnsi="Calibri" w:cs="Calibri" w:eastAsia="Calibri" w:hint="default"/>
        </w:rPr>
        <w:t>be applied to determine the strength of the DMO’s position (centrality) in the network vis</w:t>
      </w:r>
      <w:r>
        <w:rPr/>
        <w:t>-à-vis the density of the network.</w:t>
      </w:r>
    </w:p>
    <w:p>
      <w:pPr>
        <w:spacing w:line="240" w:lineRule="auto" w:before="11"/>
        <w:ind w:right="0"/>
        <w:rPr>
          <w:rFonts w:ascii="Calibri" w:hAnsi="Calibri" w:cs="Calibri" w:eastAsia="Calibri" w:hint="default"/>
          <w:sz w:val="19"/>
          <w:szCs w:val="19"/>
        </w:rPr>
      </w:pPr>
    </w:p>
    <w:p>
      <w:pPr>
        <w:pStyle w:val="BodyText"/>
        <w:spacing w:line="240" w:lineRule="auto"/>
        <w:ind w:right="1438"/>
        <w:jc w:val="both"/>
      </w:pPr>
      <w:r>
        <w:rPr/>
        <w:t>The CTB </w:t>
      </w:r>
      <w:r>
        <w:rPr>
          <w:rFonts w:ascii="Calibri" w:hAnsi="Calibri" w:cs="Calibri" w:eastAsia="Calibri" w:hint="default"/>
        </w:rPr>
        <w:t>must craft a sales pitch that is conducive to selling Curaҫao “a different Dutch Caribbean” experiential </w:t>
      </w:r>
      <w:r>
        <w:rPr/>
        <w:t>product. The driving force of this experience is the local people. The product or experience may be summarized as genuine, eclectic, exciting, and inviting. In order to sell this product, the new CTB should focus on the anticipatory, consumptive, and reflective stages of the experience with the Curaçao product. CTB should empower stakeholders to assist in realizing this plan by increasing awareness of Curaçao, increasing value of the product during consumption</w:t>
      </w:r>
      <w:r>
        <w:rPr>
          <w:spacing w:val="-3"/>
        </w:rPr>
        <w:t> </w:t>
      </w:r>
      <w:r>
        <w:rPr/>
        <w:t>of</w:t>
      </w:r>
      <w:r>
        <w:rPr>
          <w:spacing w:val="-5"/>
        </w:rPr>
        <w:t> </w:t>
      </w:r>
      <w:r>
        <w:rPr/>
        <w:t>the</w:t>
      </w:r>
      <w:r>
        <w:rPr>
          <w:spacing w:val="-4"/>
        </w:rPr>
        <w:t> </w:t>
      </w:r>
      <w:r>
        <w:rPr/>
        <w:t>experience</w:t>
      </w:r>
      <w:r>
        <w:rPr>
          <w:spacing w:val="-4"/>
        </w:rPr>
        <w:t> </w:t>
      </w:r>
      <w:r>
        <w:rPr/>
        <w:t>while</w:t>
      </w:r>
      <w:r>
        <w:rPr>
          <w:spacing w:val="-5"/>
        </w:rPr>
        <w:t> </w:t>
      </w:r>
      <w:r>
        <w:rPr/>
        <w:t>in</w:t>
      </w:r>
      <w:r>
        <w:rPr>
          <w:spacing w:val="-3"/>
        </w:rPr>
        <w:t> </w:t>
      </w:r>
      <w:r>
        <w:rPr/>
        <w:t>Curaçao,</w:t>
      </w:r>
      <w:r>
        <w:rPr>
          <w:spacing w:val="-3"/>
        </w:rPr>
        <w:t> </w:t>
      </w:r>
      <w:r>
        <w:rPr/>
        <w:t>and</w:t>
      </w:r>
      <w:r>
        <w:rPr>
          <w:spacing w:val="-3"/>
        </w:rPr>
        <w:t> </w:t>
      </w:r>
      <w:r>
        <w:rPr/>
        <w:t>increasing</w:t>
      </w:r>
      <w:r>
        <w:rPr>
          <w:spacing w:val="-4"/>
        </w:rPr>
        <w:t> </w:t>
      </w:r>
      <w:r>
        <w:rPr/>
        <w:t>tourist</w:t>
      </w:r>
      <w:r>
        <w:rPr>
          <w:spacing w:val="-3"/>
        </w:rPr>
        <w:t> </w:t>
      </w:r>
      <w:r>
        <w:rPr/>
        <w:t>spending</w:t>
      </w:r>
      <w:r>
        <w:rPr>
          <w:spacing w:val="-4"/>
        </w:rPr>
        <w:t> </w:t>
      </w:r>
      <w:r>
        <w:rPr/>
        <w:t>and</w:t>
      </w:r>
      <w:r>
        <w:rPr>
          <w:spacing w:val="-3"/>
        </w:rPr>
        <w:t> </w:t>
      </w:r>
      <w:r>
        <w:rPr/>
        <w:t>loyalty.</w:t>
      </w:r>
    </w:p>
    <w:p>
      <w:pPr>
        <w:spacing w:line="240" w:lineRule="auto" w:before="11"/>
        <w:ind w:right="0"/>
        <w:rPr>
          <w:rFonts w:ascii="Calibri" w:hAnsi="Calibri" w:cs="Calibri" w:eastAsia="Calibri" w:hint="default"/>
          <w:sz w:val="19"/>
          <w:szCs w:val="19"/>
        </w:rPr>
      </w:pPr>
    </w:p>
    <w:p>
      <w:pPr>
        <w:pStyle w:val="BodyText"/>
        <w:spacing w:line="240" w:lineRule="auto"/>
        <w:ind w:right="1438"/>
        <w:jc w:val="both"/>
      </w:pPr>
      <w:r>
        <w:rPr/>
        <w:t>The</w:t>
      </w:r>
      <w:r>
        <w:rPr>
          <w:spacing w:val="-12"/>
        </w:rPr>
        <w:t> </w:t>
      </w:r>
      <w:r>
        <w:rPr/>
        <w:t>new</w:t>
      </w:r>
      <w:r>
        <w:rPr>
          <w:spacing w:val="-12"/>
        </w:rPr>
        <w:t> </w:t>
      </w:r>
      <w:r>
        <w:rPr/>
        <w:t>mission</w:t>
      </w:r>
      <w:r>
        <w:rPr>
          <w:spacing w:val="-11"/>
        </w:rPr>
        <w:t> </w:t>
      </w:r>
      <w:r>
        <w:rPr/>
        <w:t>of</w:t>
      </w:r>
      <w:r>
        <w:rPr>
          <w:spacing w:val="-12"/>
        </w:rPr>
        <w:t> </w:t>
      </w:r>
      <w:r>
        <w:rPr/>
        <w:t>the</w:t>
      </w:r>
      <w:r>
        <w:rPr>
          <w:spacing w:val="-10"/>
        </w:rPr>
        <w:t> </w:t>
      </w:r>
      <w:r>
        <w:rPr/>
        <w:t>CTB</w:t>
      </w:r>
      <w:r>
        <w:rPr>
          <w:spacing w:val="-12"/>
        </w:rPr>
        <w:t> </w:t>
      </w:r>
      <w:r>
        <w:rPr/>
        <w:t>is</w:t>
      </w:r>
      <w:r>
        <w:rPr>
          <w:spacing w:val="-10"/>
        </w:rPr>
        <w:t> </w:t>
      </w:r>
      <w:r>
        <w:rPr/>
        <w:t>to</w:t>
      </w:r>
      <w:r>
        <w:rPr>
          <w:spacing w:val="-11"/>
        </w:rPr>
        <w:t> </w:t>
      </w:r>
      <w:r>
        <w:rPr/>
        <w:t>increase</w:t>
      </w:r>
      <w:r>
        <w:rPr>
          <w:spacing w:val="-12"/>
        </w:rPr>
        <w:t> </w:t>
      </w:r>
      <w:r>
        <w:rPr/>
        <w:t>the</w:t>
      </w:r>
      <w:r>
        <w:rPr>
          <w:spacing w:val="-12"/>
        </w:rPr>
        <w:t> </w:t>
      </w:r>
      <w:r>
        <w:rPr/>
        <w:t>number</w:t>
      </w:r>
      <w:r>
        <w:rPr>
          <w:spacing w:val="-9"/>
        </w:rPr>
        <w:t> </w:t>
      </w:r>
      <w:r>
        <w:rPr/>
        <w:t>of</w:t>
      </w:r>
      <w:r>
        <w:rPr>
          <w:spacing w:val="-12"/>
        </w:rPr>
        <w:t> </w:t>
      </w:r>
      <w:r>
        <w:rPr/>
        <w:t>arrivals</w:t>
      </w:r>
      <w:r>
        <w:rPr>
          <w:spacing w:val="-10"/>
        </w:rPr>
        <w:t> </w:t>
      </w:r>
      <w:r>
        <w:rPr/>
        <w:t>within</w:t>
      </w:r>
      <w:r>
        <w:rPr>
          <w:spacing w:val="-11"/>
        </w:rPr>
        <w:t> </w:t>
      </w:r>
      <w:r>
        <w:rPr/>
        <w:t>an</w:t>
      </w:r>
      <w:r>
        <w:rPr>
          <w:spacing w:val="-10"/>
        </w:rPr>
        <w:t> </w:t>
      </w:r>
      <w:r>
        <w:rPr/>
        <w:t>inclusive</w:t>
      </w:r>
      <w:r>
        <w:rPr>
          <w:spacing w:val="-10"/>
        </w:rPr>
        <w:t> </w:t>
      </w:r>
      <w:r>
        <w:rPr/>
        <w:t>system,</w:t>
      </w:r>
      <w:r>
        <w:rPr>
          <w:spacing w:val="-11"/>
        </w:rPr>
        <w:t> </w:t>
      </w:r>
      <w:r>
        <w:rPr/>
        <w:t>thus</w:t>
      </w:r>
      <w:r>
        <w:rPr>
          <w:spacing w:val="-13"/>
        </w:rPr>
        <w:t> </w:t>
      </w:r>
      <w:r>
        <w:rPr/>
        <w:t>propelling</w:t>
      </w:r>
      <w:r>
        <w:rPr>
          <w:spacing w:val="-12"/>
        </w:rPr>
        <w:t> </w:t>
      </w:r>
      <w:r>
        <w:rPr/>
        <w:t>economic </w:t>
      </w:r>
      <w:r>
        <w:rPr/>
        <w:t>growth and creating jobs through strong public/private partnerships. An inclusive system will ensure financial sustainability</w:t>
      </w:r>
      <w:r>
        <w:rPr>
          <w:spacing w:val="-10"/>
        </w:rPr>
        <w:t> </w:t>
      </w:r>
      <w:r>
        <w:rPr/>
        <w:t>supporting</w:t>
      </w:r>
      <w:r>
        <w:rPr>
          <w:spacing w:val="-12"/>
        </w:rPr>
        <w:t> </w:t>
      </w:r>
      <w:r>
        <w:rPr/>
        <w:t>this</w:t>
      </w:r>
      <w:r>
        <w:rPr>
          <w:spacing w:val="-11"/>
        </w:rPr>
        <w:t> </w:t>
      </w:r>
      <w:r>
        <w:rPr/>
        <w:t>CTB</w:t>
      </w:r>
      <w:r>
        <w:rPr>
          <w:spacing w:val="-10"/>
        </w:rPr>
        <w:t> </w:t>
      </w:r>
      <w:r>
        <w:rPr/>
        <w:t>mission.</w:t>
      </w:r>
      <w:r>
        <w:rPr>
          <w:spacing w:val="25"/>
        </w:rPr>
        <w:t> </w:t>
      </w:r>
      <w:r>
        <w:rPr>
          <w:rFonts w:ascii="Calibri" w:hAnsi="Calibri" w:cs="Calibri" w:eastAsia="Calibri" w:hint="default"/>
        </w:rPr>
        <w:t>The</w:t>
      </w:r>
      <w:r>
        <w:rPr>
          <w:rFonts w:ascii="Calibri" w:hAnsi="Calibri" w:cs="Calibri" w:eastAsia="Calibri" w:hint="default"/>
          <w:spacing w:val="-12"/>
        </w:rPr>
        <w:t> </w:t>
      </w:r>
      <w:r>
        <w:rPr>
          <w:rFonts w:ascii="Calibri" w:hAnsi="Calibri" w:cs="Calibri" w:eastAsia="Calibri" w:hint="default"/>
        </w:rPr>
        <w:t>main</w:t>
      </w:r>
      <w:r>
        <w:rPr>
          <w:rFonts w:ascii="Calibri" w:hAnsi="Calibri" w:cs="Calibri" w:eastAsia="Calibri" w:hint="default"/>
          <w:spacing w:val="-10"/>
        </w:rPr>
        <w:t> </w:t>
      </w:r>
      <w:r>
        <w:rPr>
          <w:rFonts w:ascii="Calibri" w:hAnsi="Calibri" w:cs="Calibri" w:eastAsia="Calibri" w:hint="default"/>
        </w:rPr>
        <w:t>measure</w:t>
      </w:r>
      <w:r>
        <w:rPr>
          <w:rFonts w:ascii="Calibri" w:hAnsi="Calibri" w:cs="Calibri" w:eastAsia="Calibri" w:hint="default"/>
          <w:spacing w:val="-12"/>
        </w:rPr>
        <w:t> </w:t>
      </w:r>
      <w:r>
        <w:rPr>
          <w:rFonts w:ascii="Calibri" w:hAnsi="Calibri" w:cs="Calibri" w:eastAsia="Calibri" w:hint="default"/>
        </w:rPr>
        <w:t>of</w:t>
      </w:r>
      <w:r>
        <w:rPr>
          <w:rFonts w:ascii="Calibri" w:hAnsi="Calibri" w:cs="Calibri" w:eastAsia="Calibri" w:hint="default"/>
          <w:spacing w:val="-12"/>
        </w:rPr>
        <w:t> </w:t>
      </w:r>
      <w:r>
        <w:rPr>
          <w:rFonts w:ascii="Calibri" w:hAnsi="Calibri" w:cs="Calibri" w:eastAsia="Calibri" w:hint="default"/>
        </w:rPr>
        <w:t>success</w:t>
      </w:r>
      <w:r>
        <w:rPr>
          <w:rFonts w:ascii="Calibri" w:hAnsi="Calibri" w:cs="Calibri" w:eastAsia="Calibri" w:hint="default"/>
          <w:spacing w:val="-10"/>
        </w:rPr>
        <w:t> </w:t>
      </w:r>
      <w:r>
        <w:rPr>
          <w:rFonts w:ascii="Calibri" w:hAnsi="Calibri" w:cs="Calibri" w:eastAsia="Calibri" w:hint="default"/>
        </w:rPr>
        <w:t>for</w:t>
      </w:r>
      <w:r>
        <w:rPr>
          <w:rFonts w:ascii="Calibri" w:hAnsi="Calibri" w:cs="Calibri" w:eastAsia="Calibri" w:hint="default"/>
          <w:spacing w:val="-12"/>
        </w:rPr>
        <w:t> </w:t>
      </w:r>
      <w:r>
        <w:rPr>
          <w:rFonts w:ascii="Calibri" w:hAnsi="Calibri" w:cs="Calibri" w:eastAsia="Calibri" w:hint="default"/>
        </w:rPr>
        <w:t>the</w:t>
      </w:r>
      <w:r>
        <w:rPr>
          <w:rFonts w:ascii="Calibri" w:hAnsi="Calibri" w:cs="Calibri" w:eastAsia="Calibri" w:hint="default"/>
          <w:spacing w:val="-12"/>
        </w:rPr>
        <w:t> </w:t>
      </w:r>
      <w:r>
        <w:rPr>
          <w:rFonts w:ascii="Calibri" w:hAnsi="Calibri" w:cs="Calibri" w:eastAsia="Calibri" w:hint="default"/>
        </w:rPr>
        <w:t>new</w:t>
      </w:r>
      <w:r>
        <w:rPr>
          <w:rFonts w:ascii="Calibri" w:hAnsi="Calibri" w:cs="Calibri" w:eastAsia="Calibri" w:hint="default"/>
          <w:spacing w:val="-10"/>
        </w:rPr>
        <w:t> </w:t>
      </w:r>
      <w:r>
        <w:rPr>
          <w:rFonts w:ascii="Calibri" w:hAnsi="Calibri" w:cs="Calibri" w:eastAsia="Calibri" w:hint="default"/>
        </w:rPr>
        <w:t>CTB</w:t>
      </w:r>
      <w:r>
        <w:rPr>
          <w:rFonts w:ascii="Calibri" w:hAnsi="Calibri" w:cs="Calibri" w:eastAsia="Calibri" w:hint="default"/>
          <w:spacing w:val="-12"/>
        </w:rPr>
        <w:t> </w:t>
      </w:r>
      <w:r>
        <w:rPr>
          <w:rFonts w:ascii="Calibri" w:hAnsi="Calibri" w:cs="Calibri" w:eastAsia="Calibri" w:hint="default"/>
        </w:rPr>
        <w:t>is</w:t>
      </w:r>
      <w:r>
        <w:rPr>
          <w:rFonts w:ascii="Calibri" w:hAnsi="Calibri" w:cs="Calibri" w:eastAsia="Calibri" w:hint="default"/>
          <w:spacing w:val="-13"/>
        </w:rPr>
        <w:t> </w:t>
      </w:r>
      <w:r>
        <w:rPr>
          <w:rFonts w:ascii="Calibri" w:hAnsi="Calibri" w:cs="Calibri" w:eastAsia="Calibri" w:hint="default"/>
        </w:rPr>
        <w:t>the</w:t>
      </w:r>
      <w:r>
        <w:rPr>
          <w:rFonts w:ascii="Calibri" w:hAnsi="Calibri" w:cs="Calibri" w:eastAsia="Calibri" w:hint="default"/>
          <w:spacing w:val="-12"/>
        </w:rPr>
        <w:t> </w:t>
      </w:r>
      <w:r>
        <w:rPr>
          <w:rFonts w:ascii="Calibri" w:hAnsi="Calibri" w:cs="Calibri" w:eastAsia="Calibri" w:hint="default"/>
        </w:rPr>
        <w:t>quality</w:t>
      </w:r>
      <w:r>
        <w:rPr>
          <w:rFonts w:ascii="Calibri" w:hAnsi="Calibri" w:cs="Calibri" w:eastAsia="Calibri" w:hint="default"/>
          <w:spacing w:val="-11"/>
        </w:rPr>
        <w:t> </w:t>
      </w:r>
      <w:r>
        <w:rPr>
          <w:rFonts w:ascii="Calibri" w:hAnsi="Calibri" w:cs="Calibri" w:eastAsia="Calibri" w:hint="default"/>
        </w:rPr>
        <w:t>of</w:t>
      </w:r>
      <w:r>
        <w:rPr>
          <w:rFonts w:ascii="Calibri" w:hAnsi="Calibri" w:cs="Calibri" w:eastAsia="Calibri" w:hint="default"/>
          <w:spacing w:val="-12"/>
        </w:rPr>
        <w:t> </w:t>
      </w:r>
      <w:r>
        <w:rPr>
          <w:rFonts w:ascii="Calibri" w:hAnsi="Calibri" w:cs="Calibri" w:eastAsia="Calibri" w:hint="default"/>
        </w:rPr>
        <w:t>the</w:t>
      </w:r>
      <w:r>
        <w:rPr>
          <w:rFonts w:ascii="Calibri" w:hAnsi="Calibri" w:cs="Calibri" w:eastAsia="Calibri" w:hint="default"/>
          <w:spacing w:val="-12"/>
        </w:rPr>
        <w:t> </w:t>
      </w:r>
      <w:r>
        <w:rPr>
          <w:rFonts w:ascii="Calibri" w:hAnsi="Calibri" w:cs="Calibri" w:eastAsia="Calibri" w:hint="default"/>
        </w:rPr>
        <w:t>tourists’ </w:t>
      </w:r>
      <w:r>
        <w:rPr>
          <w:rFonts w:ascii="Calibri" w:hAnsi="Calibri" w:cs="Calibri" w:eastAsia="Calibri" w:hint="default"/>
        </w:rPr>
      </w:r>
      <w:r>
        <w:rPr/>
        <w:t>experience. The overall tourist experience will be reflective of all of the separate experiences within the travel </w:t>
      </w:r>
      <w:r>
        <w:rPr>
          <w:rFonts w:ascii="Calibri" w:hAnsi="Calibri" w:cs="Calibri" w:eastAsia="Calibri" w:hint="default"/>
        </w:rPr>
        <w:t>experience chain. For this reason, the quality of the experience is an outcome of all of the CTB’s efforts in stakeholders’</w:t>
      </w:r>
      <w:r>
        <w:rPr>
          <w:rFonts w:ascii="Calibri" w:hAnsi="Calibri" w:cs="Calibri" w:eastAsia="Calibri" w:hint="default"/>
          <w:spacing w:val="-7"/>
        </w:rPr>
        <w:t> </w:t>
      </w:r>
      <w:r>
        <w:rPr>
          <w:rFonts w:ascii="Calibri" w:hAnsi="Calibri" w:cs="Calibri" w:eastAsia="Calibri" w:hint="default"/>
        </w:rPr>
        <w:t>coordination</w:t>
      </w:r>
      <w:r>
        <w:rPr>
          <w:rFonts w:ascii="Calibri" w:hAnsi="Calibri" w:cs="Calibri" w:eastAsia="Calibri" w:hint="default"/>
          <w:spacing w:val="-5"/>
        </w:rPr>
        <w:t> </w:t>
      </w:r>
      <w:r>
        <w:rPr>
          <w:rFonts w:ascii="Calibri" w:hAnsi="Calibri" w:cs="Calibri" w:eastAsia="Calibri" w:hint="default"/>
        </w:rPr>
        <w:t>–</w:t>
      </w:r>
      <w:r>
        <w:rPr>
          <w:rFonts w:ascii="Calibri" w:hAnsi="Calibri" w:cs="Calibri" w:eastAsia="Calibri" w:hint="default"/>
          <w:spacing w:val="-9"/>
        </w:rPr>
        <w:t> </w:t>
      </w:r>
      <w:r>
        <w:rPr/>
        <w:t>something</w:t>
      </w:r>
      <w:r>
        <w:rPr>
          <w:spacing w:val="-8"/>
        </w:rPr>
        <w:t> </w:t>
      </w:r>
      <w:r>
        <w:rPr/>
        <w:t>to</w:t>
      </w:r>
      <w:r>
        <w:rPr>
          <w:spacing w:val="-7"/>
        </w:rPr>
        <w:t> </w:t>
      </w:r>
      <w:r>
        <w:rPr/>
        <w:t>be</w:t>
      </w:r>
      <w:r>
        <w:rPr>
          <w:spacing w:val="-9"/>
        </w:rPr>
        <w:t> </w:t>
      </w:r>
      <w:r>
        <w:rPr/>
        <w:t>measured</w:t>
      </w:r>
      <w:r>
        <w:rPr>
          <w:spacing w:val="-7"/>
        </w:rPr>
        <w:t> </w:t>
      </w:r>
      <w:r>
        <w:rPr/>
        <w:t>rather</w:t>
      </w:r>
      <w:r>
        <w:rPr>
          <w:spacing w:val="-8"/>
        </w:rPr>
        <w:t> </w:t>
      </w:r>
      <w:r>
        <w:rPr/>
        <w:t>than</w:t>
      </w:r>
      <w:r>
        <w:rPr>
          <w:spacing w:val="-7"/>
        </w:rPr>
        <w:t> </w:t>
      </w:r>
      <w:r>
        <w:rPr/>
        <w:t>directly</w:t>
      </w:r>
      <w:r>
        <w:rPr>
          <w:spacing w:val="-7"/>
        </w:rPr>
        <w:t> </w:t>
      </w:r>
      <w:r>
        <w:rPr/>
        <w:t>managed.</w:t>
      </w:r>
      <w:r>
        <w:rPr>
          <w:spacing w:val="31"/>
        </w:rPr>
        <w:t> </w:t>
      </w:r>
      <w:r>
        <w:rPr/>
        <w:t>An</w:t>
      </w:r>
      <w:r>
        <w:rPr>
          <w:spacing w:val="-7"/>
        </w:rPr>
        <w:t> </w:t>
      </w:r>
      <w:r>
        <w:rPr/>
        <w:t>audit</w:t>
      </w:r>
      <w:r>
        <w:rPr>
          <w:spacing w:val="-10"/>
        </w:rPr>
        <w:t> </w:t>
      </w:r>
      <w:r>
        <w:rPr/>
        <w:t>of</w:t>
      </w:r>
      <w:r>
        <w:rPr>
          <w:spacing w:val="-9"/>
        </w:rPr>
        <w:t> </w:t>
      </w:r>
      <w:r>
        <w:rPr/>
        <w:t>the</w:t>
      </w:r>
      <w:r>
        <w:rPr>
          <w:spacing w:val="-9"/>
        </w:rPr>
        <w:t> </w:t>
      </w:r>
      <w:r>
        <w:rPr/>
        <w:t>quality</w:t>
      </w:r>
      <w:r>
        <w:rPr>
          <w:spacing w:val="-7"/>
        </w:rPr>
        <w:t> </w:t>
      </w:r>
      <w:r>
        <w:rPr/>
        <w:t>of</w:t>
      </w:r>
      <w:r>
        <w:rPr>
          <w:spacing w:val="-9"/>
        </w:rPr>
        <w:t> </w:t>
      </w:r>
      <w:r>
        <w:rPr/>
        <w:t>the</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49"/>
        <w:jc w:val="both"/>
      </w:pPr>
      <w:r>
        <w:rPr/>
        <w:t>destination experience along with tourist satisfaction surveys would be examples of initiatives that would support this</w:t>
      </w:r>
      <w:r>
        <w:rPr>
          <w:spacing w:val="-6"/>
        </w:rPr>
        <w:t> </w:t>
      </w:r>
      <w:r>
        <w:rPr/>
        <w:t>activity.</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t>Figure 29 depicts the structure of </w:t>
      </w:r>
      <w:r>
        <w:rPr>
          <w:rFonts w:ascii="Calibri" w:hAnsi="Calibri" w:cs="Calibri" w:eastAsia="Calibri" w:hint="default"/>
        </w:rPr>
        <w:t>CTB’s </w:t>
      </w:r>
      <w:r>
        <w:rPr/>
        <w:t>areas of activities. The tactical marketing activities should occur only after the CTB (together with stakeholders) has been able to define the strategic marketing activities of image identity, branding, and positioning. The new CTB should work closely with the Ministry of Economic Development in the implementation of the 2015-2020 Strategic Tourism Master</w:t>
      </w:r>
      <w:r>
        <w:rPr>
          <w:spacing w:val="-22"/>
        </w:rPr>
        <w:t> </w:t>
      </w:r>
      <w:r>
        <w:rPr/>
        <w:t>Plan.</w:t>
      </w:r>
    </w:p>
    <w:p>
      <w:pPr>
        <w:spacing w:line="240" w:lineRule="auto"/>
        <w:ind w:left="3254"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633963" cy="4814316"/>
            <wp:effectExtent l="0" t="0" r="0" b="0"/>
            <wp:docPr id="107" name="image38.png" descr=""/>
            <wp:cNvGraphicFramePr>
              <a:graphicFrameLocks noChangeAspect="1"/>
            </wp:cNvGraphicFramePr>
            <a:graphic>
              <a:graphicData uri="http://schemas.openxmlformats.org/drawingml/2006/picture">
                <pic:pic>
                  <pic:nvPicPr>
                    <pic:cNvPr id="108" name="image38.png"/>
                    <pic:cNvPicPr/>
                  </pic:nvPicPr>
                  <pic:blipFill>
                    <a:blip r:embed="rId67" cstate="print"/>
                    <a:stretch>
                      <a:fillRect/>
                    </a:stretch>
                  </pic:blipFill>
                  <pic:spPr>
                    <a:xfrm>
                      <a:off x="0" y="0"/>
                      <a:ext cx="3633963" cy="4814316"/>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10"/>
        <w:ind w:right="26"/>
        <w:jc w:val="center"/>
        <w:rPr>
          <w:rFonts w:ascii="Calibri" w:hAnsi="Calibri" w:cs="Calibri" w:eastAsia="Calibri" w:hint="default"/>
          <w:b w:val="0"/>
          <w:bCs w:val="0"/>
        </w:rPr>
      </w:pPr>
      <w:bookmarkStart w:name="_bookmark147" w:id="148"/>
      <w:bookmarkEnd w:id="148"/>
      <w:r>
        <w:rPr>
          <w:b w:val="0"/>
          <w:bCs w:val="0"/>
        </w:rPr>
      </w:r>
      <w:r>
        <w:rPr/>
        <w:t>Figure 29</w:t>
      </w:r>
      <w:r>
        <w:rPr>
          <w:rFonts w:ascii="Calibri" w:hAnsi="Calibri" w:cs="Calibri" w:eastAsia="Calibri" w:hint="default"/>
        </w:rPr>
        <w:t>:  CTB’s two main areas of</w:t>
      </w:r>
      <w:r>
        <w:rPr>
          <w:rFonts w:ascii="Calibri" w:hAnsi="Calibri" w:cs="Calibri" w:eastAsia="Calibri" w:hint="default"/>
          <w:spacing w:val="-18"/>
        </w:rPr>
        <w:t> </w:t>
      </w:r>
      <w:r>
        <w:rPr>
          <w:rFonts w:ascii="Calibri" w:hAnsi="Calibri" w:cs="Calibri" w:eastAsia="Calibri" w:hint="default"/>
        </w:rPr>
        <w:t>activities</w:t>
      </w:r>
      <w:r>
        <w:rPr>
          <w:rFonts w:ascii="Calibri" w:hAnsi="Calibri" w:cs="Calibri" w:eastAsia="Calibri" w:hint="default"/>
          <w:b w:val="0"/>
          <w:bCs w:val="0"/>
        </w:rPr>
      </w:r>
    </w:p>
    <w:p>
      <w:pPr>
        <w:spacing w:line="240" w:lineRule="auto" w:before="11"/>
        <w:ind w:right="0"/>
        <w:rPr>
          <w:rFonts w:ascii="Calibri" w:hAnsi="Calibri" w:cs="Calibri" w:eastAsia="Calibri" w:hint="default"/>
          <w:b/>
          <w:bCs/>
          <w:sz w:val="22"/>
          <w:szCs w:val="22"/>
        </w:rPr>
      </w:pPr>
    </w:p>
    <w:p>
      <w:pPr>
        <w:pStyle w:val="Heading2"/>
        <w:spacing w:line="240" w:lineRule="auto" w:before="0"/>
        <w:ind w:right="0"/>
        <w:jc w:val="both"/>
        <w:rPr>
          <w:b w:val="0"/>
          <w:bCs w:val="0"/>
        </w:rPr>
      </w:pPr>
      <w:bookmarkStart w:name="_bookmark148" w:id="149"/>
      <w:bookmarkEnd w:id="149"/>
      <w:r>
        <w:rPr>
          <w:b w:val="0"/>
        </w:rPr>
      </w:r>
      <w:r>
        <w:rPr/>
        <w:t>Financial</w:t>
      </w:r>
      <w:r>
        <w:rPr>
          <w:spacing w:val="-7"/>
        </w:rPr>
        <w:t> </w:t>
      </w:r>
      <w:r>
        <w:rPr/>
        <w:t>sustainability</w:t>
      </w:r>
      <w:r>
        <w:rPr>
          <w:b w:val="0"/>
        </w:rPr>
      </w:r>
    </w:p>
    <w:p>
      <w:pPr>
        <w:pStyle w:val="BodyText"/>
        <w:spacing w:line="240" w:lineRule="auto" w:before="192"/>
        <w:ind w:right="1436"/>
        <w:jc w:val="both"/>
      </w:pPr>
      <w:r>
        <w:rPr/>
        <w:t>The ROI of the strategic plan is substantial and justifies the investment of US$40 million over a time span of five years. This investment will be allocated to support an aggressive marketing program and an air service incentive program in the USA</w:t>
      </w:r>
      <w:r>
        <w:rPr>
          <w:spacing w:val="-10"/>
        </w:rPr>
        <w:t> </w:t>
      </w:r>
      <w:r>
        <w:rPr/>
        <w:t>market.</w:t>
      </w:r>
    </w:p>
    <w:p>
      <w:pPr>
        <w:spacing w:line="240" w:lineRule="auto" w:before="1"/>
        <w:ind w:right="0"/>
        <w:rPr>
          <w:rFonts w:ascii="Calibri" w:hAnsi="Calibri" w:cs="Calibri" w:eastAsia="Calibri" w:hint="default"/>
          <w:sz w:val="20"/>
          <w:szCs w:val="20"/>
        </w:rPr>
      </w:pPr>
    </w:p>
    <w:p>
      <w:pPr>
        <w:pStyle w:val="BodyText"/>
        <w:spacing w:line="240" w:lineRule="auto"/>
        <w:ind w:right="1435"/>
        <w:jc w:val="both"/>
      </w:pPr>
      <w:r>
        <w:rPr/>
        <w:t>The investment will be procured by borrowing from the local financial intermediaries which have sufficient cash to provide for this strategic plan. The investment borrowed will be paid by an aggressive and efficient room tax collection,</w:t>
      </w:r>
      <w:r>
        <w:rPr>
          <w:spacing w:val="-2"/>
        </w:rPr>
        <w:t> </w:t>
      </w:r>
      <w:r>
        <w:rPr/>
        <w:t>an</w:t>
      </w:r>
      <w:r>
        <w:rPr>
          <w:spacing w:val="-2"/>
        </w:rPr>
        <w:t> </w:t>
      </w:r>
      <w:r>
        <w:rPr/>
        <w:t>additional</w:t>
      </w:r>
      <w:r>
        <w:rPr>
          <w:spacing w:val="-2"/>
        </w:rPr>
        <w:t> </w:t>
      </w:r>
      <w:r>
        <w:rPr/>
        <w:t>room</w:t>
      </w:r>
      <w:r>
        <w:rPr>
          <w:spacing w:val="-6"/>
        </w:rPr>
        <w:t> </w:t>
      </w:r>
      <w:r>
        <w:rPr/>
        <w:t>tax</w:t>
      </w:r>
      <w:r>
        <w:rPr>
          <w:spacing w:val="-2"/>
        </w:rPr>
        <w:t> </w:t>
      </w:r>
      <w:r>
        <w:rPr/>
        <w:t>of</w:t>
      </w:r>
      <w:r>
        <w:rPr>
          <w:spacing w:val="-4"/>
        </w:rPr>
        <w:t> </w:t>
      </w:r>
      <w:r>
        <w:rPr/>
        <w:t>US$3</w:t>
      </w:r>
      <w:r>
        <w:rPr>
          <w:spacing w:val="-4"/>
        </w:rPr>
        <w:t> </w:t>
      </w:r>
      <w:r>
        <w:rPr/>
        <w:t>million</w:t>
      </w:r>
      <w:r>
        <w:rPr>
          <w:spacing w:val="-2"/>
        </w:rPr>
        <w:t> </w:t>
      </w:r>
      <w:r>
        <w:rPr/>
        <w:t>per</w:t>
      </w:r>
      <w:r>
        <w:rPr>
          <w:spacing w:val="2"/>
        </w:rPr>
        <w:t> </w:t>
      </w:r>
      <w:r>
        <w:rPr/>
        <w:t>year</w:t>
      </w:r>
      <w:r>
        <w:rPr>
          <w:spacing w:val="-2"/>
        </w:rPr>
        <w:t> </w:t>
      </w:r>
      <w:r>
        <w:rPr/>
        <w:t>due</w:t>
      </w:r>
      <w:r>
        <w:rPr>
          <w:spacing w:val="-3"/>
        </w:rPr>
        <w:t> </w:t>
      </w:r>
      <w:r>
        <w:rPr/>
        <w:t>to</w:t>
      </w:r>
      <w:r>
        <w:rPr>
          <w:spacing w:val="-2"/>
        </w:rPr>
        <w:t> </w:t>
      </w:r>
      <w:r>
        <w:rPr/>
        <w:t>the</w:t>
      </w:r>
      <w:r>
        <w:rPr>
          <w:spacing w:val="-3"/>
        </w:rPr>
        <w:t> </w:t>
      </w:r>
      <w:r>
        <w:rPr/>
        <w:t>increased</w:t>
      </w:r>
      <w:r>
        <w:rPr>
          <w:spacing w:val="-2"/>
        </w:rPr>
        <w:t> </w:t>
      </w:r>
      <w:r>
        <w:rPr/>
        <w:t>RevPAR,</w:t>
      </w:r>
      <w:r>
        <w:rPr>
          <w:spacing w:val="-1"/>
        </w:rPr>
        <w:t> </w:t>
      </w:r>
      <w:r>
        <w:rPr/>
        <w:t>and</w:t>
      </w:r>
      <w:r>
        <w:rPr>
          <w:spacing w:val="-2"/>
        </w:rPr>
        <w:t> </w:t>
      </w:r>
      <w:r>
        <w:rPr/>
        <w:t>by</w:t>
      </w:r>
      <w:r>
        <w:rPr>
          <w:spacing w:val="-4"/>
        </w:rPr>
        <w:t> </w:t>
      </w:r>
      <w:r>
        <w:rPr/>
        <w:t>the</w:t>
      </w:r>
      <w:r>
        <w:rPr>
          <w:spacing w:val="-3"/>
        </w:rPr>
        <w:t> </w:t>
      </w:r>
      <w:r>
        <w:rPr/>
        <w:t>participation</w:t>
      </w:r>
      <w:r>
        <w:rPr>
          <w:spacing w:val="-4"/>
        </w:rPr>
        <w:t> </w:t>
      </w:r>
      <w:r>
        <w:rPr/>
        <w:t>of </w:t>
      </w:r>
      <w:r>
        <w:rPr/>
        <w:t>non-conventional</w:t>
      </w:r>
      <w:r>
        <w:rPr>
          <w:spacing w:val="-5"/>
        </w:rPr>
        <w:t> </w:t>
      </w:r>
      <w:r>
        <w:rPr/>
        <w:t>instances</w:t>
      </w:r>
      <w:r>
        <w:rPr>
          <w:spacing w:val="-5"/>
        </w:rPr>
        <w:t> </w:t>
      </w:r>
      <w:r>
        <w:rPr/>
        <w:t>which</w:t>
      </w:r>
      <w:r>
        <w:rPr>
          <w:spacing w:val="-5"/>
        </w:rPr>
        <w:t> </w:t>
      </w:r>
      <w:r>
        <w:rPr/>
        <w:t>benefit</w:t>
      </w:r>
      <w:r>
        <w:rPr>
          <w:spacing w:val="-5"/>
        </w:rPr>
        <w:t> </w:t>
      </w:r>
      <w:r>
        <w:rPr/>
        <w:t>from</w:t>
      </w:r>
      <w:r>
        <w:rPr>
          <w:spacing w:val="-6"/>
        </w:rPr>
        <w:t> </w:t>
      </w:r>
      <w:r>
        <w:rPr/>
        <w:t>the</w:t>
      </w:r>
      <w:r>
        <w:rPr>
          <w:spacing w:val="-6"/>
        </w:rPr>
        <w:t> </w:t>
      </w:r>
      <w:r>
        <w:rPr/>
        <w:t>increased</w:t>
      </w:r>
      <w:r>
        <w:rPr>
          <w:spacing w:val="-5"/>
        </w:rPr>
        <w:t> </w:t>
      </w:r>
      <w:r>
        <w:rPr/>
        <w:t>tourism</w:t>
      </w:r>
      <w:r>
        <w:rPr>
          <w:spacing w:val="-6"/>
        </w:rPr>
        <w:t> </w:t>
      </w:r>
      <w:r>
        <w:rPr/>
        <w:t>transactions</w:t>
      </w:r>
      <w:r>
        <w:rPr>
          <w:spacing w:val="-6"/>
        </w:rPr>
        <w:t> </w:t>
      </w:r>
      <w:r>
        <w:rPr/>
        <w:t>on</w:t>
      </w:r>
      <w:r>
        <w:rPr>
          <w:spacing w:val="-5"/>
        </w:rPr>
        <w:t> </w:t>
      </w:r>
      <w:r>
        <w:rPr/>
        <w:t>the</w:t>
      </w:r>
      <w:r>
        <w:rPr>
          <w:spacing w:val="-4"/>
        </w:rPr>
        <w:t> </w:t>
      </w:r>
      <w:r>
        <w:rPr/>
        <w:t>island,</w:t>
      </w:r>
      <w:r>
        <w:rPr>
          <w:spacing w:val="-5"/>
        </w:rPr>
        <w:t> </w:t>
      </w:r>
      <w:r>
        <w:rPr/>
        <w:t>and</w:t>
      </w:r>
      <w:r>
        <w:rPr>
          <w:spacing w:val="-4"/>
        </w:rPr>
        <w:t> </w:t>
      </w:r>
      <w:r>
        <w:rPr/>
        <w:t>resulting</w:t>
      </w:r>
      <w:r>
        <w:rPr>
          <w:spacing w:val="-6"/>
        </w:rPr>
        <w:t> </w:t>
      </w:r>
      <w:r>
        <w:rPr/>
        <w:t>from </w:t>
      </w:r>
      <w:r>
        <w:rPr/>
        <w:t>the strategic plan. The aggressive and efficient room tax collection also include those private dwellings that</w:t>
      </w:r>
      <w:r>
        <w:rPr>
          <w:spacing w:val="-3"/>
        </w:rPr>
        <w:t> </w:t>
      </w:r>
      <w:r>
        <w:rPr/>
        <w:t>engage</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48"/>
        <w:jc w:val="both"/>
      </w:pPr>
      <w:r>
        <w:rPr/>
        <w:t>in short time rentals. The revenues from this source could eventually be put in a separate fund earmarked for research and product</w:t>
      </w:r>
      <w:r>
        <w:rPr>
          <w:spacing w:val="-17"/>
        </w:rPr>
        <w:t> </w:t>
      </w:r>
      <w:r>
        <w:rPr/>
        <w:t>development.</w:t>
      </w:r>
    </w:p>
    <w:p>
      <w:pPr>
        <w:spacing w:line="240" w:lineRule="auto" w:before="11"/>
        <w:ind w:right="0"/>
        <w:rPr>
          <w:rFonts w:ascii="Calibri" w:hAnsi="Calibri" w:cs="Calibri" w:eastAsia="Calibri" w:hint="default"/>
          <w:sz w:val="19"/>
          <w:szCs w:val="19"/>
        </w:rPr>
      </w:pPr>
    </w:p>
    <w:p>
      <w:pPr>
        <w:pStyle w:val="BodyText"/>
        <w:spacing w:line="240" w:lineRule="auto"/>
        <w:ind w:right="1434"/>
        <w:jc w:val="both"/>
      </w:pPr>
      <w:r>
        <w:rPr/>
        <w:t>However,</w:t>
      </w:r>
      <w:r>
        <w:rPr>
          <w:spacing w:val="-3"/>
        </w:rPr>
        <w:t> </w:t>
      </w:r>
      <w:r>
        <w:rPr/>
        <w:t>the</w:t>
      </w:r>
      <w:r>
        <w:rPr>
          <w:spacing w:val="-4"/>
        </w:rPr>
        <w:t> </w:t>
      </w:r>
      <w:r>
        <w:rPr/>
        <w:t>loan</w:t>
      </w:r>
      <w:r>
        <w:rPr>
          <w:spacing w:val="-2"/>
        </w:rPr>
        <w:t> </w:t>
      </w:r>
      <w:r>
        <w:rPr/>
        <w:t>magnitude</w:t>
      </w:r>
      <w:r>
        <w:rPr>
          <w:spacing w:val="-4"/>
        </w:rPr>
        <w:t> </w:t>
      </w:r>
      <w:r>
        <w:rPr/>
        <w:t>depends</w:t>
      </w:r>
      <w:r>
        <w:rPr>
          <w:spacing w:val="-5"/>
        </w:rPr>
        <w:t> </w:t>
      </w:r>
      <w:r>
        <w:rPr/>
        <w:t>on</w:t>
      </w:r>
      <w:r>
        <w:rPr>
          <w:spacing w:val="-5"/>
        </w:rPr>
        <w:t> </w:t>
      </w:r>
      <w:r>
        <w:rPr/>
        <w:t>how</w:t>
      </w:r>
      <w:r>
        <w:rPr>
          <w:spacing w:val="-4"/>
        </w:rPr>
        <w:t> </w:t>
      </w:r>
      <w:r>
        <w:rPr/>
        <w:t>successful</w:t>
      </w:r>
      <w:r>
        <w:rPr>
          <w:spacing w:val="1"/>
        </w:rPr>
        <w:t> </w:t>
      </w:r>
      <w:r>
        <w:rPr/>
        <w:t>the</w:t>
      </w:r>
      <w:r>
        <w:rPr>
          <w:spacing w:val="-3"/>
        </w:rPr>
        <w:t> </w:t>
      </w:r>
      <w:r>
        <w:rPr/>
        <w:t>CTB</w:t>
      </w:r>
      <w:r>
        <w:rPr>
          <w:spacing w:val="-4"/>
        </w:rPr>
        <w:t> </w:t>
      </w:r>
      <w:r>
        <w:rPr/>
        <w:t>is</w:t>
      </w:r>
      <w:r>
        <w:rPr>
          <w:spacing w:val="-5"/>
        </w:rPr>
        <w:t> </w:t>
      </w:r>
      <w:r>
        <w:rPr/>
        <w:t>in</w:t>
      </w:r>
      <w:r>
        <w:rPr>
          <w:spacing w:val="-3"/>
        </w:rPr>
        <w:t> </w:t>
      </w:r>
      <w:r>
        <w:rPr/>
        <w:t>collecting</w:t>
      </w:r>
      <w:r>
        <w:rPr>
          <w:spacing w:val="-2"/>
        </w:rPr>
        <w:t> </w:t>
      </w:r>
      <w:r>
        <w:rPr/>
        <w:t>outstanding</w:t>
      </w:r>
      <w:r>
        <w:rPr>
          <w:spacing w:val="-2"/>
        </w:rPr>
        <w:t> </w:t>
      </w:r>
      <w:r>
        <w:rPr/>
        <w:t>arrears</w:t>
      </w:r>
      <w:r>
        <w:rPr>
          <w:spacing w:val="-5"/>
        </w:rPr>
        <w:t> </w:t>
      </w:r>
      <w:r>
        <w:rPr/>
        <w:t>in</w:t>
      </w:r>
      <w:r>
        <w:rPr>
          <w:spacing w:val="-3"/>
        </w:rPr>
        <w:t> </w:t>
      </w:r>
      <w:r>
        <w:rPr/>
        <w:t>room</w:t>
      </w:r>
      <w:r>
        <w:rPr>
          <w:spacing w:val="-4"/>
        </w:rPr>
        <w:t> </w:t>
      </w:r>
      <w:r>
        <w:rPr/>
        <w:t>tax.</w:t>
      </w:r>
      <w:r>
        <w:rPr>
          <w:spacing w:val="-3"/>
        </w:rPr>
        <w:t> </w:t>
      </w:r>
      <w:r>
        <w:rPr/>
        <w:t>It </w:t>
      </w:r>
      <w:r>
        <w:rPr/>
        <w:t>seems unrealistic to expect that the CTB would be able to collect all outstanding arrears. Therefore, the suggestion is for the CTB to develop a plan that provides a forgiveness period of five years (from 2000-2005), the payment in full of the arrears in two months (no financial accommodation granted to any hotel) spanning 2006-2014, and the prompt compliance since January, 2015. Any misbehavior from any hotel should bear the full consequence of existing laws, including putting a lean on the</w:t>
      </w:r>
      <w:r>
        <w:rPr>
          <w:spacing w:val="-16"/>
        </w:rPr>
        <w:t> </w:t>
      </w:r>
      <w:r>
        <w:rPr/>
        <w:t>property.</w:t>
      </w:r>
    </w:p>
    <w:p>
      <w:pPr>
        <w:spacing w:line="240" w:lineRule="auto" w:before="11"/>
        <w:ind w:right="0"/>
        <w:rPr>
          <w:rFonts w:ascii="Calibri" w:hAnsi="Calibri" w:cs="Calibri" w:eastAsia="Calibri" w:hint="default"/>
          <w:sz w:val="19"/>
          <w:szCs w:val="19"/>
        </w:rPr>
      </w:pPr>
    </w:p>
    <w:p>
      <w:pPr>
        <w:pStyle w:val="BodyText"/>
        <w:spacing w:line="240" w:lineRule="auto"/>
        <w:ind w:right="1437"/>
        <w:jc w:val="both"/>
      </w:pPr>
      <w:r>
        <w:rPr/>
        <w:t>The</w:t>
      </w:r>
      <w:r>
        <w:rPr>
          <w:spacing w:val="-6"/>
        </w:rPr>
        <w:t> </w:t>
      </w:r>
      <w:r>
        <w:rPr/>
        <w:t>CTB</w:t>
      </w:r>
      <w:r>
        <w:rPr>
          <w:spacing w:val="-6"/>
        </w:rPr>
        <w:t> </w:t>
      </w:r>
      <w:r>
        <w:rPr/>
        <w:t>should</w:t>
      </w:r>
      <w:r>
        <w:rPr>
          <w:spacing w:val="-5"/>
        </w:rPr>
        <w:t> </w:t>
      </w:r>
      <w:r>
        <w:rPr/>
        <w:t>also</w:t>
      </w:r>
      <w:r>
        <w:rPr>
          <w:spacing w:val="-4"/>
        </w:rPr>
        <w:t> </w:t>
      </w:r>
      <w:r>
        <w:rPr/>
        <w:t>instate</w:t>
      </w:r>
      <w:r>
        <w:rPr>
          <w:spacing w:val="-5"/>
        </w:rPr>
        <w:t> </w:t>
      </w:r>
      <w:r>
        <w:rPr/>
        <w:t>strict</w:t>
      </w:r>
      <w:r>
        <w:rPr>
          <w:spacing w:val="-5"/>
        </w:rPr>
        <w:t> </w:t>
      </w:r>
      <w:r>
        <w:rPr/>
        <w:t>enforcement</w:t>
      </w:r>
      <w:r>
        <w:rPr>
          <w:spacing w:val="-5"/>
        </w:rPr>
        <w:t> </w:t>
      </w:r>
      <w:r>
        <w:rPr/>
        <w:t>to</w:t>
      </w:r>
      <w:r>
        <w:rPr>
          <w:spacing w:val="-5"/>
        </w:rPr>
        <w:t> </w:t>
      </w:r>
      <w:r>
        <w:rPr/>
        <w:t>any</w:t>
      </w:r>
      <w:r>
        <w:rPr>
          <w:spacing w:val="-5"/>
        </w:rPr>
        <w:t> </w:t>
      </w:r>
      <w:r>
        <w:rPr/>
        <w:t>short-term</w:t>
      </w:r>
      <w:r>
        <w:rPr>
          <w:spacing w:val="-6"/>
        </w:rPr>
        <w:t> </w:t>
      </w:r>
      <w:r>
        <w:rPr/>
        <w:t>rental</w:t>
      </w:r>
      <w:r>
        <w:rPr>
          <w:spacing w:val="-6"/>
        </w:rPr>
        <w:t> </w:t>
      </w:r>
      <w:r>
        <w:rPr/>
        <w:t>property.</w:t>
      </w:r>
      <w:r>
        <w:rPr>
          <w:spacing w:val="36"/>
        </w:rPr>
        <w:t> </w:t>
      </w:r>
      <w:r>
        <w:rPr/>
        <w:t>A</w:t>
      </w:r>
      <w:r>
        <w:rPr>
          <w:spacing w:val="-6"/>
        </w:rPr>
        <w:t> </w:t>
      </w:r>
      <w:r>
        <w:rPr/>
        <w:t>similar</w:t>
      </w:r>
      <w:r>
        <w:rPr>
          <w:spacing w:val="-6"/>
        </w:rPr>
        <w:t> </w:t>
      </w:r>
      <w:r>
        <w:rPr/>
        <w:t>approach</w:t>
      </w:r>
      <w:r>
        <w:rPr>
          <w:spacing w:val="-5"/>
        </w:rPr>
        <w:t> </w:t>
      </w:r>
      <w:r>
        <w:rPr/>
        <w:t>for</w:t>
      </w:r>
      <w:r>
        <w:rPr>
          <w:spacing w:val="-5"/>
        </w:rPr>
        <w:t> </w:t>
      </w:r>
      <w:r>
        <w:rPr/>
        <w:t>short-term </w:t>
      </w:r>
      <w:r>
        <w:rPr/>
        <w:t>rental properties may be used like that of the hotels. It is important to again stress the need for strict adherence to the plan in order to achieve quick credibility of the earnestness in the law enforcement as it pertains to room tax collection. The loan payment schedule below shows that the risks involved in the investment are minimal when compared with return on investment over the timespan of five</w:t>
      </w:r>
      <w:r>
        <w:rPr>
          <w:spacing w:val="-21"/>
        </w:rPr>
        <w:t> </w:t>
      </w:r>
      <w:r>
        <w:rPr/>
        <w:t>years.</w:t>
      </w:r>
    </w:p>
    <w:p>
      <w:pPr>
        <w:spacing w:line="240" w:lineRule="auto" w:before="2"/>
        <w:ind w:right="0"/>
        <w:rPr>
          <w:rFonts w:ascii="Calibri" w:hAnsi="Calibri" w:cs="Calibri" w:eastAsia="Calibri" w:hint="default"/>
          <w:sz w:val="20"/>
          <w:szCs w:val="20"/>
        </w:rPr>
      </w:pPr>
    </w:p>
    <w:p>
      <w:pPr>
        <w:pStyle w:val="Heading9"/>
        <w:spacing w:line="240" w:lineRule="auto"/>
        <w:ind w:right="26"/>
        <w:jc w:val="center"/>
        <w:rPr>
          <w:b w:val="0"/>
          <w:bCs w:val="0"/>
        </w:rPr>
      </w:pPr>
      <w:bookmarkStart w:name="_bookmark149" w:id="150"/>
      <w:bookmarkEnd w:id="150"/>
      <w:r>
        <w:rPr>
          <w:b w:val="0"/>
        </w:rPr>
      </w:r>
      <w:r>
        <w:rPr/>
        <w:t>Table 47: Loan Payment Structure for</w:t>
      </w:r>
      <w:r>
        <w:rPr>
          <w:spacing w:val="-23"/>
        </w:rPr>
        <w:t> </w:t>
      </w:r>
      <w:r>
        <w:rPr/>
        <w:t>Budget</w:t>
      </w:r>
      <w:r>
        <w:rPr>
          <w:b w:val="0"/>
        </w:rPr>
      </w:r>
    </w:p>
    <w:p>
      <w:pPr>
        <w:tabs>
          <w:tab w:pos="5082" w:val="left" w:leader="none"/>
          <w:tab w:pos="10782" w:val="left" w:leader="none"/>
        </w:tabs>
        <w:spacing w:line="276" w:lineRule="auto" w:before="39"/>
        <w:ind w:left="1474" w:right="1438" w:hanging="27"/>
        <w:jc w:val="both"/>
        <w:rPr>
          <w:rFonts w:ascii="Calibri" w:hAnsi="Calibri" w:cs="Calibri" w:eastAsia="Calibri" w:hint="default"/>
          <w:sz w:val="15"/>
          <w:szCs w:val="15"/>
        </w:rPr>
      </w:pPr>
      <w:r>
        <w:rPr>
          <w:rFonts w:ascii="Calibri"/>
          <w:b/>
          <w:color w:val="FFFFFF"/>
          <w:w w:val="99"/>
          <w:sz w:val="15"/>
        </w:rPr>
      </w:r>
      <w:r>
        <w:rPr>
          <w:rFonts w:ascii="Calibri"/>
          <w:b/>
          <w:color w:val="FFFFFF"/>
          <w:w w:val="99"/>
          <w:sz w:val="15"/>
          <w:shd w:fill="000000" w:color="auto" w:val="clear"/>
        </w:rPr>
        <w:t> </w:t>
      </w:r>
      <w:r>
        <w:rPr>
          <w:rFonts w:ascii="Calibri"/>
          <w:b/>
          <w:color w:val="FFFFFF"/>
          <w:sz w:val="15"/>
          <w:shd w:fill="000000" w:color="auto" w:val="clear"/>
        </w:rPr>
        <w:tab/>
        <w:t>Loan Payment Structure</w:t>
      </w:r>
      <w:r>
        <w:rPr>
          <w:rFonts w:ascii="Calibri"/>
          <w:b/>
          <w:color w:val="FFFFFF"/>
          <w:spacing w:val="-22"/>
          <w:sz w:val="15"/>
          <w:shd w:fill="000000" w:color="auto" w:val="clear"/>
        </w:rPr>
        <w:t> </w:t>
      </w:r>
      <w:r>
        <w:rPr>
          <w:rFonts w:ascii="Calibri"/>
          <w:b/>
          <w:color w:val="FFFFFF"/>
          <w:sz w:val="15"/>
          <w:shd w:fill="000000" w:color="auto" w:val="clear"/>
        </w:rPr>
        <w:t>($40</w:t>
      </w:r>
      <w:r>
        <w:rPr>
          <w:rFonts w:ascii="Calibri"/>
          <w:b/>
          <w:color w:val="FFFFFF"/>
          <w:spacing w:val="-6"/>
          <w:sz w:val="15"/>
          <w:shd w:fill="000000" w:color="auto" w:val="clear"/>
        </w:rPr>
        <w:t> </w:t>
      </w:r>
      <w:r>
        <w:rPr>
          <w:rFonts w:ascii="Calibri"/>
          <w:b/>
          <w:color w:val="FFFFFF"/>
          <w:sz w:val="15"/>
          <w:shd w:fill="000000" w:color="auto" w:val="clear"/>
        </w:rPr>
        <w:t>Mil)</w:t>
        <w:tab/>
      </w:r>
      <w:r>
        <w:rPr>
          <w:rFonts w:ascii="Calibri"/>
          <w:b/>
          <w:color w:val="FFFFFF"/>
          <w:w w:val="50"/>
          <w:sz w:val="15"/>
          <w:shd w:fill="000000" w:color="auto" w:val="clear"/>
        </w:rPr>
        <w:t> </w:t>
      </w:r>
      <w:r>
        <w:rPr>
          <w:rFonts w:ascii="Calibri"/>
          <w:b/>
          <w:color w:val="FFFFFF"/>
          <w:sz w:val="15"/>
          <w:shd w:fill="000000" w:color="auto" w:val="clear"/>
        </w:rPr>
      </w:r>
      <w:r>
        <w:rPr>
          <w:rFonts w:ascii="Calibri"/>
          <w:b/>
          <w:color w:val="FFFFFF"/>
          <w:sz w:val="15"/>
        </w:rPr>
      </w:r>
      <w:r>
        <w:rPr>
          <w:rFonts w:ascii="Calibri"/>
          <w:b/>
          <w:color w:val="FFFFFF"/>
          <w:sz w:val="15"/>
        </w:rPr>
        <w:t> </w:t>
      </w:r>
      <w:r>
        <w:rPr>
          <w:rFonts w:ascii="Calibri"/>
          <w:b/>
          <w:color w:val="528DD4"/>
          <w:sz w:val="15"/>
        </w:rPr>
        <w:t>5-year payment</w:t>
      </w:r>
      <w:r>
        <w:rPr>
          <w:rFonts w:ascii="Calibri"/>
          <w:b/>
          <w:color w:val="528DD4"/>
          <w:spacing w:val="-21"/>
          <w:sz w:val="15"/>
        </w:rPr>
        <w:t> </w:t>
      </w:r>
      <w:r>
        <w:rPr>
          <w:rFonts w:ascii="Calibri"/>
          <w:b/>
          <w:color w:val="528DD4"/>
          <w:sz w:val="15"/>
        </w:rPr>
        <w:t>schedule</w:t>
      </w:r>
      <w:r>
        <w:rPr>
          <w:rFonts w:ascii="Calibri"/>
          <w:sz w:val="15"/>
        </w:rPr>
      </w:r>
    </w:p>
    <w:p>
      <w:pPr>
        <w:tabs>
          <w:tab w:pos="1899" w:val="left" w:leader="none"/>
          <w:tab w:pos="3800" w:val="left" w:leader="none"/>
          <w:tab w:pos="5700" w:val="left" w:leader="none"/>
          <w:tab w:pos="7599" w:val="left" w:leader="none"/>
        </w:tabs>
        <w:spacing w:before="17" w:after="25"/>
        <w:ind w:left="0" w:right="26" w:firstLine="0"/>
        <w:jc w:val="center"/>
        <w:rPr>
          <w:rFonts w:ascii="Calibri" w:hAnsi="Calibri" w:cs="Calibri" w:eastAsia="Calibri" w:hint="default"/>
          <w:sz w:val="15"/>
          <w:szCs w:val="15"/>
        </w:rPr>
      </w:pPr>
      <w:r>
        <w:rPr>
          <w:rFonts w:ascii="Calibri"/>
          <w:i/>
          <w:sz w:val="15"/>
        </w:rPr>
        <w:t>7.00%</w:t>
      </w:r>
      <w:r>
        <w:rPr>
          <w:rFonts w:ascii="Calibri"/>
          <w:i/>
          <w:spacing w:val="1"/>
          <w:sz w:val="15"/>
        </w:rPr>
        <w:t> </w:t>
      </w:r>
      <w:r>
        <w:rPr>
          <w:rFonts w:ascii="Calibri"/>
          <w:i/>
          <w:sz w:val="15"/>
        </w:rPr>
        <w:t>interest</w:t>
      </w:r>
      <w:r>
        <w:rPr>
          <w:rFonts w:ascii="Calibri"/>
          <w:i/>
          <w:spacing w:val="6"/>
          <w:sz w:val="15"/>
        </w:rPr>
        <w:t> </w:t>
      </w:r>
      <w:r>
        <w:rPr>
          <w:rFonts w:ascii="Calibri"/>
          <w:i/>
          <w:sz w:val="15"/>
        </w:rPr>
        <w:t>rate</w:t>
        <w:tab/>
        <w:t>6.50%</w:t>
      </w:r>
      <w:r>
        <w:rPr>
          <w:rFonts w:ascii="Calibri"/>
          <w:i/>
          <w:spacing w:val="1"/>
          <w:sz w:val="15"/>
        </w:rPr>
        <w:t> </w:t>
      </w:r>
      <w:r>
        <w:rPr>
          <w:rFonts w:ascii="Calibri"/>
          <w:i/>
          <w:sz w:val="15"/>
        </w:rPr>
        <w:t>interest</w:t>
      </w:r>
      <w:r>
        <w:rPr>
          <w:rFonts w:ascii="Calibri"/>
          <w:i/>
          <w:spacing w:val="6"/>
          <w:sz w:val="15"/>
        </w:rPr>
        <w:t> </w:t>
      </w:r>
      <w:r>
        <w:rPr>
          <w:rFonts w:ascii="Calibri"/>
          <w:i/>
          <w:sz w:val="15"/>
        </w:rPr>
        <w:t>rate</w:t>
        <w:tab/>
        <w:t>6.00%</w:t>
      </w:r>
      <w:r>
        <w:rPr>
          <w:rFonts w:ascii="Calibri"/>
          <w:i/>
          <w:spacing w:val="1"/>
          <w:sz w:val="15"/>
        </w:rPr>
        <w:t> </w:t>
      </w:r>
      <w:r>
        <w:rPr>
          <w:rFonts w:ascii="Calibri"/>
          <w:i/>
          <w:sz w:val="15"/>
        </w:rPr>
        <w:t>interest</w:t>
      </w:r>
      <w:r>
        <w:rPr>
          <w:rFonts w:ascii="Calibri"/>
          <w:i/>
          <w:spacing w:val="6"/>
          <w:sz w:val="15"/>
        </w:rPr>
        <w:t> </w:t>
      </w:r>
      <w:r>
        <w:rPr>
          <w:rFonts w:ascii="Calibri"/>
          <w:i/>
          <w:sz w:val="15"/>
        </w:rPr>
        <w:t>rate</w:t>
        <w:tab/>
        <w:t>5.50%</w:t>
      </w:r>
      <w:r>
        <w:rPr>
          <w:rFonts w:ascii="Calibri"/>
          <w:i/>
          <w:spacing w:val="1"/>
          <w:sz w:val="15"/>
        </w:rPr>
        <w:t> </w:t>
      </w:r>
      <w:r>
        <w:rPr>
          <w:rFonts w:ascii="Calibri"/>
          <w:i/>
          <w:sz w:val="15"/>
        </w:rPr>
        <w:t>interest</w:t>
      </w:r>
      <w:r>
        <w:rPr>
          <w:rFonts w:ascii="Calibri"/>
          <w:i/>
          <w:spacing w:val="6"/>
          <w:sz w:val="15"/>
        </w:rPr>
        <w:t> </w:t>
      </w:r>
      <w:r>
        <w:rPr>
          <w:rFonts w:ascii="Calibri"/>
          <w:i/>
          <w:sz w:val="15"/>
        </w:rPr>
        <w:t>rate</w:t>
        <w:tab/>
        <w:t>5.00% interest</w:t>
      </w:r>
      <w:r>
        <w:rPr>
          <w:rFonts w:ascii="Calibri"/>
          <w:i/>
          <w:spacing w:val="8"/>
          <w:sz w:val="15"/>
        </w:rPr>
        <w:t> </w:t>
      </w:r>
      <w:r>
        <w:rPr>
          <w:rFonts w:ascii="Calibri"/>
          <w:i/>
          <w:sz w:val="15"/>
        </w:rPr>
        <w:t>rate</w:t>
      </w:r>
      <w:r>
        <w:rPr>
          <w:rFonts w:ascii="Calibri"/>
          <w:sz w:val="15"/>
        </w:rPr>
      </w:r>
    </w:p>
    <w:tbl>
      <w:tblPr>
        <w:tblW w:w="0" w:type="auto"/>
        <w:jc w:val="left"/>
        <w:tblInd w:w="1448" w:type="dxa"/>
        <w:tblLayout w:type="fixed"/>
        <w:tblCellMar>
          <w:top w:w="0" w:type="dxa"/>
          <w:left w:w="0" w:type="dxa"/>
          <w:bottom w:w="0" w:type="dxa"/>
          <w:right w:w="0" w:type="dxa"/>
        </w:tblCellMar>
        <w:tblLook w:val="01E0"/>
      </w:tblPr>
      <w:tblGrid>
        <w:gridCol w:w="571"/>
        <w:gridCol w:w="1180"/>
        <w:gridCol w:w="140"/>
        <w:gridCol w:w="580"/>
        <w:gridCol w:w="1181"/>
        <w:gridCol w:w="140"/>
        <w:gridCol w:w="580"/>
        <w:gridCol w:w="1180"/>
        <w:gridCol w:w="140"/>
        <w:gridCol w:w="580"/>
        <w:gridCol w:w="1180"/>
        <w:gridCol w:w="140"/>
        <w:gridCol w:w="580"/>
        <w:gridCol w:w="1180"/>
      </w:tblGrid>
      <w:tr>
        <w:trPr>
          <w:trHeight w:val="221" w:hRule="exact"/>
        </w:trPr>
        <w:tc>
          <w:tcPr>
            <w:tcW w:w="571" w:type="dxa"/>
            <w:tcBorders>
              <w:top w:val="single" w:sz="3" w:space="0" w:color="000000"/>
              <w:left w:val="nil" w:sz="6" w:space="0" w:color="auto"/>
              <w:bottom w:val="nil" w:sz="6" w:space="0" w:color="auto"/>
              <w:right w:val="nil" w:sz="6" w:space="0" w:color="auto"/>
            </w:tcBorders>
          </w:tcPr>
          <w:p>
            <w:pPr>
              <w:pStyle w:val="TableParagraph"/>
              <w:spacing w:line="240" w:lineRule="auto" w:before="6"/>
              <w:ind w:right="198"/>
              <w:jc w:val="right"/>
              <w:rPr>
                <w:rFonts w:ascii="Calibri" w:hAnsi="Calibri" w:cs="Calibri" w:eastAsia="Calibri" w:hint="default"/>
                <w:sz w:val="15"/>
                <w:szCs w:val="15"/>
              </w:rPr>
            </w:pPr>
            <w:r>
              <w:rPr>
                <w:rFonts w:ascii="Calibri"/>
                <w:b/>
                <w:spacing w:val="-2"/>
                <w:w w:val="95"/>
                <w:sz w:val="15"/>
              </w:rPr>
              <w:t>N=</w:t>
            </w:r>
            <w:r>
              <w:rPr>
                <w:rFonts w:ascii="Calibri"/>
                <w:sz w:val="15"/>
              </w:rPr>
            </w:r>
          </w:p>
        </w:tc>
        <w:tc>
          <w:tcPr>
            <w:tcW w:w="1180" w:type="dxa"/>
            <w:tcBorders>
              <w:top w:val="single" w:sz="3" w:space="0" w:color="000000"/>
              <w:left w:val="nil" w:sz="6" w:space="0" w:color="auto"/>
              <w:bottom w:val="nil" w:sz="6" w:space="0" w:color="auto"/>
              <w:right w:val="nil" w:sz="6" w:space="0" w:color="auto"/>
            </w:tcBorders>
          </w:tcPr>
          <w:p>
            <w:pPr>
              <w:pStyle w:val="TableParagraph"/>
              <w:spacing w:line="240" w:lineRule="auto" w:before="6"/>
              <w:ind w:right="55"/>
              <w:jc w:val="center"/>
              <w:rPr>
                <w:rFonts w:ascii="Calibri" w:hAnsi="Calibri" w:cs="Calibri" w:eastAsia="Calibri" w:hint="default"/>
                <w:sz w:val="15"/>
                <w:szCs w:val="15"/>
              </w:rPr>
            </w:pPr>
            <w:r>
              <w:rPr>
                <w:rFonts w:ascii="Calibri"/>
                <w:b/>
                <w:sz w:val="15"/>
              </w:rPr>
              <w:t>5</w:t>
            </w:r>
            <w:r>
              <w:rPr>
                <w:rFonts w:ascii="Calibri"/>
                <w:sz w:val="15"/>
              </w:rPr>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single" w:sz="3" w:space="0" w:color="000000"/>
              <w:left w:val="nil" w:sz="6" w:space="0" w:color="auto"/>
              <w:bottom w:val="nil" w:sz="6" w:space="0" w:color="auto"/>
              <w:right w:val="nil" w:sz="6" w:space="0" w:color="auto"/>
            </w:tcBorders>
          </w:tcPr>
          <w:p>
            <w:pPr>
              <w:pStyle w:val="TableParagraph"/>
              <w:spacing w:line="240" w:lineRule="auto" w:before="6"/>
              <w:ind w:left="9" w:right="0"/>
              <w:jc w:val="center"/>
              <w:rPr>
                <w:rFonts w:ascii="Calibri" w:hAnsi="Calibri" w:cs="Calibri" w:eastAsia="Calibri" w:hint="default"/>
                <w:sz w:val="15"/>
                <w:szCs w:val="15"/>
              </w:rPr>
            </w:pPr>
            <w:r>
              <w:rPr>
                <w:rFonts w:ascii="Calibri"/>
                <w:b/>
                <w:sz w:val="15"/>
              </w:rPr>
              <w:t>N=</w:t>
            </w:r>
            <w:r>
              <w:rPr>
                <w:rFonts w:ascii="Calibri"/>
                <w:sz w:val="15"/>
              </w:rPr>
            </w:r>
          </w:p>
        </w:tc>
        <w:tc>
          <w:tcPr>
            <w:tcW w:w="1181" w:type="dxa"/>
            <w:tcBorders>
              <w:top w:val="single" w:sz="3" w:space="0" w:color="000000"/>
              <w:left w:val="nil" w:sz="6" w:space="0" w:color="auto"/>
              <w:bottom w:val="nil" w:sz="6" w:space="0" w:color="auto"/>
              <w:right w:val="nil" w:sz="6" w:space="0" w:color="auto"/>
            </w:tcBorders>
          </w:tcPr>
          <w:p>
            <w:pPr>
              <w:pStyle w:val="TableParagraph"/>
              <w:spacing w:line="240" w:lineRule="auto" w:before="6"/>
              <w:ind w:right="3"/>
              <w:jc w:val="center"/>
              <w:rPr>
                <w:rFonts w:ascii="Calibri" w:hAnsi="Calibri" w:cs="Calibri" w:eastAsia="Calibri" w:hint="default"/>
                <w:sz w:val="15"/>
                <w:szCs w:val="15"/>
              </w:rPr>
            </w:pPr>
            <w:r>
              <w:rPr>
                <w:rFonts w:ascii="Calibri"/>
                <w:b/>
                <w:sz w:val="15"/>
              </w:rPr>
              <w:t>5</w:t>
            </w:r>
            <w:r>
              <w:rPr>
                <w:rFonts w:ascii="Calibri"/>
                <w:sz w:val="15"/>
              </w:rPr>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single" w:sz="3" w:space="0" w:color="000000"/>
              <w:left w:val="nil" w:sz="6" w:space="0" w:color="auto"/>
              <w:bottom w:val="nil" w:sz="6" w:space="0" w:color="auto"/>
              <w:right w:val="nil" w:sz="6" w:space="0" w:color="auto"/>
            </w:tcBorders>
          </w:tcPr>
          <w:p>
            <w:pPr>
              <w:pStyle w:val="TableParagraph"/>
              <w:spacing w:line="240" w:lineRule="auto" w:before="6"/>
              <w:ind w:left="8" w:right="0"/>
              <w:jc w:val="center"/>
              <w:rPr>
                <w:rFonts w:ascii="Calibri" w:hAnsi="Calibri" w:cs="Calibri" w:eastAsia="Calibri" w:hint="default"/>
                <w:sz w:val="15"/>
                <w:szCs w:val="15"/>
              </w:rPr>
            </w:pPr>
            <w:r>
              <w:rPr>
                <w:rFonts w:ascii="Calibri"/>
                <w:b/>
                <w:sz w:val="15"/>
              </w:rPr>
              <w:t>N=</w:t>
            </w:r>
            <w:r>
              <w:rPr>
                <w:rFonts w:ascii="Calibri"/>
                <w:sz w:val="15"/>
              </w:rPr>
            </w:r>
          </w:p>
        </w:tc>
        <w:tc>
          <w:tcPr>
            <w:tcW w:w="1180" w:type="dxa"/>
            <w:tcBorders>
              <w:top w:val="single" w:sz="3" w:space="0" w:color="000000"/>
              <w:left w:val="nil" w:sz="6" w:space="0" w:color="auto"/>
              <w:bottom w:val="nil" w:sz="6" w:space="0" w:color="auto"/>
              <w:right w:val="nil" w:sz="6" w:space="0" w:color="auto"/>
            </w:tcBorders>
          </w:tcPr>
          <w:p>
            <w:pPr>
              <w:pStyle w:val="TableParagraph"/>
              <w:spacing w:line="240" w:lineRule="auto" w:before="6"/>
              <w:ind w:right="2"/>
              <w:jc w:val="center"/>
              <w:rPr>
                <w:rFonts w:ascii="Calibri" w:hAnsi="Calibri" w:cs="Calibri" w:eastAsia="Calibri" w:hint="default"/>
                <w:sz w:val="15"/>
                <w:szCs w:val="15"/>
              </w:rPr>
            </w:pPr>
            <w:r>
              <w:rPr>
                <w:rFonts w:ascii="Calibri"/>
                <w:b/>
                <w:sz w:val="15"/>
              </w:rPr>
              <w:t>5</w:t>
            </w:r>
            <w:r>
              <w:rPr>
                <w:rFonts w:ascii="Calibri"/>
                <w:sz w:val="15"/>
              </w:rPr>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single" w:sz="3" w:space="0" w:color="000000"/>
              <w:left w:val="nil" w:sz="6" w:space="0" w:color="auto"/>
              <w:bottom w:val="nil" w:sz="6" w:space="0" w:color="auto"/>
              <w:right w:val="nil" w:sz="6" w:space="0" w:color="auto"/>
            </w:tcBorders>
          </w:tcPr>
          <w:p>
            <w:pPr>
              <w:pStyle w:val="TableParagraph"/>
              <w:spacing w:line="240" w:lineRule="auto" w:before="6"/>
              <w:ind w:left="8" w:right="0"/>
              <w:jc w:val="center"/>
              <w:rPr>
                <w:rFonts w:ascii="Calibri" w:hAnsi="Calibri" w:cs="Calibri" w:eastAsia="Calibri" w:hint="default"/>
                <w:sz w:val="15"/>
                <w:szCs w:val="15"/>
              </w:rPr>
            </w:pPr>
            <w:r>
              <w:rPr>
                <w:rFonts w:ascii="Calibri"/>
                <w:b/>
                <w:sz w:val="15"/>
              </w:rPr>
              <w:t>N=</w:t>
            </w:r>
            <w:r>
              <w:rPr>
                <w:rFonts w:ascii="Calibri"/>
                <w:sz w:val="15"/>
              </w:rPr>
            </w:r>
          </w:p>
        </w:tc>
        <w:tc>
          <w:tcPr>
            <w:tcW w:w="1180" w:type="dxa"/>
            <w:tcBorders>
              <w:top w:val="single" w:sz="3" w:space="0" w:color="000000"/>
              <w:left w:val="nil" w:sz="6" w:space="0" w:color="auto"/>
              <w:bottom w:val="nil" w:sz="6" w:space="0" w:color="auto"/>
              <w:right w:val="nil" w:sz="6" w:space="0" w:color="auto"/>
            </w:tcBorders>
          </w:tcPr>
          <w:p>
            <w:pPr>
              <w:pStyle w:val="TableParagraph"/>
              <w:spacing w:line="240" w:lineRule="auto" w:before="6"/>
              <w:ind w:right="2"/>
              <w:jc w:val="center"/>
              <w:rPr>
                <w:rFonts w:ascii="Calibri" w:hAnsi="Calibri" w:cs="Calibri" w:eastAsia="Calibri" w:hint="default"/>
                <w:sz w:val="15"/>
                <w:szCs w:val="15"/>
              </w:rPr>
            </w:pPr>
            <w:r>
              <w:rPr>
                <w:rFonts w:ascii="Calibri"/>
                <w:b/>
                <w:sz w:val="15"/>
              </w:rPr>
              <w:t>5</w:t>
            </w:r>
            <w:r>
              <w:rPr>
                <w:rFonts w:ascii="Calibri"/>
                <w:sz w:val="15"/>
              </w:rPr>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single" w:sz="3" w:space="0" w:color="000000"/>
              <w:left w:val="nil" w:sz="6" w:space="0" w:color="auto"/>
              <w:bottom w:val="nil" w:sz="6" w:space="0" w:color="auto"/>
              <w:right w:val="nil" w:sz="6" w:space="0" w:color="auto"/>
            </w:tcBorders>
          </w:tcPr>
          <w:p>
            <w:pPr>
              <w:pStyle w:val="TableParagraph"/>
              <w:spacing w:line="240" w:lineRule="auto" w:before="6"/>
              <w:ind w:right="199"/>
              <w:jc w:val="right"/>
              <w:rPr>
                <w:rFonts w:ascii="Calibri" w:hAnsi="Calibri" w:cs="Calibri" w:eastAsia="Calibri" w:hint="default"/>
                <w:sz w:val="15"/>
                <w:szCs w:val="15"/>
              </w:rPr>
            </w:pPr>
            <w:r>
              <w:rPr>
                <w:rFonts w:ascii="Calibri"/>
                <w:b/>
                <w:spacing w:val="-2"/>
                <w:w w:val="95"/>
                <w:sz w:val="15"/>
              </w:rPr>
              <w:t>N=</w:t>
            </w:r>
            <w:r>
              <w:rPr>
                <w:rFonts w:ascii="Calibri"/>
                <w:sz w:val="15"/>
              </w:rPr>
            </w:r>
          </w:p>
        </w:tc>
        <w:tc>
          <w:tcPr>
            <w:tcW w:w="1180" w:type="dxa"/>
            <w:tcBorders>
              <w:top w:val="single" w:sz="3" w:space="0" w:color="000000"/>
              <w:left w:val="nil" w:sz="6" w:space="0" w:color="auto"/>
              <w:bottom w:val="nil" w:sz="6" w:space="0" w:color="auto"/>
              <w:right w:val="nil" w:sz="6" w:space="0" w:color="auto"/>
            </w:tcBorders>
          </w:tcPr>
          <w:p>
            <w:pPr>
              <w:pStyle w:val="TableParagraph"/>
              <w:spacing w:line="240" w:lineRule="auto" w:before="6"/>
              <w:ind w:right="2"/>
              <w:jc w:val="center"/>
              <w:rPr>
                <w:rFonts w:ascii="Calibri" w:hAnsi="Calibri" w:cs="Calibri" w:eastAsia="Calibri" w:hint="default"/>
                <w:sz w:val="15"/>
                <w:szCs w:val="15"/>
              </w:rPr>
            </w:pPr>
            <w:r>
              <w:rPr>
                <w:rFonts w:ascii="Calibri"/>
                <w:b/>
                <w:sz w:val="15"/>
              </w:rPr>
              <w:t>5</w:t>
            </w:r>
            <w:r>
              <w:rPr>
                <w:rFonts w:ascii="Calibri"/>
                <w:sz w:val="15"/>
              </w:rPr>
            </w:r>
          </w:p>
        </w:tc>
      </w:tr>
      <w:tr>
        <w:trPr>
          <w:trHeight w:val="214" w:hRule="exact"/>
        </w:trPr>
        <w:tc>
          <w:tcPr>
            <w:tcW w:w="571" w:type="dxa"/>
            <w:tcBorders>
              <w:top w:val="nil" w:sz="6" w:space="0" w:color="auto"/>
              <w:left w:val="nil" w:sz="6" w:space="0" w:color="auto"/>
              <w:bottom w:val="nil" w:sz="6" w:space="0" w:color="auto"/>
              <w:right w:val="nil" w:sz="6" w:space="0" w:color="auto"/>
            </w:tcBorders>
          </w:tcPr>
          <w:p>
            <w:pPr>
              <w:pStyle w:val="TableParagraph"/>
              <w:spacing w:line="182" w:lineRule="exact"/>
              <w:ind w:right="162"/>
              <w:jc w:val="right"/>
              <w:rPr>
                <w:rFonts w:ascii="Calibri" w:hAnsi="Calibri" w:cs="Calibri" w:eastAsia="Calibri" w:hint="default"/>
                <w:sz w:val="15"/>
                <w:szCs w:val="15"/>
              </w:rPr>
            </w:pPr>
            <w:r>
              <w:rPr>
                <w:rFonts w:ascii="Calibri"/>
                <w:spacing w:val="-1"/>
                <w:w w:val="95"/>
                <w:sz w:val="15"/>
              </w:rPr>
              <w:t>I/Y=</w:t>
            </w:r>
            <w:r>
              <w:rPr>
                <w:rFonts w:ascii="Calibri"/>
                <w:spacing w:val="-1"/>
                <w:sz w:val="15"/>
              </w:rPr>
            </w:r>
          </w:p>
        </w:tc>
        <w:tc>
          <w:tcPr>
            <w:tcW w:w="1180" w:type="dxa"/>
            <w:tcBorders>
              <w:top w:val="nil" w:sz="6" w:space="0" w:color="auto"/>
              <w:left w:val="nil" w:sz="6" w:space="0" w:color="auto"/>
              <w:bottom w:val="nil" w:sz="6" w:space="0" w:color="auto"/>
              <w:right w:val="nil" w:sz="6" w:space="0" w:color="auto"/>
            </w:tcBorders>
          </w:tcPr>
          <w:p>
            <w:pPr>
              <w:pStyle w:val="TableParagraph"/>
              <w:spacing w:line="182" w:lineRule="exact"/>
              <w:ind w:right="0"/>
              <w:jc w:val="center"/>
              <w:rPr>
                <w:rFonts w:ascii="Calibri" w:hAnsi="Calibri" w:cs="Calibri" w:eastAsia="Calibri" w:hint="default"/>
                <w:sz w:val="15"/>
                <w:szCs w:val="15"/>
              </w:rPr>
            </w:pPr>
            <w:r>
              <w:rPr>
                <w:rFonts w:ascii="Calibri"/>
                <w:sz w:val="15"/>
              </w:rPr>
              <w:t>7.00%</w:t>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nil" w:sz="6" w:space="0" w:color="auto"/>
              <w:left w:val="nil" w:sz="6" w:space="0" w:color="auto"/>
              <w:bottom w:val="nil" w:sz="6" w:space="0" w:color="auto"/>
              <w:right w:val="nil" w:sz="6" w:space="0" w:color="auto"/>
            </w:tcBorders>
          </w:tcPr>
          <w:p>
            <w:pPr>
              <w:pStyle w:val="TableParagraph"/>
              <w:spacing w:line="182" w:lineRule="exact"/>
              <w:ind w:left="10" w:right="0"/>
              <w:jc w:val="center"/>
              <w:rPr>
                <w:rFonts w:ascii="Calibri" w:hAnsi="Calibri" w:cs="Calibri" w:eastAsia="Calibri" w:hint="default"/>
                <w:sz w:val="15"/>
                <w:szCs w:val="15"/>
              </w:rPr>
            </w:pPr>
            <w:r>
              <w:rPr>
                <w:rFonts w:ascii="Calibri"/>
                <w:sz w:val="15"/>
              </w:rPr>
              <w:t>I/Y=</w:t>
            </w:r>
          </w:p>
        </w:tc>
        <w:tc>
          <w:tcPr>
            <w:tcW w:w="1181" w:type="dxa"/>
            <w:tcBorders>
              <w:top w:val="nil" w:sz="6" w:space="0" w:color="auto"/>
              <w:left w:val="nil" w:sz="6" w:space="0" w:color="auto"/>
              <w:bottom w:val="nil" w:sz="6" w:space="0" w:color="auto"/>
              <w:right w:val="nil" w:sz="6" w:space="0" w:color="auto"/>
            </w:tcBorders>
          </w:tcPr>
          <w:p>
            <w:pPr>
              <w:pStyle w:val="TableParagraph"/>
              <w:spacing w:line="182" w:lineRule="exact"/>
              <w:ind w:right="1"/>
              <w:jc w:val="center"/>
              <w:rPr>
                <w:rFonts w:ascii="Calibri" w:hAnsi="Calibri" w:cs="Calibri" w:eastAsia="Calibri" w:hint="default"/>
                <w:sz w:val="15"/>
                <w:szCs w:val="15"/>
              </w:rPr>
            </w:pPr>
            <w:r>
              <w:rPr>
                <w:rFonts w:ascii="Calibri"/>
                <w:sz w:val="15"/>
              </w:rPr>
              <w:t>6.50%</w:t>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nil" w:sz="6" w:space="0" w:color="auto"/>
              <w:left w:val="nil" w:sz="6" w:space="0" w:color="auto"/>
              <w:bottom w:val="nil" w:sz="6" w:space="0" w:color="auto"/>
              <w:right w:val="nil" w:sz="6" w:space="0" w:color="auto"/>
            </w:tcBorders>
          </w:tcPr>
          <w:p>
            <w:pPr>
              <w:pStyle w:val="TableParagraph"/>
              <w:spacing w:line="182" w:lineRule="exact"/>
              <w:ind w:right="162"/>
              <w:jc w:val="right"/>
              <w:rPr>
                <w:rFonts w:ascii="Calibri" w:hAnsi="Calibri" w:cs="Calibri" w:eastAsia="Calibri" w:hint="default"/>
                <w:sz w:val="15"/>
                <w:szCs w:val="15"/>
              </w:rPr>
            </w:pPr>
            <w:r>
              <w:rPr>
                <w:rFonts w:ascii="Calibri"/>
                <w:spacing w:val="-1"/>
                <w:w w:val="95"/>
                <w:sz w:val="15"/>
              </w:rPr>
              <w:t>I/Y=</w:t>
            </w:r>
            <w:r>
              <w:rPr>
                <w:rFonts w:ascii="Calibri"/>
                <w:spacing w:val="-1"/>
                <w:sz w:val="15"/>
              </w:rPr>
            </w:r>
          </w:p>
        </w:tc>
        <w:tc>
          <w:tcPr>
            <w:tcW w:w="1180" w:type="dxa"/>
            <w:tcBorders>
              <w:top w:val="nil" w:sz="6" w:space="0" w:color="auto"/>
              <w:left w:val="nil" w:sz="6" w:space="0" w:color="auto"/>
              <w:bottom w:val="nil" w:sz="6" w:space="0" w:color="auto"/>
              <w:right w:val="nil" w:sz="6" w:space="0" w:color="auto"/>
            </w:tcBorders>
          </w:tcPr>
          <w:p>
            <w:pPr>
              <w:pStyle w:val="TableParagraph"/>
              <w:spacing w:line="182" w:lineRule="exact"/>
              <w:ind w:right="1"/>
              <w:jc w:val="center"/>
              <w:rPr>
                <w:rFonts w:ascii="Calibri" w:hAnsi="Calibri" w:cs="Calibri" w:eastAsia="Calibri" w:hint="default"/>
                <w:sz w:val="15"/>
                <w:szCs w:val="15"/>
              </w:rPr>
            </w:pPr>
            <w:r>
              <w:rPr>
                <w:rFonts w:ascii="Calibri"/>
                <w:sz w:val="15"/>
              </w:rPr>
              <w:t>6.00%</w:t>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nil" w:sz="6" w:space="0" w:color="auto"/>
              <w:left w:val="nil" w:sz="6" w:space="0" w:color="auto"/>
              <w:bottom w:val="nil" w:sz="6" w:space="0" w:color="auto"/>
              <w:right w:val="nil" w:sz="6" w:space="0" w:color="auto"/>
            </w:tcBorders>
          </w:tcPr>
          <w:p>
            <w:pPr>
              <w:pStyle w:val="TableParagraph"/>
              <w:spacing w:line="182" w:lineRule="exact"/>
              <w:ind w:left="10" w:right="0"/>
              <w:jc w:val="center"/>
              <w:rPr>
                <w:rFonts w:ascii="Calibri" w:hAnsi="Calibri" w:cs="Calibri" w:eastAsia="Calibri" w:hint="default"/>
                <w:sz w:val="15"/>
                <w:szCs w:val="15"/>
              </w:rPr>
            </w:pPr>
            <w:r>
              <w:rPr>
                <w:rFonts w:ascii="Calibri"/>
                <w:sz w:val="15"/>
              </w:rPr>
              <w:t>I/Y=</w:t>
            </w:r>
          </w:p>
        </w:tc>
        <w:tc>
          <w:tcPr>
            <w:tcW w:w="1180" w:type="dxa"/>
            <w:tcBorders>
              <w:top w:val="nil" w:sz="6" w:space="0" w:color="auto"/>
              <w:left w:val="nil" w:sz="6" w:space="0" w:color="auto"/>
              <w:bottom w:val="nil" w:sz="6" w:space="0" w:color="auto"/>
              <w:right w:val="nil" w:sz="6" w:space="0" w:color="auto"/>
            </w:tcBorders>
          </w:tcPr>
          <w:p>
            <w:pPr>
              <w:pStyle w:val="TableParagraph"/>
              <w:spacing w:line="182" w:lineRule="exact"/>
              <w:ind w:right="1"/>
              <w:jc w:val="center"/>
              <w:rPr>
                <w:rFonts w:ascii="Calibri" w:hAnsi="Calibri" w:cs="Calibri" w:eastAsia="Calibri" w:hint="default"/>
                <w:sz w:val="15"/>
                <w:szCs w:val="15"/>
              </w:rPr>
            </w:pPr>
            <w:r>
              <w:rPr>
                <w:rFonts w:ascii="Calibri"/>
                <w:sz w:val="15"/>
              </w:rPr>
              <w:t>5.50%</w:t>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nil" w:sz="6" w:space="0" w:color="auto"/>
              <w:left w:val="nil" w:sz="6" w:space="0" w:color="auto"/>
              <w:bottom w:val="nil" w:sz="6" w:space="0" w:color="auto"/>
              <w:right w:val="nil" w:sz="6" w:space="0" w:color="auto"/>
            </w:tcBorders>
          </w:tcPr>
          <w:p>
            <w:pPr>
              <w:pStyle w:val="TableParagraph"/>
              <w:spacing w:line="182" w:lineRule="exact"/>
              <w:ind w:right="162"/>
              <w:jc w:val="right"/>
              <w:rPr>
                <w:rFonts w:ascii="Calibri" w:hAnsi="Calibri" w:cs="Calibri" w:eastAsia="Calibri" w:hint="default"/>
                <w:sz w:val="15"/>
                <w:szCs w:val="15"/>
              </w:rPr>
            </w:pPr>
            <w:r>
              <w:rPr>
                <w:rFonts w:ascii="Calibri"/>
                <w:spacing w:val="-1"/>
                <w:w w:val="95"/>
                <w:sz w:val="15"/>
              </w:rPr>
              <w:t>I/Y=</w:t>
            </w:r>
            <w:r>
              <w:rPr>
                <w:rFonts w:ascii="Calibri"/>
                <w:spacing w:val="-1"/>
                <w:sz w:val="15"/>
              </w:rPr>
            </w:r>
          </w:p>
        </w:tc>
        <w:tc>
          <w:tcPr>
            <w:tcW w:w="1180" w:type="dxa"/>
            <w:tcBorders>
              <w:top w:val="nil" w:sz="6" w:space="0" w:color="auto"/>
              <w:left w:val="nil" w:sz="6" w:space="0" w:color="auto"/>
              <w:bottom w:val="nil" w:sz="6" w:space="0" w:color="auto"/>
              <w:right w:val="nil" w:sz="6" w:space="0" w:color="auto"/>
            </w:tcBorders>
          </w:tcPr>
          <w:p>
            <w:pPr>
              <w:pStyle w:val="TableParagraph"/>
              <w:spacing w:line="182" w:lineRule="exact"/>
              <w:ind w:right="1"/>
              <w:jc w:val="center"/>
              <w:rPr>
                <w:rFonts w:ascii="Calibri" w:hAnsi="Calibri" w:cs="Calibri" w:eastAsia="Calibri" w:hint="default"/>
                <w:sz w:val="15"/>
                <w:szCs w:val="15"/>
              </w:rPr>
            </w:pPr>
            <w:r>
              <w:rPr>
                <w:rFonts w:ascii="Calibri"/>
                <w:sz w:val="15"/>
              </w:rPr>
              <w:t>5.00%</w:t>
            </w:r>
          </w:p>
        </w:tc>
      </w:tr>
      <w:tr>
        <w:trPr>
          <w:trHeight w:val="214" w:hRule="exact"/>
        </w:trPr>
        <w:tc>
          <w:tcPr>
            <w:tcW w:w="571" w:type="dxa"/>
            <w:tcBorders>
              <w:top w:val="nil" w:sz="6" w:space="0" w:color="auto"/>
              <w:left w:val="nil" w:sz="6" w:space="0" w:color="auto"/>
              <w:bottom w:val="nil" w:sz="6" w:space="0" w:color="auto"/>
              <w:right w:val="nil" w:sz="6" w:space="0" w:color="auto"/>
            </w:tcBorders>
          </w:tcPr>
          <w:p>
            <w:pPr>
              <w:pStyle w:val="TableParagraph"/>
              <w:spacing w:line="240" w:lineRule="auto" w:before="4"/>
              <w:ind w:right="162"/>
              <w:jc w:val="right"/>
              <w:rPr>
                <w:rFonts w:ascii="Calibri" w:hAnsi="Calibri" w:cs="Calibri" w:eastAsia="Calibri" w:hint="default"/>
                <w:sz w:val="15"/>
                <w:szCs w:val="15"/>
              </w:rPr>
            </w:pPr>
            <w:r>
              <w:rPr>
                <w:rFonts w:ascii="Calibri"/>
                <w:sz w:val="15"/>
              </w:rPr>
              <w:t>PV=</w:t>
            </w:r>
          </w:p>
        </w:tc>
        <w:tc>
          <w:tcPr>
            <w:tcW w:w="1180" w:type="dxa"/>
            <w:tcBorders>
              <w:top w:val="nil" w:sz="6" w:space="0" w:color="auto"/>
              <w:left w:val="nil" w:sz="6" w:space="0" w:color="auto"/>
              <w:bottom w:val="nil" w:sz="6" w:space="0" w:color="auto"/>
              <w:right w:val="nil" w:sz="6" w:space="0" w:color="auto"/>
            </w:tcBorders>
          </w:tcPr>
          <w:p>
            <w:pPr>
              <w:pStyle w:val="TableParagraph"/>
              <w:spacing w:line="240" w:lineRule="auto" w:before="4"/>
              <w:ind w:right="13"/>
              <w:jc w:val="center"/>
              <w:rPr>
                <w:rFonts w:ascii="Calibri" w:hAnsi="Calibri" w:cs="Calibri" w:eastAsia="Calibri" w:hint="default"/>
                <w:sz w:val="15"/>
                <w:szCs w:val="15"/>
              </w:rPr>
            </w:pPr>
            <w:r>
              <w:rPr>
                <w:rFonts w:ascii="Calibri"/>
                <w:sz w:val="15"/>
              </w:rPr>
              <w:t>-$40,000,000</w:t>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nil" w:sz="6" w:space="0" w:color="auto"/>
              <w:left w:val="nil" w:sz="6" w:space="0" w:color="auto"/>
              <w:bottom w:val="nil" w:sz="6" w:space="0" w:color="auto"/>
              <w:right w:val="nil" w:sz="6" w:space="0" w:color="auto"/>
            </w:tcBorders>
          </w:tcPr>
          <w:p>
            <w:pPr>
              <w:pStyle w:val="TableParagraph"/>
              <w:spacing w:line="240" w:lineRule="auto" w:before="4"/>
              <w:ind w:left="10" w:right="0"/>
              <w:jc w:val="center"/>
              <w:rPr>
                <w:rFonts w:ascii="Calibri" w:hAnsi="Calibri" w:cs="Calibri" w:eastAsia="Calibri" w:hint="default"/>
                <w:sz w:val="15"/>
                <w:szCs w:val="15"/>
              </w:rPr>
            </w:pPr>
            <w:r>
              <w:rPr>
                <w:rFonts w:ascii="Calibri"/>
                <w:sz w:val="15"/>
              </w:rPr>
              <w:t>PV=</w:t>
            </w:r>
          </w:p>
        </w:tc>
        <w:tc>
          <w:tcPr>
            <w:tcW w:w="1181" w:type="dxa"/>
            <w:tcBorders>
              <w:top w:val="nil" w:sz="6" w:space="0" w:color="auto"/>
              <w:left w:val="nil" w:sz="6" w:space="0" w:color="auto"/>
              <w:bottom w:val="nil" w:sz="6" w:space="0" w:color="auto"/>
              <w:right w:val="nil" w:sz="6" w:space="0" w:color="auto"/>
            </w:tcBorders>
          </w:tcPr>
          <w:p>
            <w:pPr>
              <w:pStyle w:val="TableParagraph"/>
              <w:spacing w:line="240" w:lineRule="auto" w:before="4"/>
              <w:ind w:right="187"/>
              <w:jc w:val="right"/>
              <w:rPr>
                <w:rFonts w:ascii="Calibri" w:hAnsi="Calibri" w:cs="Calibri" w:eastAsia="Calibri" w:hint="default"/>
                <w:sz w:val="15"/>
                <w:szCs w:val="15"/>
              </w:rPr>
            </w:pPr>
            <w:r>
              <w:rPr>
                <w:rFonts w:ascii="Calibri"/>
                <w:sz w:val="15"/>
              </w:rPr>
              <w:t>-$40,000,000</w:t>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nil" w:sz="6" w:space="0" w:color="auto"/>
              <w:left w:val="nil" w:sz="6" w:space="0" w:color="auto"/>
              <w:bottom w:val="nil" w:sz="6" w:space="0" w:color="auto"/>
              <w:right w:val="nil" w:sz="6" w:space="0" w:color="auto"/>
            </w:tcBorders>
          </w:tcPr>
          <w:p>
            <w:pPr>
              <w:pStyle w:val="TableParagraph"/>
              <w:spacing w:line="240" w:lineRule="auto" w:before="4"/>
              <w:ind w:right="162"/>
              <w:jc w:val="right"/>
              <w:rPr>
                <w:rFonts w:ascii="Calibri" w:hAnsi="Calibri" w:cs="Calibri" w:eastAsia="Calibri" w:hint="default"/>
                <w:sz w:val="15"/>
                <w:szCs w:val="15"/>
              </w:rPr>
            </w:pPr>
            <w:r>
              <w:rPr>
                <w:rFonts w:ascii="Calibri"/>
                <w:sz w:val="15"/>
              </w:rPr>
              <w:t>PV=</w:t>
            </w:r>
          </w:p>
        </w:tc>
        <w:tc>
          <w:tcPr>
            <w:tcW w:w="1180" w:type="dxa"/>
            <w:tcBorders>
              <w:top w:val="nil" w:sz="6" w:space="0" w:color="auto"/>
              <w:left w:val="nil" w:sz="6" w:space="0" w:color="auto"/>
              <w:bottom w:val="nil" w:sz="6" w:space="0" w:color="auto"/>
              <w:right w:val="nil" w:sz="6" w:space="0" w:color="auto"/>
            </w:tcBorders>
          </w:tcPr>
          <w:p>
            <w:pPr>
              <w:pStyle w:val="TableParagraph"/>
              <w:spacing w:line="240" w:lineRule="auto" w:before="4"/>
              <w:ind w:right="13"/>
              <w:jc w:val="center"/>
              <w:rPr>
                <w:rFonts w:ascii="Calibri" w:hAnsi="Calibri" w:cs="Calibri" w:eastAsia="Calibri" w:hint="default"/>
                <w:sz w:val="15"/>
                <w:szCs w:val="15"/>
              </w:rPr>
            </w:pPr>
            <w:r>
              <w:rPr>
                <w:rFonts w:ascii="Calibri"/>
                <w:sz w:val="15"/>
              </w:rPr>
              <w:t>-$40,000,000</w:t>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nil" w:sz="6" w:space="0" w:color="auto"/>
              <w:left w:val="nil" w:sz="6" w:space="0" w:color="auto"/>
              <w:bottom w:val="nil" w:sz="6" w:space="0" w:color="auto"/>
              <w:right w:val="nil" w:sz="6" w:space="0" w:color="auto"/>
            </w:tcBorders>
          </w:tcPr>
          <w:p>
            <w:pPr>
              <w:pStyle w:val="TableParagraph"/>
              <w:spacing w:line="240" w:lineRule="auto" w:before="4"/>
              <w:ind w:left="10" w:right="0"/>
              <w:jc w:val="center"/>
              <w:rPr>
                <w:rFonts w:ascii="Calibri" w:hAnsi="Calibri" w:cs="Calibri" w:eastAsia="Calibri" w:hint="default"/>
                <w:sz w:val="15"/>
                <w:szCs w:val="15"/>
              </w:rPr>
            </w:pPr>
            <w:r>
              <w:rPr>
                <w:rFonts w:ascii="Calibri"/>
                <w:sz w:val="15"/>
              </w:rPr>
              <w:t>PV=</w:t>
            </w:r>
          </w:p>
        </w:tc>
        <w:tc>
          <w:tcPr>
            <w:tcW w:w="1180" w:type="dxa"/>
            <w:tcBorders>
              <w:top w:val="nil" w:sz="6" w:space="0" w:color="auto"/>
              <w:left w:val="nil" w:sz="6" w:space="0" w:color="auto"/>
              <w:bottom w:val="nil" w:sz="6" w:space="0" w:color="auto"/>
              <w:right w:val="nil" w:sz="6" w:space="0" w:color="auto"/>
            </w:tcBorders>
          </w:tcPr>
          <w:p>
            <w:pPr>
              <w:pStyle w:val="TableParagraph"/>
              <w:spacing w:line="240" w:lineRule="auto" w:before="4"/>
              <w:ind w:right="186"/>
              <w:jc w:val="right"/>
              <w:rPr>
                <w:rFonts w:ascii="Calibri" w:hAnsi="Calibri" w:cs="Calibri" w:eastAsia="Calibri" w:hint="default"/>
                <w:sz w:val="15"/>
                <w:szCs w:val="15"/>
              </w:rPr>
            </w:pPr>
            <w:r>
              <w:rPr>
                <w:rFonts w:ascii="Calibri"/>
                <w:sz w:val="15"/>
              </w:rPr>
              <w:t>-$40,000,000</w:t>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nil" w:sz="6" w:space="0" w:color="auto"/>
              <w:left w:val="nil" w:sz="6" w:space="0" w:color="auto"/>
              <w:bottom w:val="nil" w:sz="6" w:space="0" w:color="auto"/>
              <w:right w:val="nil" w:sz="6" w:space="0" w:color="auto"/>
            </w:tcBorders>
          </w:tcPr>
          <w:p>
            <w:pPr>
              <w:pStyle w:val="TableParagraph"/>
              <w:spacing w:line="240" w:lineRule="auto" w:before="4"/>
              <w:ind w:right="162"/>
              <w:jc w:val="right"/>
              <w:rPr>
                <w:rFonts w:ascii="Calibri" w:hAnsi="Calibri" w:cs="Calibri" w:eastAsia="Calibri" w:hint="default"/>
                <w:sz w:val="15"/>
                <w:szCs w:val="15"/>
              </w:rPr>
            </w:pPr>
            <w:r>
              <w:rPr>
                <w:rFonts w:ascii="Calibri"/>
                <w:sz w:val="15"/>
              </w:rPr>
              <w:t>PV=</w:t>
            </w:r>
          </w:p>
        </w:tc>
        <w:tc>
          <w:tcPr>
            <w:tcW w:w="1180" w:type="dxa"/>
            <w:tcBorders>
              <w:top w:val="nil" w:sz="6" w:space="0" w:color="auto"/>
              <w:left w:val="nil" w:sz="6" w:space="0" w:color="auto"/>
              <w:bottom w:val="nil" w:sz="6" w:space="0" w:color="auto"/>
              <w:right w:val="nil" w:sz="6" w:space="0" w:color="auto"/>
            </w:tcBorders>
          </w:tcPr>
          <w:p>
            <w:pPr>
              <w:pStyle w:val="TableParagraph"/>
              <w:spacing w:line="240" w:lineRule="auto" w:before="4"/>
              <w:ind w:right="13"/>
              <w:jc w:val="center"/>
              <w:rPr>
                <w:rFonts w:ascii="Calibri" w:hAnsi="Calibri" w:cs="Calibri" w:eastAsia="Calibri" w:hint="default"/>
                <w:sz w:val="15"/>
                <w:szCs w:val="15"/>
              </w:rPr>
            </w:pPr>
            <w:r>
              <w:rPr>
                <w:rFonts w:ascii="Calibri"/>
                <w:sz w:val="15"/>
              </w:rPr>
              <w:t>-$40,000,000</w:t>
            </w:r>
          </w:p>
        </w:tc>
      </w:tr>
      <w:tr>
        <w:trPr>
          <w:trHeight w:val="208" w:hRule="exact"/>
        </w:trPr>
        <w:tc>
          <w:tcPr>
            <w:tcW w:w="571" w:type="dxa"/>
            <w:tcBorders>
              <w:top w:val="nil" w:sz="6" w:space="0" w:color="auto"/>
              <w:left w:val="nil" w:sz="6" w:space="0" w:color="auto"/>
              <w:bottom w:val="single" w:sz="3" w:space="0" w:color="000000"/>
              <w:right w:val="nil" w:sz="6" w:space="0" w:color="auto"/>
            </w:tcBorders>
          </w:tcPr>
          <w:p>
            <w:pPr>
              <w:pStyle w:val="TableParagraph"/>
              <w:spacing w:line="182" w:lineRule="exact"/>
              <w:ind w:right="171"/>
              <w:jc w:val="right"/>
              <w:rPr>
                <w:rFonts w:ascii="Calibri" w:hAnsi="Calibri" w:cs="Calibri" w:eastAsia="Calibri" w:hint="default"/>
                <w:sz w:val="15"/>
                <w:szCs w:val="15"/>
              </w:rPr>
            </w:pPr>
            <w:r>
              <w:rPr>
                <w:rFonts w:ascii="Calibri"/>
                <w:sz w:val="15"/>
              </w:rPr>
              <w:t>FV=</w:t>
            </w:r>
          </w:p>
        </w:tc>
        <w:tc>
          <w:tcPr>
            <w:tcW w:w="1180" w:type="dxa"/>
            <w:tcBorders>
              <w:top w:val="nil" w:sz="6" w:space="0" w:color="auto"/>
              <w:left w:val="nil" w:sz="6" w:space="0" w:color="auto"/>
              <w:bottom w:val="single" w:sz="3" w:space="0" w:color="000000"/>
              <w:right w:val="nil" w:sz="6" w:space="0" w:color="auto"/>
            </w:tcBorders>
          </w:tcPr>
          <w:p>
            <w:pPr>
              <w:pStyle w:val="TableParagraph"/>
              <w:spacing w:line="182" w:lineRule="exact"/>
              <w:ind w:right="47"/>
              <w:jc w:val="center"/>
              <w:rPr>
                <w:rFonts w:ascii="Calibri" w:hAnsi="Calibri" w:cs="Calibri" w:eastAsia="Calibri" w:hint="default"/>
                <w:sz w:val="15"/>
                <w:szCs w:val="15"/>
              </w:rPr>
            </w:pPr>
            <w:r>
              <w:rPr>
                <w:rFonts w:ascii="Calibri"/>
                <w:sz w:val="15"/>
              </w:rPr>
              <w:t>$0.00</w:t>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nil" w:sz="6" w:space="0" w:color="auto"/>
              <w:left w:val="nil" w:sz="6" w:space="0" w:color="auto"/>
              <w:bottom w:val="single" w:sz="3" w:space="0" w:color="000000"/>
              <w:right w:val="nil" w:sz="6" w:space="0" w:color="auto"/>
            </w:tcBorders>
          </w:tcPr>
          <w:p>
            <w:pPr>
              <w:pStyle w:val="TableParagraph"/>
              <w:spacing w:line="182" w:lineRule="exact"/>
              <w:ind w:left="1" w:right="0"/>
              <w:jc w:val="center"/>
              <w:rPr>
                <w:rFonts w:ascii="Calibri" w:hAnsi="Calibri" w:cs="Calibri" w:eastAsia="Calibri" w:hint="default"/>
                <w:sz w:val="15"/>
                <w:szCs w:val="15"/>
              </w:rPr>
            </w:pPr>
            <w:r>
              <w:rPr>
                <w:rFonts w:ascii="Calibri"/>
                <w:sz w:val="15"/>
              </w:rPr>
              <w:t>FV=</w:t>
            </w:r>
          </w:p>
        </w:tc>
        <w:tc>
          <w:tcPr>
            <w:tcW w:w="1181" w:type="dxa"/>
            <w:tcBorders>
              <w:top w:val="nil" w:sz="6" w:space="0" w:color="auto"/>
              <w:left w:val="nil" w:sz="6" w:space="0" w:color="auto"/>
              <w:bottom w:val="single" w:sz="3" w:space="0" w:color="000000"/>
              <w:right w:val="nil" w:sz="6" w:space="0" w:color="auto"/>
            </w:tcBorders>
          </w:tcPr>
          <w:p>
            <w:pPr>
              <w:pStyle w:val="TableParagraph"/>
              <w:spacing w:line="182" w:lineRule="exact"/>
              <w:ind w:left="391" w:right="0"/>
              <w:jc w:val="left"/>
              <w:rPr>
                <w:rFonts w:ascii="Calibri" w:hAnsi="Calibri" w:cs="Calibri" w:eastAsia="Calibri" w:hint="default"/>
                <w:sz w:val="15"/>
                <w:szCs w:val="15"/>
              </w:rPr>
            </w:pPr>
            <w:r>
              <w:rPr>
                <w:rFonts w:ascii="Calibri"/>
                <w:sz w:val="15"/>
              </w:rPr>
              <w:t>$0.00</w:t>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nil" w:sz="6" w:space="0" w:color="auto"/>
              <w:left w:val="nil" w:sz="6" w:space="0" w:color="auto"/>
              <w:bottom w:val="single" w:sz="3" w:space="0" w:color="000000"/>
              <w:right w:val="nil" w:sz="6" w:space="0" w:color="auto"/>
            </w:tcBorders>
          </w:tcPr>
          <w:p>
            <w:pPr>
              <w:pStyle w:val="TableParagraph"/>
              <w:spacing w:line="182" w:lineRule="exact"/>
              <w:ind w:right="171"/>
              <w:jc w:val="right"/>
              <w:rPr>
                <w:rFonts w:ascii="Calibri" w:hAnsi="Calibri" w:cs="Calibri" w:eastAsia="Calibri" w:hint="default"/>
                <w:sz w:val="15"/>
                <w:szCs w:val="15"/>
              </w:rPr>
            </w:pPr>
            <w:r>
              <w:rPr>
                <w:rFonts w:ascii="Calibri"/>
                <w:sz w:val="15"/>
              </w:rPr>
              <w:t>FV=</w:t>
            </w:r>
          </w:p>
        </w:tc>
        <w:tc>
          <w:tcPr>
            <w:tcW w:w="1180" w:type="dxa"/>
            <w:tcBorders>
              <w:top w:val="nil" w:sz="6" w:space="0" w:color="auto"/>
              <w:left w:val="nil" w:sz="6" w:space="0" w:color="auto"/>
              <w:bottom w:val="single" w:sz="3" w:space="0" w:color="000000"/>
              <w:right w:val="nil" w:sz="6" w:space="0" w:color="auto"/>
            </w:tcBorders>
          </w:tcPr>
          <w:p>
            <w:pPr>
              <w:pStyle w:val="TableParagraph"/>
              <w:spacing w:line="182" w:lineRule="exact"/>
              <w:ind w:right="47"/>
              <w:jc w:val="center"/>
              <w:rPr>
                <w:rFonts w:ascii="Calibri" w:hAnsi="Calibri" w:cs="Calibri" w:eastAsia="Calibri" w:hint="default"/>
                <w:sz w:val="15"/>
                <w:szCs w:val="15"/>
              </w:rPr>
            </w:pPr>
            <w:r>
              <w:rPr>
                <w:rFonts w:ascii="Calibri"/>
                <w:sz w:val="15"/>
              </w:rPr>
              <w:t>$0.00</w:t>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nil" w:sz="6" w:space="0" w:color="auto"/>
              <w:left w:val="nil" w:sz="6" w:space="0" w:color="auto"/>
              <w:bottom w:val="single" w:sz="3" w:space="0" w:color="000000"/>
              <w:right w:val="nil" w:sz="6" w:space="0" w:color="auto"/>
            </w:tcBorders>
          </w:tcPr>
          <w:p>
            <w:pPr>
              <w:pStyle w:val="TableParagraph"/>
              <w:spacing w:line="182" w:lineRule="exact"/>
              <w:ind w:left="1" w:right="0"/>
              <w:jc w:val="center"/>
              <w:rPr>
                <w:rFonts w:ascii="Calibri" w:hAnsi="Calibri" w:cs="Calibri" w:eastAsia="Calibri" w:hint="default"/>
                <w:sz w:val="15"/>
                <w:szCs w:val="15"/>
              </w:rPr>
            </w:pPr>
            <w:r>
              <w:rPr>
                <w:rFonts w:ascii="Calibri"/>
                <w:sz w:val="15"/>
              </w:rPr>
              <w:t>FV=</w:t>
            </w:r>
          </w:p>
        </w:tc>
        <w:tc>
          <w:tcPr>
            <w:tcW w:w="1180" w:type="dxa"/>
            <w:tcBorders>
              <w:top w:val="nil" w:sz="6" w:space="0" w:color="auto"/>
              <w:left w:val="nil" w:sz="6" w:space="0" w:color="auto"/>
              <w:bottom w:val="single" w:sz="3" w:space="0" w:color="000000"/>
              <w:right w:val="nil" w:sz="6" w:space="0" w:color="auto"/>
            </w:tcBorders>
          </w:tcPr>
          <w:p>
            <w:pPr>
              <w:pStyle w:val="TableParagraph"/>
              <w:spacing w:line="182" w:lineRule="exact"/>
              <w:ind w:left="392" w:right="0"/>
              <w:jc w:val="left"/>
              <w:rPr>
                <w:rFonts w:ascii="Calibri" w:hAnsi="Calibri" w:cs="Calibri" w:eastAsia="Calibri" w:hint="default"/>
                <w:sz w:val="15"/>
                <w:szCs w:val="15"/>
              </w:rPr>
            </w:pPr>
            <w:r>
              <w:rPr>
                <w:rFonts w:ascii="Calibri"/>
                <w:sz w:val="15"/>
              </w:rPr>
              <w:t>$0.00</w:t>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nil" w:sz="6" w:space="0" w:color="auto"/>
              <w:left w:val="nil" w:sz="6" w:space="0" w:color="auto"/>
              <w:bottom w:val="single" w:sz="3" w:space="0" w:color="000000"/>
              <w:right w:val="nil" w:sz="6" w:space="0" w:color="auto"/>
            </w:tcBorders>
          </w:tcPr>
          <w:p>
            <w:pPr>
              <w:pStyle w:val="TableParagraph"/>
              <w:spacing w:line="182" w:lineRule="exact"/>
              <w:ind w:right="171"/>
              <w:jc w:val="right"/>
              <w:rPr>
                <w:rFonts w:ascii="Calibri" w:hAnsi="Calibri" w:cs="Calibri" w:eastAsia="Calibri" w:hint="default"/>
                <w:sz w:val="15"/>
                <w:szCs w:val="15"/>
              </w:rPr>
            </w:pPr>
            <w:r>
              <w:rPr>
                <w:rFonts w:ascii="Calibri"/>
                <w:sz w:val="15"/>
              </w:rPr>
              <w:t>FV=</w:t>
            </w:r>
          </w:p>
        </w:tc>
        <w:tc>
          <w:tcPr>
            <w:tcW w:w="1180" w:type="dxa"/>
            <w:tcBorders>
              <w:top w:val="nil" w:sz="6" w:space="0" w:color="auto"/>
              <w:left w:val="nil" w:sz="6" w:space="0" w:color="auto"/>
              <w:bottom w:val="single" w:sz="3" w:space="0" w:color="000000"/>
              <w:right w:val="nil" w:sz="6" w:space="0" w:color="auto"/>
            </w:tcBorders>
          </w:tcPr>
          <w:p>
            <w:pPr>
              <w:pStyle w:val="TableParagraph"/>
              <w:spacing w:line="182" w:lineRule="exact"/>
              <w:ind w:right="47"/>
              <w:jc w:val="center"/>
              <w:rPr>
                <w:rFonts w:ascii="Calibri" w:hAnsi="Calibri" w:cs="Calibri" w:eastAsia="Calibri" w:hint="default"/>
                <w:sz w:val="15"/>
                <w:szCs w:val="15"/>
              </w:rPr>
            </w:pPr>
            <w:r>
              <w:rPr>
                <w:rFonts w:ascii="Calibri"/>
                <w:sz w:val="15"/>
              </w:rPr>
              <w:t>$0.00</w:t>
            </w:r>
          </w:p>
        </w:tc>
      </w:tr>
      <w:tr>
        <w:trPr>
          <w:trHeight w:val="232" w:hRule="exact"/>
        </w:trPr>
        <w:tc>
          <w:tcPr>
            <w:tcW w:w="571" w:type="dxa"/>
            <w:tcBorders>
              <w:top w:val="single" w:sz="3" w:space="0" w:color="000000"/>
              <w:left w:val="nil" w:sz="6" w:space="0" w:color="auto"/>
              <w:bottom w:val="nil" w:sz="6" w:space="0" w:color="auto"/>
              <w:right w:val="nil" w:sz="6" w:space="0" w:color="auto"/>
            </w:tcBorders>
            <w:shd w:val="clear" w:color="auto" w:fill="FCE9D9"/>
          </w:tcPr>
          <w:p>
            <w:pPr>
              <w:pStyle w:val="TableParagraph"/>
              <w:spacing w:line="240" w:lineRule="auto" w:before="14"/>
              <w:ind w:right="110"/>
              <w:jc w:val="right"/>
              <w:rPr>
                <w:rFonts w:ascii="Calibri" w:hAnsi="Calibri" w:cs="Calibri" w:eastAsia="Calibri" w:hint="default"/>
                <w:sz w:val="15"/>
                <w:szCs w:val="15"/>
              </w:rPr>
            </w:pPr>
            <w:r>
              <w:rPr>
                <w:rFonts w:ascii="Calibri"/>
                <w:b/>
                <w:spacing w:val="-2"/>
                <w:sz w:val="15"/>
              </w:rPr>
              <w:t>PMT=</w:t>
            </w:r>
            <w:r>
              <w:rPr>
                <w:rFonts w:ascii="Calibri"/>
                <w:spacing w:val="-2"/>
                <w:sz w:val="15"/>
              </w:rPr>
            </w:r>
          </w:p>
        </w:tc>
        <w:tc>
          <w:tcPr>
            <w:tcW w:w="1180" w:type="dxa"/>
            <w:tcBorders>
              <w:top w:val="single" w:sz="3" w:space="0" w:color="000000"/>
              <w:left w:val="nil" w:sz="6" w:space="0" w:color="auto"/>
              <w:bottom w:val="nil" w:sz="6" w:space="0" w:color="auto"/>
              <w:right w:val="nil" w:sz="6" w:space="0" w:color="auto"/>
            </w:tcBorders>
            <w:shd w:val="clear" w:color="auto" w:fill="FCE9D9"/>
          </w:tcPr>
          <w:p>
            <w:pPr>
              <w:pStyle w:val="TableParagraph"/>
              <w:spacing w:line="240" w:lineRule="auto" w:before="14"/>
              <w:ind w:right="57"/>
              <w:jc w:val="center"/>
              <w:rPr>
                <w:rFonts w:ascii="Calibri" w:hAnsi="Calibri" w:cs="Calibri" w:eastAsia="Calibri" w:hint="default"/>
                <w:sz w:val="15"/>
                <w:szCs w:val="15"/>
              </w:rPr>
            </w:pPr>
            <w:r>
              <w:rPr>
                <w:rFonts w:ascii="Calibri"/>
                <w:b/>
                <w:sz w:val="15"/>
              </w:rPr>
              <w:t>$9,755,627.78</w:t>
            </w:r>
            <w:r>
              <w:rPr>
                <w:rFonts w:ascii="Calibri"/>
                <w:sz w:val="15"/>
              </w:rPr>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single" w:sz="3" w:space="0" w:color="000000"/>
              <w:left w:val="nil" w:sz="6" w:space="0" w:color="auto"/>
              <w:bottom w:val="nil" w:sz="6" w:space="0" w:color="auto"/>
              <w:right w:val="nil" w:sz="6" w:space="0" w:color="auto"/>
            </w:tcBorders>
            <w:shd w:val="clear" w:color="auto" w:fill="FCE9D9"/>
          </w:tcPr>
          <w:p>
            <w:pPr>
              <w:pStyle w:val="TableParagraph"/>
              <w:spacing w:line="240" w:lineRule="auto" w:before="14"/>
              <w:ind w:left="1" w:right="0"/>
              <w:jc w:val="center"/>
              <w:rPr>
                <w:rFonts w:ascii="Calibri" w:hAnsi="Calibri" w:cs="Calibri" w:eastAsia="Calibri" w:hint="default"/>
                <w:sz w:val="15"/>
                <w:szCs w:val="15"/>
              </w:rPr>
            </w:pPr>
            <w:r>
              <w:rPr>
                <w:rFonts w:ascii="Calibri"/>
                <w:b/>
                <w:sz w:val="15"/>
              </w:rPr>
              <w:t>PMT=</w:t>
            </w:r>
            <w:r>
              <w:rPr>
                <w:rFonts w:ascii="Calibri"/>
                <w:sz w:val="15"/>
              </w:rPr>
            </w:r>
          </w:p>
        </w:tc>
        <w:tc>
          <w:tcPr>
            <w:tcW w:w="1181" w:type="dxa"/>
            <w:tcBorders>
              <w:top w:val="single" w:sz="3" w:space="0" w:color="000000"/>
              <w:left w:val="nil" w:sz="6" w:space="0" w:color="auto"/>
              <w:bottom w:val="nil" w:sz="6" w:space="0" w:color="auto"/>
              <w:right w:val="nil" w:sz="6" w:space="0" w:color="auto"/>
            </w:tcBorders>
            <w:shd w:val="clear" w:color="auto" w:fill="FCE9D9"/>
          </w:tcPr>
          <w:p>
            <w:pPr>
              <w:pStyle w:val="TableParagraph"/>
              <w:spacing w:line="240" w:lineRule="auto" w:before="14"/>
              <w:ind w:right="170"/>
              <w:jc w:val="right"/>
              <w:rPr>
                <w:rFonts w:ascii="Calibri" w:hAnsi="Calibri" w:cs="Calibri" w:eastAsia="Calibri" w:hint="default"/>
                <w:sz w:val="15"/>
                <w:szCs w:val="15"/>
              </w:rPr>
            </w:pPr>
            <w:r>
              <w:rPr>
                <w:rFonts w:ascii="Calibri"/>
                <w:b/>
                <w:sz w:val="15"/>
              </w:rPr>
              <w:t>$9,625,381.50</w:t>
            </w:r>
            <w:r>
              <w:rPr>
                <w:rFonts w:ascii="Calibri"/>
                <w:sz w:val="15"/>
              </w:rPr>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single" w:sz="3" w:space="0" w:color="000000"/>
              <w:left w:val="nil" w:sz="6" w:space="0" w:color="auto"/>
              <w:bottom w:val="nil" w:sz="6" w:space="0" w:color="auto"/>
              <w:right w:val="nil" w:sz="6" w:space="0" w:color="auto"/>
            </w:tcBorders>
            <w:shd w:val="clear" w:color="auto" w:fill="FCE9D9"/>
          </w:tcPr>
          <w:p>
            <w:pPr>
              <w:pStyle w:val="TableParagraph"/>
              <w:spacing w:line="240" w:lineRule="auto" w:before="14"/>
              <w:ind w:right="110"/>
              <w:jc w:val="right"/>
              <w:rPr>
                <w:rFonts w:ascii="Calibri" w:hAnsi="Calibri" w:cs="Calibri" w:eastAsia="Calibri" w:hint="default"/>
                <w:sz w:val="15"/>
                <w:szCs w:val="15"/>
              </w:rPr>
            </w:pPr>
            <w:r>
              <w:rPr>
                <w:rFonts w:ascii="Calibri"/>
                <w:b/>
                <w:spacing w:val="-2"/>
                <w:sz w:val="15"/>
              </w:rPr>
              <w:t>PMT=</w:t>
            </w:r>
            <w:r>
              <w:rPr>
                <w:rFonts w:ascii="Calibri"/>
                <w:spacing w:val="-2"/>
                <w:sz w:val="15"/>
              </w:rPr>
            </w:r>
          </w:p>
        </w:tc>
        <w:tc>
          <w:tcPr>
            <w:tcW w:w="1180" w:type="dxa"/>
            <w:tcBorders>
              <w:top w:val="single" w:sz="3" w:space="0" w:color="000000"/>
              <w:left w:val="nil" w:sz="6" w:space="0" w:color="auto"/>
              <w:bottom w:val="nil" w:sz="6" w:space="0" w:color="auto"/>
              <w:right w:val="nil" w:sz="6" w:space="0" w:color="auto"/>
            </w:tcBorders>
            <w:shd w:val="clear" w:color="auto" w:fill="FCE9D9"/>
          </w:tcPr>
          <w:p>
            <w:pPr>
              <w:pStyle w:val="TableParagraph"/>
              <w:spacing w:line="240" w:lineRule="auto" w:before="14"/>
              <w:ind w:right="57"/>
              <w:jc w:val="center"/>
              <w:rPr>
                <w:rFonts w:ascii="Calibri" w:hAnsi="Calibri" w:cs="Calibri" w:eastAsia="Calibri" w:hint="default"/>
                <w:sz w:val="15"/>
                <w:szCs w:val="15"/>
              </w:rPr>
            </w:pPr>
            <w:r>
              <w:rPr>
                <w:rFonts w:ascii="Calibri"/>
                <w:b/>
                <w:sz w:val="15"/>
              </w:rPr>
              <w:t>$9,495,856.02</w:t>
            </w:r>
            <w:r>
              <w:rPr>
                <w:rFonts w:ascii="Calibri"/>
                <w:sz w:val="15"/>
              </w:rPr>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single" w:sz="3" w:space="0" w:color="000000"/>
              <w:left w:val="nil" w:sz="6" w:space="0" w:color="auto"/>
              <w:bottom w:val="nil" w:sz="6" w:space="0" w:color="auto"/>
              <w:right w:val="nil" w:sz="6" w:space="0" w:color="auto"/>
            </w:tcBorders>
            <w:shd w:val="clear" w:color="auto" w:fill="FCE9D9"/>
          </w:tcPr>
          <w:p>
            <w:pPr>
              <w:pStyle w:val="TableParagraph"/>
              <w:spacing w:line="240" w:lineRule="auto" w:before="14"/>
              <w:ind w:left="1" w:right="0"/>
              <w:jc w:val="center"/>
              <w:rPr>
                <w:rFonts w:ascii="Calibri" w:hAnsi="Calibri" w:cs="Calibri" w:eastAsia="Calibri" w:hint="default"/>
                <w:sz w:val="15"/>
                <w:szCs w:val="15"/>
              </w:rPr>
            </w:pPr>
            <w:r>
              <w:rPr>
                <w:rFonts w:ascii="Calibri"/>
                <w:b/>
                <w:sz w:val="15"/>
              </w:rPr>
              <w:t>PMT=</w:t>
            </w:r>
            <w:r>
              <w:rPr>
                <w:rFonts w:ascii="Calibri"/>
                <w:sz w:val="15"/>
              </w:rPr>
            </w:r>
          </w:p>
        </w:tc>
        <w:tc>
          <w:tcPr>
            <w:tcW w:w="1180" w:type="dxa"/>
            <w:tcBorders>
              <w:top w:val="single" w:sz="3" w:space="0" w:color="000000"/>
              <w:left w:val="nil" w:sz="6" w:space="0" w:color="auto"/>
              <w:bottom w:val="nil" w:sz="6" w:space="0" w:color="auto"/>
              <w:right w:val="nil" w:sz="6" w:space="0" w:color="auto"/>
            </w:tcBorders>
            <w:shd w:val="clear" w:color="auto" w:fill="FCE9D9"/>
          </w:tcPr>
          <w:p>
            <w:pPr>
              <w:pStyle w:val="TableParagraph"/>
              <w:spacing w:line="240" w:lineRule="auto" w:before="14"/>
              <w:ind w:right="169"/>
              <w:jc w:val="right"/>
              <w:rPr>
                <w:rFonts w:ascii="Calibri" w:hAnsi="Calibri" w:cs="Calibri" w:eastAsia="Calibri" w:hint="default"/>
                <w:sz w:val="15"/>
                <w:szCs w:val="15"/>
              </w:rPr>
            </w:pPr>
            <w:r>
              <w:rPr>
                <w:rFonts w:ascii="Calibri"/>
                <w:b/>
                <w:sz w:val="15"/>
              </w:rPr>
              <w:t>$9,367,057.45</w:t>
            </w:r>
            <w:r>
              <w:rPr>
                <w:rFonts w:ascii="Calibri"/>
                <w:sz w:val="15"/>
              </w:rPr>
            </w:r>
          </w:p>
        </w:tc>
        <w:tc>
          <w:tcPr>
            <w:tcW w:w="140" w:type="dxa"/>
            <w:tcBorders>
              <w:top w:val="nil" w:sz="6" w:space="0" w:color="auto"/>
              <w:left w:val="nil" w:sz="6" w:space="0" w:color="auto"/>
              <w:bottom w:val="nil" w:sz="6" w:space="0" w:color="auto"/>
              <w:right w:val="nil" w:sz="6" w:space="0" w:color="auto"/>
            </w:tcBorders>
          </w:tcPr>
          <w:p>
            <w:pPr/>
          </w:p>
        </w:tc>
        <w:tc>
          <w:tcPr>
            <w:tcW w:w="580" w:type="dxa"/>
            <w:tcBorders>
              <w:top w:val="single" w:sz="3" w:space="0" w:color="000000"/>
              <w:left w:val="nil" w:sz="6" w:space="0" w:color="auto"/>
              <w:bottom w:val="nil" w:sz="6" w:space="0" w:color="auto"/>
              <w:right w:val="nil" w:sz="6" w:space="0" w:color="auto"/>
            </w:tcBorders>
            <w:shd w:val="clear" w:color="auto" w:fill="FCE9D9"/>
          </w:tcPr>
          <w:p>
            <w:pPr>
              <w:pStyle w:val="TableParagraph"/>
              <w:spacing w:line="240" w:lineRule="auto" w:before="14"/>
              <w:ind w:right="110"/>
              <w:jc w:val="right"/>
              <w:rPr>
                <w:rFonts w:ascii="Calibri" w:hAnsi="Calibri" w:cs="Calibri" w:eastAsia="Calibri" w:hint="default"/>
                <w:sz w:val="15"/>
                <w:szCs w:val="15"/>
              </w:rPr>
            </w:pPr>
            <w:r>
              <w:rPr>
                <w:rFonts w:ascii="Calibri"/>
                <w:b/>
                <w:spacing w:val="-2"/>
                <w:sz w:val="15"/>
              </w:rPr>
              <w:t>PMT=</w:t>
            </w:r>
            <w:r>
              <w:rPr>
                <w:rFonts w:ascii="Calibri"/>
                <w:spacing w:val="-2"/>
                <w:sz w:val="15"/>
              </w:rPr>
            </w:r>
          </w:p>
        </w:tc>
        <w:tc>
          <w:tcPr>
            <w:tcW w:w="1180" w:type="dxa"/>
            <w:tcBorders>
              <w:top w:val="single" w:sz="3" w:space="0" w:color="000000"/>
              <w:left w:val="nil" w:sz="6" w:space="0" w:color="auto"/>
              <w:bottom w:val="nil" w:sz="6" w:space="0" w:color="auto"/>
              <w:right w:val="nil" w:sz="6" w:space="0" w:color="auto"/>
            </w:tcBorders>
            <w:shd w:val="clear" w:color="auto" w:fill="FCE9D9"/>
          </w:tcPr>
          <w:p>
            <w:pPr>
              <w:pStyle w:val="TableParagraph"/>
              <w:spacing w:line="240" w:lineRule="auto" w:before="14"/>
              <w:ind w:right="57"/>
              <w:jc w:val="center"/>
              <w:rPr>
                <w:rFonts w:ascii="Calibri" w:hAnsi="Calibri" w:cs="Calibri" w:eastAsia="Calibri" w:hint="default"/>
                <w:sz w:val="15"/>
                <w:szCs w:val="15"/>
              </w:rPr>
            </w:pPr>
            <w:r>
              <w:rPr>
                <w:rFonts w:ascii="Calibri"/>
                <w:b/>
                <w:sz w:val="15"/>
              </w:rPr>
              <w:t>$9,238,991.93</w:t>
            </w:r>
            <w:r>
              <w:rPr>
                <w:rFonts w:ascii="Calibri"/>
                <w:sz w:val="15"/>
              </w:rPr>
            </w:r>
          </w:p>
        </w:tc>
      </w:tr>
    </w:tbl>
    <w:p>
      <w:pPr>
        <w:spacing w:before="110"/>
        <w:ind w:left="1474" w:right="0" w:firstLine="0"/>
        <w:jc w:val="left"/>
        <w:rPr>
          <w:rFonts w:ascii="Calibri" w:hAnsi="Calibri" w:cs="Calibri" w:eastAsia="Calibri" w:hint="default"/>
          <w:sz w:val="15"/>
          <w:szCs w:val="15"/>
        </w:rPr>
      </w:pPr>
      <w:r>
        <w:rPr>
          <w:rFonts w:ascii="Calibri"/>
          <w:b/>
          <w:color w:val="528DD4"/>
          <w:sz w:val="15"/>
        </w:rPr>
        <w:t>10-year payment</w:t>
      </w:r>
      <w:r>
        <w:rPr>
          <w:rFonts w:ascii="Calibri"/>
          <w:b/>
          <w:color w:val="528DD4"/>
          <w:spacing w:val="-18"/>
          <w:sz w:val="15"/>
        </w:rPr>
        <w:t> </w:t>
      </w:r>
      <w:r>
        <w:rPr>
          <w:rFonts w:ascii="Calibri"/>
          <w:b/>
          <w:color w:val="528DD4"/>
          <w:sz w:val="15"/>
        </w:rPr>
        <w:t>schedule</w:t>
      </w:r>
      <w:r>
        <w:rPr>
          <w:rFonts w:ascii="Calibri"/>
          <w:sz w:val="15"/>
        </w:rPr>
      </w:r>
    </w:p>
    <w:p>
      <w:pPr>
        <w:tabs>
          <w:tab w:pos="1720" w:val="left" w:leader="none"/>
          <w:tab w:pos="3199" w:val="left" w:leader="none"/>
          <w:tab w:pos="3620" w:val="left" w:leader="none"/>
          <w:tab w:pos="5100" w:val="left" w:leader="none"/>
          <w:tab w:pos="5520" w:val="left" w:leader="none"/>
          <w:tab w:pos="6999" w:val="left" w:leader="none"/>
          <w:tab w:pos="7420" w:val="left" w:leader="none"/>
          <w:tab w:pos="8899" w:val="left" w:leader="none"/>
          <w:tab w:pos="9320" w:val="left" w:leader="none"/>
          <w:tab w:pos="10799" w:val="left" w:leader="none"/>
        </w:tabs>
        <w:spacing w:before="27"/>
        <w:ind w:left="1439" w:right="0" w:firstLine="0"/>
        <w:jc w:val="left"/>
        <w:rPr>
          <w:rFonts w:ascii="Calibri" w:hAnsi="Calibri" w:cs="Calibri" w:eastAsia="Calibri" w:hint="default"/>
          <w:sz w:val="15"/>
          <w:szCs w:val="15"/>
        </w:rPr>
      </w:pPr>
      <w:r>
        <w:rPr>
          <w:rFonts w:ascii="Calibri"/>
          <w:i/>
          <w:w w:val="99"/>
          <w:sz w:val="15"/>
        </w:rPr>
      </w:r>
      <w:r>
        <w:rPr>
          <w:rFonts w:ascii="Calibri"/>
          <w:i/>
          <w:w w:val="99"/>
          <w:sz w:val="15"/>
          <w:u w:val="single" w:color="000000"/>
        </w:rPr>
        <w:t> </w:t>
      </w:r>
      <w:r>
        <w:rPr>
          <w:rFonts w:ascii="Calibri"/>
          <w:i/>
          <w:sz w:val="15"/>
          <w:u w:val="single" w:color="000000"/>
        </w:rPr>
        <w:tab/>
        <w:t>7.00%</w:t>
      </w:r>
      <w:r>
        <w:rPr>
          <w:rFonts w:ascii="Calibri"/>
          <w:i/>
          <w:spacing w:val="1"/>
          <w:sz w:val="15"/>
          <w:u w:val="single" w:color="000000"/>
        </w:rPr>
        <w:t> </w:t>
      </w:r>
      <w:r>
        <w:rPr>
          <w:rFonts w:ascii="Calibri"/>
          <w:i/>
          <w:sz w:val="15"/>
          <w:u w:val="single" w:color="000000"/>
        </w:rPr>
        <w:t>interest</w:t>
      </w:r>
      <w:r>
        <w:rPr>
          <w:rFonts w:ascii="Calibri"/>
          <w:i/>
          <w:spacing w:val="6"/>
          <w:sz w:val="15"/>
          <w:u w:val="single" w:color="000000"/>
        </w:rPr>
        <w:t> </w:t>
      </w:r>
      <w:r>
        <w:rPr>
          <w:rFonts w:ascii="Calibri"/>
          <w:i/>
          <w:sz w:val="15"/>
          <w:u w:val="single" w:color="000000"/>
        </w:rPr>
        <w:t>rate</w:t>
        <w:tab/>
      </w:r>
      <w:r>
        <w:rPr>
          <w:rFonts w:ascii="Calibri"/>
          <w:i/>
          <w:sz w:val="15"/>
        </w:rPr>
      </w:r>
      <w:r>
        <w:rPr>
          <w:rFonts w:ascii="Calibri"/>
          <w:i/>
          <w:sz w:val="15"/>
          <w:u w:val="single" w:color="000000"/>
        </w:rPr>
        <w:t> </w:t>
        <w:tab/>
        <w:t>6.50%</w:t>
      </w:r>
      <w:r>
        <w:rPr>
          <w:rFonts w:ascii="Calibri"/>
          <w:i/>
          <w:spacing w:val="1"/>
          <w:sz w:val="15"/>
          <w:u w:val="single" w:color="000000"/>
        </w:rPr>
        <w:t> </w:t>
      </w:r>
      <w:r>
        <w:rPr>
          <w:rFonts w:ascii="Calibri"/>
          <w:i/>
          <w:sz w:val="15"/>
          <w:u w:val="single" w:color="000000"/>
        </w:rPr>
        <w:t>interest</w:t>
      </w:r>
      <w:r>
        <w:rPr>
          <w:rFonts w:ascii="Calibri"/>
          <w:i/>
          <w:spacing w:val="6"/>
          <w:sz w:val="15"/>
          <w:u w:val="single" w:color="000000"/>
        </w:rPr>
        <w:t> </w:t>
      </w:r>
      <w:r>
        <w:rPr>
          <w:rFonts w:ascii="Calibri"/>
          <w:i/>
          <w:sz w:val="15"/>
          <w:u w:val="single" w:color="000000"/>
        </w:rPr>
        <w:t>rate</w:t>
        <w:tab/>
      </w:r>
      <w:r>
        <w:rPr>
          <w:rFonts w:ascii="Calibri"/>
          <w:i/>
          <w:sz w:val="15"/>
        </w:rPr>
      </w:r>
      <w:r>
        <w:rPr>
          <w:rFonts w:ascii="Calibri"/>
          <w:i/>
          <w:sz w:val="15"/>
          <w:u w:val="single" w:color="000000"/>
        </w:rPr>
        <w:t> </w:t>
        <w:tab/>
        <w:t>6.00%</w:t>
      </w:r>
      <w:r>
        <w:rPr>
          <w:rFonts w:ascii="Calibri"/>
          <w:i/>
          <w:spacing w:val="1"/>
          <w:sz w:val="15"/>
          <w:u w:val="single" w:color="000000"/>
        </w:rPr>
        <w:t> </w:t>
      </w:r>
      <w:r>
        <w:rPr>
          <w:rFonts w:ascii="Calibri"/>
          <w:i/>
          <w:sz w:val="15"/>
          <w:u w:val="single" w:color="000000"/>
        </w:rPr>
        <w:t>interest</w:t>
      </w:r>
      <w:r>
        <w:rPr>
          <w:rFonts w:ascii="Calibri"/>
          <w:i/>
          <w:spacing w:val="6"/>
          <w:sz w:val="15"/>
          <w:u w:val="single" w:color="000000"/>
        </w:rPr>
        <w:t> </w:t>
      </w:r>
      <w:r>
        <w:rPr>
          <w:rFonts w:ascii="Calibri"/>
          <w:i/>
          <w:sz w:val="15"/>
          <w:u w:val="single" w:color="000000"/>
        </w:rPr>
        <w:t>rate</w:t>
        <w:tab/>
      </w:r>
      <w:r>
        <w:rPr>
          <w:rFonts w:ascii="Calibri"/>
          <w:i/>
          <w:sz w:val="15"/>
        </w:rPr>
      </w:r>
      <w:r>
        <w:rPr>
          <w:rFonts w:ascii="Calibri"/>
          <w:i/>
          <w:sz w:val="15"/>
          <w:u w:val="single" w:color="000000"/>
        </w:rPr>
        <w:t> </w:t>
        <w:tab/>
        <w:t>5.50%</w:t>
      </w:r>
      <w:r>
        <w:rPr>
          <w:rFonts w:ascii="Calibri"/>
          <w:i/>
          <w:spacing w:val="1"/>
          <w:sz w:val="15"/>
          <w:u w:val="single" w:color="000000"/>
        </w:rPr>
        <w:t> </w:t>
      </w:r>
      <w:r>
        <w:rPr>
          <w:rFonts w:ascii="Calibri"/>
          <w:i/>
          <w:sz w:val="15"/>
          <w:u w:val="single" w:color="000000"/>
        </w:rPr>
        <w:t>interest</w:t>
      </w:r>
      <w:r>
        <w:rPr>
          <w:rFonts w:ascii="Calibri"/>
          <w:i/>
          <w:spacing w:val="6"/>
          <w:sz w:val="15"/>
          <w:u w:val="single" w:color="000000"/>
        </w:rPr>
        <w:t> </w:t>
      </w:r>
      <w:r>
        <w:rPr>
          <w:rFonts w:ascii="Calibri"/>
          <w:i/>
          <w:sz w:val="15"/>
          <w:u w:val="single" w:color="000000"/>
        </w:rPr>
        <w:t>rate</w:t>
        <w:tab/>
      </w:r>
      <w:r>
        <w:rPr>
          <w:rFonts w:ascii="Calibri"/>
          <w:i/>
          <w:sz w:val="15"/>
        </w:rPr>
      </w:r>
      <w:r>
        <w:rPr>
          <w:rFonts w:ascii="Calibri"/>
          <w:i/>
          <w:sz w:val="15"/>
          <w:u w:val="single" w:color="000000"/>
        </w:rPr>
        <w:t> </w:t>
        <w:tab/>
        <w:t>5.00% interest</w:t>
      </w:r>
      <w:r>
        <w:rPr>
          <w:rFonts w:ascii="Calibri"/>
          <w:i/>
          <w:spacing w:val="8"/>
          <w:sz w:val="15"/>
          <w:u w:val="single" w:color="000000"/>
        </w:rPr>
        <w:t> </w:t>
      </w:r>
      <w:r>
        <w:rPr>
          <w:rFonts w:ascii="Calibri"/>
          <w:i/>
          <w:sz w:val="15"/>
          <w:u w:val="single" w:color="000000"/>
        </w:rPr>
        <w:t>rate</w:t>
        <w:tab/>
      </w:r>
      <w:r>
        <w:rPr>
          <w:rFonts w:ascii="Calibri"/>
          <w:i/>
          <w:sz w:val="15"/>
        </w:rPr>
      </w:r>
      <w:r>
        <w:rPr>
          <w:rFonts w:ascii="Calibri"/>
          <w:sz w:val="15"/>
        </w:rPr>
      </w:r>
    </w:p>
    <w:p>
      <w:pPr>
        <w:tabs>
          <w:tab w:pos="2508" w:val="left" w:leader="none"/>
          <w:tab w:pos="3550" w:val="left" w:leader="none"/>
          <w:tab w:pos="4425" w:val="left" w:leader="none"/>
          <w:tab w:pos="5450" w:val="left" w:leader="none"/>
          <w:tab w:pos="6325" w:val="left" w:leader="none"/>
          <w:tab w:pos="7350" w:val="left" w:leader="none"/>
          <w:tab w:pos="8225" w:val="left" w:leader="none"/>
          <w:tab w:pos="9250" w:val="left" w:leader="none"/>
          <w:tab w:pos="10283" w:val="right" w:leader="none"/>
        </w:tabs>
        <w:spacing w:before="18"/>
        <w:ind w:left="1650" w:right="0" w:firstLine="0"/>
        <w:jc w:val="left"/>
        <w:rPr>
          <w:rFonts w:ascii="Calibri" w:hAnsi="Calibri" w:cs="Calibri" w:eastAsia="Calibri" w:hint="default"/>
          <w:sz w:val="15"/>
          <w:szCs w:val="15"/>
        </w:rPr>
      </w:pPr>
      <w:r>
        <w:rPr>
          <w:rFonts w:ascii="Calibri"/>
          <w:b/>
          <w:spacing w:val="-1"/>
          <w:w w:val="95"/>
          <w:sz w:val="15"/>
        </w:rPr>
        <w:t>N=</w:t>
        <w:tab/>
      </w:r>
      <w:r>
        <w:rPr>
          <w:rFonts w:ascii="Calibri"/>
          <w:b/>
          <w:spacing w:val="1"/>
          <w:sz w:val="15"/>
        </w:rPr>
        <w:t>10</w:t>
        <w:tab/>
      </w:r>
      <w:r>
        <w:rPr>
          <w:rFonts w:ascii="Calibri"/>
          <w:b/>
          <w:spacing w:val="-1"/>
          <w:w w:val="95"/>
          <w:sz w:val="15"/>
        </w:rPr>
        <w:t>N=</w:t>
        <w:tab/>
      </w:r>
      <w:r>
        <w:rPr>
          <w:rFonts w:ascii="Calibri"/>
          <w:b/>
          <w:spacing w:val="1"/>
          <w:sz w:val="15"/>
        </w:rPr>
        <w:t>10</w:t>
        <w:tab/>
      </w:r>
      <w:r>
        <w:rPr>
          <w:rFonts w:ascii="Calibri"/>
          <w:b/>
          <w:spacing w:val="-1"/>
          <w:w w:val="95"/>
          <w:sz w:val="15"/>
        </w:rPr>
        <w:t>N=</w:t>
        <w:tab/>
      </w:r>
      <w:r>
        <w:rPr>
          <w:rFonts w:ascii="Calibri"/>
          <w:b/>
          <w:spacing w:val="1"/>
          <w:sz w:val="15"/>
        </w:rPr>
        <w:t>10</w:t>
        <w:tab/>
      </w:r>
      <w:r>
        <w:rPr>
          <w:rFonts w:ascii="Calibri"/>
          <w:b/>
          <w:spacing w:val="-1"/>
          <w:w w:val="95"/>
          <w:sz w:val="15"/>
        </w:rPr>
        <w:t>N=</w:t>
        <w:tab/>
      </w:r>
      <w:r>
        <w:rPr>
          <w:rFonts w:ascii="Calibri"/>
          <w:b/>
          <w:spacing w:val="1"/>
          <w:sz w:val="15"/>
        </w:rPr>
        <w:t>10</w:t>
        <w:tab/>
      </w:r>
      <w:r>
        <w:rPr>
          <w:rFonts w:ascii="Calibri"/>
          <w:b/>
          <w:spacing w:val="-2"/>
          <w:sz w:val="15"/>
        </w:rPr>
        <w:t>N=</w:t>
        <w:tab/>
      </w:r>
      <w:r>
        <w:rPr>
          <w:rFonts w:ascii="Calibri"/>
          <w:b/>
          <w:spacing w:val="3"/>
          <w:sz w:val="15"/>
        </w:rPr>
        <w:t>10</w:t>
      </w:r>
      <w:r>
        <w:rPr>
          <w:rFonts w:ascii="Calibri"/>
          <w:sz w:val="15"/>
        </w:rPr>
      </w:r>
    </w:p>
    <w:p>
      <w:pPr>
        <w:tabs>
          <w:tab w:pos="2192" w:val="left" w:leader="none"/>
          <w:tab w:pos="2412" w:val="left" w:leader="none"/>
          <w:tab w:pos="3515" w:val="left" w:leader="none"/>
          <w:tab w:pos="4093" w:val="left" w:leader="none"/>
          <w:tab w:pos="4311" w:val="left" w:leader="none"/>
          <w:tab w:pos="5415" w:val="left" w:leader="none"/>
          <w:tab w:pos="5993" w:val="left" w:leader="none"/>
          <w:tab w:pos="6211" w:val="left" w:leader="none"/>
          <w:tab w:pos="7315" w:val="left" w:leader="none"/>
          <w:tab w:pos="7893" w:val="left" w:leader="none"/>
          <w:tab w:pos="8111" w:val="left" w:leader="none"/>
          <w:tab w:pos="9215" w:val="left" w:leader="none"/>
          <w:tab w:pos="9793" w:val="left" w:leader="none"/>
          <w:tab w:pos="10011" w:val="left" w:leader="none"/>
        </w:tabs>
        <w:spacing w:line="264" w:lineRule="auto" w:before="18"/>
        <w:ind w:left="1614" w:right="1626" w:firstLine="0"/>
        <w:jc w:val="left"/>
        <w:rPr>
          <w:rFonts w:ascii="Calibri" w:hAnsi="Calibri" w:cs="Calibri" w:eastAsia="Calibri" w:hint="default"/>
          <w:sz w:val="15"/>
          <w:szCs w:val="15"/>
        </w:rPr>
      </w:pPr>
      <w:r>
        <w:rPr/>
        <w:pict>
          <v:group style="position:absolute;margin-left:71.775002pt;margin-top:30.346802pt;width:88.5pt;height:10.55pt;mso-position-horizontal-relative:page;mso-position-vertical-relative:paragraph;z-index:-450784" coordorigin="1436,607" coordsize="1770,211">
            <v:group style="position:absolute;left:1449;top:607;width:1752;height:210" coordorigin="1449,607" coordsize="1752,210">
              <v:shape style="position:absolute;left:1449;top:607;width:1752;height:210" coordorigin="1449,607" coordsize="1752,210" path="m1449,607l1449,817,3200,817,3200,607,1449,607xe" filled="true" fillcolor="#fce9d9" stroked="false">
                <v:path arrowok="t"/>
                <v:fill type="solid"/>
              </v:shape>
            </v:group>
            <v:group style="position:absolute;left:1444;top:611;width:1752;height:2" coordorigin="1444,611" coordsize="1752,2">
              <v:shape style="position:absolute;left:1444;top:611;width:1752;height:2" coordorigin="1444,611" coordsize="1752,0" path="m1444,611l3196,611e" filled="false" stroked="true" strokeweight=".436783pt" strokecolor="#000000">
                <v:path arrowok="t"/>
              </v:shape>
            </v:group>
            <v:group style="position:absolute;left:1440;top:611;width:1761;height:2" coordorigin="1440,611" coordsize="1761,2">
              <v:shape style="position:absolute;left:1440;top:611;width:1761;height:2" coordorigin="1440,611" coordsize="1761,0" path="m1440,611l3200,611e" filled="false" stroked="true" strokeweight=".436793pt" strokecolor="#000000">
                <v:path arrowok="t"/>
              </v:shape>
              <v:shape style="position:absolute;left:1449;top:611;width:1752;height:206" type="#_x0000_t202" filled="false" stroked="false">
                <v:textbox inset="0,0,0,0">
                  <w:txbxContent>
                    <w:p>
                      <w:pPr>
                        <w:tabs>
                          <w:tab w:pos="682" w:val="left" w:leader="none"/>
                        </w:tabs>
                        <w:spacing w:before="10"/>
                        <w:ind w:left="104"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$5,695,100.11</w:t>
                      </w:r>
                      <w:r>
                        <w:rPr>
                          <w:rFonts w:ascii="Calibri"/>
                          <w:spacing w:val="1"/>
                          <w:sz w:val="15"/>
                        </w:rPr>
                      </w:r>
                    </w:p>
                  </w:txbxContent>
                </v:textbox>
                <w10:wrap type="none"/>
              </v:shape>
            </v:group>
            <w10:wrap type="none"/>
          </v:group>
        </w:pict>
      </w:r>
      <w:r>
        <w:rPr/>
        <w:pict>
          <v:group style="position:absolute;margin-left:166.782303pt;margin-top:30.346804pt;width:88.5pt;height:10.55pt;mso-position-horizontal-relative:page;mso-position-vertical-relative:paragraph;z-index:-450736" coordorigin="3336,607" coordsize="1770,211">
            <v:group style="position:absolute;left:3340;top:607;width:1761;height:210" coordorigin="3340,607" coordsize="1761,210">
              <v:shape style="position:absolute;left:3340;top:607;width:1761;height:210" coordorigin="3340,607" coordsize="1761,210" path="m3340,817l5100,817,5100,607,3340,607,3340,817xe" filled="true" fillcolor="#fce9d9" stroked="false">
                <v:path arrowok="t"/>
                <v:fill type="solid"/>
              </v:shape>
            </v:group>
            <v:group style="position:absolute;left:3345;top:611;width:1751;height:2" coordorigin="3345,611" coordsize="1751,2">
              <v:shape style="position:absolute;left:3345;top:611;width:1751;height:2" coordorigin="3345,611" coordsize="1751,0" path="m3345,611l5096,611e" filled="false" stroked="true" strokeweight=".436783pt" strokecolor="#000000">
                <v:path arrowok="t"/>
              </v:shape>
            </v:group>
            <v:group style="position:absolute;left:3340;top:611;width:1761;height:2" coordorigin="3340,611" coordsize="1761,2">
              <v:shape style="position:absolute;left:3340;top:611;width:1761;height:2" coordorigin="3340,611" coordsize="1761,0" path="m3340,611l5100,611e" filled="false" stroked="true" strokeweight=".436793pt" strokecolor="#000000">
                <v:path arrowok="t"/>
              </v:shape>
              <v:shape style="position:absolute;left:3340;top:611;width:1761;height:206" type="#_x0000_t202" filled="false" stroked="false">
                <v:textbox inset="0,0,0,0">
                  <w:txbxContent>
                    <w:p>
                      <w:pPr>
                        <w:tabs>
                          <w:tab w:pos="691" w:val="left" w:leader="none"/>
                        </w:tabs>
                        <w:spacing w:before="10"/>
                        <w:ind w:left="113"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$5,564,187.60</w:t>
                      </w:r>
                      <w:r>
                        <w:rPr>
                          <w:rFonts w:ascii="Calibri"/>
                          <w:spacing w:val="1"/>
                          <w:sz w:val="15"/>
                        </w:rPr>
                      </w:r>
                    </w:p>
                  </w:txbxContent>
                </v:textbox>
                <w10:wrap type="none"/>
              </v:shape>
            </v:group>
            <w10:wrap type="none"/>
          </v:group>
        </w:pict>
      </w:r>
      <w:r>
        <w:rPr/>
        <w:pict>
          <v:group style="position:absolute;margin-left:261.782318pt;margin-top:30.346807pt;width:88.45pt;height:10.55pt;mso-position-horizontal-relative:page;mso-position-vertical-relative:paragraph;z-index:-450688" coordorigin="5236,607" coordsize="1769,211">
            <v:group style="position:absolute;left:5240;top:607;width:1760;height:210" coordorigin="5240,607" coordsize="1760,210">
              <v:shape style="position:absolute;left:5240;top:607;width:1760;height:210" coordorigin="5240,607" coordsize="1760,210" path="m5240,817l7000,817,7000,607,5240,607,5240,817xe" filled="true" fillcolor="#fce9d9" stroked="false">
                <v:path arrowok="t"/>
                <v:fill type="solid"/>
              </v:shape>
            </v:group>
            <v:group style="position:absolute;left:5245;top:611;width:1751;height:2" coordorigin="5245,611" coordsize="1751,2">
              <v:shape style="position:absolute;left:5245;top:611;width:1751;height:2" coordorigin="5245,611" coordsize="1751,0" path="m5245,611l6996,611e" filled="false" stroked="true" strokeweight=".436783pt" strokecolor="#000000">
                <v:path arrowok="t"/>
              </v:shape>
            </v:group>
            <v:group style="position:absolute;left:5240;top:611;width:1760;height:2" coordorigin="5240,611" coordsize="1760,2">
              <v:shape style="position:absolute;left:5240;top:611;width:1760;height:2" coordorigin="5240,611" coordsize="1760,0" path="m5240,611l7000,611e" filled="false" stroked="true" strokeweight=".436793pt" strokecolor="#000000">
                <v:path arrowok="t"/>
              </v:shape>
              <v:shape style="position:absolute;left:5240;top:611;width:1760;height:206" type="#_x0000_t202" filled="false" stroked="false">
                <v:textbox inset="0,0,0,0">
                  <w:txbxContent>
                    <w:p>
                      <w:pPr>
                        <w:tabs>
                          <w:tab w:pos="691" w:val="left" w:leader="none"/>
                        </w:tabs>
                        <w:spacing w:before="10"/>
                        <w:ind w:left="113"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$5,434,718.33</w:t>
                      </w:r>
                      <w:r>
                        <w:rPr>
                          <w:rFonts w:ascii="Calibri"/>
                          <w:spacing w:val="1"/>
                          <w:sz w:val="15"/>
                        </w:rPr>
                      </w:r>
                    </w:p>
                  </w:txbxContent>
                </v:textbox>
                <w10:wrap type="none"/>
              </v:shape>
            </v:group>
            <w10:wrap type="none"/>
          </v:group>
        </w:pict>
      </w:r>
      <w:r>
        <w:rPr/>
        <w:pict>
          <v:group style="position:absolute;margin-left:356.789642pt;margin-top:30.346809pt;width:88.45pt;height:10.55pt;mso-position-horizontal-relative:page;mso-position-vertical-relative:paragraph;z-index:-450640" coordorigin="7136,607" coordsize="1769,211">
            <v:group style="position:absolute;left:7140;top:607;width:1760;height:210" coordorigin="7140,607" coordsize="1760,210">
              <v:shape style="position:absolute;left:7140;top:607;width:1760;height:210" coordorigin="7140,607" coordsize="1760,210" path="m7140,817l8900,817,8900,607,7140,607,7140,817xe" filled="true" fillcolor="#fce9d9" stroked="false">
                <v:path arrowok="t"/>
                <v:fill type="solid"/>
              </v:shape>
            </v:group>
            <v:group style="position:absolute;left:7145;top:611;width:1752;height:2" coordorigin="7145,611" coordsize="1752,2">
              <v:shape style="position:absolute;left:7145;top:611;width:1752;height:2" coordorigin="7145,611" coordsize="1752,0" path="m7145,611l8896,611e" filled="false" stroked="true" strokeweight=".436783pt" strokecolor="#000000">
                <v:path arrowok="t"/>
              </v:shape>
            </v:group>
            <v:group style="position:absolute;left:7140;top:611;width:1760;height:2" coordorigin="7140,611" coordsize="1760,2">
              <v:shape style="position:absolute;left:7140;top:611;width:1760;height:2" coordorigin="7140,611" coordsize="1760,0" path="m7140,611l8900,611e" filled="false" stroked="true" strokeweight=".436793pt" strokecolor="#000000">
                <v:path arrowok="t"/>
              </v:shape>
              <v:shape style="position:absolute;left:7140;top:611;width:1760;height:206" type="#_x0000_t202" filled="false" stroked="false">
                <v:textbox inset="0,0,0,0">
                  <w:txbxContent>
                    <w:p>
                      <w:pPr>
                        <w:tabs>
                          <w:tab w:pos="691" w:val="left" w:leader="none"/>
                        </w:tabs>
                        <w:spacing w:before="10"/>
                        <w:ind w:left="113"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$5,306,710.75</w:t>
                      </w:r>
                      <w:r>
                        <w:rPr>
                          <w:rFonts w:ascii="Calibri"/>
                          <w:spacing w:val="1"/>
                          <w:sz w:val="15"/>
                        </w:rPr>
                      </w:r>
                    </w:p>
                  </w:txbxContent>
                </v:textbox>
                <w10:wrap type="none"/>
              </v:shape>
            </v:group>
            <w10:wrap type="none"/>
          </v:group>
        </w:pict>
      </w:r>
      <w:r>
        <w:rPr/>
        <w:pict>
          <v:group style="position:absolute;margin-left:451.789673pt;margin-top:30.346813pt;width:88.45pt;height:10.55pt;mso-position-horizontal-relative:page;mso-position-vertical-relative:paragraph;z-index:-450592" coordorigin="9036,607" coordsize="1769,211">
            <v:group style="position:absolute;left:9040;top:607;width:1760;height:210" coordorigin="9040,607" coordsize="1760,210">
              <v:shape style="position:absolute;left:9040;top:607;width:1760;height:210" coordorigin="9040,607" coordsize="1760,210" path="m9040,817l10800,817,10800,607,9040,607,9040,817xe" filled="true" fillcolor="#fce9d9" stroked="false">
                <v:path arrowok="t"/>
                <v:fill type="solid"/>
              </v:shape>
            </v:group>
            <v:group style="position:absolute;left:9045;top:611;width:1751;height:2" coordorigin="9045,611" coordsize="1751,2">
              <v:shape style="position:absolute;left:9045;top:611;width:1751;height:2" coordorigin="9045,611" coordsize="1751,0" path="m9045,611l10796,611e" filled="false" stroked="true" strokeweight=".436783pt" strokecolor="#000000">
                <v:path arrowok="t"/>
              </v:shape>
            </v:group>
            <v:group style="position:absolute;left:9040;top:611;width:1760;height:2" coordorigin="9040,611" coordsize="1760,2">
              <v:shape style="position:absolute;left:9040;top:611;width:1760;height:2" coordorigin="9040,611" coordsize="1760,0" path="m9040,611l10800,611e" filled="false" stroked="true" strokeweight=".436793pt" strokecolor="#000000">
                <v:path arrowok="t"/>
              </v:shape>
              <v:shape style="position:absolute;left:9040;top:611;width:1760;height:206" type="#_x0000_t202" filled="false" stroked="false">
                <v:textbox inset="0,0,0,0">
                  <w:txbxContent>
                    <w:p>
                      <w:pPr>
                        <w:tabs>
                          <w:tab w:pos="691" w:val="left" w:leader="none"/>
                        </w:tabs>
                        <w:spacing w:before="10"/>
                        <w:ind w:left="113"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$5,180,183.00</w:t>
                      </w:r>
                      <w:r>
                        <w:rPr>
                          <w:rFonts w:ascii="Calibri"/>
                          <w:spacing w:val="1"/>
                          <w:sz w:val="15"/>
                        </w:rPr>
                      </w:r>
                    </w:p>
                  </w:txbxContent>
                </v:textbox>
                <w10:wrap type="none"/>
              </v:shape>
            </v:group>
            <w10:wrap type="none"/>
          </v:group>
        </w:pict>
      </w:r>
      <w:r>
        <w:rPr>
          <w:rFonts w:ascii="Calibri"/>
          <w:spacing w:val="-1"/>
          <w:w w:val="95"/>
          <w:sz w:val="15"/>
        </w:rPr>
        <w:t>I/Y=</w:t>
        <w:tab/>
        <w:tab/>
      </w:r>
      <w:r>
        <w:rPr>
          <w:rFonts w:ascii="Calibri"/>
          <w:spacing w:val="1"/>
          <w:w w:val="95"/>
          <w:sz w:val="15"/>
        </w:rPr>
        <w:t>7.00%</w:t>
        <w:tab/>
      </w:r>
      <w:r>
        <w:rPr>
          <w:rFonts w:ascii="Calibri"/>
          <w:spacing w:val="-1"/>
          <w:w w:val="95"/>
          <w:sz w:val="15"/>
        </w:rPr>
        <w:t>I/Y=</w:t>
        <w:tab/>
        <w:tab/>
      </w:r>
      <w:r>
        <w:rPr>
          <w:rFonts w:ascii="Calibri"/>
          <w:spacing w:val="1"/>
          <w:w w:val="95"/>
          <w:sz w:val="15"/>
        </w:rPr>
        <w:t>6.50%</w:t>
        <w:tab/>
      </w:r>
      <w:r>
        <w:rPr>
          <w:rFonts w:ascii="Calibri"/>
          <w:spacing w:val="-1"/>
          <w:w w:val="95"/>
          <w:sz w:val="15"/>
        </w:rPr>
        <w:t>I/Y=</w:t>
        <w:tab/>
        <w:tab/>
      </w:r>
      <w:r>
        <w:rPr>
          <w:rFonts w:ascii="Calibri"/>
          <w:spacing w:val="1"/>
          <w:w w:val="95"/>
          <w:sz w:val="15"/>
        </w:rPr>
        <w:t>6.00%</w:t>
        <w:tab/>
      </w:r>
      <w:r>
        <w:rPr>
          <w:rFonts w:ascii="Calibri"/>
          <w:spacing w:val="-1"/>
          <w:w w:val="95"/>
          <w:sz w:val="15"/>
        </w:rPr>
        <w:t>I/Y=</w:t>
        <w:tab/>
        <w:tab/>
      </w:r>
      <w:r>
        <w:rPr>
          <w:rFonts w:ascii="Calibri"/>
          <w:spacing w:val="1"/>
          <w:w w:val="95"/>
          <w:sz w:val="15"/>
        </w:rPr>
        <w:t>5.50%</w:t>
        <w:tab/>
      </w:r>
      <w:r>
        <w:rPr>
          <w:rFonts w:ascii="Calibri"/>
          <w:spacing w:val="-1"/>
          <w:w w:val="95"/>
          <w:sz w:val="15"/>
        </w:rPr>
        <w:t>I/Y=</w:t>
        <w:tab/>
        <w:tab/>
      </w:r>
      <w:r>
        <w:rPr>
          <w:rFonts w:ascii="Calibri"/>
          <w:spacing w:val="1"/>
          <w:sz w:val="15"/>
        </w:rPr>
        <w:t>5.00%</w:t>
      </w:r>
      <w:r>
        <w:rPr>
          <w:rFonts w:ascii="Calibri"/>
          <w:sz w:val="15"/>
        </w:rPr>
        <w:t> </w:t>
      </w:r>
      <w:r>
        <w:rPr>
          <w:rFonts w:ascii="Calibri"/>
          <w:sz w:val="15"/>
        </w:rPr>
        <w:t>PV=</w:t>
        <w:tab/>
        <w:t>-$40,000,000</w:t>
        <w:tab/>
        <w:t>PV=</w:t>
        <w:tab/>
        <w:t>-$40,000,000</w:t>
        <w:tab/>
        <w:t>PV=</w:t>
        <w:tab/>
        <w:t>-$40,000,000</w:t>
        <w:tab/>
        <w:t>PV=</w:t>
        <w:tab/>
        <w:t>-$40,000,000</w:t>
        <w:tab/>
        <w:t>PV=</w:t>
        <w:tab/>
        <w:t>-$40,000,000 FV=</w:t>
        <w:tab/>
        <w:tab/>
        <w:t>$0.00</w:t>
        <w:tab/>
        <w:t>FV=</w:t>
        <w:tab/>
        <w:tab/>
        <w:t>$0.00</w:t>
        <w:tab/>
        <w:t>FV=</w:t>
        <w:tab/>
        <w:tab/>
        <w:t>$0.00</w:t>
        <w:tab/>
        <w:t>FV=</w:t>
        <w:tab/>
        <w:tab/>
        <w:t>$0.00</w:t>
        <w:tab/>
        <w:t>FV=</w:t>
        <w:tab/>
        <w:tab/>
        <w:t>$0.00</w:t>
      </w:r>
    </w:p>
    <w:p>
      <w:pPr>
        <w:spacing w:before="192"/>
        <w:ind w:left="1474" w:right="0" w:firstLine="0"/>
        <w:jc w:val="left"/>
        <w:rPr>
          <w:rFonts w:ascii="Calibri" w:hAnsi="Calibri" w:cs="Calibri" w:eastAsia="Calibri" w:hint="default"/>
          <w:sz w:val="15"/>
          <w:szCs w:val="15"/>
        </w:rPr>
      </w:pPr>
      <w:r>
        <w:rPr>
          <w:rFonts w:ascii="Calibri"/>
          <w:b/>
          <w:color w:val="528DD4"/>
          <w:sz w:val="15"/>
        </w:rPr>
        <w:t>15-year payment</w:t>
      </w:r>
      <w:r>
        <w:rPr>
          <w:rFonts w:ascii="Calibri"/>
          <w:b/>
          <w:color w:val="528DD4"/>
          <w:spacing w:val="-18"/>
          <w:sz w:val="15"/>
        </w:rPr>
        <w:t> </w:t>
      </w:r>
      <w:r>
        <w:rPr>
          <w:rFonts w:ascii="Calibri"/>
          <w:b/>
          <w:color w:val="528DD4"/>
          <w:sz w:val="15"/>
        </w:rPr>
        <w:t>schedule</w:t>
      </w:r>
      <w:r>
        <w:rPr>
          <w:rFonts w:ascii="Calibri"/>
          <w:sz w:val="15"/>
        </w:rPr>
      </w:r>
    </w:p>
    <w:p>
      <w:pPr>
        <w:tabs>
          <w:tab w:pos="1720" w:val="left" w:leader="none"/>
          <w:tab w:pos="3199" w:val="left" w:leader="none"/>
          <w:tab w:pos="3620" w:val="left" w:leader="none"/>
          <w:tab w:pos="5100" w:val="left" w:leader="none"/>
          <w:tab w:pos="5520" w:val="left" w:leader="none"/>
          <w:tab w:pos="6999" w:val="left" w:leader="none"/>
          <w:tab w:pos="7420" w:val="left" w:leader="none"/>
          <w:tab w:pos="8899" w:val="left" w:leader="none"/>
          <w:tab w:pos="9320" w:val="left" w:leader="none"/>
          <w:tab w:pos="10799" w:val="left" w:leader="none"/>
        </w:tabs>
        <w:spacing w:before="27"/>
        <w:ind w:left="1440" w:right="0" w:firstLine="0"/>
        <w:jc w:val="left"/>
        <w:rPr>
          <w:rFonts w:ascii="Calibri" w:hAnsi="Calibri" w:cs="Calibri" w:eastAsia="Calibri" w:hint="default"/>
          <w:sz w:val="15"/>
          <w:szCs w:val="15"/>
        </w:rPr>
      </w:pPr>
      <w:r>
        <w:rPr>
          <w:rFonts w:ascii="Calibri"/>
          <w:i/>
          <w:w w:val="99"/>
          <w:sz w:val="15"/>
        </w:rPr>
      </w:r>
      <w:r>
        <w:rPr>
          <w:rFonts w:ascii="Calibri"/>
          <w:i/>
          <w:w w:val="99"/>
          <w:sz w:val="15"/>
          <w:u w:val="single" w:color="000000"/>
        </w:rPr>
        <w:t> </w:t>
      </w:r>
      <w:r>
        <w:rPr>
          <w:rFonts w:ascii="Calibri"/>
          <w:i/>
          <w:sz w:val="15"/>
          <w:u w:val="single" w:color="000000"/>
        </w:rPr>
        <w:tab/>
        <w:t>7.00%</w:t>
      </w:r>
      <w:r>
        <w:rPr>
          <w:rFonts w:ascii="Calibri"/>
          <w:i/>
          <w:spacing w:val="1"/>
          <w:sz w:val="15"/>
          <w:u w:val="single" w:color="000000"/>
        </w:rPr>
        <w:t> </w:t>
      </w:r>
      <w:r>
        <w:rPr>
          <w:rFonts w:ascii="Calibri"/>
          <w:i/>
          <w:sz w:val="15"/>
          <w:u w:val="single" w:color="000000"/>
        </w:rPr>
        <w:t>interest</w:t>
      </w:r>
      <w:r>
        <w:rPr>
          <w:rFonts w:ascii="Calibri"/>
          <w:i/>
          <w:spacing w:val="6"/>
          <w:sz w:val="15"/>
          <w:u w:val="single" w:color="000000"/>
        </w:rPr>
        <w:t> </w:t>
      </w:r>
      <w:r>
        <w:rPr>
          <w:rFonts w:ascii="Calibri"/>
          <w:i/>
          <w:sz w:val="15"/>
          <w:u w:val="single" w:color="000000"/>
        </w:rPr>
        <w:t>rate</w:t>
        <w:tab/>
      </w:r>
      <w:r>
        <w:rPr>
          <w:rFonts w:ascii="Calibri"/>
          <w:i/>
          <w:sz w:val="15"/>
        </w:rPr>
      </w:r>
      <w:r>
        <w:rPr>
          <w:rFonts w:ascii="Calibri"/>
          <w:i/>
          <w:sz w:val="15"/>
          <w:u w:val="single" w:color="000000"/>
        </w:rPr>
        <w:t> </w:t>
        <w:tab/>
        <w:t>6.50%</w:t>
      </w:r>
      <w:r>
        <w:rPr>
          <w:rFonts w:ascii="Calibri"/>
          <w:i/>
          <w:spacing w:val="1"/>
          <w:sz w:val="15"/>
          <w:u w:val="single" w:color="000000"/>
        </w:rPr>
        <w:t> </w:t>
      </w:r>
      <w:r>
        <w:rPr>
          <w:rFonts w:ascii="Calibri"/>
          <w:i/>
          <w:sz w:val="15"/>
          <w:u w:val="single" w:color="000000"/>
        </w:rPr>
        <w:t>interest</w:t>
      </w:r>
      <w:r>
        <w:rPr>
          <w:rFonts w:ascii="Calibri"/>
          <w:i/>
          <w:spacing w:val="6"/>
          <w:sz w:val="15"/>
          <w:u w:val="single" w:color="000000"/>
        </w:rPr>
        <w:t> </w:t>
      </w:r>
      <w:r>
        <w:rPr>
          <w:rFonts w:ascii="Calibri"/>
          <w:i/>
          <w:sz w:val="15"/>
          <w:u w:val="single" w:color="000000"/>
        </w:rPr>
        <w:t>rate</w:t>
        <w:tab/>
      </w:r>
      <w:r>
        <w:rPr>
          <w:rFonts w:ascii="Calibri"/>
          <w:i/>
          <w:sz w:val="15"/>
        </w:rPr>
      </w:r>
      <w:r>
        <w:rPr>
          <w:rFonts w:ascii="Calibri"/>
          <w:i/>
          <w:sz w:val="15"/>
          <w:u w:val="single" w:color="000000"/>
        </w:rPr>
        <w:t> </w:t>
        <w:tab/>
        <w:t>6.00%</w:t>
      </w:r>
      <w:r>
        <w:rPr>
          <w:rFonts w:ascii="Calibri"/>
          <w:i/>
          <w:spacing w:val="1"/>
          <w:sz w:val="15"/>
          <w:u w:val="single" w:color="000000"/>
        </w:rPr>
        <w:t> </w:t>
      </w:r>
      <w:r>
        <w:rPr>
          <w:rFonts w:ascii="Calibri"/>
          <w:i/>
          <w:sz w:val="15"/>
          <w:u w:val="single" w:color="000000"/>
        </w:rPr>
        <w:t>interest</w:t>
      </w:r>
      <w:r>
        <w:rPr>
          <w:rFonts w:ascii="Calibri"/>
          <w:i/>
          <w:spacing w:val="6"/>
          <w:sz w:val="15"/>
          <w:u w:val="single" w:color="000000"/>
        </w:rPr>
        <w:t> </w:t>
      </w:r>
      <w:r>
        <w:rPr>
          <w:rFonts w:ascii="Calibri"/>
          <w:i/>
          <w:sz w:val="15"/>
          <w:u w:val="single" w:color="000000"/>
        </w:rPr>
        <w:t>rate</w:t>
        <w:tab/>
      </w:r>
      <w:r>
        <w:rPr>
          <w:rFonts w:ascii="Calibri"/>
          <w:i/>
          <w:sz w:val="15"/>
        </w:rPr>
      </w:r>
      <w:r>
        <w:rPr>
          <w:rFonts w:ascii="Calibri"/>
          <w:i/>
          <w:sz w:val="15"/>
          <w:u w:val="single" w:color="000000"/>
        </w:rPr>
        <w:t> </w:t>
        <w:tab/>
        <w:t>5.50%</w:t>
      </w:r>
      <w:r>
        <w:rPr>
          <w:rFonts w:ascii="Calibri"/>
          <w:i/>
          <w:spacing w:val="1"/>
          <w:sz w:val="15"/>
          <w:u w:val="single" w:color="000000"/>
        </w:rPr>
        <w:t> </w:t>
      </w:r>
      <w:r>
        <w:rPr>
          <w:rFonts w:ascii="Calibri"/>
          <w:i/>
          <w:sz w:val="15"/>
          <w:u w:val="single" w:color="000000"/>
        </w:rPr>
        <w:t>interest</w:t>
      </w:r>
      <w:r>
        <w:rPr>
          <w:rFonts w:ascii="Calibri"/>
          <w:i/>
          <w:spacing w:val="6"/>
          <w:sz w:val="15"/>
          <w:u w:val="single" w:color="000000"/>
        </w:rPr>
        <w:t> </w:t>
      </w:r>
      <w:r>
        <w:rPr>
          <w:rFonts w:ascii="Calibri"/>
          <w:i/>
          <w:sz w:val="15"/>
          <w:u w:val="single" w:color="000000"/>
        </w:rPr>
        <w:t>rate</w:t>
        <w:tab/>
      </w:r>
      <w:r>
        <w:rPr>
          <w:rFonts w:ascii="Calibri"/>
          <w:i/>
          <w:sz w:val="15"/>
        </w:rPr>
      </w:r>
      <w:r>
        <w:rPr>
          <w:rFonts w:ascii="Calibri"/>
          <w:i/>
          <w:sz w:val="15"/>
          <w:u w:val="single" w:color="000000"/>
        </w:rPr>
        <w:t> </w:t>
        <w:tab/>
        <w:t>5.00% interest</w:t>
      </w:r>
      <w:r>
        <w:rPr>
          <w:rFonts w:ascii="Calibri"/>
          <w:i/>
          <w:spacing w:val="8"/>
          <w:sz w:val="15"/>
          <w:u w:val="single" w:color="000000"/>
        </w:rPr>
        <w:t> </w:t>
      </w:r>
      <w:r>
        <w:rPr>
          <w:rFonts w:ascii="Calibri"/>
          <w:i/>
          <w:sz w:val="15"/>
          <w:u w:val="single" w:color="000000"/>
        </w:rPr>
        <w:t>rate</w:t>
        <w:tab/>
      </w:r>
      <w:r>
        <w:rPr>
          <w:rFonts w:ascii="Calibri"/>
          <w:i/>
          <w:sz w:val="15"/>
        </w:rPr>
      </w:r>
      <w:r>
        <w:rPr>
          <w:rFonts w:ascii="Calibri"/>
          <w:sz w:val="15"/>
        </w:rPr>
      </w:r>
    </w:p>
    <w:p>
      <w:pPr>
        <w:tabs>
          <w:tab w:pos="2508" w:val="left" w:leader="none"/>
          <w:tab w:pos="3550" w:val="left" w:leader="none"/>
          <w:tab w:pos="4425" w:val="left" w:leader="none"/>
          <w:tab w:pos="5450" w:val="left" w:leader="none"/>
          <w:tab w:pos="6325" w:val="left" w:leader="none"/>
          <w:tab w:pos="7350" w:val="left" w:leader="none"/>
          <w:tab w:pos="8225" w:val="left" w:leader="none"/>
          <w:tab w:pos="9250" w:val="left" w:leader="none"/>
          <w:tab w:pos="10125" w:val="left" w:leader="none"/>
        </w:tabs>
        <w:spacing w:before="18"/>
        <w:ind w:left="1650" w:right="0" w:firstLine="0"/>
        <w:jc w:val="left"/>
        <w:rPr>
          <w:rFonts w:ascii="Calibri" w:hAnsi="Calibri" w:cs="Calibri" w:eastAsia="Calibri" w:hint="default"/>
          <w:sz w:val="15"/>
          <w:szCs w:val="15"/>
        </w:rPr>
      </w:pPr>
      <w:r>
        <w:rPr>
          <w:rFonts w:ascii="Calibri"/>
          <w:b/>
          <w:spacing w:val="-1"/>
          <w:w w:val="95"/>
          <w:sz w:val="15"/>
        </w:rPr>
        <w:t>N=</w:t>
        <w:tab/>
      </w:r>
      <w:r>
        <w:rPr>
          <w:rFonts w:ascii="Calibri"/>
          <w:b/>
          <w:spacing w:val="1"/>
          <w:sz w:val="15"/>
        </w:rPr>
        <w:t>15</w:t>
        <w:tab/>
      </w:r>
      <w:r>
        <w:rPr>
          <w:rFonts w:ascii="Calibri"/>
          <w:b/>
          <w:spacing w:val="-1"/>
          <w:w w:val="95"/>
          <w:sz w:val="15"/>
        </w:rPr>
        <w:t>N=</w:t>
        <w:tab/>
      </w:r>
      <w:r>
        <w:rPr>
          <w:rFonts w:ascii="Calibri"/>
          <w:b/>
          <w:spacing w:val="1"/>
          <w:sz w:val="15"/>
        </w:rPr>
        <w:t>15</w:t>
        <w:tab/>
      </w:r>
      <w:r>
        <w:rPr>
          <w:rFonts w:ascii="Calibri"/>
          <w:b/>
          <w:spacing w:val="-1"/>
          <w:w w:val="95"/>
          <w:sz w:val="15"/>
        </w:rPr>
        <w:t>N=</w:t>
        <w:tab/>
      </w:r>
      <w:r>
        <w:rPr>
          <w:rFonts w:ascii="Calibri"/>
          <w:b/>
          <w:spacing w:val="1"/>
          <w:sz w:val="15"/>
        </w:rPr>
        <w:t>15</w:t>
        <w:tab/>
      </w:r>
      <w:r>
        <w:rPr>
          <w:rFonts w:ascii="Calibri"/>
          <w:b/>
          <w:spacing w:val="-1"/>
          <w:w w:val="95"/>
          <w:sz w:val="15"/>
        </w:rPr>
        <w:t>N=</w:t>
        <w:tab/>
      </w:r>
      <w:r>
        <w:rPr>
          <w:rFonts w:ascii="Calibri"/>
          <w:b/>
          <w:spacing w:val="1"/>
          <w:sz w:val="15"/>
        </w:rPr>
        <w:t>15</w:t>
        <w:tab/>
      </w:r>
      <w:r>
        <w:rPr>
          <w:rFonts w:ascii="Calibri"/>
          <w:b/>
          <w:spacing w:val="-2"/>
          <w:w w:val="95"/>
          <w:sz w:val="15"/>
        </w:rPr>
        <w:t>N=</w:t>
        <w:tab/>
      </w:r>
      <w:r>
        <w:rPr>
          <w:rFonts w:ascii="Calibri"/>
          <w:b/>
          <w:spacing w:val="3"/>
          <w:sz w:val="15"/>
        </w:rPr>
        <w:t>15</w:t>
      </w:r>
      <w:r>
        <w:rPr>
          <w:rFonts w:ascii="Calibri"/>
          <w:sz w:val="15"/>
        </w:rPr>
      </w:r>
    </w:p>
    <w:p>
      <w:pPr>
        <w:tabs>
          <w:tab w:pos="2192" w:val="left" w:leader="none"/>
          <w:tab w:pos="2412" w:val="left" w:leader="none"/>
          <w:tab w:pos="3515" w:val="left" w:leader="none"/>
          <w:tab w:pos="4093" w:val="left" w:leader="none"/>
          <w:tab w:pos="4311" w:val="left" w:leader="none"/>
          <w:tab w:pos="5415" w:val="left" w:leader="none"/>
          <w:tab w:pos="5993" w:val="left" w:leader="none"/>
          <w:tab w:pos="6211" w:val="left" w:leader="none"/>
          <w:tab w:pos="7315" w:val="left" w:leader="none"/>
          <w:tab w:pos="7893" w:val="left" w:leader="none"/>
          <w:tab w:pos="8111" w:val="left" w:leader="none"/>
          <w:tab w:pos="9215" w:val="left" w:leader="none"/>
          <w:tab w:pos="9793" w:val="left" w:leader="none"/>
          <w:tab w:pos="10011" w:val="left" w:leader="none"/>
        </w:tabs>
        <w:spacing w:line="264" w:lineRule="auto" w:before="18"/>
        <w:ind w:left="1614" w:right="1626" w:firstLine="0"/>
        <w:jc w:val="left"/>
        <w:rPr>
          <w:rFonts w:ascii="Calibri" w:hAnsi="Calibri" w:cs="Calibri" w:eastAsia="Calibri" w:hint="default"/>
          <w:sz w:val="15"/>
          <w:szCs w:val="15"/>
        </w:rPr>
      </w:pPr>
      <w:r>
        <w:rPr/>
        <w:pict>
          <v:group style="position:absolute;margin-left:71.775002pt;margin-top:30.332264pt;width:88.5pt;height:10.55pt;mso-position-horizontal-relative:page;mso-position-vertical-relative:paragraph;z-index:-450544" coordorigin="1436,607" coordsize="1770,211">
            <v:group style="position:absolute;left:1449;top:607;width:1752;height:210" coordorigin="1449,607" coordsize="1752,210">
              <v:shape style="position:absolute;left:1449;top:607;width:1752;height:210" coordorigin="1449,607" coordsize="1752,210" path="m1449,607l1449,817,3200,817,3200,607,1449,607xe" filled="true" fillcolor="#fce9d9" stroked="false">
                <v:path arrowok="t"/>
                <v:fill type="solid"/>
              </v:shape>
            </v:group>
            <v:group style="position:absolute;left:1444;top:611;width:1752;height:2" coordorigin="1444,611" coordsize="1752,2">
              <v:shape style="position:absolute;left:1444;top:611;width:1752;height:2" coordorigin="1444,611" coordsize="1752,0" path="m1444,611l3196,611e" filled="false" stroked="true" strokeweight=".436783pt" strokecolor="#000000">
                <v:path arrowok="t"/>
              </v:shape>
            </v:group>
            <v:group style="position:absolute;left:1440;top:611;width:1761;height:2" coordorigin="1440,611" coordsize="1761,2">
              <v:shape style="position:absolute;left:1440;top:611;width:1761;height:2" coordorigin="1440,611" coordsize="1761,0" path="m1440,611l3200,611e" filled="false" stroked="true" strokeweight=".436793pt" strokecolor="#000000">
                <v:path arrowok="t"/>
              </v:shape>
              <v:shape style="position:absolute;left:1449;top:611;width:1752;height:206" type="#_x0000_t202" filled="false" stroked="false">
                <v:textbox inset="0,0,0,0">
                  <w:txbxContent>
                    <w:p>
                      <w:pPr>
                        <w:tabs>
                          <w:tab w:pos="682" w:val="left" w:leader="none"/>
                        </w:tabs>
                        <w:spacing w:before="10"/>
                        <w:ind w:left="104"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$4,391,784.99</w:t>
                      </w:r>
                      <w:r>
                        <w:rPr>
                          <w:rFonts w:ascii="Calibri"/>
                          <w:spacing w:val="1"/>
                          <w:sz w:val="15"/>
                        </w:rPr>
                      </w:r>
                    </w:p>
                  </w:txbxContent>
                </v:textbox>
                <w10:wrap type="none"/>
              </v:shape>
            </v:group>
            <w10:wrap type="none"/>
          </v:group>
        </w:pict>
      </w:r>
      <w:r>
        <w:rPr/>
        <w:pict>
          <v:group style="position:absolute;margin-left:166.782303pt;margin-top:30.332268pt;width:88.5pt;height:10.55pt;mso-position-horizontal-relative:page;mso-position-vertical-relative:paragraph;z-index:-450496" coordorigin="3336,607" coordsize="1770,211">
            <v:group style="position:absolute;left:3340;top:607;width:1761;height:210" coordorigin="3340,607" coordsize="1761,210">
              <v:shape style="position:absolute;left:3340;top:607;width:1761;height:210" coordorigin="3340,607" coordsize="1761,210" path="m3340,817l5100,817,5100,607,3340,607,3340,817xe" filled="true" fillcolor="#fce9d9" stroked="false">
                <v:path arrowok="t"/>
                <v:fill type="solid"/>
              </v:shape>
            </v:group>
            <v:group style="position:absolute;left:3345;top:611;width:1751;height:2" coordorigin="3345,611" coordsize="1751,2">
              <v:shape style="position:absolute;left:3345;top:611;width:1751;height:2" coordorigin="3345,611" coordsize="1751,0" path="m3345,611l5096,611e" filled="false" stroked="true" strokeweight=".436783pt" strokecolor="#000000">
                <v:path arrowok="t"/>
              </v:shape>
            </v:group>
            <v:group style="position:absolute;left:3340;top:611;width:1761;height:2" coordorigin="3340,611" coordsize="1761,2">
              <v:shape style="position:absolute;left:3340;top:611;width:1761;height:2" coordorigin="3340,611" coordsize="1761,0" path="m3340,611l5100,611e" filled="false" stroked="true" strokeweight=".436793pt" strokecolor="#000000">
                <v:path arrowok="t"/>
              </v:shape>
              <v:shape style="position:absolute;left:3340;top:611;width:1761;height:206" type="#_x0000_t202" filled="false" stroked="false">
                <v:textbox inset="0,0,0,0">
                  <w:txbxContent>
                    <w:p>
                      <w:pPr>
                        <w:tabs>
                          <w:tab w:pos="691" w:val="left" w:leader="none"/>
                        </w:tabs>
                        <w:spacing w:before="10"/>
                        <w:ind w:left="113"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$4,254,111.32</w:t>
                      </w:r>
                      <w:r>
                        <w:rPr>
                          <w:rFonts w:ascii="Calibri"/>
                          <w:spacing w:val="1"/>
                          <w:sz w:val="15"/>
                        </w:rPr>
                      </w:r>
                    </w:p>
                  </w:txbxContent>
                </v:textbox>
                <w10:wrap type="none"/>
              </v:shape>
            </v:group>
            <w10:wrap type="none"/>
          </v:group>
        </w:pict>
      </w:r>
      <w:r>
        <w:rPr/>
        <w:pict>
          <v:group style="position:absolute;margin-left:261.782318pt;margin-top:30.33227pt;width:88.45pt;height:10.55pt;mso-position-horizontal-relative:page;mso-position-vertical-relative:paragraph;z-index:-450448" coordorigin="5236,607" coordsize="1769,211">
            <v:group style="position:absolute;left:5240;top:607;width:1760;height:210" coordorigin="5240,607" coordsize="1760,210">
              <v:shape style="position:absolute;left:5240;top:607;width:1760;height:210" coordorigin="5240,607" coordsize="1760,210" path="m5240,817l7000,817,7000,607,5240,607,5240,817xe" filled="true" fillcolor="#fce9d9" stroked="false">
                <v:path arrowok="t"/>
                <v:fill type="solid"/>
              </v:shape>
            </v:group>
            <v:group style="position:absolute;left:5245;top:611;width:1751;height:2" coordorigin="5245,611" coordsize="1751,2">
              <v:shape style="position:absolute;left:5245;top:611;width:1751;height:2" coordorigin="5245,611" coordsize="1751,0" path="m5245,611l6996,611e" filled="false" stroked="true" strokeweight=".436783pt" strokecolor="#000000">
                <v:path arrowok="t"/>
              </v:shape>
            </v:group>
            <v:group style="position:absolute;left:5240;top:611;width:1760;height:2" coordorigin="5240,611" coordsize="1760,2">
              <v:shape style="position:absolute;left:5240;top:611;width:1760;height:2" coordorigin="5240,611" coordsize="1760,0" path="m5240,611l7000,611e" filled="false" stroked="true" strokeweight=".436793pt" strokecolor="#000000">
                <v:path arrowok="t"/>
              </v:shape>
              <v:shape style="position:absolute;left:5240;top:611;width:1760;height:206" type="#_x0000_t202" filled="false" stroked="false">
                <v:textbox inset="0,0,0,0">
                  <w:txbxContent>
                    <w:p>
                      <w:pPr>
                        <w:tabs>
                          <w:tab w:pos="691" w:val="left" w:leader="none"/>
                        </w:tabs>
                        <w:spacing w:before="10"/>
                        <w:ind w:left="113"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$4,118,510.56</w:t>
                      </w:r>
                      <w:r>
                        <w:rPr>
                          <w:rFonts w:ascii="Calibri"/>
                          <w:spacing w:val="1"/>
                          <w:sz w:val="15"/>
                        </w:rPr>
                      </w:r>
                    </w:p>
                  </w:txbxContent>
                </v:textbox>
                <w10:wrap type="none"/>
              </v:shape>
            </v:group>
            <w10:wrap type="none"/>
          </v:group>
        </w:pict>
      </w:r>
      <w:r>
        <w:rPr/>
        <w:pict>
          <v:group style="position:absolute;margin-left:356.789642pt;margin-top:30.332273pt;width:88.45pt;height:10.55pt;mso-position-horizontal-relative:page;mso-position-vertical-relative:paragraph;z-index:-450400" coordorigin="7136,607" coordsize="1769,211">
            <v:group style="position:absolute;left:7140;top:607;width:1760;height:210" coordorigin="7140,607" coordsize="1760,210">
              <v:shape style="position:absolute;left:7140;top:607;width:1760;height:210" coordorigin="7140,607" coordsize="1760,210" path="m7140,817l8900,817,8900,607,7140,607,7140,817xe" filled="true" fillcolor="#fce9d9" stroked="false">
                <v:path arrowok="t"/>
                <v:fill type="solid"/>
              </v:shape>
            </v:group>
            <v:group style="position:absolute;left:7145;top:611;width:1752;height:2" coordorigin="7145,611" coordsize="1752,2">
              <v:shape style="position:absolute;left:7145;top:611;width:1752;height:2" coordorigin="7145,611" coordsize="1752,0" path="m7145,611l8896,611e" filled="false" stroked="true" strokeweight=".436783pt" strokecolor="#000000">
                <v:path arrowok="t"/>
              </v:shape>
            </v:group>
            <v:group style="position:absolute;left:7140;top:611;width:1760;height:2" coordorigin="7140,611" coordsize="1760,2">
              <v:shape style="position:absolute;left:7140;top:611;width:1760;height:2" coordorigin="7140,611" coordsize="1760,0" path="m7140,611l8900,611e" filled="false" stroked="true" strokeweight=".436793pt" strokecolor="#000000">
                <v:path arrowok="t"/>
              </v:shape>
              <v:shape style="position:absolute;left:7140;top:611;width:1760;height:206" type="#_x0000_t202" filled="false" stroked="false">
                <v:textbox inset="0,0,0,0">
                  <w:txbxContent>
                    <w:p>
                      <w:pPr>
                        <w:tabs>
                          <w:tab w:pos="691" w:val="left" w:leader="none"/>
                        </w:tabs>
                        <w:spacing w:before="10"/>
                        <w:ind w:left="113"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$3,985,023.90</w:t>
                      </w:r>
                      <w:r>
                        <w:rPr>
                          <w:rFonts w:ascii="Calibri"/>
                          <w:spacing w:val="1"/>
                          <w:sz w:val="15"/>
                        </w:rPr>
                      </w:r>
                    </w:p>
                  </w:txbxContent>
                </v:textbox>
                <w10:wrap type="none"/>
              </v:shape>
            </v:group>
            <w10:wrap type="none"/>
          </v:group>
        </w:pict>
      </w:r>
      <w:r>
        <w:rPr/>
        <w:pict>
          <v:group style="position:absolute;margin-left:451.789673pt;margin-top:30.332275pt;width:88.45pt;height:10.55pt;mso-position-horizontal-relative:page;mso-position-vertical-relative:paragraph;z-index:-450352" coordorigin="9036,607" coordsize="1769,211">
            <v:group style="position:absolute;left:9040;top:607;width:1760;height:210" coordorigin="9040,607" coordsize="1760,210">
              <v:shape style="position:absolute;left:9040;top:607;width:1760;height:210" coordorigin="9040,607" coordsize="1760,210" path="m9040,817l10800,817,10800,607,9040,607,9040,817xe" filled="true" fillcolor="#fce9d9" stroked="false">
                <v:path arrowok="t"/>
                <v:fill type="solid"/>
              </v:shape>
            </v:group>
            <v:group style="position:absolute;left:9045;top:611;width:1751;height:2" coordorigin="9045,611" coordsize="1751,2">
              <v:shape style="position:absolute;left:9045;top:611;width:1751;height:2" coordorigin="9045,611" coordsize="1751,0" path="m9045,611l10796,611e" filled="false" stroked="true" strokeweight=".436783pt" strokecolor="#000000">
                <v:path arrowok="t"/>
              </v:shape>
            </v:group>
            <v:group style="position:absolute;left:9040;top:611;width:1760;height:2" coordorigin="9040,611" coordsize="1760,2">
              <v:shape style="position:absolute;left:9040;top:611;width:1760;height:2" coordorigin="9040,611" coordsize="1760,0" path="m9040,611l10800,611e" filled="false" stroked="true" strokeweight=".436793pt" strokecolor="#000000">
                <v:path arrowok="t"/>
              </v:shape>
              <v:shape style="position:absolute;left:9040;top:611;width:1760;height:206" type="#_x0000_t202" filled="false" stroked="false">
                <v:textbox inset="0,0,0,0">
                  <w:txbxContent>
                    <w:p>
                      <w:pPr>
                        <w:tabs>
                          <w:tab w:pos="691" w:val="left" w:leader="none"/>
                        </w:tabs>
                        <w:spacing w:before="10"/>
                        <w:ind w:left="113"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$3,853,691.50</w:t>
                      </w:r>
                      <w:r>
                        <w:rPr>
                          <w:rFonts w:ascii="Calibri"/>
                          <w:spacing w:val="1"/>
                          <w:sz w:val="15"/>
                        </w:rPr>
                      </w:r>
                    </w:p>
                  </w:txbxContent>
                </v:textbox>
                <w10:wrap type="none"/>
              </v:shape>
            </v:group>
            <w10:wrap type="none"/>
          </v:group>
        </w:pict>
      </w:r>
      <w:r>
        <w:rPr>
          <w:rFonts w:ascii="Calibri"/>
          <w:spacing w:val="-1"/>
          <w:w w:val="95"/>
          <w:sz w:val="15"/>
        </w:rPr>
        <w:t>I/Y=</w:t>
        <w:tab/>
        <w:tab/>
      </w:r>
      <w:r>
        <w:rPr>
          <w:rFonts w:ascii="Calibri"/>
          <w:spacing w:val="1"/>
          <w:w w:val="95"/>
          <w:sz w:val="15"/>
        </w:rPr>
        <w:t>7.00%</w:t>
        <w:tab/>
      </w:r>
      <w:r>
        <w:rPr>
          <w:rFonts w:ascii="Calibri"/>
          <w:spacing w:val="-1"/>
          <w:w w:val="95"/>
          <w:sz w:val="15"/>
        </w:rPr>
        <w:t>I/Y=</w:t>
        <w:tab/>
        <w:tab/>
      </w:r>
      <w:r>
        <w:rPr>
          <w:rFonts w:ascii="Calibri"/>
          <w:spacing w:val="1"/>
          <w:w w:val="95"/>
          <w:sz w:val="15"/>
        </w:rPr>
        <w:t>6.50%</w:t>
        <w:tab/>
      </w:r>
      <w:r>
        <w:rPr>
          <w:rFonts w:ascii="Calibri"/>
          <w:spacing w:val="-1"/>
          <w:w w:val="95"/>
          <w:sz w:val="15"/>
        </w:rPr>
        <w:t>I/Y=</w:t>
        <w:tab/>
        <w:tab/>
      </w:r>
      <w:r>
        <w:rPr>
          <w:rFonts w:ascii="Calibri"/>
          <w:spacing w:val="1"/>
          <w:w w:val="95"/>
          <w:sz w:val="15"/>
        </w:rPr>
        <w:t>6.00%</w:t>
        <w:tab/>
      </w:r>
      <w:r>
        <w:rPr>
          <w:rFonts w:ascii="Calibri"/>
          <w:spacing w:val="-1"/>
          <w:w w:val="95"/>
          <w:sz w:val="15"/>
        </w:rPr>
        <w:t>I/Y=</w:t>
        <w:tab/>
        <w:tab/>
      </w:r>
      <w:r>
        <w:rPr>
          <w:rFonts w:ascii="Calibri"/>
          <w:spacing w:val="1"/>
          <w:w w:val="95"/>
          <w:sz w:val="15"/>
        </w:rPr>
        <w:t>5.50%</w:t>
        <w:tab/>
      </w:r>
      <w:r>
        <w:rPr>
          <w:rFonts w:ascii="Calibri"/>
          <w:spacing w:val="-1"/>
          <w:w w:val="95"/>
          <w:sz w:val="15"/>
        </w:rPr>
        <w:t>I/Y=</w:t>
        <w:tab/>
        <w:tab/>
      </w:r>
      <w:r>
        <w:rPr>
          <w:rFonts w:ascii="Calibri"/>
          <w:spacing w:val="1"/>
          <w:sz w:val="15"/>
        </w:rPr>
        <w:t>5.00%</w:t>
      </w:r>
      <w:r>
        <w:rPr>
          <w:rFonts w:ascii="Calibri"/>
          <w:sz w:val="15"/>
        </w:rPr>
        <w:t> </w:t>
      </w:r>
      <w:r>
        <w:rPr>
          <w:rFonts w:ascii="Calibri"/>
          <w:sz w:val="15"/>
        </w:rPr>
        <w:t>PV=</w:t>
        <w:tab/>
        <w:t>-$40,000,000</w:t>
        <w:tab/>
        <w:t>PV=</w:t>
        <w:tab/>
        <w:t>-$40,000,000</w:t>
        <w:tab/>
        <w:t>PV=</w:t>
        <w:tab/>
        <w:t>-$40,000,000</w:t>
        <w:tab/>
        <w:t>PV=</w:t>
        <w:tab/>
        <w:t>-$40,000,000</w:t>
        <w:tab/>
        <w:t>PV=</w:t>
        <w:tab/>
        <w:t>-$40,000,000 FV=</w:t>
        <w:tab/>
        <w:tab/>
        <w:t>$0.00</w:t>
        <w:tab/>
        <w:t>FV=</w:t>
        <w:tab/>
        <w:tab/>
        <w:t>$0.00</w:t>
        <w:tab/>
        <w:t>FV=</w:t>
        <w:tab/>
        <w:tab/>
        <w:t>$0.00</w:t>
        <w:tab/>
        <w:t>FV=</w:t>
        <w:tab/>
        <w:tab/>
        <w:t>$0.00</w:t>
        <w:tab/>
        <w:t>FV=</w:t>
        <w:tab/>
        <w:tab/>
        <w:t>$0.00</w:t>
      </w:r>
    </w:p>
    <w:p>
      <w:pPr>
        <w:spacing w:after="0" w:line="264" w:lineRule="auto"/>
        <w:jc w:val="left"/>
        <w:rPr>
          <w:rFonts w:ascii="Calibri" w:hAnsi="Calibri" w:cs="Calibri" w:eastAsia="Calibri" w:hint="default"/>
          <w:sz w:val="15"/>
          <w:szCs w:val="15"/>
        </w:rPr>
        <w:sectPr>
          <w:pgSz w:w="12240" w:h="15840"/>
          <w:pgMar w:header="0" w:footer="533" w:top="840" w:bottom="720" w:left="0" w:right="0"/>
        </w:sectPr>
      </w:pPr>
    </w:p>
    <w:p>
      <w:pPr>
        <w:spacing w:before="192"/>
        <w:ind w:left="1474" w:right="0" w:firstLine="0"/>
        <w:jc w:val="left"/>
        <w:rPr>
          <w:rFonts w:ascii="Calibri" w:hAnsi="Calibri" w:cs="Calibri" w:eastAsia="Calibri" w:hint="default"/>
          <w:sz w:val="15"/>
          <w:szCs w:val="15"/>
        </w:rPr>
      </w:pPr>
      <w:r>
        <w:rPr>
          <w:rFonts w:ascii="Calibri"/>
          <w:b/>
          <w:color w:val="528DD4"/>
          <w:sz w:val="15"/>
        </w:rPr>
        <w:t>20-year payment</w:t>
      </w:r>
      <w:r>
        <w:rPr>
          <w:rFonts w:ascii="Calibri"/>
          <w:b/>
          <w:color w:val="528DD4"/>
          <w:spacing w:val="-18"/>
          <w:sz w:val="15"/>
        </w:rPr>
        <w:t> </w:t>
      </w:r>
      <w:r>
        <w:rPr>
          <w:rFonts w:ascii="Calibri"/>
          <w:b/>
          <w:color w:val="528DD4"/>
          <w:sz w:val="15"/>
        </w:rPr>
        <w:t>schedule</w:t>
      </w:r>
      <w:r>
        <w:rPr>
          <w:rFonts w:ascii="Calibri"/>
          <w:sz w:val="15"/>
        </w:rPr>
      </w:r>
    </w:p>
    <w:p>
      <w:pPr>
        <w:tabs>
          <w:tab w:pos="1720" w:val="left" w:leader="none"/>
          <w:tab w:pos="3199" w:val="left" w:leader="none"/>
          <w:tab w:pos="3620" w:val="left" w:leader="none"/>
          <w:tab w:pos="5100" w:val="left" w:leader="none"/>
          <w:tab w:pos="5520" w:val="left" w:leader="none"/>
          <w:tab w:pos="6999" w:val="left" w:leader="none"/>
        </w:tabs>
        <w:spacing w:before="27"/>
        <w:ind w:left="1440" w:right="0" w:firstLine="0"/>
        <w:jc w:val="left"/>
        <w:rPr>
          <w:rFonts w:ascii="Calibri" w:hAnsi="Calibri" w:cs="Calibri" w:eastAsia="Calibri" w:hint="default"/>
          <w:sz w:val="15"/>
          <w:szCs w:val="15"/>
        </w:rPr>
      </w:pPr>
      <w:r>
        <w:rPr>
          <w:rFonts w:ascii="Calibri"/>
          <w:i/>
          <w:w w:val="99"/>
          <w:sz w:val="15"/>
        </w:rPr>
      </w:r>
      <w:r>
        <w:rPr>
          <w:rFonts w:ascii="Calibri"/>
          <w:i/>
          <w:w w:val="99"/>
          <w:sz w:val="15"/>
          <w:u w:val="single" w:color="000000"/>
        </w:rPr>
        <w:t> </w:t>
      </w:r>
      <w:r>
        <w:rPr>
          <w:rFonts w:ascii="Calibri"/>
          <w:i/>
          <w:sz w:val="15"/>
          <w:u w:val="single" w:color="000000"/>
        </w:rPr>
        <w:tab/>
        <w:t>7.00%</w:t>
      </w:r>
      <w:r>
        <w:rPr>
          <w:rFonts w:ascii="Calibri"/>
          <w:i/>
          <w:spacing w:val="1"/>
          <w:sz w:val="15"/>
          <w:u w:val="single" w:color="000000"/>
        </w:rPr>
        <w:t> </w:t>
      </w:r>
      <w:r>
        <w:rPr>
          <w:rFonts w:ascii="Calibri"/>
          <w:i/>
          <w:sz w:val="15"/>
          <w:u w:val="single" w:color="000000"/>
        </w:rPr>
        <w:t>interest</w:t>
      </w:r>
      <w:r>
        <w:rPr>
          <w:rFonts w:ascii="Calibri"/>
          <w:i/>
          <w:spacing w:val="6"/>
          <w:sz w:val="15"/>
          <w:u w:val="single" w:color="000000"/>
        </w:rPr>
        <w:t> </w:t>
      </w:r>
      <w:r>
        <w:rPr>
          <w:rFonts w:ascii="Calibri"/>
          <w:i/>
          <w:sz w:val="15"/>
          <w:u w:val="single" w:color="000000"/>
        </w:rPr>
        <w:t>rate</w:t>
        <w:tab/>
      </w:r>
      <w:r>
        <w:rPr>
          <w:rFonts w:ascii="Calibri"/>
          <w:i/>
          <w:sz w:val="15"/>
        </w:rPr>
      </w:r>
      <w:r>
        <w:rPr>
          <w:rFonts w:ascii="Calibri"/>
          <w:i/>
          <w:sz w:val="15"/>
          <w:u w:val="single" w:color="000000"/>
        </w:rPr>
        <w:t> </w:t>
        <w:tab/>
        <w:t>6.50%</w:t>
      </w:r>
      <w:r>
        <w:rPr>
          <w:rFonts w:ascii="Calibri"/>
          <w:i/>
          <w:spacing w:val="1"/>
          <w:sz w:val="15"/>
          <w:u w:val="single" w:color="000000"/>
        </w:rPr>
        <w:t> </w:t>
      </w:r>
      <w:r>
        <w:rPr>
          <w:rFonts w:ascii="Calibri"/>
          <w:i/>
          <w:sz w:val="15"/>
          <w:u w:val="single" w:color="000000"/>
        </w:rPr>
        <w:t>interest</w:t>
      </w:r>
      <w:r>
        <w:rPr>
          <w:rFonts w:ascii="Calibri"/>
          <w:i/>
          <w:spacing w:val="6"/>
          <w:sz w:val="15"/>
          <w:u w:val="single" w:color="000000"/>
        </w:rPr>
        <w:t> </w:t>
      </w:r>
      <w:r>
        <w:rPr>
          <w:rFonts w:ascii="Calibri"/>
          <w:i/>
          <w:sz w:val="15"/>
          <w:u w:val="single" w:color="000000"/>
        </w:rPr>
        <w:t>rate</w:t>
        <w:tab/>
      </w:r>
      <w:r>
        <w:rPr>
          <w:rFonts w:ascii="Calibri"/>
          <w:i/>
          <w:sz w:val="15"/>
        </w:rPr>
      </w:r>
      <w:r>
        <w:rPr>
          <w:rFonts w:ascii="Calibri"/>
          <w:i/>
          <w:sz w:val="15"/>
          <w:u w:val="single" w:color="000000"/>
        </w:rPr>
        <w:t> </w:t>
        <w:tab/>
        <w:t>6.00% interest</w:t>
      </w:r>
      <w:r>
        <w:rPr>
          <w:rFonts w:ascii="Calibri"/>
          <w:i/>
          <w:spacing w:val="8"/>
          <w:sz w:val="15"/>
          <w:u w:val="single" w:color="000000"/>
        </w:rPr>
        <w:t> </w:t>
      </w:r>
      <w:r>
        <w:rPr>
          <w:rFonts w:ascii="Calibri"/>
          <w:i/>
          <w:sz w:val="15"/>
          <w:u w:val="single" w:color="000000"/>
        </w:rPr>
        <w:t>rate</w:t>
        <w:tab/>
      </w:r>
      <w:r>
        <w:rPr>
          <w:rFonts w:ascii="Calibri"/>
          <w:i/>
          <w:sz w:val="15"/>
        </w:rPr>
      </w:r>
      <w:r>
        <w:rPr>
          <w:rFonts w:ascii="Calibri"/>
          <w:sz w:val="15"/>
        </w:rPr>
      </w:r>
    </w:p>
    <w:p>
      <w:pPr>
        <w:tabs>
          <w:tab w:pos="380" w:val="left" w:leader="none"/>
          <w:tab w:pos="1860" w:val="left" w:leader="none"/>
          <w:tab w:pos="2280" w:val="left" w:leader="none"/>
          <w:tab w:pos="3759" w:val="left" w:leader="none"/>
        </w:tabs>
        <w:spacing w:before="402"/>
        <w:ind w:left="100" w:right="0" w:firstLine="0"/>
        <w:jc w:val="left"/>
        <w:rPr>
          <w:rFonts w:ascii="Calibri" w:hAnsi="Calibri" w:cs="Calibri" w:eastAsia="Calibri" w:hint="default"/>
          <w:sz w:val="15"/>
          <w:szCs w:val="15"/>
        </w:rPr>
      </w:pPr>
      <w:r>
        <w:rPr/>
        <w:br w:type="column"/>
      </w:r>
      <w:r>
        <w:rPr>
          <w:rFonts w:ascii="Calibri"/>
          <w:i/>
          <w:w w:val="99"/>
          <w:sz w:val="15"/>
        </w:rPr>
      </w:r>
      <w:r>
        <w:rPr>
          <w:rFonts w:ascii="Calibri"/>
          <w:i/>
          <w:w w:val="99"/>
          <w:sz w:val="15"/>
          <w:u w:val="single" w:color="000000"/>
        </w:rPr>
        <w:t> </w:t>
      </w:r>
      <w:r>
        <w:rPr>
          <w:rFonts w:ascii="Calibri"/>
          <w:i/>
          <w:sz w:val="15"/>
          <w:u w:val="single" w:color="000000"/>
        </w:rPr>
        <w:tab/>
      </w:r>
      <w:r>
        <w:rPr>
          <w:rFonts w:ascii="Calibri"/>
          <w:i/>
          <w:spacing w:val="3"/>
          <w:w w:val="99"/>
          <w:sz w:val="15"/>
          <w:u w:val="single" w:color="000000"/>
        </w:rPr>
        <w:t>5</w:t>
      </w:r>
      <w:r>
        <w:rPr>
          <w:rFonts w:ascii="Calibri"/>
          <w:i/>
          <w:spacing w:val="-3"/>
          <w:w w:val="99"/>
          <w:sz w:val="15"/>
          <w:u w:val="single" w:color="000000"/>
        </w:rPr>
        <w:t>.</w:t>
      </w:r>
      <w:r>
        <w:rPr>
          <w:rFonts w:ascii="Calibri"/>
          <w:i/>
          <w:spacing w:val="3"/>
          <w:w w:val="99"/>
          <w:sz w:val="15"/>
          <w:u w:val="single" w:color="000000"/>
        </w:rPr>
        <w:t>50</w:t>
      </w:r>
      <w:r>
        <w:rPr>
          <w:rFonts w:ascii="Calibri"/>
          <w:i/>
          <w:w w:val="99"/>
          <w:sz w:val="15"/>
          <w:u w:val="single" w:color="000000"/>
        </w:rPr>
        <w:t>%</w:t>
      </w:r>
      <w:r>
        <w:rPr>
          <w:rFonts w:ascii="Calibri"/>
          <w:i/>
          <w:spacing w:val="-1"/>
          <w:sz w:val="15"/>
          <w:u w:val="single" w:color="000000"/>
        </w:rPr>
        <w:t> </w:t>
      </w:r>
      <w:r>
        <w:rPr>
          <w:rFonts w:ascii="Calibri"/>
          <w:i/>
          <w:w w:val="99"/>
          <w:sz w:val="15"/>
          <w:u w:val="single" w:color="000000"/>
        </w:rPr>
        <w:t>i</w:t>
      </w:r>
      <w:r>
        <w:rPr>
          <w:rFonts w:ascii="Calibri"/>
          <w:i/>
          <w:spacing w:val="1"/>
          <w:w w:val="99"/>
          <w:sz w:val="15"/>
          <w:u w:val="single" w:color="000000"/>
        </w:rPr>
        <w:t>n</w:t>
      </w:r>
      <w:r>
        <w:rPr>
          <w:rFonts w:ascii="Calibri"/>
          <w:i/>
          <w:spacing w:val="2"/>
          <w:w w:val="99"/>
          <w:sz w:val="15"/>
          <w:u w:val="single" w:color="000000"/>
        </w:rPr>
        <w:t>t</w:t>
      </w:r>
      <w:r>
        <w:rPr>
          <w:rFonts w:ascii="Calibri"/>
          <w:i/>
          <w:spacing w:val="-2"/>
          <w:w w:val="99"/>
          <w:sz w:val="15"/>
          <w:u w:val="single" w:color="000000"/>
        </w:rPr>
        <w:t>e</w:t>
      </w:r>
      <w:r>
        <w:rPr>
          <w:rFonts w:ascii="Calibri"/>
          <w:i/>
          <w:spacing w:val="1"/>
          <w:w w:val="99"/>
          <w:sz w:val="15"/>
          <w:u w:val="single" w:color="000000"/>
        </w:rPr>
        <w:t>r</w:t>
      </w:r>
      <w:r>
        <w:rPr>
          <w:rFonts w:ascii="Calibri"/>
          <w:i/>
          <w:spacing w:val="-2"/>
          <w:w w:val="99"/>
          <w:sz w:val="15"/>
          <w:u w:val="single" w:color="000000"/>
        </w:rPr>
        <w:t>e</w:t>
      </w:r>
      <w:r>
        <w:rPr>
          <w:rFonts w:ascii="Calibri"/>
          <w:i/>
          <w:spacing w:val="3"/>
          <w:w w:val="99"/>
          <w:sz w:val="15"/>
          <w:u w:val="single" w:color="000000"/>
        </w:rPr>
        <w:t>s</w:t>
      </w:r>
      <w:r>
        <w:rPr>
          <w:rFonts w:ascii="Calibri"/>
          <w:i/>
          <w:w w:val="99"/>
          <w:sz w:val="15"/>
          <w:u w:val="single" w:color="000000"/>
        </w:rPr>
        <w:t>t</w:t>
      </w:r>
      <w:r>
        <w:rPr>
          <w:rFonts w:ascii="Calibri"/>
          <w:i/>
          <w:spacing w:val="3"/>
          <w:sz w:val="15"/>
          <w:u w:val="single" w:color="000000"/>
        </w:rPr>
        <w:t> </w:t>
      </w:r>
      <w:r>
        <w:rPr>
          <w:rFonts w:ascii="Calibri"/>
          <w:i/>
          <w:spacing w:val="1"/>
          <w:w w:val="99"/>
          <w:sz w:val="15"/>
          <w:u w:val="single" w:color="000000"/>
        </w:rPr>
        <w:t>ra</w:t>
      </w:r>
      <w:r>
        <w:rPr>
          <w:rFonts w:ascii="Calibri"/>
          <w:i/>
          <w:spacing w:val="2"/>
          <w:w w:val="99"/>
          <w:sz w:val="15"/>
          <w:u w:val="single" w:color="000000"/>
        </w:rPr>
        <w:t>t</w:t>
      </w:r>
      <w:r>
        <w:rPr>
          <w:rFonts w:ascii="Calibri"/>
          <w:i/>
          <w:w w:val="99"/>
          <w:sz w:val="15"/>
          <w:u w:val="single" w:color="000000"/>
        </w:rPr>
        <w:t>e</w:t>
      </w:r>
      <w:r>
        <w:rPr>
          <w:rFonts w:ascii="Calibri"/>
          <w:i/>
          <w:sz w:val="15"/>
          <w:u w:val="single" w:color="000000"/>
        </w:rPr>
        <w:tab/>
      </w:r>
      <w:r>
        <w:rPr>
          <w:rFonts w:ascii="Calibri"/>
          <w:i/>
          <w:sz w:val="15"/>
        </w:rPr>
        <w:t>   </w:t>
      </w:r>
      <w:r>
        <w:rPr>
          <w:rFonts w:ascii="Calibri"/>
          <w:i/>
          <w:spacing w:val="4"/>
          <w:sz w:val="15"/>
        </w:rPr>
        <w:t> </w:t>
      </w:r>
      <w:r>
        <w:rPr>
          <w:rFonts w:ascii="Calibri"/>
          <w:i/>
          <w:spacing w:val="4"/>
          <w:w w:val="99"/>
          <w:sz w:val="15"/>
        </w:rPr>
      </w:r>
      <w:r>
        <w:rPr>
          <w:rFonts w:ascii="Calibri"/>
          <w:i/>
          <w:w w:val="99"/>
          <w:sz w:val="15"/>
          <w:u w:val="single" w:color="000000"/>
        </w:rPr>
        <w:t> </w:t>
      </w:r>
      <w:r>
        <w:rPr>
          <w:rFonts w:ascii="Calibri"/>
          <w:i/>
          <w:sz w:val="15"/>
          <w:u w:val="single" w:color="000000"/>
        </w:rPr>
        <w:tab/>
      </w:r>
      <w:r>
        <w:rPr>
          <w:rFonts w:ascii="Calibri"/>
          <w:i/>
          <w:spacing w:val="3"/>
          <w:w w:val="99"/>
          <w:sz w:val="15"/>
          <w:u w:val="single" w:color="000000"/>
        </w:rPr>
        <w:t>5</w:t>
      </w:r>
      <w:r>
        <w:rPr>
          <w:rFonts w:ascii="Calibri"/>
          <w:i/>
          <w:spacing w:val="-3"/>
          <w:w w:val="99"/>
          <w:sz w:val="15"/>
          <w:u w:val="single" w:color="000000"/>
        </w:rPr>
        <w:t>.</w:t>
      </w:r>
      <w:r>
        <w:rPr>
          <w:rFonts w:ascii="Calibri"/>
          <w:i/>
          <w:spacing w:val="3"/>
          <w:w w:val="99"/>
          <w:sz w:val="15"/>
          <w:u w:val="single" w:color="000000"/>
        </w:rPr>
        <w:t>00</w:t>
      </w:r>
      <w:r>
        <w:rPr>
          <w:rFonts w:ascii="Calibri"/>
          <w:i/>
          <w:w w:val="99"/>
          <w:sz w:val="15"/>
          <w:u w:val="single" w:color="000000"/>
        </w:rPr>
        <w:t>%</w:t>
      </w:r>
      <w:r>
        <w:rPr>
          <w:rFonts w:ascii="Calibri"/>
          <w:i/>
          <w:spacing w:val="-1"/>
          <w:sz w:val="15"/>
          <w:u w:val="single" w:color="000000"/>
        </w:rPr>
        <w:t> </w:t>
      </w:r>
      <w:r>
        <w:rPr>
          <w:rFonts w:ascii="Calibri"/>
          <w:i/>
          <w:w w:val="99"/>
          <w:sz w:val="15"/>
          <w:u w:val="single" w:color="000000"/>
        </w:rPr>
        <w:t>i</w:t>
      </w:r>
      <w:r>
        <w:rPr>
          <w:rFonts w:ascii="Calibri"/>
          <w:i/>
          <w:spacing w:val="1"/>
          <w:w w:val="99"/>
          <w:sz w:val="15"/>
          <w:u w:val="single" w:color="000000"/>
        </w:rPr>
        <w:t>n</w:t>
      </w:r>
      <w:r>
        <w:rPr>
          <w:rFonts w:ascii="Calibri"/>
          <w:i/>
          <w:spacing w:val="2"/>
          <w:w w:val="99"/>
          <w:sz w:val="15"/>
          <w:u w:val="single" w:color="000000"/>
        </w:rPr>
        <w:t>t</w:t>
      </w:r>
      <w:r>
        <w:rPr>
          <w:rFonts w:ascii="Calibri"/>
          <w:i/>
          <w:spacing w:val="-2"/>
          <w:w w:val="99"/>
          <w:sz w:val="15"/>
          <w:u w:val="single" w:color="000000"/>
        </w:rPr>
        <w:t>e</w:t>
      </w:r>
      <w:r>
        <w:rPr>
          <w:rFonts w:ascii="Calibri"/>
          <w:i/>
          <w:spacing w:val="1"/>
          <w:w w:val="99"/>
          <w:sz w:val="15"/>
          <w:u w:val="single" w:color="000000"/>
        </w:rPr>
        <w:t>r</w:t>
      </w:r>
      <w:r>
        <w:rPr>
          <w:rFonts w:ascii="Calibri"/>
          <w:i/>
          <w:spacing w:val="-2"/>
          <w:w w:val="99"/>
          <w:sz w:val="15"/>
          <w:u w:val="single" w:color="000000"/>
        </w:rPr>
        <w:t>e</w:t>
      </w:r>
      <w:r>
        <w:rPr>
          <w:rFonts w:ascii="Calibri"/>
          <w:i/>
          <w:spacing w:val="3"/>
          <w:w w:val="99"/>
          <w:sz w:val="15"/>
          <w:u w:val="single" w:color="000000"/>
        </w:rPr>
        <w:t>s</w:t>
      </w:r>
      <w:r>
        <w:rPr>
          <w:rFonts w:ascii="Calibri"/>
          <w:i/>
          <w:w w:val="99"/>
          <w:sz w:val="15"/>
          <w:u w:val="single" w:color="000000"/>
        </w:rPr>
        <w:t>t</w:t>
      </w:r>
      <w:r>
        <w:rPr>
          <w:rFonts w:ascii="Calibri"/>
          <w:i/>
          <w:spacing w:val="3"/>
          <w:sz w:val="15"/>
          <w:u w:val="single" w:color="000000"/>
        </w:rPr>
        <w:t> </w:t>
      </w:r>
      <w:r>
        <w:rPr>
          <w:rFonts w:ascii="Calibri"/>
          <w:i/>
          <w:spacing w:val="1"/>
          <w:w w:val="99"/>
          <w:sz w:val="15"/>
          <w:u w:val="single" w:color="000000"/>
        </w:rPr>
        <w:t>ra</w:t>
      </w:r>
      <w:r>
        <w:rPr>
          <w:rFonts w:ascii="Calibri"/>
          <w:i/>
          <w:spacing w:val="2"/>
          <w:w w:val="99"/>
          <w:sz w:val="15"/>
          <w:u w:val="single" w:color="000000"/>
        </w:rPr>
        <w:t>t</w:t>
      </w:r>
      <w:r>
        <w:rPr>
          <w:rFonts w:ascii="Calibri"/>
          <w:i/>
          <w:w w:val="99"/>
          <w:sz w:val="15"/>
          <w:u w:val="single" w:color="000000"/>
        </w:rPr>
        <w:t>e</w:t>
      </w:r>
      <w:r>
        <w:rPr>
          <w:rFonts w:ascii="Calibri"/>
          <w:i/>
          <w:sz w:val="15"/>
          <w:u w:val="single" w:color="000000"/>
        </w:rPr>
        <w:tab/>
      </w:r>
      <w:r>
        <w:rPr>
          <w:rFonts w:ascii="Calibri"/>
          <w:i/>
          <w:sz w:val="15"/>
        </w:rPr>
      </w:r>
      <w:r>
        <w:rPr>
          <w:rFonts w:ascii="Calibri"/>
          <w:sz w:val="15"/>
        </w:rPr>
      </w:r>
    </w:p>
    <w:p>
      <w:pPr>
        <w:spacing w:after="0"/>
        <w:jc w:val="left"/>
        <w:rPr>
          <w:rFonts w:ascii="Calibri" w:hAnsi="Calibri" w:cs="Calibri" w:eastAsia="Calibri" w:hint="default"/>
          <w:sz w:val="15"/>
          <w:szCs w:val="15"/>
        </w:rPr>
        <w:sectPr>
          <w:type w:val="continuous"/>
          <w:pgSz w:w="12240" w:h="15840"/>
          <w:pgMar w:top="1500" w:bottom="280" w:left="0" w:right="0"/>
          <w:cols w:num="2" w:equalWidth="0">
            <w:col w:w="7000" w:space="40"/>
            <w:col w:w="5200"/>
          </w:cols>
        </w:sectPr>
      </w:pPr>
    </w:p>
    <w:p>
      <w:pPr>
        <w:tabs>
          <w:tab w:pos="2508" w:val="left" w:leader="none"/>
          <w:tab w:pos="3550" w:val="left" w:leader="none"/>
          <w:tab w:pos="4425" w:val="left" w:leader="none"/>
          <w:tab w:pos="5450" w:val="left" w:leader="none"/>
          <w:tab w:pos="6325" w:val="left" w:leader="none"/>
          <w:tab w:pos="7350" w:val="left" w:leader="none"/>
          <w:tab w:pos="8225" w:val="left" w:leader="none"/>
          <w:tab w:pos="9250" w:val="left" w:leader="none"/>
          <w:tab w:pos="10283" w:val="right" w:leader="none"/>
        </w:tabs>
        <w:spacing w:before="18"/>
        <w:ind w:left="1650" w:right="0" w:firstLine="0"/>
        <w:jc w:val="left"/>
        <w:rPr>
          <w:rFonts w:ascii="Calibri" w:hAnsi="Calibri" w:cs="Calibri" w:eastAsia="Calibri" w:hint="default"/>
          <w:sz w:val="15"/>
          <w:szCs w:val="15"/>
        </w:rPr>
      </w:pPr>
      <w:r>
        <w:rPr>
          <w:rFonts w:ascii="Calibri"/>
          <w:b/>
          <w:spacing w:val="-1"/>
          <w:w w:val="95"/>
          <w:sz w:val="15"/>
        </w:rPr>
        <w:t>N=</w:t>
        <w:tab/>
      </w:r>
      <w:r>
        <w:rPr>
          <w:rFonts w:ascii="Calibri"/>
          <w:b/>
          <w:spacing w:val="1"/>
          <w:sz w:val="15"/>
        </w:rPr>
        <w:t>20</w:t>
        <w:tab/>
      </w:r>
      <w:r>
        <w:rPr>
          <w:rFonts w:ascii="Calibri"/>
          <w:b/>
          <w:spacing w:val="-1"/>
          <w:w w:val="95"/>
          <w:sz w:val="15"/>
        </w:rPr>
        <w:t>N=</w:t>
        <w:tab/>
      </w:r>
      <w:r>
        <w:rPr>
          <w:rFonts w:ascii="Calibri"/>
          <w:b/>
          <w:spacing w:val="1"/>
          <w:sz w:val="15"/>
        </w:rPr>
        <w:t>20</w:t>
        <w:tab/>
      </w:r>
      <w:r>
        <w:rPr>
          <w:rFonts w:ascii="Calibri"/>
          <w:b/>
          <w:spacing w:val="-1"/>
          <w:w w:val="95"/>
          <w:sz w:val="15"/>
        </w:rPr>
        <w:t>N=</w:t>
        <w:tab/>
      </w:r>
      <w:r>
        <w:rPr>
          <w:rFonts w:ascii="Calibri"/>
          <w:b/>
          <w:spacing w:val="1"/>
          <w:sz w:val="15"/>
        </w:rPr>
        <w:t>20</w:t>
        <w:tab/>
      </w:r>
      <w:r>
        <w:rPr>
          <w:rFonts w:ascii="Calibri"/>
          <w:b/>
          <w:spacing w:val="-1"/>
          <w:w w:val="95"/>
          <w:sz w:val="15"/>
        </w:rPr>
        <w:t>N=</w:t>
        <w:tab/>
      </w:r>
      <w:r>
        <w:rPr>
          <w:rFonts w:ascii="Calibri"/>
          <w:b/>
          <w:spacing w:val="1"/>
          <w:sz w:val="15"/>
        </w:rPr>
        <w:t>20</w:t>
        <w:tab/>
      </w:r>
      <w:r>
        <w:rPr>
          <w:rFonts w:ascii="Calibri"/>
          <w:b/>
          <w:spacing w:val="-2"/>
          <w:sz w:val="15"/>
        </w:rPr>
        <w:t>N=</w:t>
        <w:tab/>
      </w:r>
      <w:r>
        <w:rPr>
          <w:rFonts w:ascii="Calibri"/>
          <w:b/>
          <w:spacing w:val="3"/>
          <w:sz w:val="15"/>
        </w:rPr>
        <w:t>20</w:t>
      </w:r>
      <w:r>
        <w:rPr>
          <w:rFonts w:ascii="Calibri"/>
          <w:sz w:val="15"/>
        </w:rPr>
      </w:r>
    </w:p>
    <w:p>
      <w:pPr>
        <w:tabs>
          <w:tab w:pos="2192" w:val="left" w:leader="none"/>
          <w:tab w:pos="2412" w:val="left" w:leader="none"/>
          <w:tab w:pos="3515" w:val="left" w:leader="none"/>
          <w:tab w:pos="4093" w:val="left" w:leader="none"/>
          <w:tab w:pos="4311" w:val="left" w:leader="none"/>
          <w:tab w:pos="5415" w:val="left" w:leader="none"/>
          <w:tab w:pos="5993" w:val="left" w:leader="none"/>
          <w:tab w:pos="6211" w:val="left" w:leader="none"/>
          <w:tab w:pos="7315" w:val="left" w:leader="none"/>
          <w:tab w:pos="7893" w:val="left" w:leader="none"/>
          <w:tab w:pos="8111" w:val="left" w:leader="none"/>
          <w:tab w:pos="9215" w:val="left" w:leader="none"/>
          <w:tab w:pos="9793" w:val="left" w:leader="none"/>
          <w:tab w:pos="10011" w:val="left" w:leader="none"/>
        </w:tabs>
        <w:spacing w:line="264" w:lineRule="auto" w:before="18"/>
        <w:ind w:left="1614" w:right="1626" w:firstLine="0"/>
        <w:jc w:val="left"/>
        <w:rPr>
          <w:rFonts w:ascii="Calibri" w:hAnsi="Calibri" w:cs="Calibri" w:eastAsia="Calibri" w:hint="default"/>
          <w:sz w:val="15"/>
          <w:szCs w:val="15"/>
        </w:rPr>
      </w:pPr>
      <w:r>
        <w:rPr/>
        <w:pict>
          <v:group style="position:absolute;margin-left:71.775002pt;margin-top:30.346813pt;width:88.5pt;height:10.5pt;mso-position-horizontal-relative:page;mso-position-vertical-relative:paragraph;z-index:-450304" coordorigin="1436,607" coordsize="1770,210">
            <v:group style="position:absolute;left:1449;top:607;width:1752;height:210" coordorigin="1449,607" coordsize="1752,210">
              <v:shape style="position:absolute;left:1449;top:607;width:1752;height:210" coordorigin="1449,607" coordsize="1752,210" path="m1449,607l1449,817,3200,817,3200,607,1449,607xe" filled="true" fillcolor="#fce9d9" stroked="false">
                <v:path arrowok="t"/>
                <v:fill type="solid"/>
              </v:shape>
            </v:group>
            <v:group style="position:absolute;left:1444;top:611;width:1752;height:2" coordorigin="1444,611" coordsize="1752,2">
              <v:shape style="position:absolute;left:1444;top:611;width:1752;height:2" coordorigin="1444,611" coordsize="1752,0" path="m1444,611l3196,611e" filled="false" stroked="true" strokeweight=".436783pt" strokecolor="#000000">
                <v:path arrowok="t"/>
              </v:shape>
            </v:group>
            <v:group style="position:absolute;left:1440;top:611;width:1761;height:2" coordorigin="1440,611" coordsize="1761,2">
              <v:shape style="position:absolute;left:1440;top:611;width:1761;height:2" coordorigin="1440,611" coordsize="1761,0" path="m1440,611l3200,611e" filled="false" stroked="true" strokeweight=".436793pt" strokecolor="#000000">
                <v:path arrowok="t"/>
              </v:shape>
              <v:shape style="position:absolute;left:1449;top:611;width:1752;height:206" type="#_x0000_t202" filled="false" stroked="false">
                <v:textbox inset="0,0,0,0">
                  <w:txbxContent>
                    <w:p>
                      <w:pPr>
                        <w:tabs>
                          <w:tab w:pos="682" w:val="left" w:leader="none"/>
                        </w:tabs>
                        <w:spacing w:before="10"/>
                        <w:ind w:left="104"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$3,775,717.03</w:t>
                      </w:r>
                      <w:r>
                        <w:rPr>
                          <w:rFonts w:ascii="Calibri"/>
                          <w:spacing w:val="1"/>
                          <w:sz w:val="15"/>
                        </w:rPr>
                      </w:r>
                    </w:p>
                  </w:txbxContent>
                </v:textbox>
                <w10:wrap type="none"/>
              </v:shape>
            </v:group>
            <w10:wrap type="none"/>
          </v:group>
        </w:pict>
      </w:r>
      <w:r>
        <w:rPr/>
        <w:pict>
          <v:group style="position:absolute;margin-left:166.782303pt;margin-top:30.346817pt;width:88.5pt;height:10.5pt;mso-position-horizontal-relative:page;mso-position-vertical-relative:paragraph;z-index:-450256" coordorigin="3336,607" coordsize="1770,210">
            <v:group style="position:absolute;left:3340;top:607;width:1761;height:210" coordorigin="3340,607" coordsize="1761,210">
              <v:shape style="position:absolute;left:3340;top:607;width:1761;height:210" coordorigin="3340,607" coordsize="1761,210" path="m3340,817l5100,817,5100,607,3340,607,3340,817xe" filled="true" fillcolor="#fce9d9" stroked="false">
                <v:path arrowok="t"/>
                <v:fill type="solid"/>
              </v:shape>
            </v:group>
            <v:group style="position:absolute;left:3345;top:611;width:1751;height:2" coordorigin="3345,611" coordsize="1751,2">
              <v:shape style="position:absolute;left:3345;top:611;width:1751;height:2" coordorigin="3345,611" coordsize="1751,0" path="m3345,611l5096,611e" filled="false" stroked="true" strokeweight=".436783pt" strokecolor="#000000">
                <v:path arrowok="t"/>
              </v:shape>
            </v:group>
            <v:group style="position:absolute;left:3340;top:611;width:1761;height:2" coordorigin="3340,611" coordsize="1761,2">
              <v:shape style="position:absolute;left:3340;top:611;width:1761;height:2" coordorigin="3340,611" coordsize="1761,0" path="m3340,611l5100,611e" filled="false" stroked="true" strokeweight=".436793pt" strokecolor="#000000">
                <v:path arrowok="t"/>
              </v:shape>
              <v:shape style="position:absolute;left:3340;top:611;width:1761;height:206" type="#_x0000_t202" filled="false" stroked="false">
                <v:textbox inset="0,0,0,0">
                  <w:txbxContent>
                    <w:p>
                      <w:pPr>
                        <w:tabs>
                          <w:tab w:pos="691" w:val="left" w:leader="none"/>
                        </w:tabs>
                        <w:spacing w:before="10"/>
                        <w:ind w:left="113"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$3,630,255.81</w:t>
                      </w:r>
                      <w:r>
                        <w:rPr>
                          <w:rFonts w:ascii="Calibri"/>
                          <w:spacing w:val="1"/>
                          <w:sz w:val="15"/>
                        </w:rPr>
                      </w:r>
                    </w:p>
                  </w:txbxContent>
                </v:textbox>
                <w10:wrap type="none"/>
              </v:shape>
            </v:group>
            <w10:wrap type="none"/>
          </v:group>
        </w:pict>
      </w:r>
      <w:r>
        <w:rPr/>
        <w:pict>
          <v:group style="position:absolute;margin-left:261.782318pt;margin-top:30.346819pt;width:88.45pt;height:10.5pt;mso-position-horizontal-relative:page;mso-position-vertical-relative:paragraph;z-index:-450208" coordorigin="5236,607" coordsize="1769,210">
            <v:group style="position:absolute;left:5240;top:607;width:1760;height:210" coordorigin="5240,607" coordsize="1760,210">
              <v:shape style="position:absolute;left:5240;top:607;width:1760;height:210" coordorigin="5240,607" coordsize="1760,210" path="m5240,817l7000,817,7000,607,5240,607,5240,817xe" filled="true" fillcolor="#fce9d9" stroked="false">
                <v:path arrowok="t"/>
                <v:fill type="solid"/>
              </v:shape>
            </v:group>
            <v:group style="position:absolute;left:5245;top:611;width:1751;height:2" coordorigin="5245,611" coordsize="1751,2">
              <v:shape style="position:absolute;left:5245;top:611;width:1751;height:2" coordorigin="5245,611" coordsize="1751,0" path="m5245,611l6996,611e" filled="false" stroked="true" strokeweight=".436783pt" strokecolor="#000000">
                <v:path arrowok="t"/>
              </v:shape>
            </v:group>
            <v:group style="position:absolute;left:5240;top:611;width:1760;height:2" coordorigin="5240,611" coordsize="1760,2">
              <v:shape style="position:absolute;left:5240;top:611;width:1760;height:2" coordorigin="5240,611" coordsize="1760,0" path="m5240,611l7000,611e" filled="false" stroked="true" strokeweight=".436793pt" strokecolor="#000000">
                <v:path arrowok="t"/>
              </v:shape>
              <v:shape style="position:absolute;left:5240;top:611;width:1760;height:206" type="#_x0000_t202" filled="false" stroked="false">
                <v:textbox inset="0,0,0,0">
                  <w:txbxContent>
                    <w:p>
                      <w:pPr>
                        <w:tabs>
                          <w:tab w:pos="691" w:val="left" w:leader="none"/>
                        </w:tabs>
                        <w:spacing w:before="10"/>
                        <w:ind w:left="113"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$3,487,382.28</w:t>
                      </w:r>
                      <w:r>
                        <w:rPr>
                          <w:rFonts w:ascii="Calibri"/>
                          <w:spacing w:val="1"/>
                          <w:sz w:val="15"/>
                        </w:rPr>
                      </w:r>
                    </w:p>
                  </w:txbxContent>
                </v:textbox>
                <w10:wrap type="none"/>
              </v:shape>
            </v:group>
            <w10:wrap type="none"/>
          </v:group>
        </w:pict>
      </w:r>
      <w:r>
        <w:rPr/>
        <w:pict>
          <v:group style="position:absolute;margin-left:356.789642pt;margin-top:30.346823pt;width:88.45pt;height:10.5pt;mso-position-horizontal-relative:page;mso-position-vertical-relative:paragraph;z-index:-450160" coordorigin="7136,607" coordsize="1769,210">
            <v:group style="position:absolute;left:7140;top:607;width:1760;height:210" coordorigin="7140,607" coordsize="1760,210">
              <v:shape style="position:absolute;left:7140;top:607;width:1760;height:210" coordorigin="7140,607" coordsize="1760,210" path="m7140,817l8900,817,8900,607,7140,607,7140,817xe" filled="true" fillcolor="#fce9d9" stroked="false">
                <v:path arrowok="t"/>
                <v:fill type="solid"/>
              </v:shape>
            </v:group>
            <v:group style="position:absolute;left:7145;top:611;width:1752;height:2" coordorigin="7145,611" coordsize="1752,2">
              <v:shape style="position:absolute;left:7145;top:611;width:1752;height:2" coordorigin="7145,611" coordsize="1752,0" path="m7145,611l8896,611e" filled="false" stroked="true" strokeweight=".436783pt" strokecolor="#000000">
                <v:path arrowok="t"/>
              </v:shape>
            </v:group>
            <v:group style="position:absolute;left:7140;top:611;width:1760;height:2" coordorigin="7140,611" coordsize="1760,2">
              <v:shape style="position:absolute;left:7140;top:611;width:1760;height:2" coordorigin="7140,611" coordsize="1760,0" path="m7140,611l8900,611e" filled="false" stroked="true" strokeweight=".436793pt" strokecolor="#000000">
                <v:path arrowok="t"/>
              </v:shape>
              <v:shape style="position:absolute;left:7140;top:611;width:1760;height:206" type="#_x0000_t202" filled="false" stroked="false">
                <v:textbox inset="0,0,0,0">
                  <w:txbxContent>
                    <w:p>
                      <w:pPr>
                        <w:tabs>
                          <w:tab w:pos="691" w:val="left" w:leader="none"/>
                        </w:tabs>
                        <w:spacing w:before="10"/>
                        <w:ind w:left="113"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$3,347,173.20</w:t>
                      </w:r>
                      <w:r>
                        <w:rPr>
                          <w:rFonts w:ascii="Calibri"/>
                          <w:spacing w:val="1"/>
                          <w:sz w:val="15"/>
                        </w:rPr>
                      </w:r>
                    </w:p>
                  </w:txbxContent>
                </v:textbox>
                <w10:wrap type="none"/>
              </v:shape>
            </v:group>
            <w10:wrap type="none"/>
          </v:group>
        </w:pict>
      </w:r>
      <w:r>
        <w:rPr/>
        <w:pict>
          <v:group style="position:absolute;margin-left:451.789673pt;margin-top:30.346825pt;width:88.45pt;height:10.5pt;mso-position-horizontal-relative:page;mso-position-vertical-relative:paragraph;z-index:-450112" coordorigin="9036,607" coordsize="1769,210">
            <v:group style="position:absolute;left:9040;top:607;width:1760;height:210" coordorigin="9040,607" coordsize="1760,210">
              <v:shape style="position:absolute;left:9040;top:607;width:1760;height:210" coordorigin="9040,607" coordsize="1760,210" path="m9040,817l10800,817,10800,607,9040,607,9040,817xe" filled="true" fillcolor="#fce9d9" stroked="false">
                <v:path arrowok="t"/>
                <v:fill type="solid"/>
              </v:shape>
            </v:group>
            <v:group style="position:absolute;left:9045;top:611;width:1751;height:2" coordorigin="9045,611" coordsize="1751,2">
              <v:shape style="position:absolute;left:9045;top:611;width:1751;height:2" coordorigin="9045,611" coordsize="1751,0" path="m9045,611l10796,611e" filled="false" stroked="true" strokeweight=".436783pt" strokecolor="#000000">
                <v:path arrowok="t"/>
              </v:shape>
            </v:group>
            <v:group style="position:absolute;left:9040;top:611;width:1760;height:2" coordorigin="9040,611" coordsize="1760,2">
              <v:shape style="position:absolute;left:9040;top:611;width:1760;height:2" coordorigin="9040,611" coordsize="1760,0" path="m9040,611l10800,611e" filled="false" stroked="true" strokeweight=".436793pt" strokecolor="#000000">
                <v:path arrowok="t"/>
              </v:shape>
              <v:shape style="position:absolute;left:9040;top:611;width:1760;height:206" type="#_x0000_t202" filled="false" stroked="false">
                <v:textbox inset="0,0,0,0">
                  <w:txbxContent>
                    <w:p>
                      <w:pPr>
                        <w:tabs>
                          <w:tab w:pos="691" w:val="left" w:leader="none"/>
                        </w:tabs>
                        <w:spacing w:before="10"/>
                        <w:ind w:left="113"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$3,209,703.49</w:t>
                      </w:r>
                      <w:r>
                        <w:rPr>
                          <w:rFonts w:ascii="Calibri"/>
                          <w:spacing w:val="1"/>
                          <w:sz w:val="15"/>
                        </w:rPr>
                      </w:r>
                    </w:p>
                  </w:txbxContent>
                </v:textbox>
                <w10:wrap type="none"/>
              </v:shape>
            </v:group>
            <w10:wrap type="none"/>
          </v:group>
        </w:pict>
      </w:r>
      <w:r>
        <w:rPr>
          <w:rFonts w:ascii="Calibri"/>
          <w:spacing w:val="-1"/>
          <w:w w:val="95"/>
          <w:sz w:val="15"/>
        </w:rPr>
        <w:t>I/Y=</w:t>
        <w:tab/>
        <w:tab/>
      </w:r>
      <w:r>
        <w:rPr>
          <w:rFonts w:ascii="Calibri"/>
          <w:spacing w:val="1"/>
          <w:w w:val="95"/>
          <w:sz w:val="15"/>
        </w:rPr>
        <w:t>7.00%</w:t>
        <w:tab/>
      </w:r>
      <w:r>
        <w:rPr>
          <w:rFonts w:ascii="Calibri"/>
          <w:spacing w:val="-1"/>
          <w:w w:val="95"/>
          <w:sz w:val="15"/>
        </w:rPr>
        <w:t>I/Y=</w:t>
        <w:tab/>
        <w:tab/>
      </w:r>
      <w:r>
        <w:rPr>
          <w:rFonts w:ascii="Calibri"/>
          <w:spacing w:val="1"/>
          <w:w w:val="95"/>
          <w:sz w:val="15"/>
        </w:rPr>
        <w:t>6.50%</w:t>
        <w:tab/>
      </w:r>
      <w:r>
        <w:rPr>
          <w:rFonts w:ascii="Calibri"/>
          <w:spacing w:val="-1"/>
          <w:w w:val="95"/>
          <w:sz w:val="15"/>
        </w:rPr>
        <w:t>I/Y=</w:t>
        <w:tab/>
        <w:tab/>
      </w:r>
      <w:r>
        <w:rPr>
          <w:rFonts w:ascii="Calibri"/>
          <w:spacing w:val="1"/>
          <w:w w:val="95"/>
          <w:sz w:val="15"/>
        </w:rPr>
        <w:t>6.00%</w:t>
        <w:tab/>
      </w:r>
      <w:r>
        <w:rPr>
          <w:rFonts w:ascii="Calibri"/>
          <w:spacing w:val="-1"/>
          <w:w w:val="95"/>
          <w:sz w:val="15"/>
        </w:rPr>
        <w:t>I/Y=</w:t>
        <w:tab/>
        <w:tab/>
      </w:r>
      <w:r>
        <w:rPr>
          <w:rFonts w:ascii="Calibri"/>
          <w:spacing w:val="1"/>
          <w:w w:val="95"/>
          <w:sz w:val="15"/>
        </w:rPr>
        <w:t>5.50%</w:t>
        <w:tab/>
      </w:r>
      <w:r>
        <w:rPr>
          <w:rFonts w:ascii="Calibri"/>
          <w:spacing w:val="-1"/>
          <w:w w:val="95"/>
          <w:sz w:val="15"/>
        </w:rPr>
        <w:t>I/Y=</w:t>
        <w:tab/>
        <w:tab/>
      </w:r>
      <w:r>
        <w:rPr>
          <w:rFonts w:ascii="Calibri"/>
          <w:spacing w:val="1"/>
          <w:sz w:val="15"/>
        </w:rPr>
        <w:t>5.00%</w:t>
      </w:r>
      <w:r>
        <w:rPr>
          <w:rFonts w:ascii="Calibri"/>
          <w:sz w:val="15"/>
        </w:rPr>
        <w:t> </w:t>
      </w:r>
      <w:r>
        <w:rPr>
          <w:rFonts w:ascii="Calibri"/>
          <w:sz w:val="15"/>
        </w:rPr>
        <w:t>PV=</w:t>
        <w:tab/>
        <w:t>-$40,000,000</w:t>
        <w:tab/>
        <w:t>PV=</w:t>
        <w:tab/>
        <w:t>-$40,000,000</w:t>
        <w:tab/>
        <w:t>PV=</w:t>
        <w:tab/>
        <w:t>-$40,000,000</w:t>
        <w:tab/>
        <w:t>PV=</w:t>
        <w:tab/>
        <w:t>-$40,000,000</w:t>
        <w:tab/>
        <w:t>PV=</w:t>
        <w:tab/>
        <w:t>-$40,000,000 FV=</w:t>
        <w:tab/>
        <w:tab/>
        <w:t>$0.00</w:t>
        <w:tab/>
        <w:t>FV=</w:t>
        <w:tab/>
        <w:tab/>
        <w:t>$0.00</w:t>
        <w:tab/>
        <w:t>FV=</w:t>
        <w:tab/>
        <w:tab/>
        <w:t>$0.00</w:t>
        <w:tab/>
        <w:t>FV=</w:t>
        <w:tab/>
        <w:tab/>
        <w:t>$0.00</w:t>
        <w:tab/>
        <w:t>FV=</w:t>
        <w:tab/>
        <w:tab/>
        <w:t>$0.00</w:t>
      </w:r>
    </w:p>
    <w:p>
      <w:pPr>
        <w:pStyle w:val="ListParagraph"/>
        <w:numPr>
          <w:ilvl w:val="0"/>
          <w:numId w:val="10"/>
        </w:numPr>
        <w:tabs>
          <w:tab w:pos="1679" w:val="left" w:leader="none"/>
        </w:tabs>
        <w:spacing w:line="240" w:lineRule="auto" w:before="192" w:after="0"/>
        <w:ind w:left="1678" w:right="0" w:hanging="203"/>
        <w:jc w:val="left"/>
        <w:rPr>
          <w:rFonts w:ascii="Calibri" w:hAnsi="Calibri" w:cs="Calibri" w:eastAsia="Calibri" w:hint="default"/>
          <w:sz w:val="15"/>
          <w:szCs w:val="15"/>
        </w:rPr>
      </w:pPr>
      <w:r>
        <w:rPr>
          <w:rFonts w:ascii="Calibri"/>
          <w:b/>
          <w:color w:val="528DD4"/>
          <w:sz w:val="15"/>
        </w:rPr>
        <w:t>year payment</w:t>
      </w:r>
      <w:r>
        <w:rPr>
          <w:rFonts w:ascii="Calibri"/>
          <w:b/>
          <w:color w:val="528DD4"/>
          <w:spacing w:val="-21"/>
          <w:sz w:val="15"/>
        </w:rPr>
        <w:t> </w:t>
      </w:r>
      <w:r>
        <w:rPr>
          <w:rFonts w:ascii="Calibri"/>
          <w:b/>
          <w:color w:val="528DD4"/>
          <w:sz w:val="15"/>
        </w:rPr>
        <w:t>schedule</w:t>
      </w:r>
      <w:r>
        <w:rPr>
          <w:rFonts w:ascii="Calibri"/>
          <w:sz w:val="15"/>
        </w:rPr>
      </w:r>
    </w:p>
    <w:p>
      <w:pPr>
        <w:tabs>
          <w:tab w:pos="1720" w:val="left" w:leader="none"/>
          <w:tab w:pos="3199" w:val="left" w:leader="none"/>
          <w:tab w:pos="3620" w:val="left" w:leader="none"/>
          <w:tab w:pos="5100" w:val="left" w:leader="none"/>
          <w:tab w:pos="5520" w:val="left" w:leader="none"/>
          <w:tab w:pos="6999" w:val="left" w:leader="none"/>
          <w:tab w:pos="7420" w:val="left" w:leader="none"/>
          <w:tab w:pos="8899" w:val="left" w:leader="none"/>
          <w:tab w:pos="9320" w:val="left" w:leader="none"/>
          <w:tab w:pos="10799" w:val="left" w:leader="none"/>
        </w:tabs>
        <w:spacing w:before="27"/>
        <w:ind w:left="1440" w:right="0" w:firstLine="0"/>
        <w:jc w:val="left"/>
        <w:rPr>
          <w:rFonts w:ascii="Calibri" w:hAnsi="Calibri" w:cs="Calibri" w:eastAsia="Calibri" w:hint="default"/>
          <w:sz w:val="15"/>
          <w:szCs w:val="15"/>
        </w:rPr>
      </w:pPr>
      <w:r>
        <w:rPr>
          <w:rFonts w:ascii="Calibri"/>
          <w:i/>
          <w:w w:val="99"/>
          <w:sz w:val="15"/>
        </w:rPr>
      </w:r>
      <w:r>
        <w:rPr>
          <w:rFonts w:ascii="Calibri"/>
          <w:i/>
          <w:w w:val="99"/>
          <w:sz w:val="15"/>
          <w:u w:val="single" w:color="000000"/>
        </w:rPr>
        <w:t> </w:t>
      </w:r>
      <w:r>
        <w:rPr>
          <w:rFonts w:ascii="Calibri"/>
          <w:i/>
          <w:sz w:val="15"/>
          <w:u w:val="single" w:color="000000"/>
        </w:rPr>
        <w:tab/>
        <w:t>7.00%</w:t>
      </w:r>
      <w:r>
        <w:rPr>
          <w:rFonts w:ascii="Calibri"/>
          <w:i/>
          <w:spacing w:val="1"/>
          <w:sz w:val="15"/>
          <w:u w:val="single" w:color="000000"/>
        </w:rPr>
        <w:t> </w:t>
      </w:r>
      <w:r>
        <w:rPr>
          <w:rFonts w:ascii="Calibri"/>
          <w:i/>
          <w:sz w:val="15"/>
          <w:u w:val="single" w:color="000000"/>
        </w:rPr>
        <w:t>interest</w:t>
      </w:r>
      <w:r>
        <w:rPr>
          <w:rFonts w:ascii="Calibri"/>
          <w:i/>
          <w:spacing w:val="6"/>
          <w:sz w:val="15"/>
          <w:u w:val="single" w:color="000000"/>
        </w:rPr>
        <w:t> </w:t>
      </w:r>
      <w:r>
        <w:rPr>
          <w:rFonts w:ascii="Calibri"/>
          <w:i/>
          <w:sz w:val="15"/>
          <w:u w:val="single" w:color="000000"/>
        </w:rPr>
        <w:t>rate</w:t>
        <w:tab/>
      </w:r>
      <w:r>
        <w:rPr>
          <w:rFonts w:ascii="Calibri"/>
          <w:i/>
          <w:sz w:val="15"/>
        </w:rPr>
      </w:r>
      <w:r>
        <w:rPr>
          <w:rFonts w:ascii="Calibri"/>
          <w:i/>
          <w:sz w:val="15"/>
          <w:u w:val="single" w:color="000000"/>
        </w:rPr>
        <w:t> </w:t>
        <w:tab/>
        <w:t>6.50%</w:t>
      </w:r>
      <w:r>
        <w:rPr>
          <w:rFonts w:ascii="Calibri"/>
          <w:i/>
          <w:spacing w:val="1"/>
          <w:sz w:val="15"/>
          <w:u w:val="single" w:color="000000"/>
        </w:rPr>
        <w:t> </w:t>
      </w:r>
      <w:r>
        <w:rPr>
          <w:rFonts w:ascii="Calibri"/>
          <w:i/>
          <w:sz w:val="15"/>
          <w:u w:val="single" w:color="000000"/>
        </w:rPr>
        <w:t>interest</w:t>
      </w:r>
      <w:r>
        <w:rPr>
          <w:rFonts w:ascii="Calibri"/>
          <w:i/>
          <w:spacing w:val="6"/>
          <w:sz w:val="15"/>
          <w:u w:val="single" w:color="000000"/>
        </w:rPr>
        <w:t> </w:t>
      </w:r>
      <w:r>
        <w:rPr>
          <w:rFonts w:ascii="Calibri"/>
          <w:i/>
          <w:sz w:val="15"/>
          <w:u w:val="single" w:color="000000"/>
        </w:rPr>
        <w:t>rate</w:t>
        <w:tab/>
      </w:r>
      <w:r>
        <w:rPr>
          <w:rFonts w:ascii="Calibri"/>
          <w:i/>
          <w:sz w:val="15"/>
        </w:rPr>
      </w:r>
      <w:r>
        <w:rPr>
          <w:rFonts w:ascii="Calibri"/>
          <w:i/>
          <w:sz w:val="15"/>
          <w:u w:val="single" w:color="000000"/>
        </w:rPr>
        <w:t> </w:t>
        <w:tab/>
        <w:t>6.00%</w:t>
      </w:r>
      <w:r>
        <w:rPr>
          <w:rFonts w:ascii="Calibri"/>
          <w:i/>
          <w:spacing w:val="1"/>
          <w:sz w:val="15"/>
          <w:u w:val="single" w:color="000000"/>
        </w:rPr>
        <w:t> </w:t>
      </w:r>
      <w:r>
        <w:rPr>
          <w:rFonts w:ascii="Calibri"/>
          <w:i/>
          <w:sz w:val="15"/>
          <w:u w:val="single" w:color="000000"/>
        </w:rPr>
        <w:t>interest</w:t>
      </w:r>
      <w:r>
        <w:rPr>
          <w:rFonts w:ascii="Calibri"/>
          <w:i/>
          <w:spacing w:val="6"/>
          <w:sz w:val="15"/>
          <w:u w:val="single" w:color="000000"/>
        </w:rPr>
        <w:t> </w:t>
      </w:r>
      <w:r>
        <w:rPr>
          <w:rFonts w:ascii="Calibri"/>
          <w:i/>
          <w:sz w:val="15"/>
          <w:u w:val="single" w:color="000000"/>
        </w:rPr>
        <w:t>rate</w:t>
        <w:tab/>
      </w:r>
      <w:r>
        <w:rPr>
          <w:rFonts w:ascii="Calibri"/>
          <w:i/>
          <w:sz w:val="15"/>
        </w:rPr>
      </w:r>
      <w:r>
        <w:rPr>
          <w:rFonts w:ascii="Calibri"/>
          <w:i/>
          <w:sz w:val="15"/>
          <w:u w:val="single" w:color="000000"/>
        </w:rPr>
        <w:t> </w:t>
        <w:tab/>
        <w:t>5.50%</w:t>
      </w:r>
      <w:r>
        <w:rPr>
          <w:rFonts w:ascii="Calibri"/>
          <w:i/>
          <w:spacing w:val="1"/>
          <w:sz w:val="15"/>
          <w:u w:val="single" w:color="000000"/>
        </w:rPr>
        <w:t> </w:t>
      </w:r>
      <w:r>
        <w:rPr>
          <w:rFonts w:ascii="Calibri"/>
          <w:i/>
          <w:sz w:val="15"/>
          <w:u w:val="single" w:color="000000"/>
        </w:rPr>
        <w:t>interest</w:t>
      </w:r>
      <w:r>
        <w:rPr>
          <w:rFonts w:ascii="Calibri"/>
          <w:i/>
          <w:spacing w:val="6"/>
          <w:sz w:val="15"/>
          <w:u w:val="single" w:color="000000"/>
        </w:rPr>
        <w:t> </w:t>
      </w:r>
      <w:r>
        <w:rPr>
          <w:rFonts w:ascii="Calibri"/>
          <w:i/>
          <w:sz w:val="15"/>
          <w:u w:val="single" w:color="000000"/>
        </w:rPr>
        <w:t>rate</w:t>
        <w:tab/>
      </w:r>
      <w:r>
        <w:rPr>
          <w:rFonts w:ascii="Calibri"/>
          <w:i/>
          <w:sz w:val="15"/>
        </w:rPr>
      </w:r>
      <w:r>
        <w:rPr>
          <w:rFonts w:ascii="Calibri"/>
          <w:i/>
          <w:sz w:val="15"/>
          <w:u w:val="single" w:color="000000"/>
        </w:rPr>
        <w:t> </w:t>
        <w:tab/>
        <w:t>5.00% interest</w:t>
      </w:r>
      <w:r>
        <w:rPr>
          <w:rFonts w:ascii="Calibri"/>
          <w:i/>
          <w:spacing w:val="8"/>
          <w:sz w:val="15"/>
          <w:u w:val="single" w:color="000000"/>
        </w:rPr>
        <w:t> </w:t>
      </w:r>
      <w:r>
        <w:rPr>
          <w:rFonts w:ascii="Calibri"/>
          <w:i/>
          <w:sz w:val="15"/>
          <w:u w:val="single" w:color="000000"/>
        </w:rPr>
        <w:t>rate</w:t>
        <w:tab/>
      </w:r>
      <w:r>
        <w:rPr>
          <w:rFonts w:ascii="Calibri"/>
          <w:i/>
          <w:sz w:val="15"/>
        </w:rPr>
      </w:r>
      <w:r>
        <w:rPr>
          <w:rFonts w:ascii="Calibri"/>
          <w:sz w:val="15"/>
        </w:rPr>
      </w:r>
    </w:p>
    <w:p>
      <w:pPr>
        <w:tabs>
          <w:tab w:pos="2508" w:val="left" w:leader="none"/>
          <w:tab w:pos="3550" w:val="left" w:leader="none"/>
          <w:tab w:pos="4425" w:val="left" w:leader="none"/>
          <w:tab w:pos="5450" w:val="left" w:leader="none"/>
          <w:tab w:pos="6325" w:val="left" w:leader="none"/>
          <w:tab w:pos="7350" w:val="left" w:leader="none"/>
          <w:tab w:pos="8225" w:val="left" w:leader="none"/>
          <w:tab w:pos="9250" w:val="left" w:leader="none"/>
          <w:tab w:pos="10125" w:val="left" w:leader="none"/>
        </w:tabs>
        <w:spacing w:before="18"/>
        <w:ind w:left="1650" w:right="0" w:firstLine="0"/>
        <w:jc w:val="left"/>
        <w:rPr>
          <w:rFonts w:ascii="Calibri" w:hAnsi="Calibri" w:cs="Calibri" w:eastAsia="Calibri" w:hint="default"/>
          <w:sz w:val="15"/>
          <w:szCs w:val="15"/>
        </w:rPr>
      </w:pPr>
      <w:r>
        <w:rPr>
          <w:rFonts w:ascii="Calibri"/>
          <w:b/>
          <w:spacing w:val="-1"/>
          <w:w w:val="95"/>
          <w:sz w:val="15"/>
        </w:rPr>
        <w:t>N=</w:t>
        <w:tab/>
      </w:r>
      <w:r>
        <w:rPr>
          <w:rFonts w:ascii="Calibri"/>
          <w:b/>
          <w:spacing w:val="1"/>
          <w:sz w:val="15"/>
        </w:rPr>
        <w:t>25</w:t>
        <w:tab/>
      </w:r>
      <w:r>
        <w:rPr>
          <w:rFonts w:ascii="Calibri"/>
          <w:b/>
          <w:spacing w:val="-1"/>
          <w:w w:val="95"/>
          <w:sz w:val="15"/>
        </w:rPr>
        <w:t>N=</w:t>
        <w:tab/>
      </w:r>
      <w:r>
        <w:rPr>
          <w:rFonts w:ascii="Calibri"/>
          <w:b/>
          <w:spacing w:val="1"/>
          <w:sz w:val="15"/>
        </w:rPr>
        <w:t>25</w:t>
        <w:tab/>
      </w:r>
      <w:r>
        <w:rPr>
          <w:rFonts w:ascii="Calibri"/>
          <w:b/>
          <w:spacing w:val="-1"/>
          <w:w w:val="95"/>
          <w:sz w:val="15"/>
        </w:rPr>
        <w:t>N=</w:t>
        <w:tab/>
      </w:r>
      <w:r>
        <w:rPr>
          <w:rFonts w:ascii="Calibri"/>
          <w:b/>
          <w:spacing w:val="1"/>
          <w:sz w:val="15"/>
        </w:rPr>
        <w:t>25</w:t>
        <w:tab/>
      </w:r>
      <w:r>
        <w:rPr>
          <w:rFonts w:ascii="Calibri"/>
          <w:b/>
          <w:spacing w:val="-1"/>
          <w:w w:val="95"/>
          <w:sz w:val="15"/>
        </w:rPr>
        <w:t>N=</w:t>
        <w:tab/>
      </w:r>
      <w:r>
        <w:rPr>
          <w:rFonts w:ascii="Calibri"/>
          <w:b/>
          <w:spacing w:val="1"/>
          <w:sz w:val="15"/>
        </w:rPr>
        <w:t>25</w:t>
        <w:tab/>
      </w:r>
      <w:r>
        <w:rPr>
          <w:rFonts w:ascii="Calibri"/>
          <w:b/>
          <w:spacing w:val="-2"/>
          <w:w w:val="95"/>
          <w:sz w:val="15"/>
        </w:rPr>
        <w:t>N=</w:t>
        <w:tab/>
      </w:r>
      <w:r>
        <w:rPr>
          <w:rFonts w:ascii="Calibri"/>
          <w:b/>
          <w:spacing w:val="3"/>
          <w:sz w:val="15"/>
        </w:rPr>
        <w:t>25</w:t>
      </w:r>
      <w:r>
        <w:rPr>
          <w:rFonts w:ascii="Calibri"/>
          <w:sz w:val="15"/>
        </w:rPr>
      </w:r>
    </w:p>
    <w:p>
      <w:pPr>
        <w:tabs>
          <w:tab w:pos="2192" w:val="left" w:leader="none"/>
          <w:tab w:pos="2412" w:val="left" w:leader="none"/>
          <w:tab w:pos="3515" w:val="left" w:leader="none"/>
          <w:tab w:pos="4093" w:val="left" w:leader="none"/>
          <w:tab w:pos="4311" w:val="left" w:leader="none"/>
          <w:tab w:pos="5415" w:val="left" w:leader="none"/>
          <w:tab w:pos="5993" w:val="left" w:leader="none"/>
          <w:tab w:pos="6211" w:val="left" w:leader="none"/>
          <w:tab w:pos="7315" w:val="left" w:leader="none"/>
          <w:tab w:pos="7893" w:val="left" w:leader="none"/>
          <w:tab w:pos="8111" w:val="left" w:leader="none"/>
          <w:tab w:pos="9215" w:val="left" w:leader="none"/>
          <w:tab w:pos="9793" w:val="left" w:leader="none"/>
          <w:tab w:pos="10011" w:val="left" w:leader="none"/>
        </w:tabs>
        <w:spacing w:line="264" w:lineRule="auto" w:before="18"/>
        <w:ind w:left="1614" w:right="1626" w:firstLine="0"/>
        <w:jc w:val="left"/>
        <w:rPr>
          <w:rFonts w:ascii="Calibri" w:hAnsi="Calibri" w:cs="Calibri" w:eastAsia="Calibri" w:hint="default"/>
          <w:sz w:val="15"/>
          <w:szCs w:val="15"/>
        </w:rPr>
      </w:pPr>
      <w:r>
        <w:rPr>
          <w:rFonts w:ascii="Calibri"/>
          <w:spacing w:val="-1"/>
          <w:w w:val="95"/>
          <w:sz w:val="15"/>
        </w:rPr>
        <w:t>I/Y=</w:t>
        <w:tab/>
        <w:tab/>
      </w:r>
      <w:r>
        <w:rPr>
          <w:rFonts w:ascii="Calibri"/>
          <w:spacing w:val="1"/>
          <w:w w:val="95"/>
          <w:sz w:val="15"/>
        </w:rPr>
        <w:t>7.00%</w:t>
        <w:tab/>
      </w:r>
      <w:r>
        <w:rPr>
          <w:rFonts w:ascii="Calibri"/>
          <w:spacing w:val="-1"/>
          <w:w w:val="95"/>
          <w:sz w:val="15"/>
        </w:rPr>
        <w:t>I/Y=</w:t>
        <w:tab/>
        <w:tab/>
      </w:r>
      <w:r>
        <w:rPr>
          <w:rFonts w:ascii="Calibri"/>
          <w:spacing w:val="1"/>
          <w:w w:val="95"/>
          <w:sz w:val="15"/>
        </w:rPr>
        <w:t>6.50%</w:t>
        <w:tab/>
      </w:r>
      <w:r>
        <w:rPr>
          <w:rFonts w:ascii="Calibri"/>
          <w:spacing w:val="-1"/>
          <w:w w:val="95"/>
          <w:sz w:val="15"/>
        </w:rPr>
        <w:t>I/Y=</w:t>
        <w:tab/>
        <w:tab/>
      </w:r>
      <w:r>
        <w:rPr>
          <w:rFonts w:ascii="Calibri"/>
          <w:spacing w:val="1"/>
          <w:w w:val="95"/>
          <w:sz w:val="15"/>
        </w:rPr>
        <w:t>6.00%</w:t>
        <w:tab/>
      </w:r>
      <w:r>
        <w:rPr>
          <w:rFonts w:ascii="Calibri"/>
          <w:spacing w:val="-1"/>
          <w:w w:val="95"/>
          <w:sz w:val="15"/>
        </w:rPr>
        <w:t>I/Y=</w:t>
        <w:tab/>
        <w:tab/>
      </w:r>
      <w:r>
        <w:rPr>
          <w:rFonts w:ascii="Calibri"/>
          <w:spacing w:val="1"/>
          <w:w w:val="95"/>
          <w:sz w:val="15"/>
        </w:rPr>
        <w:t>5.50%</w:t>
        <w:tab/>
      </w:r>
      <w:r>
        <w:rPr>
          <w:rFonts w:ascii="Calibri"/>
          <w:spacing w:val="-1"/>
          <w:w w:val="95"/>
          <w:sz w:val="15"/>
        </w:rPr>
        <w:t>I/Y=</w:t>
        <w:tab/>
        <w:tab/>
      </w:r>
      <w:r>
        <w:rPr>
          <w:rFonts w:ascii="Calibri"/>
          <w:spacing w:val="1"/>
          <w:sz w:val="15"/>
        </w:rPr>
        <w:t>5.00%</w:t>
      </w:r>
      <w:r>
        <w:rPr>
          <w:rFonts w:ascii="Calibri"/>
          <w:sz w:val="15"/>
        </w:rPr>
        <w:t> </w:t>
      </w:r>
      <w:r>
        <w:rPr>
          <w:rFonts w:ascii="Calibri"/>
          <w:sz w:val="15"/>
        </w:rPr>
        <w:t>PV=</w:t>
        <w:tab/>
        <w:t>-$40,000,000</w:t>
        <w:tab/>
        <w:t>PV=</w:t>
        <w:tab/>
        <w:t>-$40,000,000</w:t>
        <w:tab/>
        <w:t>PV=</w:t>
        <w:tab/>
        <w:t>-$40,000,000</w:t>
        <w:tab/>
        <w:t>PV=</w:t>
        <w:tab/>
        <w:t>-$40,000,000</w:t>
        <w:tab/>
        <w:t>PV=</w:t>
        <w:tab/>
        <w:t>-$40,000,000 FV=</w:t>
        <w:tab/>
        <w:tab/>
        <w:t>$0.00</w:t>
        <w:tab/>
        <w:t>FV=</w:t>
        <w:tab/>
        <w:tab/>
        <w:t>$0.00</w:t>
        <w:tab/>
        <w:t>FV=</w:t>
        <w:tab/>
        <w:tab/>
        <w:t>$0.00</w:t>
        <w:tab/>
        <w:t>FV=</w:t>
        <w:tab/>
        <w:tab/>
        <w:t>$0.00</w:t>
        <w:tab/>
        <w:t>FV=</w:t>
        <w:tab/>
        <w:tab/>
        <w:t>$0.00</w:t>
      </w:r>
    </w:p>
    <w:p>
      <w:pPr>
        <w:pStyle w:val="BodyText"/>
        <w:spacing w:line="210" w:lineRule="exact"/>
        <w:ind w:left="1435" w:right="0"/>
        <w:jc w:val="left"/>
      </w:pPr>
      <w:r>
        <w:rPr>
          <w:position w:val="-3"/>
        </w:rPr>
        <w:pict>
          <v:group style="width:88.5pt;height:10.55pt;mso-position-horizontal-relative:char;mso-position-vertical-relative:line" coordorigin="0,0" coordsize="1770,211">
            <v:group style="position:absolute;left:13;top:0;width:1752;height:210" coordorigin="13,0" coordsize="1752,210">
              <v:shape style="position:absolute;left:13;top:0;width:1752;height:210" coordorigin="13,0" coordsize="1752,210" path="m13,210l1765,210,1765,0,13,0,13,210xe" filled="true" fillcolor="#fce9d9" stroked="false">
                <v:path arrowok="t"/>
                <v:fill type="solid"/>
              </v:shape>
            </v:group>
            <v:group style="position:absolute;left:9;top:4;width:1752;height:2" coordorigin="9,4" coordsize="1752,2">
              <v:shape style="position:absolute;left:9;top:4;width:1752;height:2" coordorigin="9,4" coordsize="1752,0" path="m9,4l1760,5e" filled="false" stroked="true" strokeweight=".436783pt" strokecolor="#000000">
                <v:path arrowok="t"/>
              </v:shape>
            </v:group>
            <v:group style="position:absolute;left:4;top:5;width:1761;height:2" coordorigin="4,5" coordsize="1761,2">
              <v:shape style="position:absolute;left:4;top:5;width:1761;height:2" coordorigin="4,5" coordsize="1761,0" path="m4,5l1765,5e" filled="false" stroked="true" strokeweight=".436771pt" strokecolor="#000000">
                <v:path arrowok="t"/>
              </v:shape>
              <v:shape style="position:absolute;left:13;top:5;width:1752;height:206" type="#_x0000_t202" filled="false" stroked="false">
                <v:textbox inset="0,0,0,0">
                  <w:txbxContent>
                    <w:p>
                      <w:pPr>
                        <w:tabs>
                          <w:tab w:pos="682" w:val="left" w:leader="none"/>
                        </w:tabs>
                        <w:spacing w:before="10"/>
                        <w:ind w:left="104"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$3,432,420.69</w:t>
                      </w:r>
                      <w:r>
                        <w:rPr>
                          <w:rFonts w:ascii="Calibri"/>
                          <w:spacing w:val="1"/>
                          <w:sz w:val="15"/>
                        </w:rPr>
                      </w:r>
                    </w:p>
                  </w:txbxContent>
                </v:textbox>
                <w10:wrap type="none"/>
              </v:shape>
            </v:group>
          </v:group>
        </w:pict>
      </w:r>
      <w:r>
        <w:rPr>
          <w:position w:val="-3"/>
        </w:rPr>
      </w:r>
      <w:r>
        <w:rPr>
          <w:rFonts w:ascii="Times New Roman"/>
          <w:spacing w:val="80"/>
          <w:position w:val="-3"/>
        </w:rPr>
        <w:t> </w:t>
      </w:r>
      <w:r>
        <w:rPr>
          <w:spacing w:val="80"/>
          <w:position w:val="-3"/>
        </w:rPr>
        <w:pict>
          <v:group style="width:88.5pt;height:10.55pt;mso-position-horizontal-relative:char;mso-position-vertical-relative:line" coordorigin="0,0" coordsize="1770,211">
            <v:group style="position:absolute;left:4;top:0;width:1761;height:210" coordorigin="4,0" coordsize="1761,210">
              <v:shape style="position:absolute;left:4;top:0;width:1761;height:210" coordorigin="4,0" coordsize="1761,210" path="m5,210l1765,210,1765,0,4,0,5,210xe" filled="true" fillcolor="#fce9d9" stroked="false">
                <v:path arrowok="t"/>
                <v:fill type="solid"/>
              </v:shape>
            </v:group>
            <v:group style="position:absolute;left:9;top:4;width:1751;height:2" coordorigin="9,4" coordsize="1751,2">
              <v:shape style="position:absolute;left:9;top:4;width:1751;height:2" coordorigin="9,4" coordsize="1751,0" path="m9,4l1760,5e" filled="false" stroked="true" strokeweight=".436783pt" strokecolor="#000000">
                <v:path arrowok="t"/>
              </v:shape>
            </v:group>
            <v:group style="position:absolute;left:4;top:5;width:1761;height:2" coordorigin="4,5" coordsize="1761,2">
              <v:shape style="position:absolute;left:4;top:5;width:1761;height:2" coordorigin="4,5" coordsize="1761,0" path="m4,5l1765,5e" filled="false" stroked="true" strokeweight=".436771pt" strokecolor="#000000">
                <v:path arrowok="t"/>
              </v:shape>
              <v:shape style="position:absolute;left:4;top:5;width:1761;height:206" type="#_x0000_t202" filled="false" stroked="false">
                <v:textbox inset="0,0,0,0">
                  <w:txbxContent>
                    <w:p>
                      <w:pPr>
                        <w:tabs>
                          <w:tab w:pos="691" w:val="left" w:leader="none"/>
                        </w:tabs>
                        <w:spacing w:before="10"/>
                        <w:ind w:left="113"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$3,279,259.24</w:t>
                      </w:r>
                      <w:r>
                        <w:rPr>
                          <w:rFonts w:ascii="Calibri"/>
                          <w:spacing w:val="1"/>
                          <w:sz w:val="15"/>
                        </w:rPr>
                      </w:r>
                    </w:p>
                  </w:txbxContent>
                </v:textbox>
                <w10:wrap type="none"/>
              </v:shape>
            </v:group>
          </v:group>
        </w:pict>
      </w:r>
      <w:r>
        <w:rPr>
          <w:spacing w:val="80"/>
          <w:position w:val="-3"/>
        </w:rPr>
      </w:r>
      <w:r>
        <w:rPr>
          <w:rFonts w:ascii="Times New Roman"/>
          <w:spacing w:val="80"/>
          <w:position w:val="-3"/>
        </w:rPr>
        <w:t> </w:t>
      </w:r>
      <w:r>
        <w:rPr>
          <w:spacing w:val="80"/>
          <w:position w:val="-3"/>
        </w:rPr>
        <w:pict>
          <v:group style="width:88.45pt;height:10.55pt;mso-position-horizontal-relative:char;mso-position-vertical-relative:line" coordorigin="0,0" coordsize="1769,211">
            <v:group style="position:absolute;left:4;top:0;width:1760;height:210" coordorigin="4,0" coordsize="1760,210">
              <v:shape style="position:absolute;left:4;top:0;width:1760;height:210" coordorigin="4,0" coordsize="1760,210" path="m5,210l1764,210,1764,0,4,0,5,210xe" filled="true" fillcolor="#fce9d9" stroked="false">
                <v:path arrowok="t"/>
                <v:fill type="solid"/>
              </v:shape>
            </v:group>
            <v:group style="position:absolute;left:9;top:4;width:1751;height:2" coordorigin="9,4" coordsize="1751,2">
              <v:shape style="position:absolute;left:9;top:4;width:1751;height:2" coordorigin="9,4" coordsize="1751,0" path="m9,4l1760,5e" filled="false" stroked="true" strokeweight=".436783pt" strokecolor="#000000">
                <v:path arrowok="t"/>
              </v:shape>
            </v:group>
            <v:group style="position:absolute;left:4;top:5;width:1760;height:2" coordorigin="4,5" coordsize="1760,2">
              <v:shape style="position:absolute;left:4;top:5;width:1760;height:2" coordorigin="4,5" coordsize="1760,0" path="m4,5l1764,5e" filled="false" stroked="true" strokeweight=".436771pt" strokecolor="#000000">
                <v:path arrowok="t"/>
              </v:shape>
              <v:shape style="position:absolute;left:4;top:5;width:1760;height:206" type="#_x0000_t202" filled="false" stroked="false">
                <v:textbox inset="0,0,0,0">
                  <w:txbxContent>
                    <w:p>
                      <w:pPr>
                        <w:tabs>
                          <w:tab w:pos="691" w:val="left" w:leader="none"/>
                        </w:tabs>
                        <w:spacing w:before="10"/>
                        <w:ind w:left="113"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$3,129,068.73</w:t>
                      </w:r>
                      <w:r>
                        <w:rPr>
                          <w:rFonts w:ascii="Calibri"/>
                          <w:spacing w:val="1"/>
                          <w:sz w:val="15"/>
                        </w:rPr>
                      </w:r>
                    </w:p>
                  </w:txbxContent>
                </v:textbox>
                <w10:wrap type="none"/>
              </v:shape>
            </v:group>
          </v:group>
        </w:pict>
      </w:r>
      <w:r>
        <w:rPr>
          <w:spacing w:val="80"/>
          <w:position w:val="-3"/>
        </w:rPr>
      </w:r>
      <w:r>
        <w:rPr>
          <w:rFonts w:ascii="Times New Roman"/>
          <w:spacing w:val="80"/>
          <w:position w:val="-3"/>
        </w:rPr>
        <w:t> </w:t>
      </w:r>
      <w:r>
        <w:rPr>
          <w:spacing w:val="80"/>
          <w:position w:val="-3"/>
        </w:rPr>
        <w:pict>
          <v:group style="width:88.45pt;height:10.55pt;mso-position-horizontal-relative:char;mso-position-vertical-relative:line" coordorigin="0,0" coordsize="1769,211">
            <v:group style="position:absolute;left:4;top:0;width:1760;height:210" coordorigin="4,0" coordsize="1760,210">
              <v:shape style="position:absolute;left:4;top:0;width:1760;height:210" coordorigin="4,0" coordsize="1760,210" path="m5,210l1764,210,1764,0,4,0,5,210xe" filled="true" fillcolor="#fce9d9" stroked="false">
                <v:path arrowok="t"/>
                <v:fill type="solid"/>
              </v:shape>
            </v:group>
            <v:group style="position:absolute;left:9;top:4;width:1752;height:2" coordorigin="9,4" coordsize="1752,2">
              <v:shape style="position:absolute;left:9;top:4;width:1752;height:2" coordorigin="9,4" coordsize="1752,0" path="m9,4l1760,5e" filled="false" stroked="true" strokeweight=".436783pt" strokecolor="#000000">
                <v:path arrowok="t"/>
              </v:shape>
            </v:group>
            <v:group style="position:absolute;left:4;top:5;width:1760;height:2" coordorigin="4,5" coordsize="1760,2">
              <v:shape style="position:absolute;left:4;top:5;width:1760;height:2" coordorigin="4,5" coordsize="1760,0" path="m4,5l1764,5e" filled="false" stroked="true" strokeweight=".436771pt" strokecolor="#000000">
                <v:path arrowok="t"/>
              </v:shape>
              <v:shape style="position:absolute;left:4;top:5;width:1760;height:206" type="#_x0000_t202" filled="false" stroked="false">
                <v:textbox inset="0,0,0,0">
                  <w:txbxContent>
                    <w:p>
                      <w:pPr>
                        <w:tabs>
                          <w:tab w:pos="691" w:val="left" w:leader="none"/>
                        </w:tabs>
                        <w:spacing w:before="10"/>
                        <w:ind w:left="113"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$2,981,974.12</w:t>
                      </w:r>
                      <w:r>
                        <w:rPr>
                          <w:rFonts w:ascii="Calibri"/>
                          <w:spacing w:val="1"/>
                          <w:sz w:val="15"/>
                        </w:rPr>
                      </w:r>
                    </w:p>
                  </w:txbxContent>
                </v:textbox>
                <w10:wrap type="none"/>
              </v:shape>
            </v:group>
          </v:group>
        </w:pict>
      </w:r>
      <w:r>
        <w:rPr>
          <w:spacing w:val="80"/>
          <w:position w:val="-3"/>
        </w:rPr>
      </w:r>
      <w:r>
        <w:rPr>
          <w:rFonts w:ascii="Times New Roman"/>
          <w:spacing w:val="80"/>
          <w:position w:val="-3"/>
        </w:rPr>
        <w:t> </w:t>
      </w:r>
      <w:r>
        <w:rPr>
          <w:spacing w:val="80"/>
          <w:position w:val="-3"/>
        </w:rPr>
        <w:pict>
          <v:group style="width:88.45pt;height:10.55pt;mso-position-horizontal-relative:char;mso-position-vertical-relative:line" coordorigin="0,0" coordsize="1769,211">
            <v:group style="position:absolute;left:4;top:0;width:1760;height:210" coordorigin="4,0" coordsize="1760,210">
              <v:shape style="position:absolute;left:4;top:0;width:1760;height:210" coordorigin="4,0" coordsize="1760,210" path="m5,210l1764,210,1764,0,4,0,5,210xe" filled="true" fillcolor="#fce9d9" stroked="false">
                <v:path arrowok="t"/>
                <v:fill type="solid"/>
              </v:shape>
            </v:group>
            <v:group style="position:absolute;left:9;top:4;width:1751;height:2" coordorigin="9,4" coordsize="1751,2">
              <v:shape style="position:absolute;left:9;top:4;width:1751;height:2" coordorigin="9,4" coordsize="1751,0" path="m9,4l1760,5e" filled="false" stroked="true" strokeweight=".436783pt" strokecolor="#000000">
                <v:path arrowok="t"/>
              </v:shape>
            </v:group>
            <v:group style="position:absolute;left:4;top:5;width:1760;height:2" coordorigin="4,5" coordsize="1760,2">
              <v:shape style="position:absolute;left:4;top:5;width:1760;height:2" coordorigin="4,5" coordsize="1760,0" path="m4,5l1764,5e" filled="false" stroked="true" strokeweight=".436771pt" strokecolor="#000000">
                <v:path arrowok="t"/>
              </v:shape>
              <v:shape style="position:absolute;left:4;top:5;width:1760;height:206" type="#_x0000_t202" filled="false" stroked="false">
                <v:textbox inset="0,0,0,0">
                  <w:txbxContent>
                    <w:p>
                      <w:pPr>
                        <w:tabs>
                          <w:tab w:pos="691" w:val="left" w:leader="none"/>
                        </w:tabs>
                        <w:spacing w:before="10"/>
                        <w:ind w:left="113" w:right="0" w:firstLine="0"/>
                        <w:jc w:val="left"/>
                        <w:rPr>
                          <w:rFonts w:ascii="Calibri" w:hAnsi="Calibri" w:cs="Calibri" w:eastAsia="Calibri" w:hint="default"/>
                          <w:sz w:val="15"/>
                          <w:szCs w:val="15"/>
                        </w:rPr>
                      </w:pPr>
                      <w:r>
                        <w:rPr>
                          <w:rFonts w:ascii="Calibri"/>
                          <w:b/>
                          <w:spacing w:val="-2"/>
                          <w:sz w:val="15"/>
                        </w:rPr>
                        <w:t>PMT=</w:t>
                        <w:tab/>
                      </w:r>
                      <w:r>
                        <w:rPr>
                          <w:rFonts w:ascii="Calibri"/>
                          <w:b/>
                          <w:spacing w:val="1"/>
                          <w:sz w:val="15"/>
                        </w:rPr>
                        <w:t>$2,838,098.29</w:t>
                      </w:r>
                      <w:r>
                        <w:rPr>
                          <w:rFonts w:ascii="Calibri"/>
                          <w:spacing w:val="1"/>
                          <w:sz w:val="15"/>
                        </w:rPr>
                      </w:r>
                    </w:p>
                  </w:txbxContent>
                </v:textbox>
                <w10:wrap type="none"/>
              </v:shape>
            </v:group>
          </v:group>
        </w:pict>
      </w:r>
      <w:r>
        <w:rPr>
          <w:spacing w:val="80"/>
          <w:position w:val="-3"/>
        </w:rPr>
      </w:r>
    </w:p>
    <w:p>
      <w:pPr>
        <w:spacing w:after="0" w:line="210" w:lineRule="exact"/>
        <w:jc w:val="left"/>
        <w:sectPr>
          <w:type w:val="continuous"/>
          <w:pgSz w:w="12240" w:h="15840"/>
          <w:pgMar w:top="1500" w:bottom="280" w:left="0" w:right="0"/>
        </w:sectPr>
      </w:pPr>
    </w:p>
    <w:p>
      <w:pPr>
        <w:spacing w:line="240" w:lineRule="auto" w:before="0"/>
        <w:ind w:right="0"/>
        <w:rPr>
          <w:rFonts w:ascii="Calibri" w:hAnsi="Calibri" w:cs="Calibri" w:eastAsia="Calibri" w:hint="default"/>
          <w:sz w:val="20"/>
          <w:szCs w:val="20"/>
        </w:rPr>
      </w:pPr>
    </w:p>
    <w:p>
      <w:pPr>
        <w:spacing w:line="240" w:lineRule="auto" w:before="3"/>
        <w:ind w:right="0"/>
        <w:rPr>
          <w:rFonts w:ascii="Calibri" w:hAnsi="Calibri" w:cs="Calibri" w:eastAsia="Calibri" w:hint="default"/>
          <w:sz w:val="26"/>
          <w:szCs w:val="26"/>
        </w:rPr>
      </w:pPr>
    </w:p>
    <w:p>
      <w:pPr>
        <w:pStyle w:val="Heading1"/>
        <w:spacing w:line="240" w:lineRule="auto"/>
        <w:ind w:left="4285" w:right="1693" w:hanging="2576"/>
        <w:jc w:val="left"/>
        <w:rPr>
          <w:b w:val="0"/>
          <w:bCs w:val="0"/>
        </w:rPr>
      </w:pPr>
      <w:bookmarkStart w:name="_bookmark150" w:id="151"/>
      <w:bookmarkEnd w:id="151"/>
      <w:r>
        <w:rPr>
          <w:b w:val="0"/>
          <w:bCs w:val="0"/>
        </w:rPr>
      </w:r>
      <w:r>
        <w:rPr/>
        <w:t>Chapter 8: Traversing Tourism</w:t>
      </w:r>
      <w:r>
        <w:rPr>
          <w:rFonts w:ascii="Calibri" w:hAnsi="Calibri" w:cs="Calibri" w:eastAsia="Calibri" w:hint="default"/>
        </w:rPr>
        <w:t>s’ </w:t>
      </w:r>
      <w:r>
        <w:rPr/>
        <w:t>Possibilities: kindling the economy and</w:t>
      </w:r>
      <w:r>
        <w:rPr>
          <w:spacing w:val="-12"/>
        </w:rPr>
        <w:t> </w:t>
      </w:r>
      <w:r>
        <w:rPr/>
        <w:t>jobs</w:t>
      </w:r>
      <w:r>
        <w:rPr>
          <w:b w:val="0"/>
          <w:bCs w:val="0"/>
        </w:rPr>
      </w:r>
    </w:p>
    <w:p>
      <w:pPr>
        <w:spacing w:line="240" w:lineRule="auto" w:before="1"/>
        <w:ind w:right="0"/>
        <w:rPr>
          <w:rFonts w:ascii="Calibri" w:hAnsi="Calibri" w:cs="Calibri" w:eastAsia="Calibri" w:hint="default"/>
          <w:b/>
          <w:bCs/>
          <w:sz w:val="32"/>
          <w:szCs w:val="32"/>
        </w:rPr>
      </w:pPr>
    </w:p>
    <w:p>
      <w:pPr>
        <w:pStyle w:val="Heading2"/>
        <w:spacing w:line="390" w:lineRule="exact" w:before="0"/>
        <w:ind w:right="0"/>
        <w:jc w:val="both"/>
        <w:rPr>
          <w:b w:val="0"/>
          <w:bCs w:val="0"/>
        </w:rPr>
      </w:pPr>
      <w:bookmarkStart w:name="_bookmark151" w:id="152"/>
      <w:bookmarkEnd w:id="152"/>
      <w:r>
        <w:rPr>
          <w:b w:val="0"/>
        </w:rPr>
      </w:r>
      <w:r>
        <w:rPr/>
        <w:t>Introduction</w:t>
      </w:r>
      <w:r>
        <w:rPr>
          <w:b w:val="0"/>
        </w:rPr>
      </w:r>
    </w:p>
    <w:p>
      <w:pPr>
        <w:pStyle w:val="BodyText"/>
        <w:spacing w:line="240" w:lineRule="auto"/>
        <w:ind w:right="1436"/>
        <w:jc w:val="both"/>
        <w:rPr>
          <w:rFonts w:ascii="Calibri" w:hAnsi="Calibri" w:cs="Calibri" w:eastAsia="Calibri" w:hint="default"/>
        </w:rPr>
      </w:pPr>
      <w:r>
        <w:rPr/>
        <w:t>Chapter 7 presents the 2015-2020 Strategic Tourism Master Pla</w:t>
      </w:r>
      <w:r>
        <w:rPr>
          <w:rFonts w:ascii="Calibri" w:hAnsi="Calibri" w:cs="Calibri" w:eastAsia="Calibri" w:hint="default"/>
        </w:rPr>
        <w:t>n’s vision, mission, and primary goal for Curaçao to </w:t>
      </w:r>
      <w:r>
        <w:rPr/>
        <w:t>become the premiere Caribbean destination by 2020. Note that the vision, mission, and primary goal that are provided</w:t>
      </w:r>
      <w:r>
        <w:rPr>
          <w:spacing w:val="-12"/>
        </w:rPr>
        <w:t> </w:t>
      </w:r>
      <w:r>
        <w:rPr/>
        <w:t>serve</w:t>
      </w:r>
      <w:r>
        <w:rPr>
          <w:spacing w:val="-13"/>
        </w:rPr>
        <w:t> </w:t>
      </w:r>
      <w:r>
        <w:rPr/>
        <w:t>the</w:t>
      </w:r>
      <w:r>
        <w:rPr>
          <w:spacing w:val="-13"/>
        </w:rPr>
        <w:t> </w:t>
      </w:r>
      <w:r>
        <w:rPr/>
        <w:t>purposes</w:t>
      </w:r>
      <w:r>
        <w:rPr>
          <w:spacing w:val="-14"/>
        </w:rPr>
        <w:t> </w:t>
      </w:r>
      <w:r>
        <w:rPr/>
        <w:t>of</w:t>
      </w:r>
      <w:r>
        <w:rPr>
          <w:spacing w:val="-13"/>
        </w:rPr>
        <w:t> </w:t>
      </w:r>
      <w:r>
        <w:rPr/>
        <w:t>the</w:t>
      </w:r>
      <w:r>
        <w:rPr>
          <w:spacing w:val="-13"/>
        </w:rPr>
        <w:t> </w:t>
      </w:r>
      <w:r>
        <w:rPr/>
        <w:t>2015-2020</w:t>
      </w:r>
      <w:r>
        <w:rPr>
          <w:spacing w:val="-13"/>
        </w:rPr>
        <w:t> </w:t>
      </w:r>
      <w:r>
        <w:rPr/>
        <w:t>Strategic</w:t>
      </w:r>
      <w:r>
        <w:rPr>
          <w:spacing w:val="-13"/>
        </w:rPr>
        <w:t> </w:t>
      </w:r>
      <w:r>
        <w:rPr/>
        <w:t>Tourism</w:t>
      </w:r>
      <w:r>
        <w:rPr>
          <w:spacing w:val="-13"/>
        </w:rPr>
        <w:t> </w:t>
      </w:r>
      <w:r>
        <w:rPr/>
        <w:t>Master</w:t>
      </w:r>
      <w:r>
        <w:rPr>
          <w:spacing w:val="-13"/>
        </w:rPr>
        <w:t> </w:t>
      </w:r>
      <w:r>
        <w:rPr/>
        <w:t>Plan.</w:t>
      </w:r>
      <w:r>
        <w:rPr>
          <w:spacing w:val="23"/>
        </w:rPr>
        <w:t> </w:t>
      </w:r>
      <w:r>
        <w:rPr>
          <w:rFonts w:ascii="Calibri" w:hAnsi="Calibri" w:cs="Calibri" w:eastAsia="Calibri" w:hint="default"/>
        </w:rPr>
        <w:t>The</w:t>
      </w:r>
      <w:r>
        <w:rPr>
          <w:rFonts w:ascii="Calibri" w:hAnsi="Calibri" w:cs="Calibri" w:eastAsia="Calibri" w:hint="default"/>
          <w:spacing w:val="-13"/>
        </w:rPr>
        <w:t> </w:t>
      </w:r>
      <w:r>
        <w:rPr>
          <w:rFonts w:ascii="Calibri" w:hAnsi="Calibri" w:cs="Calibri" w:eastAsia="Calibri" w:hint="default"/>
        </w:rPr>
        <w:t>plan’s</w:t>
      </w:r>
      <w:r>
        <w:rPr>
          <w:rFonts w:ascii="Calibri" w:hAnsi="Calibri" w:cs="Calibri" w:eastAsia="Calibri" w:hint="default"/>
          <w:spacing w:val="-14"/>
        </w:rPr>
        <w:t> </w:t>
      </w:r>
      <w:r>
        <w:rPr>
          <w:rFonts w:ascii="Calibri" w:hAnsi="Calibri" w:cs="Calibri" w:eastAsia="Calibri" w:hint="default"/>
        </w:rPr>
        <w:t>vision</w:t>
      </w:r>
      <w:r>
        <w:rPr/>
        <w:t>,</w:t>
      </w:r>
      <w:r>
        <w:rPr>
          <w:spacing w:val="-12"/>
        </w:rPr>
        <w:t> </w:t>
      </w:r>
      <w:r>
        <w:rPr/>
        <w:t>mission,</w:t>
      </w:r>
      <w:r>
        <w:rPr>
          <w:spacing w:val="-12"/>
        </w:rPr>
        <w:t> </w:t>
      </w:r>
      <w:r>
        <w:rPr/>
        <w:t>and</w:t>
      </w:r>
      <w:r>
        <w:rPr>
          <w:spacing w:val="-12"/>
        </w:rPr>
        <w:t> </w:t>
      </w:r>
      <w:r>
        <w:rPr/>
        <w:t>primary </w:t>
      </w:r>
      <w:r>
        <w:rPr/>
        <w:t>goal</w:t>
      </w:r>
      <w:r>
        <w:rPr>
          <w:spacing w:val="-14"/>
        </w:rPr>
        <w:t> </w:t>
      </w:r>
      <w:r>
        <w:rPr/>
        <w:t>are</w:t>
      </w:r>
      <w:r>
        <w:rPr>
          <w:spacing w:val="-15"/>
        </w:rPr>
        <w:t> </w:t>
      </w:r>
      <w:r>
        <w:rPr/>
        <w:t>representative</w:t>
      </w:r>
      <w:r>
        <w:rPr>
          <w:spacing w:val="-15"/>
        </w:rPr>
        <w:t> </w:t>
      </w:r>
      <w:r>
        <w:rPr/>
        <w:t>of</w:t>
      </w:r>
      <w:r>
        <w:rPr>
          <w:spacing w:val="-15"/>
        </w:rPr>
        <w:t> </w:t>
      </w:r>
      <w:r>
        <w:rPr/>
        <w:t>short,</w:t>
      </w:r>
      <w:r>
        <w:rPr>
          <w:spacing w:val="-13"/>
        </w:rPr>
        <w:t> </w:t>
      </w:r>
      <w:r>
        <w:rPr/>
        <w:t>mid,</w:t>
      </w:r>
      <w:r>
        <w:rPr>
          <w:spacing w:val="-14"/>
        </w:rPr>
        <w:t> </w:t>
      </w:r>
      <w:r>
        <w:rPr/>
        <w:t>and</w:t>
      </w:r>
      <w:r>
        <w:rPr>
          <w:spacing w:val="-13"/>
        </w:rPr>
        <w:t> </w:t>
      </w:r>
      <w:r>
        <w:rPr/>
        <w:t>long-term</w:t>
      </w:r>
      <w:r>
        <w:rPr>
          <w:spacing w:val="-12"/>
        </w:rPr>
        <w:t> </w:t>
      </w:r>
      <w:r>
        <w:rPr/>
        <w:t>supply</w:t>
      </w:r>
      <w:r>
        <w:rPr>
          <w:spacing w:val="-13"/>
        </w:rPr>
        <w:t> </w:t>
      </w:r>
      <w:r>
        <w:rPr/>
        <w:t>and</w:t>
      </w:r>
      <w:r>
        <w:rPr>
          <w:spacing w:val="-13"/>
        </w:rPr>
        <w:t> </w:t>
      </w:r>
      <w:r>
        <w:rPr/>
        <w:t>demand</w:t>
      </w:r>
      <w:r>
        <w:rPr>
          <w:spacing w:val="-13"/>
        </w:rPr>
        <w:t> </w:t>
      </w:r>
      <w:r>
        <w:rPr/>
        <w:t>strategies</w:t>
      </w:r>
      <w:r>
        <w:rPr>
          <w:spacing w:val="-15"/>
        </w:rPr>
        <w:t> </w:t>
      </w:r>
      <w:r>
        <w:rPr/>
        <w:t>that</w:t>
      </w:r>
      <w:r>
        <w:rPr>
          <w:spacing w:val="-13"/>
        </w:rPr>
        <w:t> </w:t>
      </w:r>
      <w:r>
        <w:rPr/>
        <w:t>highlight</w:t>
      </w:r>
      <w:r>
        <w:rPr>
          <w:spacing w:val="-14"/>
        </w:rPr>
        <w:t> </w:t>
      </w:r>
      <w:r>
        <w:rPr/>
        <w:t>the</w:t>
      </w:r>
      <w:r>
        <w:rPr>
          <w:spacing w:val="-15"/>
        </w:rPr>
        <w:t> </w:t>
      </w:r>
      <w:r>
        <w:rPr/>
        <w:t>actions</w:t>
      </w:r>
      <w:r>
        <w:rPr>
          <w:spacing w:val="-13"/>
        </w:rPr>
        <w:t> </w:t>
      </w:r>
      <w:r>
        <w:rPr/>
        <w:t>required </w:t>
      </w:r>
      <w:r>
        <w:rPr/>
        <w:t>by Curaçao to reconfigure its current demand structure with the existing product supply. The vision, mission, and primary goal of the 2015-2020 Strategic Tourism Master Plan are not intended to be used, nor are they </w:t>
      </w:r>
      <w:r>
        <w:rPr>
          <w:rFonts w:ascii="Calibri" w:hAnsi="Calibri" w:cs="Calibri" w:eastAsia="Calibri" w:hint="default"/>
        </w:rPr>
        <w:t>recommended to be used as the CTB’s vision, mission, and primary</w:t>
      </w:r>
      <w:r>
        <w:rPr>
          <w:rFonts w:ascii="Calibri" w:hAnsi="Calibri" w:cs="Calibri" w:eastAsia="Calibri" w:hint="default"/>
          <w:spacing w:val="-23"/>
        </w:rPr>
        <w:t> </w:t>
      </w:r>
      <w:r>
        <w:rPr>
          <w:rFonts w:ascii="Calibri" w:hAnsi="Calibri" w:cs="Calibri" w:eastAsia="Calibri" w:hint="default"/>
        </w:rPr>
        <w:t>goal.</w:t>
      </w:r>
    </w:p>
    <w:p>
      <w:pPr>
        <w:pStyle w:val="BodyText"/>
        <w:spacing w:line="240" w:lineRule="auto"/>
        <w:ind w:right="1436"/>
        <w:jc w:val="both"/>
      </w:pPr>
      <w:r>
        <w:rPr/>
        <w:t>The short, mid, and long-term supply and demand strategies are data driven strategies. The short-term objectives are defined as years 1 and 2. The mid-term objectives are defined as years 3 and 4. And, the long-term objectives are defined as year 5. If executed correctly, the 2015-2020 Strategic Tourism Master Plan will optimize the existing tourism supply, stimulate demand, and create a tourism core product that generates a stable revenue stream for the</w:t>
      </w:r>
      <w:r>
        <w:rPr>
          <w:spacing w:val="-4"/>
        </w:rPr>
        <w:t> </w:t>
      </w:r>
      <w:r>
        <w:rPr/>
        <w:t>industry</w:t>
      </w:r>
      <w:r>
        <w:rPr>
          <w:spacing w:val="-2"/>
        </w:rPr>
        <w:t> </w:t>
      </w:r>
      <w:r>
        <w:rPr/>
        <w:t>and</w:t>
      </w:r>
      <w:r>
        <w:rPr>
          <w:spacing w:val="-3"/>
        </w:rPr>
        <w:t> </w:t>
      </w:r>
      <w:r>
        <w:rPr/>
        <w:t>society</w:t>
      </w:r>
      <w:r>
        <w:rPr>
          <w:spacing w:val="-2"/>
        </w:rPr>
        <w:t> </w:t>
      </w:r>
      <w:r>
        <w:rPr/>
        <w:t>through</w:t>
      </w:r>
      <w:r>
        <w:rPr>
          <w:spacing w:val="-3"/>
        </w:rPr>
        <w:t> </w:t>
      </w:r>
      <w:r>
        <w:rPr/>
        <w:t>job</w:t>
      </w:r>
      <w:r>
        <w:rPr>
          <w:spacing w:val="-3"/>
        </w:rPr>
        <w:t> </w:t>
      </w:r>
      <w:r>
        <w:rPr/>
        <w:t>creation,</w:t>
      </w:r>
      <w:r>
        <w:rPr>
          <w:spacing w:val="-3"/>
        </w:rPr>
        <w:t> </w:t>
      </w:r>
      <w:r>
        <w:rPr/>
        <w:t>profitability,</w:t>
      </w:r>
      <w:r>
        <w:rPr>
          <w:spacing w:val="-5"/>
        </w:rPr>
        <w:t> </w:t>
      </w:r>
      <w:r>
        <w:rPr/>
        <w:t>and</w:t>
      </w:r>
      <w:r>
        <w:rPr>
          <w:spacing w:val="-3"/>
        </w:rPr>
        <w:t> </w:t>
      </w:r>
      <w:r>
        <w:rPr/>
        <w:t>resources</w:t>
      </w:r>
      <w:r>
        <w:rPr>
          <w:spacing w:val="-5"/>
        </w:rPr>
        <w:t> </w:t>
      </w:r>
      <w:r>
        <w:rPr/>
        <w:t>to</w:t>
      </w:r>
      <w:r>
        <w:rPr>
          <w:spacing w:val="-3"/>
        </w:rPr>
        <w:t> </w:t>
      </w:r>
      <w:r>
        <w:rPr/>
        <w:t>the</w:t>
      </w:r>
      <w:r>
        <w:rPr>
          <w:spacing w:val="-4"/>
        </w:rPr>
        <w:t> </w:t>
      </w:r>
      <w:r>
        <w:rPr/>
        <w:t>CTB.</w:t>
      </w:r>
    </w:p>
    <w:p>
      <w:pPr>
        <w:pStyle w:val="Heading2"/>
        <w:spacing w:line="240" w:lineRule="auto" w:before="37"/>
        <w:ind w:right="0"/>
        <w:jc w:val="both"/>
        <w:rPr>
          <w:b w:val="0"/>
          <w:bCs w:val="0"/>
        </w:rPr>
      </w:pPr>
      <w:bookmarkStart w:name="_bookmark152" w:id="153"/>
      <w:bookmarkEnd w:id="153"/>
      <w:r>
        <w:rPr>
          <w:b w:val="0"/>
        </w:rPr>
      </w:r>
      <w:r>
        <w:rPr/>
        <w:t>The destination</w:t>
      </w:r>
      <w:r>
        <w:rPr>
          <w:spacing w:val="-12"/>
        </w:rPr>
        <w:t> </w:t>
      </w:r>
      <w:r>
        <w:rPr/>
        <w:t>vision</w:t>
      </w:r>
      <w:r>
        <w:rPr>
          <w:b w:val="0"/>
        </w:rPr>
      </w:r>
    </w:p>
    <w:p>
      <w:pPr>
        <w:spacing w:line="243" w:lineRule="exact" w:before="191"/>
        <w:ind w:left="25" w:right="26" w:firstLine="0"/>
        <w:jc w:val="center"/>
        <w:rPr>
          <w:rFonts w:ascii="Calibri" w:hAnsi="Calibri" w:cs="Calibri" w:eastAsia="Calibri" w:hint="default"/>
          <w:sz w:val="20"/>
          <w:szCs w:val="20"/>
        </w:rPr>
      </w:pPr>
      <w:r>
        <w:rPr>
          <w:rFonts w:ascii="Calibri" w:hAnsi="Calibri" w:cs="Calibri" w:eastAsia="Calibri" w:hint="default"/>
          <w:sz w:val="20"/>
          <w:szCs w:val="20"/>
        </w:rPr>
        <w:t>“</w:t>
      </w:r>
      <w:r>
        <w:rPr>
          <w:rFonts w:ascii="Calibri" w:hAnsi="Calibri" w:cs="Calibri" w:eastAsia="Calibri" w:hint="default"/>
          <w:i/>
          <w:sz w:val="20"/>
          <w:szCs w:val="20"/>
        </w:rPr>
        <w:t>To make the island the most desirable destination within the</w:t>
      </w:r>
      <w:r>
        <w:rPr>
          <w:rFonts w:ascii="Calibri" w:hAnsi="Calibri" w:cs="Calibri" w:eastAsia="Calibri" w:hint="default"/>
          <w:i/>
          <w:spacing w:val="-24"/>
          <w:sz w:val="20"/>
          <w:szCs w:val="20"/>
        </w:rPr>
        <w:t> </w:t>
      </w:r>
      <w:r>
        <w:rPr>
          <w:rFonts w:ascii="Calibri" w:hAnsi="Calibri" w:cs="Calibri" w:eastAsia="Calibri" w:hint="default"/>
          <w:i/>
          <w:sz w:val="20"/>
          <w:szCs w:val="20"/>
        </w:rPr>
        <w:t>Caribbean</w:t>
      </w:r>
      <w:r>
        <w:rPr>
          <w:rFonts w:ascii="Calibri" w:hAnsi="Calibri" w:cs="Calibri" w:eastAsia="Calibri" w:hint="default"/>
          <w:sz w:val="20"/>
          <w:szCs w:val="20"/>
        </w:rPr>
        <w:t>”</w:t>
      </w:r>
    </w:p>
    <w:p>
      <w:pPr>
        <w:pStyle w:val="BodyText"/>
        <w:spacing w:line="240" w:lineRule="auto"/>
        <w:ind w:right="1436"/>
        <w:jc w:val="both"/>
      </w:pPr>
      <w:r>
        <w:rPr/>
        <w:t>The</w:t>
      </w:r>
      <w:r>
        <w:rPr>
          <w:spacing w:val="-11"/>
        </w:rPr>
        <w:t> </w:t>
      </w:r>
      <w:r>
        <w:rPr/>
        <w:t>long-term</w:t>
      </w:r>
      <w:r>
        <w:rPr>
          <w:spacing w:val="-11"/>
        </w:rPr>
        <w:t> </w:t>
      </w:r>
      <w:r>
        <w:rPr/>
        <w:t>vision</w:t>
      </w:r>
      <w:r>
        <w:rPr>
          <w:spacing w:val="-9"/>
        </w:rPr>
        <w:t> </w:t>
      </w:r>
      <w:r>
        <w:rPr/>
        <w:t>(5</w:t>
      </w:r>
      <w:r>
        <w:rPr>
          <w:spacing w:val="-11"/>
        </w:rPr>
        <w:t> </w:t>
      </w:r>
      <w:r>
        <w:rPr/>
        <w:t>years)</w:t>
      </w:r>
      <w:r>
        <w:rPr>
          <w:spacing w:val="-8"/>
        </w:rPr>
        <w:t> </w:t>
      </w:r>
      <w:r>
        <w:rPr/>
        <w:t>of</w:t>
      </w:r>
      <w:r>
        <w:rPr>
          <w:spacing w:val="-11"/>
        </w:rPr>
        <w:t> </w:t>
      </w:r>
      <w:r>
        <w:rPr/>
        <w:t>the</w:t>
      </w:r>
      <w:r>
        <w:rPr>
          <w:spacing w:val="-11"/>
        </w:rPr>
        <w:t> </w:t>
      </w:r>
      <w:r>
        <w:rPr/>
        <w:t>2015-2020</w:t>
      </w:r>
      <w:r>
        <w:rPr>
          <w:spacing w:val="-11"/>
        </w:rPr>
        <w:t> </w:t>
      </w:r>
      <w:r>
        <w:rPr/>
        <w:t>Strategic</w:t>
      </w:r>
      <w:r>
        <w:rPr>
          <w:spacing w:val="-10"/>
        </w:rPr>
        <w:t> </w:t>
      </w:r>
      <w:r>
        <w:rPr/>
        <w:t>Tourism</w:t>
      </w:r>
      <w:r>
        <w:rPr>
          <w:spacing w:val="-11"/>
        </w:rPr>
        <w:t> </w:t>
      </w:r>
      <w:r>
        <w:rPr/>
        <w:t>Master</w:t>
      </w:r>
      <w:r>
        <w:rPr>
          <w:spacing w:val="-10"/>
        </w:rPr>
        <w:t> </w:t>
      </w:r>
      <w:r>
        <w:rPr/>
        <w:t>Plan</w:t>
      </w:r>
      <w:r>
        <w:rPr>
          <w:spacing w:val="-9"/>
        </w:rPr>
        <w:t> </w:t>
      </w:r>
      <w:r>
        <w:rPr/>
        <w:t>is</w:t>
      </w:r>
      <w:r>
        <w:rPr>
          <w:spacing w:val="-12"/>
        </w:rPr>
        <w:t> </w:t>
      </w:r>
      <w:r>
        <w:rPr/>
        <w:t>to</w:t>
      </w:r>
      <w:r>
        <w:rPr>
          <w:spacing w:val="-10"/>
        </w:rPr>
        <w:t> </w:t>
      </w:r>
      <w:r>
        <w:rPr/>
        <w:t>make</w:t>
      </w:r>
      <w:r>
        <w:rPr>
          <w:spacing w:val="-11"/>
        </w:rPr>
        <w:t> </w:t>
      </w:r>
      <w:r>
        <w:rPr/>
        <w:t>Curaçao</w:t>
      </w:r>
      <w:r>
        <w:rPr>
          <w:spacing w:val="-10"/>
        </w:rPr>
        <w:t> </w:t>
      </w:r>
      <w:r>
        <w:rPr/>
        <w:t>the</w:t>
      </w:r>
      <w:r>
        <w:rPr>
          <w:spacing w:val="-11"/>
        </w:rPr>
        <w:t> </w:t>
      </w:r>
      <w:r>
        <w:rPr/>
        <w:t>most</w:t>
      </w:r>
      <w:r>
        <w:rPr>
          <w:spacing w:val="-10"/>
        </w:rPr>
        <w:t> </w:t>
      </w:r>
      <w:r>
        <w:rPr/>
        <w:t>desirable </w:t>
      </w:r>
      <w:r>
        <w:rPr/>
      </w:r>
      <w:r>
        <w:rPr>
          <w:rFonts w:ascii="Calibri" w:hAnsi="Calibri" w:cs="Calibri" w:eastAsia="Calibri" w:hint="default"/>
        </w:rPr>
        <w:t>destination within the Caribbean. This means that Curaçao will emerge as the Caribbean’s n</w:t>
      </w:r>
      <w:r>
        <w:rPr/>
        <w:t>ewest, freshest, and strongest island with regard </w:t>
      </w:r>
      <w:r>
        <w:rPr>
          <w:rFonts w:ascii="Calibri" w:hAnsi="Calibri" w:cs="Calibri" w:eastAsia="Calibri" w:hint="default"/>
        </w:rPr>
        <w:t>to its brand awareness and market position. In order to benchmark Curaçao’s progress </w:t>
      </w:r>
      <w:r>
        <w:rPr/>
        <w:t>toward</w:t>
      </w:r>
      <w:r>
        <w:rPr>
          <w:spacing w:val="-9"/>
        </w:rPr>
        <w:t> </w:t>
      </w:r>
      <w:r>
        <w:rPr/>
        <w:t>this</w:t>
      </w:r>
      <w:r>
        <w:rPr>
          <w:spacing w:val="-8"/>
        </w:rPr>
        <w:t> </w:t>
      </w:r>
      <w:r>
        <w:rPr/>
        <w:t>vision,</w:t>
      </w:r>
      <w:r>
        <w:rPr>
          <w:spacing w:val="-7"/>
        </w:rPr>
        <w:t> </w:t>
      </w:r>
      <w:r>
        <w:rPr/>
        <w:t>specific</w:t>
      </w:r>
      <w:r>
        <w:rPr>
          <w:spacing w:val="-8"/>
        </w:rPr>
        <w:t> </w:t>
      </w:r>
      <w:r>
        <w:rPr/>
        <w:t>measures</w:t>
      </w:r>
      <w:r>
        <w:rPr>
          <w:spacing w:val="-8"/>
        </w:rPr>
        <w:t> </w:t>
      </w:r>
      <w:r>
        <w:rPr/>
        <w:t>will</w:t>
      </w:r>
      <w:r>
        <w:rPr>
          <w:spacing w:val="-9"/>
        </w:rPr>
        <w:t> </w:t>
      </w:r>
      <w:r>
        <w:rPr/>
        <w:t>need</w:t>
      </w:r>
      <w:r>
        <w:rPr>
          <w:spacing w:val="-9"/>
        </w:rPr>
        <w:t> </w:t>
      </w:r>
      <w:r>
        <w:rPr/>
        <w:t>to</w:t>
      </w:r>
      <w:r>
        <w:rPr>
          <w:spacing w:val="-7"/>
        </w:rPr>
        <w:t> </w:t>
      </w:r>
      <w:r>
        <w:rPr/>
        <w:t>be</w:t>
      </w:r>
      <w:r>
        <w:rPr>
          <w:spacing w:val="-10"/>
        </w:rPr>
        <w:t> </w:t>
      </w:r>
      <w:r>
        <w:rPr/>
        <w:t>assessed</w:t>
      </w:r>
      <w:r>
        <w:rPr>
          <w:spacing w:val="-9"/>
        </w:rPr>
        <w:t> </w:t>
      </w:r>
      <w:r>
        <w:rPr/>
        <w:t>over</w:t>
      </w:r>
      <w:r>
        <w:rPr>
          <w:spacing w:val="-9"/>
        </w:rPr>
        <w:t> </w:t>
      </w:r>
      <w:r>
        <w:rPr/>
        <w:t>the</w:t>
      </w:r>
      <w:r>
        <w:rPr>
          <w:spacing w:val="-8"/>
        </w:rPr>
        <w:t> </w:t>
      </w:r>
      <w:r>
        <w:rPr/>
        <w:t>lifespan</w:t>
      </w:r>
      <w:r>
        <w:rPr>
          <w:spacing w:val="-8"/>
        </w:rPr>
        <w:t> </w:t>
      </w:r>
      <w:r>
        <w:rPr/>
        <w:t>of</w:t>
      </w:r>
      <w:r>
        <w:rPr>
          <w:spacing w:val="-8"/>
        </w:rPr>
        <w:t> </w:t>
      </w:r>
      <w:r>
        <w:rPr/>
        <w:t>this</w:t>
      </w:r>
      <w:r>
        <w:rPr>
          <w:spacing w:val="-11"/>
        </w:rPr>
        <w:t> </w:t>
      </w:r>
      <w:r>
        <w:rPr/>
        <w:t>plan.</w:t>
      </w:r>
      <w:r>
        <w:rPr>
          <w:spacing w:val="27"/>
        </w:rPr>
        <w:t> </w:t>
      </w:r>
      <w:r>
        <w:rPr/>
        <w:t>These</w:t>
      </w:r>
      <w:r>
        <w:rPr>
          <w:spacing w:val="-8"/>
        </w:rPr>
        <w:t> </w:t>
      </w:r>
      <w:r>
        <w:rPr/>
        <w:t>measures</w:t>
      </w:r>
      <w:r>
        <w:rPr>
          <w:spacing w:val="-10"/>
        </w:rPr>
        <w:t> </w:t>
      </w:r>
      <w:r>
        <w:rPr/>
        <w:t>include:</w:t>
      </w:r>
    </w:p>
    <w:p>
      <w:pPr>
        <w:pStyle w:val="ListParagraph"/>
        <w:numPr>
          <w:ilvl w:val="1"/>
          <w:numId w:val="10"/>
        </w:numPr>
        <w:tabs>
          <w:tab w:pos="2161" w:val="left" w:leader="none"/>
        </w:tabs>
        <w:spacing w:line="254" w:lineRule="exact" w:before="0" w:after="0"/>
        <w:ind w:left="2206" w:right="0" w:hanging="406"/>
        <w:jc w:val="left"/>
        <w:rPr>
          <w:rFonts w:ascii="Calibri" w:hAnsi="Calibri" w:cs="Calibri" w:eastAsia="Calibri" w:hint="default"/>
          <w:sz w:val="20"/>
          <w:szCs w:val="20"/>
        </w:rPr>
      </w:pPr>
      <w:r>
        <w:rPr>
          <w:rFonts w:ascii="Calibri"/>
          <w:sz w:val="20"/>
        </w:rPr>
        <w:t>Tourist</w:t>
      </w:r>
      <w:r>
        <w:rPr>
          <w:rFonts w:ascii="Calibri"/>
          <w:spacing w:val="-9"/>
          <w:sz w:val="20"/>
        </w:rPr>
        <w:t> </w:t>
      </w:r>
      <w:r>
        <w:rPr>
          <w:rFonts w:ascii="Calibri"/>
          <w:sz w:val="20"/>
        </w:rPr>
        <w:t>arrivals</w:t>
      </w:r>
    </w:p>
    <w:p>
      <w:pPr>
        <w:pStyle w:val="ListParagraph"/>
        <w:numPr>
          <w:ilvl w:val="1"/>
          <w:numId w:val="10"/>
        </w:numPr>
        <w:tabs>
          <w:tab w:pos="2161" w:val="left" w:leader="none"/>
        </w:tabs>
        <w:spacing w:line="240" w:lineRule="auto" w:before="14" w:after="0"/>
        <w:ind w:left="2160" w:right="0" w:hanging="360"/>
        <w:jc w:val="left"/>
        <w:rPr>
          <w:rFonts w:ascii="Calibri" w:hAnsi="Calibri" w:cs="Calibri" w:eastAsia="Calibri" w:hint="default"/>
          <w:sz w:val="20"/>
          <w:szCs w:val="20"/>
        </w:rPr>
      </w:pPr>
      <w:r>
        <w:rPr>
          <w:rFonts w:ascii="Calibri"/>
          <w:sz w:val="20"/>
        </w:rPr>
        <w:t>Tourist</w:t>
      </w:r>
      <w:r>
        <w:rPr>
          <w:rFonts w:ascii="Calibri"/>
          <w:spacing w:val="-7"/>
          <w:sz w:val="20"/>
        </w:rPr>
        <w:t> </w:t>
      </w:r>
      <w:r>
        <w:rPr>
          <w:rFonts w:ascii="Calibri"/>
          <w:sz w:val="20"/>
        </w:rPr>
        <w:t>receipts</w:t>
      </w:r>
    </w:p>
    <w:p>
      <w:pPr>
        <w:pStyle w:val="ListParagraph"/>
        <w:numPr>
          <w:ilvl w:val="1"/>
          <w:numId w:val="10"/>
        </w:numPr>
        <w:tabs>
          <w:tab w:pos="2161" w:val="left" w:leader="none"/>
        </w:tabs>
        <w:spacing w:line="240" w:lineRule="auto" w:before="12" w:after="0"/>
        <w:ind w:left="2160" w:right="0" w:hanging="360"/>
        <w:jc w:val="left"/>
        <w:rPr>
          <w:rFonts w:ascii="Calibri" w:hAnsi="Calibri" w:cs="Calibri" w:eastAsia="Calibri" w:hint="default"/>
          <w:sz w:val="20"/>
          <w:szCs w:val="20"/>
        </w:rPr>
      </w:pPr>
      <w:r>
        <w:rPr>
          <w:rFonts w:ascii="Calibri"/>
          <w:sz w:val="20"/>
        </w:rPr>
        <w:t>Hotel occupancy</w:t>
      </w:r>
      <w:r>
        <w:rPr>
          <w:rFonts w:ascii="Calibri"/>
          <w:spacing w:val="-7"/>
          <w:sz w:val="20"/>
        </w:rPr>
        <w:t> </w:t>
      </w:r>
      <w:r>
        <w:rPr>
          <w:rFonts w:ascii="Calibri"/>
          <w:sz w:val="20"/>
        </w:rPr>
        <w:t>rates</w:t>
      </w:r>
    </w:p>
    <w:p>
      <w:pPr>
        <w:pStyle w:val="ListParagraph"/>
        <w:numPr>
          <w:ilvl w:val="1"/>
          <w:numId w:val="10"/>
        </w:numPr>
        <w:tabs>
          <w:tab w:pos="2161" w:val="left" w:leader="none"/>
        </w:tabs>
        <w:spacing w:line="240" w:lineRule="auto" w:before="11" w:after="0"/>
        <w:ind w:left="2160" w:right="0" w:hanging="360"/>
        <w:jc w:val="left"/>
        <w:rPr>
          <w:rFonts w:ascii="Calibri" w:hAnsi="Calibri" w:cs="Calibri" w:eastAsia="Calibri" w:hint="default"/>
          <w:sz w:val="20"/>
          <w:szCs w:val="20"/>
        </w:rPr>
      </w:pPr>
      <w:r>
        <w:rPr>
          <w:rFonts w:ascii="Calibri"/>
          <w:sz w:val="20"/>
        </w:rPr>
        <w:t>RevPAR</w:t>
      </w:r>
    </w:p>
    <w:p>
      <w:pPr>
        <w:pStyle w:val="ListParagraph"/>
        <w:numPr>
          <w:ilvl w:val="1"/>
          <w:numId w:val="10"/>
        </w:numPr>
        <w:tabs>
          <w:tab w:pos="2161" w:val="left" w:leader="none"/>
        </w:tabs>
        <w:spacing w:line="240" w:lineRule="auto" w:before="11" w:after="0"/>
        <w:ind w:left="2160" w:right="0" w:hanging="360"/>
        <w:jc w:val="left"/>
        <w:rPr>
          <w:rFonts w:ascii="Calibri" w:hAnsi="Calibri" w:cs="Calibri" w:eastAsia="Calibri" w:hint="default"/>
          <w:sz w:val="20"/>
          <w:szCs w:val="20"/>
        </w:rPr>
      </w:pPr>
      <w:r>
        <w:rPr>
          <w:rFonts w:ascii="Calibri"/>
          <w:sz w:val="20"/>
        </w:rPr>
        <w:t>Airline load</w:t>
      </w:r>
      <w:r>
        <w:rPr>
          <w:rFonts w:ascii="Calibri"/>
          <w:spacing w:val="-10"/>
          <w:sz w:val="20"/>
        </w:rPr>
        <w:t> </w:t>
      </w:r>
      <w:r>
        <w:rPr>
          <w:rFonts w:ascii="Calibri"/>
          <w:sz w:val="20"/>
        </w:rPr>
        <w:t>factors</w:t>
      </w:r>
    </w:p>
    <w:p>
      <w:pPr>
        <w:pStyle w:val="ListParagraph"/>
        <w:numPr>
          <w:ilvl w:val="1"/>
          <w:numId w:val="10"/>
        </w:numPr>
        <w:tabs>
          <w:tab w:pos="2161" w:val="left" w:leader="none"/>
        </w:tabs>
        <w:spacing w:line="240" w:lineRule="auto" w:before="11" w:after="0"/>
        <w:ind w:left="2160" w:right="0" w:hanging="360"/>
        <w:jc w:val="left"/>
        <w:rPr>
          <w:rFonts w:ascii="Calibri" w:hAnsi="Calibri" w:cs="Calibri" w:eastAsia="Calibri" w:hint="default"/>
          <w:sz w:val="20"/>
          <w:szCs w:val="20"/>
        </w:rPr>
      </w:pPr>
      <w:r>
        <w:rPr>
          <w:rFonts w:ascii="Calibri" w:hAnsi="Calibri"/>
          <w:sz w:val="20"/>
        </w:rPr>
        <w:t>Electronic word-of-mouth comments (e.g. TripAdvisor</w:t>
      </w:r>
      <w:r>
        <w:rPr>
          <w:rFonts w:ascii="Calibri" w:hAnsi="Calibri"/>
          <w:spacing w:val="-27"/>
          <w:sz w:val="20"/>
        </w:rPr>
        <w:t> </w:t>
      </w:r>
      <w:r>
        <w:rPr>
          <w:rFonts w:ascii="Calibri" w:hAnsi="Calibri"/>
          <w:sz w:val="20"/>
        </w:rPr>
        <w:t>©)</w:t>
      </w:r>
    </w:p>
    <w:p>
      <w:pPr>
        <w:pStyle w:val="BodyText"/>
        <w:spacing w:line="240" w:lineRule="auto" w:before="173"/>
        <w:ind w:right="1436"/>
        <w:jc w:val="both"/>
      </w:pPr>
      <w:r>
        <w:rPr/>
        <w:t>The</w:t>
      </w:r>
      <w:r>
        <w:rPr>
          <w:spacing w:val="-10"/>
        </w:rPr>
        <w:t> </w:t>
      </w:r>
      <w:r>
        <w:rPr/>
        <w:t>main</w:t>
      </w:r>
      <w:r>
        <w:rPr>
          <w:spacing w:val="-8"/>
        </w:rPr>
        <w:t> </w:t>
      </w:r>
      <w:r>
        <w:rPr/>
        <w:t>measurement</w:t>
      </w:r>
      <w:r>
        <w:rPr>
          <w:spacing w:val="-9"/>
        </w:rPr>
        <w:t> </w:t>
      </w:r>
      <w:r>
        <w:rPr/>
        <w:t>of</w:t>
      </w:r>
      <w:r>
        <w:rPr>
          <w:spacing w:val="-9"/>
        </w:rPr>
        <w:t> </w:t>
      </w:r>
      <w:r>
        <w:rPr/>
        <w:t>Curaçao</w:t>
      </w:r>
      <w:r>
        <w:rPr>
          <w:rFonts w:ascii="Calibri" w:hAnsi="Calibri" w:cs="Calibri" w:eastAsia="Calibri" w:hint="default"/>
        </w:rPr>
        <w:t>’s</w:t>
      </w:r>
      <w:r>
        <w:rPr>
          <w:rFonts w:ascii="Calibri" w:hAnsi="Calibri" w:cs="Calibri" w:eastAsia="Calibri" w:hint="default"/>
          <w:spacing w:val="-10"/>
        </w:rPr>
        <w:t> </w:t>
      </w:r>
      <w:r>
        <w:rPr>
          <w:rFonts w:ascii="Calibri" w:hAnsi="Calibri" w:cs="Calibri" w:eastAsia="Calibri" w:hint="default"/>
        </w:rPr>
        <w:t>competitive</w:t>
      </w:r>
      <w:r>
        <w:rPr>
          <w:rFonts w:ascii="Calibri" w:hAnsi="Calibri" w:cs="Calibri" w:eastAsia="Calibri" w:hint="default"/>
          <w:spacing w:val="-10"/>
        </w:rPr>
        <w:t> </w:t>
      </w:r>
      <w:r>
        <w:rPr>
          <w:rFonts w:ascii="Calibri" w:hAnsi="Calibri" w:cs="Calibri" w:eastAsia="Calibri" w:hint="default"/>
        </w:rPr>
        <w:t>position</w:t>
      </w:r>
      <w:r>
        <w:rPr>
          <w:rFonts w:ascii="Calibri" w:hAnsi="Calibri" w:cs="Calibri" w:eastAsia="Calibri" w:hint="default"/>
          <w:spacing w:val="-8"/>
        </w:rPr>
        <w:t> </w:t>
      </w:r>
      <w:r>
        <w:rPr>
          <w:rFonts w:ascii="Calibri" w:hAnsi="Calibri" w:cs="Calibri" w:eastAsia="Calibri" w:hint="default"/>
        </w:rPr>
        <w:t>in</w:t>
      </w:r>
      <w:r>
        <w:rPr>
          <w:rFonts w:ascii="Calibri" w:hAnsi="Calibri" w:cs="Calibri" w:eastAsia="Calibri" w:hint="default"/>
          <w:spacing w:val="-9"/>
        </w:rPr>
        <w:t> </w:t>
      </w:r>
      <w:r>
        <w:rPr>
          <w:rFonts w:ascii="Calibri" w:hAnsi="Calibri" w:cs="Calibri" w:eastAsia="Calibri" w:hint="default"/>
        </w:rPr>
        <w:t>the</w:t>
      </w:r>
      <w:r>
        <w:rPr>
          <w:rFonts w:ascii="Calibri" w:hAnsi="Calibri" w:cs="Calibri" w:eastAsia="Calibri" w:hint="default"/>
          <w:spacing w:val="-10"/>
        </w:rPr>
        <w:t> </w:t>
      </w:r>
      <w:r>
        <w:rPr>
          <w:rFonts w:ascii="Calibri" w:hAnsi="Calibri" w:cs="Calibri" w:eastAsia="Calibri" w:hint="default"/>
        </w:rPr>
        <w:t>Caribbean</w:t>
      </w:r>
      <w:r>
        <w:rPr>
          <w:rFonts w:ascii="Calibri" w:hAnsi="Calibri" w:cs="Calibri" w:eastAsia="Calibri" w:hint="default"/>
          <w:spacing w:val="-8"/>
        </w:rPr>
        <w:t> </w:t>
      </w:r>
      <w:r>
        <w:rPr>
          <w:rFonts w:ascii="Calibri" w:hAnsi="Calibri" w:cs="Calibri" w:eastAsia="Calibri" w:hint="default"/>
        </w:rPr>
        <w:t>is</w:t>
      </w:r>
      <w:r>
        <w:rPr>
          <w:rFonts w:ascii="Calibri" w:hAnsi="Calibri" w:cs="Calibri" w:eastAsia="Calibri" w:hint="default"/>
          <w:spacing w:val="-11"/>
        </w:rPr>
        <w:t> </w:t>
      </w:r>
      <w:r>
        <w:rPr>
          <w:rFonts w:ascii="Calibri" w:hAnsi="Calibri" w:cs="Calibri" w:eastAsia="Calibri" w:hint="default"/>
        </w:rPr>
        <w:t>the</w:t>
      </w:r>
      <w:r>
        <w:rPr>
          <w:rFonts w:ascii="Calibri" w:hAnsi="Calibri" w:cs="Calibri" w:eastAsia="Calibri" w:hint="default"/>
          <w:spacing w:val="-10"/>
        </w:rPr>
        <w:t> </w:t>
      </w:r>
      <w:r>
        <w:rPr>
          <w:rFonts w:ascii="Calibri" w:hAnsi="Calibri" w:cs="Calibri" w:eastAsia="Calibri" w:hint="default"/>
        </w:rPr>
        <w:t>closing</w:t>
      </w:r>
      <w:r>
        <w:rPr>
          <w:rFonts w:ascii="Calibri" w:hAnsi="Calibri" w:cs="Calibri" w:eastAsia="Calibri" w:hint="default"/>
          <w:spacing w:val="-7"/>
        </w:rPr>
        <w:t> </w:t>
      </w:r>
      <w:r>
        <w:rPr/>
        <w:t>of</w:t>
      </w:r>
      <w:r>
        <w:rPr>
          <w:spacing w:val="-10"/>
        </w:rPr>
        <w:t> </w:t>
      </w:r>
      <w:r>
        <w:rPr/>
        <w:t>the</w:t>
      </w:r>
      <w:r>
        <w:rPr>
          <w:spacing w:val="-10"/>
        </w:rPr>
        <w:t> </w:t>
      </w:r>
      <w:r>
        <w:rPr/>
        <w:t>RevPAR</w:t>
      </w:r>
      <w:r>
        <w:rPr>
          <w:spacing w:val="-8"/>
        </w:rPr>
        <w:t> </w:t>
      </w:r>
      <w:r>
        <w:rPr/>
        <w:t>gap</w:t>
      </w:r>
      <w:r>
        <w:rPr>
          <w:spacing w:val="-8"/>
        </w:rPr>
        <w:t> </w:t>
      </w:r>
      <w:r>
        <w:rPr/>
        <w:t>between </w:t>
      </w:r>
      <w:r>
        <w:rPr/>
        <w:t>Curaçao and the rest of the Caribbean. </w:t>
      </w:r>
      <w:r>
        <w:rPr>
          <w:rFonts w:ascii="Calibri" w:hAnsi="Calibri" w:cs="Calibri" w:eastAsia="Calibri" w:hint="default"/>
        </w:rPr>
        <w:t>Curaçao’s historic success with the Dutch and Venezuelan markets has </w:t>
      </w:r>
      <w:r>
        <w:rPr/>
        <w:t>compelled stakeholders to stay vested within these markets. At this time, it is necessary for Curaçao to sustain its market share with the Dutch and Venezuelans while actively reaching for and acquiring American tourists. Keeping the Venezuelan market seems a daunting task under the current economic situation in that country. Consequently, the plan suggests a shift within the Latin America market towards Colombia. Colombia has become a market opportunity</w:t>
      </w:r>
      <w:r>
        <w:rPr>
          <w:spacing w:val="-8"/>
        </w:rPr>
        <w:t> </w:t>
      </w:r>
      <w:r>
        <w:rPr/>
        <w:t>due</w:t>
      </w:r>
      <w:r>
        <w:rPr>
          <w:spacing w:val="-9"/>
        </w:rPr>
        <w:t> </w:t>
      </w:r>
      <w:r>
        <w:rPr/>
        <w:t>to</w:t>
      </w:r>
      <w:r>
        <w:rPr>
          <w:spacing w:val="-9"/>
        </w:rPr>
        <w:t> </w:t>
      </w:r>
      <w:r>
        <w:rPr/>
        <w:t>the</w:t>
      </w:r>
      <w:r>
        <w:rPr>
          <w:spacing w:val="-9"/>
        </w:rPr>
        <w:t> </w:t>
      </w:r>
      <w:r>
        <w:rPr/>
        <w:t>elimination</w:t>
      </w:r>
      <w:r>
        <w:rPr>
          <w:spacing w:val="-7"/>
        </w:rPr>
        <w:t> </w:t>
      </w:r>
      <w:r>
        <w:rPr/>
        <w:t>of</w:t>
      </w:r>
      <w:r>
        <w:rPr>
          <w:spacing w:val="-9"/>
        </w:rPr>
        <w:t> </w:t>
      </w:r>
      <w:r>
        <w:rPr/>
        <w:t>the</w:t>
      </w:r>
      <w:r>
        <w:rPr>
          <w:spacing w:val="-9"/>
        </w:rPr>
        <w:t> </w:t>
      </w:r>
      <w:r>
        <w:rPr/>
        <w:t>visa</w:t>
      </w:r>
      <w:r>
        <w:rPr>
          <w:spacing w:val="-7"/>
        </w:rPr>
        <w:t> </w:t>
      </w:r>
      <w:r>
        <w:rPr/>
        <w:t>requirement</w:t>
      </w:r>
      <w:r>
        <w:rPr>
          <w:spacing w:val="-7"/>
        </w:rPr>
        <w:t> </w:t>
      </w:r>
      <w:r>
        <w:rPr/>
        <w:t>for</w:t>
      </w:r>
      <w:r>
        <w:rPr>
          <w:spacing w:val="-8"/>
        </w:rPr>
        <w:t> </w:t>
      </w:r>
      <w:r>
        <w:rPr/>
        <w:t>Colombian</w:t>
      </w:r>
      <w:r>
        <w:rPr>
          <w:spacing w:val="-7"/>
        </w:rPr>
        <w:t> </w:t>
      </w:r>
      <w:r>
        <w:rPr/>
        <w:t>citizens.</w:t>
      </w:r>
      <w:r>
        <w:rPr>
          <w:spacing w:val="-8"/>
        </w:rPr>
        <w:t> </w:t>
      </w:r>
      <w:r>
        <w:rPr/>
        <w:t>Finally,</w:t>
      </w:r>
      <w:r>
        <w:rPr>
          <w:spacing w:val="-7"/>
        </w:rPr>
        <w:t> </w:t>
      </w:r>
      <w:r>
        <w:rPr/>
        <w:t>the</w:t>
      </w:r>
      <w:r>
        <w:rPr>
          <w:spacing w:val="-9"/>
        </w:rPr>
        <w:t> </w:t>
      </w:r>
      <w:r>
        <w:rPr/>
        <w:t>plan</w:t>
      </w:r>
      <w:r>
        <w:rPr>
          <w:spacing w:val="-7"/>
        </w:rPr>
        <w:t> </w:t>
      </w:r>
      <w:r>
        <w:rPr/>
        <w:t>suggests</w:t>
      </w:r>
      <w:r>
        <w:rPr>
          <w:spacing w:val="-8"/>
        </w:rPr>
        <w:t> </w:t>
      </w:r>
      <w:r>
        <w:rPr/>
        <w:t>to</w:t>
      </w:r>
      <w:r>
        <w:rPr>
          <w:spacing w:val="-7"/>
        </w:rPr>
        <w:t> </w:t>
      </w:r>
      <w:r>
        <w:rPr/>
        <w:t>focus </w:t>
      </w:r>
      <w:r>
        <w:rPr/>
        <w:t>on converting cruise passengers into stay-over</w:t>
      </w:r>
      <w:r>
        <w:rPr>
          <w:spacing w:val="-16"/>
        </w:rPr>
        <w:t> </w:t>
      </w:r>
      <w:r>
        <w:rPr/>
        <w:t>tourists.</w:t>
      </w:r>
    </w:p>
    <w:p>
      <w:pPr>
        <w:pStyle w:val="BodyText"/>
        <w:spacing w:line="240" w:lineRule="auto"/>
        <w:ind w:right="1434"/>
        <w:jc w:val="both"/>
      </w:pPr>
      <w:r>
        <w:rPr/>
        <w:t>In order for Curaçao to become the most desirable destination within the Caribbean region, it is necessary for the </w:t>
      </w:r>
      <w:r>
        <w:rPr>
          <w:rFonts w:ascii="Calibri" w:hAnsi="Calibri" w:cs="Calibri" w:eastAsia="Calibri" w:hint="default"/>
        </w:rPr>
        <w:t>American market to emerge as the primary tourist foundation. Currently, American tourists serve as Curaçao’s </w:t>
      </w:r>
      <w:r>
        <w:rPr/>
        <w:t>tertiary (3</w:t>
      </w:r>
      <w:r>
        <w:rPr>
          <w:position w:val="7"/>
          <w:sz w:val="13"/>
          <w:szCs w:val="13"/>
        </w:rPr>
        <w:t>rd</w:t>
      </w:r>
      <w:r>
        <w:rPr/>
        <w:t>) target audience. As previously discussed throughout this plan, this recommendation is based on </w:t>
      </w:r>
      <w:r>
        <w:rPr/>
        <w:t>American</w:t>
      </w:r>
      <w:r>
        <w:rPr>
          <w:spacing w:val="-3"/>
        </w:rPr>
        <w:t> </w:t>
      </w:r>
      <w:r>
        <w:rPr/>
        <w:t>tourists</w:t>
      </w:r>
      <w:r>
        <w:rPr>
          <w:rFonts w:ascii="Calibri" w:hAnsi="Calibri" w:cs="Calibri" w:eastAsia="Calibri" w:hint="default"/>
        </w:rPr>
        <w:t>’</w:t>
      </w:r>
      <w:r>
        <w:rPr>
          <w:rFonts w:ascii="Calibri" w:hAnsi="Calibri" w:cs="Calibri" w:eastAsia="Calibri" w:hint="default"/>
          <w:spacing w:val="-2"/>
        </w:rPr>
        <w:t> </w:t>
      </w:r>
      <w:r>
        <w:rPr/>
        <w:t>inherent</w:t>
      </w:r>
      <w:r>
        <w:rPr>
          <w:spacing w:val="-3"/>
        </w:rPr>
        <w:t> </w:t>
      </w:r>
      <w:r>
        <w:rPr/>
        <w:t>interest</w:t>
      </w:r>
      <w:r>
        <w:rPr>
          <w:spacing w:val="-3"/>
        </w:rPr>
        <w:t> </w:t>
      </w:r>
      <w:r>
        <w:rPr/>
        <w:t>to</w:t>
      </w:r>
      <w:r>
        <w:rPr>
          <w:spacing w:val="-3"/>
        </w:rPr>
        <w:t> </w:t>
      </w:r>
      <w:r>
        <w:rPr/>
        <w:t>stay</w:t>
      </w:r>
      <w:r>
        <w:rPr>
          <w:spacing w:val="-2"/>
        </w:rPr>
        <w:t> </w:t>
      </w:r>
      <w:r>
        <w:rPr/>
        <w:t>for</w:t>
      </w:r>
      <w:r>
        <w:rPr>
          <w:spacing w:val="-3"/>
        </w:rPr>
        <w:t> </w:t>
      </w:r>
      <w:r>
        <w:rPr/>
        <w:t>less</w:t>
      </w:r>
      <w:r>
        <w:rPr>
          <w:spacing w:val="-5"/>
        </w:rPr>
        <w:t> </w:t>
      </w:r>
      <w:r>
        <w:rPr/>
        <w:t>time</w:t>
      </w:r>
      <w:r>
        <w:rPr>
          <w:spacing w:val="-4"/>
        </w:rPr>
        <w:t> </w:t>
      </w:r>
      <w:r>
        <w:rPr/>
        <w:t>on</w:t>
      </w:r>
      <w:r>
        <w:rPr>
          <w:spacing w:val="-5"/>
        </w:rPr>
        <w:t> </w:t>
      </w:r>
      <w:r>
        <w:rPr/>
        <w:t>the</w:t>
      </w:r>
      <w:r>
        <w:rPr>
          <w:spacing w:val="-4"/>
        </w:rPr>
        <w:t> </w:t>
      </w:r>
      <w:r>
        <w:rPr/>
        <w:t>island,</w:t>
      </w:r>
      <w:r>
        <w:rPr>
          <w:spacing w:val="-3"/>
        </w:rPr>
        <w:t> </w:t>
      </w:r>
      <w:r>
        <w:rPr/>
        <w:t>spend</w:t>
      </w:r>
      <w:r>
        <w:rPr>
          <w:spacing w:val="-3"/>
        </w:rPr>
        <w:t> </w:t>
      </w:r>
      <w:r>
        <w:rPr/>
        <w:t>more</w:t>
      </w:r>
      <w:r>
        <w:rPr>
          <w:spacing w:val="-4"/>
        </w:rPr>
        <w:t> </w:t>
      </w:r>
      <w:r>
        <w:rPr/>
        <w:t>money</w:t>
      </w:r>
      <w:r>
        <w:rPr>
          <w:spacing w:val="-3"/>
        </w:rPr>
        <w:t> </w:t>
      </w:r>
      <w:r>
        <w:rPr/>
        <w:t>on</w:t>
      </w:r>
      <w:r>
        <w:rPr>
          <w:spacing w:val="-5"/>
        </w:rPr>
        <w:t> </w:t>
      </w:r>
      <w:r>
        <w:rPr/>
        <w:t>the</w:t>
      </w:r>
      <w:r>
        <w:rPr>
          <w:spacing w:val="-4"/>
        </w:rPr>
        <w:t> </w:t>
      </w:r>
      <w:r>
        <w:rPr/>
        <w:t>island,</w:t>
      </w:r>
      <w:r>
        <w:rPr>
          <w:spacing w:val="-5"/>
        </w:rPr>
        <w:t> </w:t>
      </w:r>
      <w:r>
        <w:rPr/>
        <w:t>and</w:t>
      </w:r>
      <w:r>
        <w:rPr>
          <w:spacing w:val="-5"/>
        </w:rPr>
        <w:t> </w:t>
      </w:r>
      <w:r>
        <w:rPr/>
        <w:t>stay</w:t>
      </w:r>
      <w:r>
        <w:rPr>
          <w:spacing w:val="1"/>
        </w:rPr>
        <w:t> </w:t>
      </w:r>
      <w:r>
        <w:rPr/>
        <w:t>in </w:t>
      </w:r>
      <w:r>
        <w:rPr/>
        <w:t>the hotels; thus, making a potent market penetration</w:t>
      </w:r>
      <w:r>
        <w:rPr>
          <w:spacing w:val="-23"/>
        </w:rPr>
        <w:t> </w:t>
      </w:r>
      <w:r>
        <w:rPr/>
        <w:t>justification.</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24"/>
          <w:szCs w:val="24"/>
        </w:rPr>
      </w:pPr>
    </w:p>
    <w:p>
      <w:pPr>
        <w:pStyle w:val="Heading2"/>
        <w:spacing w:line="240" w:lineRule="auto"/>
        <w:ind w:right="0"/>
        <w:jc w:val="both"/>
        <w:rPr>
          <w:b w:val="0"/>
          <w:bCs w:val="0"/>
        </w:rPr>
      </w:pPr>
      <w:bookmarkStart w:name="_bookmark153" w:id="154"/>
      <w:bookmarkEnd w:id="154"/>
      <w:r>
        <w:rPr>
          <w:b w:val="0"/>
        </w:rPr>
      </w:r>
      <w:r>
        <w:rPr/>
        <w:t>The destination</w:t>
      </w:r>
      <w:r>
        <w:rPr>
          <w:spacing w:val="-7"/>
        </w:rPr>
        <w:t> </w:t>
      </w:r>
      <w:r>
        <w:rPr/>
        <w:t>mission</w:t>
      </w:r>
      <w:r>
        <w:rPr>
          <w:b w:val="0"/>
        </w:rPr>
      </w:r>
    </w:p>
    <w:p>
      <w:pPr>
        <w:spacing w:line="240" w:lineRule="auto" w:before="3"/>
        <w:ind w:right="0"/>
        <w:rPr>
          <w:rFonts w:ascii="Calibri" w:hAnsi="Calibri" w:cs="Calibri" w:eastAsia="Calibri" w:hint="default"/>
          <w:b/>
          <w:bCs/>
          <w:sz w:val="30"/>
          <w:szCs w:val="30"/>
        </w:rPr>
      </w:pPr>
    </w:p>
    <w:p>
      <w:pPr>
        <w:spacing w:line="293" w:lineRule="exact" w:before="0"/>
        <w:ind w:left="3024" w:right="0" w:firstLine="0"/>
        <w:jc w:val="left"/>
        <w:rPr>
          <w:rFonts w:ascii="Calibri" w:hAnsi="Calibri" w:cs="Calibri" w:eastAsia="Calibri" w:hint="default"/>
          <w:sz w:val="24"/>
          <w:szCs w:val="24"/>
        </w:rPr>
      </w:pPr>
      <w:r>
        <w:rPr>
          <w:rFonts w:ascii="Calibri" w:hAnsi="Calibri" w:cs="Calibri" w:eastAsia="Calibri" w:hint="default"/>
          <w:i/>
          <w:sz w:val="24"/>
          <w:szCs w:val="24"/>
        </w:rPr>
        <w:t>“To collectively provide a memorable experience </w:t>
      </w:r>
      <w:r>
        <w:rPr>
          <w:rFonts w:ascii="Calibri" w:hAnsi="Calibri" w:cs="Calibri" w:eastAsia="Calibri" w:hint="default"/>
          <w:i/>
          <w:sz w:val="24"/>
          <w:szCs w:val="24"/>
        </w:rPr>
        <w:t>for </w:t>
      </w:r>
      <w:r>
        <w:rPr>
          <w:rFonts w:ascii="Calibri" w:hAnsi="Calibri" w:cs="Calibri" w:eastAsia="Calibri" w:hint="default"/>
          <w:i/>
          <w:sz w:val="24"/>
          <w:szCs w:val="24"/>
        </w:rPr>
        <w:t>the</w:t>
      </w:r>
      <w:r>
        <w:rPr>
          <w:rFonts w:ascii="Calibri" w:hAnsi="Calibri" w:cs="Calibri" w:eastAsia="Calibri" w:hint="default"/>
          <w:i/>
          <w:spacing w:val="-12"/>
          <w:sz w:val="24"/>
          <w:szCs w:val="24"/>
        </w:rPr>
        <w:t> </w:t>
      </w:r>
      <w:r>
        <w:rPr>
          <w:rFonts w:ascii="Calibri" w:hAnsi="Calibri" w:cs="Calibri" w:eastAsia="Calibri" w:hint="default"/>
          <w:i/>
          <w:sz w:val="24"/>
          <w:szCs w:val="24"/>
        </w:rPr>
        <w:t>tourist”</w:t>
      </w:r>
      <w:r>
        <w:rPr>
          <w:rFonts w:ascii="Calibri" w:hAnsi="Calibri" w:cs="Calibri" w:eastAsia="Calibri" w:hint="default"/>
          <w:sz w:val="24"/>
          <w:szCs w:val="24"/>
        </w:rPr>
      </w:r>
    </w:p>
    <w:p>
      <w:pPr>
        <w:pStyle w:val="BodyText"/>
        <w:spacing w:line="240" w:lineRule="auto"/>
        <w:ind w:right="1434"/>
        <w:jc w:val="both"/>
      </w:pPr>
      <w:r>
        <w:rPr/>
        <w:t>The mission for the 2015-2020 Strategic Tourism Master Plan is for Curaçao to collectively provide a memorable experience for tourists. Most island destinations, as well as mainland destinations, strive to guarantee that all tourists will leave with a positive, memorable experience. Curaçao will strive to do the same; however, the memorable experience will be associated with the total tourist experience that includes the social interaction between people (locals and</w:t>
      </w:r>
      <w:r>
        <w:rPr>
          <w:spacing w:val="-21"/>
        </w:rPr>
        <w:t> </w:t>
      </w:r>
      <w:r>
        <w:rPr/>
        <w:t>tourists).</w:t>
      </w:r>
    </w:p>
    <w:p>
      <w:pPr>
        <w:spacing w:line="240" w:lineRule="auto" w:before="11"/>
        <w:ind w:right="0"/>
        <w:rPr>
          <w:rFonts w:ascii="Calibri" w:hAnsi="Calibri" w:cs="Calibri" w:eastAsia="Calibri" w:hint="default"/>
          <w:sz w:val="19"/>
          <w:szCs w:val="19"/>
        </w:rPr>
      </w:pPr>
    </w:p>
    <w:p>
      <w:pPr>
        <w:pStyle w:val="BodyText"/>
        <w:spacing w:line="240" w:lineRule="auto"/>
        <w:ind w:right="1437"/>
        <w:jc w:val="both"/>
      </w:pPr>
      <w:r>
        <w:rPr/>
        <w:t>While every island in the Caribbean is considered different, most Caribbean islands have already been infiltrated by the American segment. Curaçao has not adequately been discovered by American tourists and must take strides to come into its own. In essence, Curaçao is a late comer with regard to penetrating the American market. However, being</w:t>
      </w:r>
      <w:r>
        <w:rPr>
          <w:spacing w:val="-7"/>
        </w:rPr>
        <w:t> </w:t>
      </w:r>
      <w:r>
        <w:rPr/>
        <w:t>late</w:t>
      </w:r>
      <w:r>
        <w:rPr>
          <w:spacing w:val="-8"/>
        </w:rPr>
        <w:t> </w:t>
      </w:r>
      <w:r>
        <w:rPr/>
        <w:t>in</w:t>
      </w:r>
      <w:r>
        <w:rPr>
          <w:spacing w:val="-6"/>
        </w:rPr>
        <w:t> </w:t>
      </w:r>
      <w:r>
        <w:rPr/>
        <w:t>this</w:t>
      </w:r>
      <w:r>
        <w:rPr>
          <w:spacing w:val="-8"/>
        </w:rPr>
        <w:t> </w:t>
      </w:r>
      <w:r>
        <w:rPr/>
        <w:t>instance</w:t>
      </w:r>
      <w:r>
        <w:rPr>
          <w:spacing w:val="-5"/>
        </w:rPr>
        <w:t> </w:t>
      </w:r>
      <w:r>
        <w:rPr/>
        <w:t>will</w:t>
      </w:r>
      <w:r>
        <w:rPr>
          <w:spacing w:val="-5"/>
        </w:rPr>
        <w:t> </w:t>
      </w:r>
      <w:r>
        <w:rPr/>
        <w:t>serve</w:t>
      </w:r>
      <w:r>
        <w:rPr>
          <w:spacing w:val="-5"/>
        </w:rPr>
        <w:t> </w:t>
      </w:r>
      <w:r>
        <w:rPr/>
        <w:t>to</w:t>
      </w:r>
      <w:r>
        <w:rPr>
          <w:spacing w:val="-4"/>
        </w:rPr>
        <w:t> </w:t>
      </w:r>
      <w:r>
        <w:rPr/>
        <w:t>benefit</w:t>
      </w:r>
      <w:r>
        <w:rPr>
          <w:spacing w:val="-7"/>
        </w:rPr>
        <w:t> </w:t>
      </w:r>
      <w:r>
        <w:rPr/>
        <w:t>Curaçao.</w:t>
      </w:r>
      <w:r>
        <w:rPr>
          <w:spacing w:val="-4"/>
        </w:rPr>
        <w:t> </w:t>
      </w:r>
      <w:r>
        <w:rPr/>
        <w:t>This</w:t>
      </w:r>
      <w:r>
        <w:rPr>
          <w:spacing w:val="-5"/>
        </w:rPr>
        <w:t> </w:t>
      </w:r>
      <w:r>
        <w:rPr/>
        <w:t>is</w:t>
      </w:r>
      <w:r>
        <w:rPr>
          <w:spacing w:val="-8"/>
        </w:rPr>
        <w:t> </w:t>
      </w:r>
      <w:r>
        <w:rPr/>
        <w:t>because</w:t>
      </w:r>
      <w:r>
        <w:rPr>
          <w:spacing w:val="-8"/>
        </w:rPr>
        <w:t> </w:t>
      </w:r>
      <w:r>
        <w:rPr/>
        <w:t>the</w:t>
      </w:r>
      <w:r>
        <w:rPr>
          <w:spacing w:val="-8"/>
        </w:rPr>
        <w:t> </w:t>
      </w:r>
      <w:r>
        <w:rPr/>
        <w:t>majority</w:t>
      </w:r>
      <w:r>
        <w:rPr>
          <w:spacing w:val="-6"/>
        </w:rPr>
        <w:t> </w:t>
      </w:r>
      <w:r>
        <w:rPr/>
        <w:t>of</w:t>
      </w:r>
      <w:r>
        <w:rPr>
          <w:spacing w:val="-8"/>
        </w:rPr>
        <w:t> </w:t>
      </w:r>
      <w:r>
        <w:rPr/>
        <w:t>Caribbean</w:t>
      </w:r>
      <w:r>
        <w:rPr>
          <w:spacing w:val="-6"/>
        </w:rPr>
        <w:t> </w:t>
      </w:r>
      <w:r>
        <w:rPr/>
        <w:t>island</w:t>
      </w:r>
      <w:r>
        <w:rPr>
          <w:spacing w:val="-6"/>
        </w:rPr>
        <w:t> </w:t>
      </w:r>
      <w:r>
        <w:rPr/>
        <w:t>destinations </w:t>
      </w:r>
      <w:r>
        <w:rPr/>
        <w:t>have </w:t>
      </w:r>
      <w:r>
        <w:rPr>
          <w:rFonts w:ascii="Calibri" w:hAnsi="Calibri" w:cs="Calibri" w:eastAsia="Calibri" w:hint="default"/>
        </w:rPr>
        <w:t>slanted the destinations’ product portfolio to represent tourists’ tastes and preferences from yesteryear. The </w:t>
      </w:r>
      <w:r>
        <w:rPr/>
        <w:t>data</w:t>
      </w:r>
      <w:r>
        <w:rPr>
          <w:spacing w:val="-6"/>
        </w:rPr>
        <w:t> </w:t>
      </w:r>
      <w:r>
        <w:rPr/>
        <w:t>driven</w:t>
      </w:r>
      <w:r>
        <w:rPr>
          <w:spacing w:val="-6"/>
        </w:rPr>
        <w:t> </w:t>
      </w:r>
      <w:r>
        <w:rPr/>
        <w:t>strategies</w:t>
      </w:r>
      <w:r>
        <w:rPr>
          <w:spacing w:val="-8"/>
        </w:rPr>
        <w:t> </w:t>
      </w:r>
      <w:r>
        <w:rPr/>
        <w:t>provided</w:t>
      </w:r>
      <w:r>
        <w:rPr>
          <w:spacing w:val="-6"/>
        </w:rPr>
        <w:t> </w:t>
      </w:r>
      <w:r>
        <w:rPr/>
        <w:t>in</w:t>
      </w:r>
      <w:r>
        <w:rPr>
          <w:spacing w:val="-6"/>
        </w:rPr>
        <w:t> </w:t>
      </w:r>
      <w:r>
        <w:rPr/>
        <w:t>this</w:t>
      </w:r>
      <w:r>
        <w:rPr>
          <w:spacing w:val="-8"/>
        </w:rPr>
        <w:t> </w:t>
      </w:r>
      <w:r>
        <w:rPr/>
        <w:t>plan</w:t>
      </w:r>
      <w:r>
        <w:rPr>
          <w:spacing w:val="-6"/>
        </w:rPr>
        <w:t> </w:t>
      </w:r>
      <w:r>
        <w:rPr/>
        <w:t>will</w:t>
      </w:r>
      <w:r>
        <w:rPr>
          <w:spacing w:val="-7"/>
        </w:rPr>
        <w:t> </w:t>
      </w:r>
      <w:r>
        <w:rPr/>
        <w:t>allow</w:t>
      </w:r>
      <w:r>
        <w:rPr>
          <w:spacing w:val="-6"/>
        </w:rPr>
        <w:t> </w:t>
      </w:r>
      <w:r>
        <w:rPr/>
        <w:t>for</w:t>
      </w:r>
      <w:r>
        <w:rPr>
          <w:spacing w:val="-7"/>
        </w:rPr>
        <w:t> </w:t>
      </w:r>
      <w:r>
        <w:rPr/>
        <w:t>Curaçao</w:t>
      </w:r>
      <w:r>
        <w:rPr>
          <w:spacing w:val="-7"/>
        </w:rPr>
        <w:t> </w:t>
      </w:r>
      <w:r>
        <w:rPr/>
        <w:t>to</w:t>
      </w:r>
      <w:r>
        <w:rPr>
          <w:spacing w:val="-6"/>
        </w:rPr>
        <w:t> </w:t>
      </w:r>
      <w:r>
        <w:rPr/>
        <w:t>carve</w:t>
      </w:r>
      <w:r>
        <w:rPr>
          <w:spacing w:val="-8"/>
        </w:rPr>
        <w:t> </w:t>
      </w:r>
      <w:r>
        <w:rPr/>
        <w:t>and</w:t>
      </w:r>
      <w:r>
        <w:rPr>
          <w:spacing w:val="-6"/>
        </w:rPr>
        <w:t> </w:t>
      </w:r>
      <w:r>
        <w:rPr/>
        <w:t>create</w:t>
      </w:r>
      <w:r>
        <w:rPr>
          <w:spacing w:val="-8"/>
        </w:rPr>
        <w:t> </w:t>
      </w:r>
      <w:r>
        <w:rPr/>
        <w:t>products</w:t>
      </w:r>
      <w:r>
        <w:rPr>
          <w:spacing w:val="-8"/>
        </w:rPr>
        <w:t> </w:t>
      </w:r>
      <w:r>
        <w:rPr/>
        <w:t>that</w:t>
      </w:r>
      <w:r>
        <w:rPr>
          <w:spacing w:val="-6"/>
        </w:rPr>
        <w:t> </w:t>
      </w:r>
      <w:r>
        <w:rPr/>
        <w:t>will</w:t>
      </w:r>
      <w:r>
        <w:rPr>
          <w:spacing w:val="-6"/>
        </w:rPr>
        <w:t> </w:t>
      </w:r>
      <w:r>
        <w:rPr/>
        <w:t>satisfy</w:t>
      </w:r>
      <w:r>
        <w:rPr>
          <w:spacing w:val="-6"/>
        </w:rPr>
        <w:t> </w:t>
      </w:r>
      <w:r>
        <w:rPr/>
        <w:t>newly </w:t>
      </w:r>
      <w:r>
        <w:rPr/>
        <w:t>emerging tastes and preferences from the American</w:t>
      </w:r>
      <w:r>
        <w:rPr>
          <w:spacing w:val="-18"/>
        </w:rPr>
        <w:t> </w:t>
      </w:r>
      <w:r>
        <w:rPr/>
        <w:t>market.</w:t>
      </w:r>
    </w:p>
    <w:p>
      <w:pPr>
        <w:spacing w:line="240" w:lineRule="auto" w:before="11"/>
        <w:ind w:right="0"/>
        <w:rPr>
          <w:rFonts w:ascii="Calibri" w:hAnsi="Calibri" w:cs="Calibri" w:eastAsia="Calibri" w:hint="default"/>
          <w:sz w:val="19"/>
          <w:szCs w:val="19"/>
        </w:rPr>
      </w:pPr>
    </w:p>
    <w:p>
      <w:pPr>
        <w:pStyle w:val="BodyText"/>
        <w:spacing w:line="240" w:lineRule="auto"/>
        <w:ind w:right="1438"/>
        <w:jc w:val="both"/>
      </w:pPr>
      <w:r>
        <w:rPr/>
        <w:t>For example, the data reveals that the American market is largely interested in interacting and socializing with the local population. American tourists would like to have access to the beach and water activities during the day and would like to shop, dine, socialize, and engage in entertainment activities at night where they may interact and mingle with locals. Curaçao has the opportunity to create the atmosphere currently desired by tourists; whereas other</w:t>
      </w:r>
      <w:r>
        <w:rPr>
          <w:spacing w:val="-7"/>
        </w:rPr>
        <w:t> </w:t>
      </w:r>
      <w:r>
        <w:rPr/>
        <w:t>island</w:t>
      </w:r>
      <w:r>
        <w:rPr>
          <w:spacing w:val="-6"/>
        </w:rPr>
        <w:t> </w:t>
      </w:r>
      <w:r>
        <w:rPr/>
        <w:t>destinations</w:t>
      </w:r>
      <w:r>
        <w:rPr>
          <w:spacing w:val="-8"/>
        </w:rPr>
        <w:t> </w:t>
      </w:r>
      <w:r>
        <w:rPr/>
        <w:t>have</w:t>
      </w:r>
      <w:r>
        <w:rPr>
          <w:spacing w:val="-5"/>
        </w:rPr>
        <w:t> </w:t>
      </w:r>
      <w:r>
        <w:rPr/>
        <w:t>gone</w:t>
      </w:r>
      <w:r>
        <w:rPr>
          <w:spacing w:val="-8"/>
        </w:rPr>
        <w:t> </w:t>
      </w:r>
      <w:r>
        <w:rPr/>
        <w:t>to</w:t>
      </w:r>
      <w:r>
        <w:rPr>
          <w:spacing w:val="-4"/>
        </w:rPr>
        <w:t> </w:t>
      </w:r>
      <w:r>
        <w:rPr/>
        <w:t>great</w:t>
      </w:r>
      <w:r>
        <w:rPr>
          <w:spacing w:val="-6"/>
        </w:rPr>
        <w:t> </w:t>
      </w:r>
      <w:r>
        <w:rPr/>
        <w:t>lengths</w:t>
      </w:r>
      <w:r>
        <w:rPr>
          <w:spacing w:val="-8"/>
        </w:rPr>
        <w:t> </w:t>
      </w:r>
      <w:r>
        <w:rPr/>
        <w:t>and</w:t>
      </w:r>
      <w:r>
        <w:rPr>
          <w:spacing w:val="-6"/>
        </w:rPr>
        <w:t> </w:t>
      </w:r>
      <w:r>
        <w:rPr/>
        <w:t>have</w:t>
      </w:r>
      <w:r>
        <w:rPr>
          <w:spacing w:val="-8"/>
        </w:rPr>
        <w:t> </w:t>
      </w:r>
      <w:r>
        <w:rPr/>
        <w:t>incurred</w:t>
      </w:r>
      <w:r>
        <w:rPr>
          <w:spacing w:val="-6"/>
        </w:rPr>
        <w:t> </w:t>
      </w:r>
      <w:r>
        <w:rPr/>
        <w:t>a</w:t>
      </w:r>
      <w:r>
        <w:rPr>
          <w:spacing w:val="-4"/>
        </w:rPr>
        <w:t> </w:t>
      </w:r>
      <w:r>
        <w:rPr/>
        <w:t>sunk</w:t>
      </w:r>
      <w:r>
        <w:rPr>
          <w:spacing w:val="-6"/>
        </w:rPr>
        <w:t> </w:t>
      </w:r>
      <w:r>
        <w:rPr/>
        <w:t>cost</w:t>
      </w:r>
      <w:r>
        <w:rPr>
          <w:spacing w:val="-6"/>
        </w:rPr>
        <w:t> </w:t>
      </w:r>
      <w:r>
        <w:rPr/>
        <w:t>to</w:t>
      </w:r>
      <w:r>
        <w:rPr>
          <w:spacing w:val="-4"/>
        </w:rPr>
        <w:t> </w:t>
      </w:r>
      <w:r>
        <w:rPr/>
        <w:t>create</w:t>
      </w:r>
      <w:r>
        <w:rPr>
          <w:spacing w:val="-8"/>
        </w:rPr>
        <w:t> </w:t>
      </w:r>
      <w:r>
        <w:rPr/>
        <w:t>tourist</w:t>
      </w:r>
      <w:r>
        <w:rPr>
          <w:spacing w:val="-6"/>
        </w:rPr>
        <w:t> </w:t>
      </w:r>
      <w:r>
        <w:rPr/>
        <w:t>districts</w:t>
      </w:r>
      <w:r>
        <w:rPr>
          <w:spacing w:val="-8"/>
        </w:rPr>
        <w:t> </w:t>
      </w:r>
      <w:r>
        <w:rPr/>
        <w:t>that</w:t>
      </w:r>
      <w:r>
        <w:rPr>
          <w:spacing w:val="-6"/>
        </w:rPr>
        <w:t> </w:t>
      </w:r>
      <w:r>
        <w:rPr/>
        <w:t>are </w:t>
      </w:r>
      <w:r>
        <w:rPr/>
        <w:t>removed from the local population. Tourist districts like those that do not incorporate a local crowd are often criticized for not being authentic to the island</w:t>
      </w:r>
      <w:r>
        <w:rPr>
          <w:spacing w:val="-17"/>
        </w:rPr>
        <w:t> </w:t>
      </w:r>
      <w:r>
        <w:rPr/>
        <w:t>culture.</w:t>
      </w:r>
    </w:p>
    <w:p>
      <w:pPr>
        <w:spacing w:line="240" w:lineRule="auto" w:before="1"/>
        <w:ind w:right="0"/>
        <w:rPr>
          <w:rFonts w:ascii="Calibri" w:hAnsi="Calibri" w:cs="Calibri" w:eastAsia="Calibri" w:hint="default"/>
          <w:sz w:val="20"/>
          <w:szCs w:val="20"/>
        </w:rPr>
      </w:pPr>
    </w:p>
    <w:p>
      <w:pPr>
        <w:pStyle w:val="BodyText"/>
        <w:spacing w:line="240" w:lineRule="auto"/>
        <w:ind w:right="1437"/>
        <w:jc w:val="both"/>
      </w:pPr>
      <w:r>
        <w:rPr>
          <w:rFonts w:ascii="Calibri" w:hAnsi="Calibri" w:cs="Calibri" w:eastAsia="Calibri" w:hint="default"/>
        </w:rPr>
        <w:t>This information regarding Americans’ desire to socialize with the locals reveals a unique facet that Curaçao </w:t>
      </w:r>
      <w:r>
        <w:rPr/>
        <w:t>possesses and that other destinations do not, which is that of the direct ease of access to a very colorful culture. Curaç</w:t>
      </w:r>
      <w:r>
        <w:rPr>
          <w:rFonts w:ascii="Calibri" w:hAnsi="Calibri" w:cs="Calibri" w:eastAsia="Calibri" w:hint="default"/>
        </w:rPr>
        <w:t>ao’s</w:t>
      </w:r>
      <w:r>
        <w:rPr>
          <w:rFonts w:ascii="Calibri" w:hAnsi="Calibri" w:cs="Calibri" w:eastAsia="Calibri" w:hint="default"/>
          <w:spacing w:val="-10"/>
        </w:rPr>
        <w:t> </w:t>
      </w:r>
      <w:r>
        <w:rPr>
          <w:rFonts w:ascii="Calibri" w:hAnsi="Calibri" w:cs="Calibri" w:eastAsia="Calibri" w:hint="default"/>
        </w:rPr>
        <w:t>local</w:t>
      </w:r>
      <w:r>
        <w:rPr>
          <w:rFonts w:ascii="Calibri" w:hAnsi="Calibri" w:cs="Calibri" w:eastAsia="Calibri" w:hint="default"/>
          <w:spacing w:val="-7"/>
        </w:rPr>
        <w:t> </w:t>
      </w:r>
      <w:r>
        <w:rPr>
          <w:rFonts w:ascii="Calibri" w:hAnsi="Calibri" w:cs="Calibri" w:eastAsia="Calibri" w:hint="default"/>
        </w:rPr>
        <w:t>people</w:t>
      </w:r>
      <w:r>
        <w:rPr>
          <w:rFonts w:ascii="Calibri" w:hAnsi="Calibri" w:cs="Calibri" w:eastAsia="Calibri" w:hint="default"/>
          <w:spacing w:val="-10"/>
        </w:rPr>
        <w:t> </w:t>
      </w:r>
      <w:r>
        <w:rPr>
          <w:rFonts w:ascii="Calibri" w:hAnsi="Calibri" w:cs="Calibri" w:eastAsia="Calibri" w:hint="default"/>
        </w:rPr>
        <w:t>are</w:t>
      </w:r>
      <w:r>
        <w:rPr>
          <w:rFonts w:ascii="Calibri" w:hAnsi="Calibri" w:cs="Calibri" w:eastAsia="Calibri" w:hint="default"/>
          <w:spacing w:val="-8"/>
        </w:rPr>
        <w:t> </w:t>
      </w:r>
      <w:r>
        <w:rPr>
          <w:rFonts w:ascii="Calibri" w:hAnsi="Calibri" w:cs="Calibri" w:eastAsia="Calibri" w:hint="default"/>
        </w:rPr>
        <w:t>eclectic</w:t>
      </w:r>
      <w:r>
        <w:rPr>
          <w:rFonts w:ascii="Calibri" w:hAnsi="Calibri" w:cs="Calibri" w:eastAsia="Calibri" w:hint="default"/>
          <w:spacing w:val="-7"/>
        </w:rPr>
        <w:t> </w:t>
      </w:r>
      <w:r>
        <w:rPr>
          <w:rFonts w:ascii="Calibri" w:hAnsi="Calibri" w:cs="Calibri" w:eastAsia="Calibri" w:hint="default"/>
        </w:rPr>
        <w:t>with</w:t>
      </w:r>
      <w:r>
        <w:rPr>
          <w:rFonts w:ascii="Calibri" w:hAnsi="Calibri" w:cs="Calibri" w:eastAsia="Calibri" w:hint="default"/>
          <w:spacing w:val="-6"/>
        </w:rPr>
        <w:t> </w:t>
      </w:r>
      <w:r>
        <w:rPr/>
        <w:t>a</w:t>
      </w:r>
      <w:r>
        <w:rPr>
          <w:spacing w:val="-9"/>
        </w:rPr>
        <w:t> </w:t>
      </w:r>
      <w:r>
        <w:rPr/>
        <w:t>rich</w:t>
      </w:r>
      <w:r>
        <w:rPr>
          <w:spacing w:val="-9"/>
        </w:rPr>
        <w:t> </w:t>
      </w:r>
      <w:r>
        <w:rPr/>
        <w:t>history</w:t>
      </w:r>
      <w:r>
        <w:rPr>
          <w:spacing w:val="-8"/>
        </w:rPr>
        <w:t> </w:t>
      </w:r>
      <w:r>
        <w:rPr/>
        <w:t>that</w:t>
      </w:r>
      <w:r>
        <w:rPr>
          <w:spacing w:val="-8"/>
        </w:rPr>
        <w:t> </w:t>
      </w:r>
      <w:r>
        <w:rPr/>
        <w:t>is</w:t>
      </w:r>
      <w:r>
        <w:rPr>
          <w:spacing w:val="-8"/>
        </w:rPr>
        <w:t> </w:t>
      </w:r>
      <w:r>
        <w:rPr/>
        <w:t>anchored</w:t>
      </w:r>
      <w:r>
        <w:rPr>
          <w:spacing w:val="-9"/>
        </w:rPr>
        <w:t> </w:t>
      </w:r>
      <w:r>
        <w:rPr/>
        <w:t>in</w:t>
      </w:r>
      <w:r>
        <w:rPr>
          <w:spacing w:val="-9"/>
        </w:rPr>
        <w:t> </w:t>
      </w:r>
      <w:r>
        <w:rPr/>
        <w:t>deep</w:t>
      </w:r>
      <w:r>
        <w:rPr>
          <w:spacing w:val="-6"/>
        </w:rPr>
        <w:t> </w:t>
      </w:r>
      <w:r>
        <w:rPr/>
        <w:t>Dutch</w:t>
      </w:r>
      <w:r>
        <w:rPr>
          <w:spacing w:val="-8"/>
        </w:rPr>
        <w:t> </w:t>
      </w:r>
      <w:r>
        <w:rPr/>
        <w:t>roots,</w:t>
      </w:r>
      <w:r>
        <w:rPr>
          <w:spacing w:val="-6"/>
        </w:rPr>
        <w:t> </w:t>
      </w:r>
      <w:r>
        <w:rPr/>
        <w:t>but</w:t>
      </w:r>
      <w:r>
        <w:rPr>
          <w:spacing w:val="-9"/>
        </w:rPr>
        <w:t> </w:t>
      </w:r>
      <w:r>
        <w:rPr/>
        <w:t>is</w:t>
      </w:r>
      <w:r>
        <w:rPr>
          <w:spacing w:val="-8"/>
        </w:rPr>
        <w:t> </w:t>
      </w:r>
      <w:r>
        <w:rPr/>
        <w:t>vibrantly</w:t>
      </w:r>
      <w:r>
        <w:rPr>
          <w:spacing w:val="-8"/>
        </w:rPr>
        <w:t> </w:t>
      </w:r>
      <w:r>
        <w:rPr/>
        <w:t>expressed </w:t>
      </w:r>
      <w:r>
        <w:rPr/>
        <w:t>in Caribbean style in everyday life. The typical tourism Caribbean product has been configured in a fashion that intentionally</w:t>
      </w:r>
      <w:r>
        <w:rPr>
          <w:spacing w:val="-6"/>
        </w:rPr>
        <w:t> </w:t>
      </w:r>
      <w:r>
        <w:rPr/>
        <w:t>disengages</w:t>
      </w:r>
      <w:r>
        <w:rPr>
          <w:spacing w:val="-8"/>
        </w:rPr>
        <w:t> </w:t>
      </w:r>
      <w:r>
        <w:rPr/>
        <w:t>t</w:t>
      </w:r>
      <w:r>
        <w:rPr>
          <w:rFonts w:ascii="Calibri" w:hAnsi="Calibri" w:cs="Calibri" w:eastAsia="Calibri" w:hint="default"/>
        </w:rPr>
        <w:t>ourists’</w:t>
      </w:r>
      <w:r>
        <w:rPr>
          <w:rFonts w:ascii="Calibri" w:hAnsi="Calibri" w:cs="Calibri" w:eastAsia="Calibri" w:hint="default"/>
          <w:spacing w:val="-6"/>
        </w:rPr>
        <w:t> </w:t>
      </w:r>
      <w:r>
        <w:rPr>
          <w:rFonts w:ascii="Calibri" w:hAnsi="Calibri" w:cs="Calibri" w:eastAsia="Calibri" w:hint="default"/>
        </w:rPr>
        <w:t>interaction</w:t>
      </w:r>
      <w:r>
        <w:rPr/>
        <w:t>s</w:t>
      </w:r>
      <w:r>
        <w:rPr>
          <w:spacing w:val="-8"/>
        </w:rPr>
        <w:t> </w:t>
      </w:r>
      <w:r>
        <w:rPr/>
        <w:t>with</w:t>
      </w:r>
      <w:r>
        <w:rPr>
          <w:spacing w:val="-6"/>
        </w:rPr>
        <w:t> </w:t>
      </w:r>
      <w:r>
        <w:rPr/>
        <w:t>those</w:t>
      </w:r>
      <w:r>
        <w:rPr>
          <w:spacing w:val="-7"/>
        </w:rPr>
        <w:t> </w:t>
      </w:r>
      <w:r>
        <w:rPr/>
        <w:t>of</w:t>
      </w:r>
      <w:r>
        <w:rPr>
          <w:spacing w:val="-5"/>
        </w:rPr>
        <w:t> </w:t>
      </w:r>
      <w:r>
        <w:rPr/>
        <w:t>the</w:t>
      </w:r>
      <w:r>
        <w:rPr>
          <w:spacing w:val="-8"/>
        </w:rPr>
        <w:t> </w:t>
      </w:r>
      <w:r>
        <w:rPr/>
        <w:t>local</w:t>
      </w:r>
      <w:r>
        <w:rPr>
          <w:spacing w:val="-7"/>
        </w:rPr>
        <w:t> </w:t>
      </w:r>
      <w:r>
        <w:rPr/>
        <w:t>people.</w:t>
      </w:r>
      <w:r>
        <w:rPr>
          <w:spacing w:val="33"/>
        </w:rPr>
        <w:t> </w:t>
      </w:r>
      <w:r>
        <w:rPr/>
        <w:t>Curaçao</w:t>
      </w:r>
      <w:r>
        <w:rPr>
          <w:spacing w:val="-6"/>
        </w:rPr>
        <w:t> </w:t>
      </w:r>
      <w:r>
        <w:rPr/>
        <w:t>now</w:t>
      </w:r>
      <w:r>
        <w:rPr>
          <w:spacing w:val="-8"/>
        </w:rPr>
        <w:t> </w:t>
      </w:r>
      <w:r>
        <w:rPr/>
        <w:t>has</w:t>
      </w:r>
      <w:r>
        <w:rPr>
          <w:spacing w:val="-7"/>
        </w:rPr>
        <w:t> </w:t>
      </w:r>
      <w:r>
        <w:rPr/>
        <w:t>the</w:t>
      </w:r>
      <w:r>
        <w:rPr>
          <w:spacing w:val="-8"/>
        </w:rPr>
        <w:t> </w:t>
      </w:r>
      <w:r>
        <w:rPr/>
        <w:t>foresight</w:t>
      </w:r>
      <w:r>
        <w:rPr>
          <w:spacing w:val="-6"/>
        </w:rPr>
        <w:t> </w:t>
      </w:r>
      <w:r>
        <w:rPr/>
        <w:t>and</w:t>
      </w:r>
      <w:r>
        <w:rPr>
          <w:spacing w:val="-6"/>
        </w:rPr>
        <w:t> </w:t>
      </w:r>
      <w:r>
        <w:rPr/>
        <w:t>the </w:t>
      </w:r>
      <w:r>
        <w:rPr/>
        <w:t>ability</w:t>
      </w:r>
      <w:r>
        <w:rPr>
          <w:spacing w:val="-2"/>
        </w:rPr>
        <w:t> </w:t>
      </w:r>
      <w:r>
        <w:rPr/>
        <w:t>to</w:t>
      </w:r>
      <w:r>
        <w:rPr>
          <w:spacing w:val="-3"/>
        </w:rPr>
        <w:t> </w:t>
      </w:r>
      <w:r>
        <w:rPr/>
        <w:t>craft</w:t>
      </w:r>
      <w:r>
        <w:rPr>
          <w:spacing w:val="-3"/>
        </w:rPr>
        <w:t> </w:t>
      </w:r>
      <w:r>
        <w:rPr/>
        <w:t>a</w:t>
      </w:r>
      <w:r>
        <w:rPr>
          <w:spacing w:val="-3"/>
        </w:rPr>
        <w:t> </w:t>
      </w:r>
      <w:r>
        <w:rPr/>
        <w:t>tourism</w:t>
      </w:r>
      <w:r>
        <w:rPr>
          <w:spacing w:val="-4"/>
        </w:rPr>
        <w:t> </w:t>
      </w:r>
      <w:r>
        <w:rPr/>
        <w:t>product</w:t>
      </w:r>
      <w:r>
        <w:rPr>
          <w:spacing w:val="-3"/>
        </w:rPr>
        <w:t> </w:t>
      </w:r>
      <w:r>
        <w:rPr/>
        <w:t>that</w:t>
      </w:r>
      <w:r>
        <w:rPr>
          <w:spacing w:val="-3"/>
        </w:rPr>
        <w:t> </w:t>
      </w:r>
      <w:r>
        <w:rPr/>
        <w:t>provides</w:t>
      </w:r>
      <w:r>
        <w:rPr>
          <w:spacing w:val="-5"/>
        </w:rPr>
        <w:t> </w:t>
      </w:r>
      <w:r>
        <w:rPr/>
        <w:t>these</w:t>
      </w:r>
      <w:r>
        <w:rPr>
          <w:spacing w:val="-4"/>
        </w:rPr>
        <w:t> </w:t>
      </w:r>
      <w:r>
        <w:rPr/>
        <w:t>socializing</w:t>
      </w:r>
      <w:r>
        <w:rPr>
          <w:spacing w:val="-4"/>
        </w:rPr>
        <w:t> </w:t>
      </w:r>
      <w:r>
        <w:rPr/>
        <w:t>activities</w:t>
      </w:r>
      <w:r>
        <w:rPr>
          <w:spacing w:val="-5"/>
        </w:rPr>
        <w:t> </w:t>
      </w:r>
      <w:r>
        <w:rPr/>
        <w:t>and</w:t>
      </w:r>
      <w:r>
        <w:rPr>
          <w:spacing w:val="-3"/>
        </w:rPr>
        <w:t> </w:t>
      </w:r>
      <w:r>
        <w:rPr/>
        <w:t>opportunities</w:t>
      </w:r>
      <w:r>
        <w:rPr>
          <w:spacing w:val="-5"/>
        </w:rPr>
        <w:t> </w:t>
      </w:r>
      <w:r>
        <w:rPr/>
        <w:t>for</w:t>
      </w:r>
      <w:r>
        <w:rPr>
          <w:spacing w:val="-3"/>
        </w:rPr>
        <w:t> </w:t>
      </w:r>
      <w:r>
        <w:rPr/>
        <w:t>tourists.</w:t>
      </w:r>
    </w:p>
    <w:p>
      <w:pPr>
        <w:spacing w:line="240" w:lineRule="auto" w:before="1"/>
        <w:ind w:right="0"/>
        <w:rPr>
          <w:rFonts w:ascii="Calibri" w:hAnsi="Calibri" w:cs="Calibri" w:eastAsia="Calibri" w:hint="default"/>
          <w:sz w:val="20"/>
          <w:szCs w:val="20"/>
        </w:rPr>
      </w:pPr>
    </w:p>
    <w:p>
      <w:pPr>
        <w:pStyle w:val="BodyText"/>
        <w:spacing w:line="240" w:lineRule="auto"/>
        <w:ind w:right="1434"/>
        <w:jc w:val="both"/>
      </w:pPr>
      <w:r>
        <w:rPr/>
        <w:t>In order for Curaçao to realize its prescribed mission statement, which is to collectively provide a memorable experience to the tourists, it is necessary to consider how Curaçao may best provide that experience. The data </w:t>
      </w:r>
      <w:r>
        <w:rPr>
          <w:rFonts w:ascii="Calibri" w:hAnsi="Calibri" w:cs="Calibri" w:eastAsia="Calibri" w:hint="default"/>
        </w:rPr>
        <w:t>reveals</w:t>
      </w:r>
      <w:r>
        <w:rPr>
          <w:rFonts w:ascii="Calibri" w:hAnsi="Calibri" w:cs="Calibri" w:eastAsia="Calibri" w:hint="default"/>
          <w:spacing w:val="-5"/>
        </w:rPr>
        <w:t> </w:t>
      </w:r>
      <w:r>
        <w:rPr>
          <w:rFonts w:ascii="Calibri" w:hAnsi="Calibri" w:cs="Calibri" w:eastAsia="Calibri" w:hint="default"/>
        </w:rPr>
        <w:t>that</w:t>
      </w:r>
      <w:r>
        <w:rPr>
          <w:rFonts w:ascii="Calibri" w:hAnsi="Calibri" w:cs="Calibri" w:eastAsia="Calibri" w:hint="default"/>
          <w:spacing w:val="-2"/>
        </w:rPr>
        <w:t> </w:t>
      </w:r>
      <w:r>
        <w:rPr>
          <w:rFonts w:ascii="Calibri" w:hAnsi="Calibri" w:cs="Calibri" w:eastAsia="Calibri" w:hint="default"/>
        </w:rPr>
        <w:t>Curaçao’s</w:t>
      </w:r>
      <w:r>
        <w:rPr>
          <w:rFonts w:ascii="Calibri" w:hAnsi="Calibri" w:cs="Calibri" w:eastAsia="Calibri" w:hint="default"/>
          <w:spacing w:val="-5"/>
        </w:rPr>
        <w:t> </w:t>
      </w:r>
      <w:r>
        <w:rPr>
          <w:rFonts w:ascii="Calibri" w:hAnsi="Calibri" w:cs="Calibri" w:eastAsia="Calibri" w:hint="default"/>
        </w:rPr>
        <w:t>“memorable</w:t>
      </w:r>
      <w:r>
        <w:rPr>
          <w:rFonts w:ascii="Calibri" w:hAnsi="Calibri" w:cs="Calibri" w:eastAsia="Calibri" w:hint="default"/>
          <w:spacing w:val="-5"/>
        </w:rPr>
        <w:t> </w:t>
      </w:r>
      <w:r>
        <w:rPr>
          <w:rFonts w:ascii="Calibri" w:hAnsi="Calibri" w:cs="Calibri" w:eastAsia="Calibri" w:hint="default"/>
        </w:rPr>
        <w:t>experience”</w:t>
      </w:r>
      <w:r>
        <w:rPr>
          <w:rFonts w:ascii="Calibri" w:hAnsi="Calibri" w:cs="Calibri" w:eastAsia="Calibri" w:hint="default"/>
          <w:spacing w:val="-1"/>
        </w:rPr>
        <w:t> </w:t>
      </w:r>
      <w:r>
        <w:rPr>
          <w:rFonts w:ascii="Calibri" w:hAnsi="Calibri" w:cs="Calibri" w:eastAsia="Calibri" w:hint="default"/>
        </w:rPr>
        <w:t>forte</w:t>
      </w:r>
      <w:r>
        <w:rPr>
          <w:rFonts w:ascii="Calibri" w:hAnsi="Calibri" w:cs="Calibri" w:eastAsia="Calibri" w:hint="default"/>
          <w:spacing w:val="-2"/>
        </w:rPr>
        <w:t> </w:t>
      </w:r>
      <w:r>
        <w:rPr>
          <w:rFonts w:ascii="Calibri" w:hAnsi="Calibri" w:cs="Calibri" w:eastAsia="Calibri" w:hint="default"/>
        </w:rPr>
        <w:t>is</w:t>
      </w:r>
      <w:r>
        <w:rPr>
          <w:rFonts w:ascii="Calibri" w:hAnsi="Calibri" w:cs="Calibri" w:eastAsia="Calibri" w:hint="default"/>
          <w:spacing w:val="-6"/>
        </w:rPr>
        <w:t> </w:t>
      </w:r>
      <w:r>
        <w:rPr>
          <w:rFonts w:ascii="Calibri" w:hAnsi="Calibri" w:cs="Calibri" w:eastAsia="Calibri" w:hint="default"/>
        </w:rPr>
        <w:t>the</w:t>
      </w:r>
      <w:r>
        <w:rPr>
          <w:rFonts w:ascii="Calibri" w:hAnsi="Calibri" w:cs="Calibri" w:eastAsia="Calibri" w:hint="default"/>
          <w:spacing w:val="-3"/>
        </w:rPr>
        <w:t> </w:t>
      </w:r>
      <w:r>
        <w:rPr>
          <w:rFonts w:ascii="Calibri" w:hAnsi="Calibri" w:cs="Calibri" w:eastAsia="Calibri" w:hint="default"/>
        </w:rPr>
        <w:t>ability</w:t>
      </w:r>
      <w:r>
        <w:rPr>
          <w:rFonts w:ascii="Calibri" w:hAnsi="Calibri" w:cs="Calibri" w:eastAsia="Calibri" w:hint="default"/>
          <w:spacing w:val="1"/>
        </w:rPr>
        <w:t> </w:t>
      </w:r>
      <w:r>
        <w:rPr/>
        <w:t>of</w:t>
      </w:r>
      <w:r>
        <w:rPr>
          <w:spacing w:val="-5"/>
        </w:rPr>
        <w:t> </w:t>
      </w:r>
      <w:r>
        <w:rPr/>
        <w:t>tourists</w:t>
      </w:r>
      <w:r>
        <w:rPr>
          <w:spacing w:val="-2"/>
        </w:rPr>
        <w:t> </w:t>
      </w:r>
      <w:r>
        <w:rPr/>
        <w:t>to</w:t>
      </w:r>
      <w:r>
        <w:rPr>
          <w:spacing w:val="-4"/>
        </w:rPr>
        <w:t> </w:t>
      </w:r>
      <w:r>
        <w:rPr/>
        <w:t>freely</w:t>
      </w:r>
      <w:r>
        <w:rPr>
          <w:spacing w:val="-2"/>
        </w:rPr>
        <w:t> </w:t>
      </w:r>
      <w:r>
        <w:rPr/>
        <w:t>encounter</w:t>
      </w:r>
      <w:r>
        <w:rPr>
          <w:spacing w:val="-5"/>
        </w:rPr>
        <w:t> </w:t>
      </w:r>
      <w:r>
        <w:rPr/>
        <w:t>locals</w:t>
      </w:r>
      <w:r>
        <w:rPr>
          <w:spacing w:val="-6"/>
        </w:rPr>
        <w:t> </w:t>
      </w:r>
      <w:r>
        <w:rPr/>
        <w:t>and</w:t>
      </w:r>
      <w:r>
        <w:rPr>
          <w:spacing w:val="-4"/>
        </w:rPr>
        <w:t> </w:t>
      </w:r>
      <w:r>
        <w:rPr/>
        <w:t>interact </w:t>
      </w:r>
      <w:r>
        <w:rPr/>
      </w:r>
      <w:r>
        <w:rPr>
          <w:rFonts w:ascii="Calibri" w:hAnsi="Calibri" w:cs="Calibri" w:eastAsia="Calibri" w:hint="default"/>
        </w:rPr>
        <w:t>with Curaçao’s culture. Because of the nature of the tourism i</w:t>
      </w:r>
      <w:r>
        <w:rPr/>
        <w:t>ndustry, many of these tourist encounters with locals are made through service-based employees. Therefore, if Curacao is to achieve the proposed mission, the human component in the delivery of services is one of the most critical elements requiring improvement. Again, because </w:t>
      </w:r>
      <w:r>
        <w:rPr>
          <w:rFonts w:ascii="Calibri" w:hAnsi="Calibri" w:cs="Calibri" w:eastAsia="Calibri" w:hint="default"/>
        </w:rPr>
        <w:t>the</w:t>
      </w:r>
      <w:r>
        <w:rPr>
          <w:rFonts w:ascii="Calibri" w:hAnsi="Calibri" w:cs="Calibri" w:eastAsia="Calibri" w:hint="default"/>
          <w:spacing w:val="-6"/>
        </w:rPr>
        <w:t> </w:t>
      </w:r>
      <w:r>
        <w:rPr>
          <w:rFonts w:ascii="Calibri" w:hAnsi="Calibri" w:cs="Calibri" w:eastAsia="Calibri" w:hint="default"/>
        </w:rPr>
        <w:t>hotel</w:t>
      </w:r>
      <w:r>
        <w:rPr>
          <w:rFonts w:ascii="Calibri" w:hAnsi="Calibri" w:cs="Calibri" w:eastAsia="Calibri" w:hint="default"/>
          <w:spacing w:val="-6"/>
        </w:rPr>
        <w:t> </w:t>
      </w:r>
      <w:r>
        <w:rPr>
          <w:rFonts w:ascii="Calibri" w:hAnsi="Calibri" w:cs="Calibri" w:eastAsia="Calibri" w:hint="default"/>
        </w:rPr>
        <w:t>sector</w:t>
      </w:r>
      <w:r>
        <w:rPr>
          <w:rFonts w:ascii="Calibri" w:hAnsi="Calibri" w:cs="Calibri" w:eastAsia="Calibri" w:hint="default"/>
          <w:spacing w:val="-5"/>
        </w:rPr>
        <w:t> </w:t>
      </w:r>
      <w:r>
        <w:rPr>
          <w:rFonts w:ascii="Calibri" w:hAnsi="Calibri" w:cs="Calibri" w:eastAsia="Calibri" w:hint="default"/>
        </w:rPr>
        <w:t>has</w:t>
      </w:r>
      <w:r>
        <w:rPr>
          <w:rFonts w:ascii="Calibri" w:hAnsi="Calibri" w:cs="Calibri" w:eastAsia="Calibri" w:hint="default"/>
          <w:spacing w:val="-6"/>
        </w:rPr>
        <w:t> </w:t>
      </w:r>
      <w:r>
        <w:rPr>
          <w:rFonts w:ascii="Calibri" w:hAnsi="Calibri" w:cs="Calibri" w:eastAsia="Calibri" w:hint="default"/>
        </w:rPr>
        <w:t>the</w:t>
      </w:r>
      <w:r>
        <w:rPr>
          <w:rFonts w:ascii="Calibri" w:hAnsi="Calibri" w:cs="Calibri" w:eastAsia="Calibri" w:hint="default"/>
          <w:spacing w:val="-6"/>
        </w:rPr>
        <w:t> </w:t>
      </w:r>
      <w:r>
        <w:rPr>
          <w:rFonts w:ascii="Calibri" w:hAnsi="Calibri" w:cs="Calibri" w:eastAsia="Calibri" w:hint="default"/>
        </w:rPr>
        <w:t>largest</w:t>
      </w:r>
      <w:r>
        <w:rPr>
          <w:rFonts w:ascii="Calibri" w:hAnsi="Calibri" w:cs="Calibri" w:eastAsia="Calibri" w:hint="default"/>
          <w:spacing w:val="-5"/>
        </w:rPr>
        <w:t> </w:t>
      </w:r>
      <w:r>
        <w:rPr>
          <w:rFonts w:ascii="Calibri" w:hAnsi="Calibri" w:cs="Calibri" w:eastAsia="Calibri" w:hint="default"/>
        </w:rPr>
        <w:t>impact</w:t>
      </w:r>
      <w:r>
        <w:rPr>
          <w:rFonts w:ascii="Calibri" w:hAnsi="Calibri" w:cs="Calibri" w:eastAsia="Calibri" w:hint="default"/>
          <w:spacing w:val="-5"/>
        </w:rPr>
        <w:t> </w:t>
      </w:r>
      <w:r>
        <w:rPr>
          <w:rFonts w:ascii="Calibri" w:hAnsi="Calibri" w:cs="Calibri" w:eastAsia="Calibri" w:hint="default"/>
        </w:rPr>
        <w:t>on</w:t>
      </w:r>
      <w:r>
        <w:rPr>
          <w:rFonts w:ascii="Calibri" w:hAnsi="Calibri" w:cs="Calibri" w:eastAsia="Calibri" w:hint="default"/>
          <w:spacing w:val="-5"/>
        </w:rPr>
        <w:t> </w:t>
      </w:r>
      <w:r>
        <w:rPr>
          <w:rFonts w:ascii="Calibri" w:hAnsi="Calibri" w:cs="Calibri" w:eastAsia="Calibri" w:hint="default"/>
        </w:rPr>
        <w:t>the</w:t>
      </w:r>
      <w:r>
        <w:rPr>
          <w:rFonts w:ascii="Calibri" w:hAnsi="Calibri" w:cs="Calibri" w:eastAsia="Calibri" w:hint="default"/>
          <w:spacing w:val="-6"/>
        </w:rPr>
        <w:t> </w:t>
      </w:r>
      <w:r>
        <w:rPr>
          <w:rFonts w:ascii="Calibri" w:hAnsi="Calibri" w:cs="Calibri" w:eastAsia="Calibri" w:hint="default"/>
        </w:rPr>
        <w:t>overall</w:t>
      </w:r>
      <w:r>
        <w:rPr>
          <w:rFonts w:ascii="Calibri" w:hAnsi="Calibri" w:cs="Calibri" w:eastAsia="Calibri" w:hint="default"/>
          <w:spacing w:val="-6"/>
        </w:rPr>
        <w:t> </w:t>
      </w:r>
      <w:r>
        <w:rPr>
          <w:rFonts w:ascii="Calibri" w:hAnsi="Calibri" w:cs="Calibri" w:eastAsia="Calibri" w:hint="default"/>
        </w:rPr>
        <w:t>tourist’s</w:t>
      </w:r>
      <w:r>
        <w:rPr>
          <w:rFonts w:ascii="Calibri" w:hAnsi="Calibri" w:cs="Calibri" w:eastAsia="Calibri" w:hint="default"/>
          <w:spacing w:val="-6"/>
        </w:rPr>
        <w:t> </w:t>
      </w:r>
      <w:r>
        <w:rPr>
          <w:rFonts w:ascii="Calibri" w:hAnsi="Calibri" w:cs="Calibri" w:eastAsia="Calibri" w:hint="default"/>
        </w:rPr>
        <w:t>satisfaction</w:t>
      </w:r>
      <w:r>
        <w:rPr>
          <w:rFonts w:ascii="Calibri" w:hAnsi="Calibri" w:cs="Calibri" w:eastAsia="Calibri" w:hint="default"/>
          <w:spacing w:val="-5"/>
        </w:rPr>
        <w:t> </w:t>
      </w:r>
      <w:r>
        <w:rPr>
          <w:rFonts w:ascii="Calibri" w:hAnsi="Calibri" w:cs="Calibri" w:eastAsia="Calibri" w:hint="default"/>
        </w:rPr>
        <w:t>level,</w:t>
      </w:r>
      <w:r>
        <w:rPr>
          <w:rFonts w:ascii="Calibri" w:hAnsi="Calibri" w:cs="Calibri" w:eastAsia="Calibri" w:hint="default"/>
          <w:spacing w:val="-5"/>
        </w:rPr>
        <w:t> </w:t>
      </w:r>
      <w:r>
        <w:rPr>
          <w:rFonts w:ascii="Calibri" w:hAnsi="Calibri" w:cs="Calibri" w:eastAsia="Calibri" w:hint="default"/>
        </w:rPr>
        <w:t>this</w:t>
      </w:r>
      <w:r>
        <w:rPr>
          <w:rFonts w:ascii="Calibri" w:hAnsi="Calibri" w:cs="Calibri" w:eastAsia="Calibri" w:hint="default"/>
          <w:spacing w:val="-7"/>
        </w:rPr>
        <w:t> </w:t>
      </w:r>
      <w:r>
        <w:rPr>
          <w:rFonts w:ascii="Calibri" w:hAnsi="Calibri" w:cs="Calibri" w:eastAsia="Calibri" w:hint="default"/>
        </w:rPr>
        <w:t>sector</w:t>
      </w:r>
      <w:r>
        <w:rPr>
          <w:rFonts w:ascii="Calibri" w:hAnsi="Calibri" w:cs="Calibri" w:eastAsia="Calibri" w:hint="default"/>
          <w:spacing w:val="-5"/>
        </w:rPr>
        <w:t> </w:t>
      </w:r>
      <w:r>
        <w:rPr>
          <w:rFonts w:ascii="Calibri" w:hAnsi="Calibri" w:cs="Calibri" w:eastAsia="Calibri" w:hint="default"/>
        </w:rPr>
        <w:t>should</w:t>
      </w:r>
      <w:r>
        <w:rPr>
          <w:rFonts w:ascii="Calibri" w:hAnsi="Calibri" w:cs="Calibri" w:eastAsia="Calibri" w:hint="default"/>
          <w:spacing w:val="-5"/>
        </w:rPr>
        <w:t> </w:t>
      </w:r>
      <w:r>
        <w:rPr>
          <w:rFonts w:ascii="Calibri" w:hAnsi="Calibri" w:cs="Calibri" w:eastAsia="Calibri" w:hint="default"/>
        </w:rPr>
        <w:t>receive</w:t>
      </w:r>
      <w:r>
        <w:rPr>
          <w:rFonts w:ascii="Calibri" w:hAnsi="Calibri" w:cs="Calibri" w:eastAsia="Calibri" w:hint="default"/>
          <w:spacing w:val="-6"/>
        </w:rPr>
        <w:t> </w:t>
      </w:r>
      <w:r>
        <w:rPr>
          <w:rFonts w:ascii="Calibri" w:hAnsi="Calibri" w:cs="Calibri" w:eastAsia="Calibri" w:hint="default"/>
        </w:rPr>
        <w:t>priority</w:t>
      </w:r>
      <w:r>
        <w:rPr>
          <w:rFonts w:ascii="Calibri" w:hAnsi="Calibri" w:cs="Calibri" w:eastAsia="Calibri" w:hint="default"/>
          <w:spacing w:val="-5"/>
        </w:rPr>
        <w:t> </w:t>
      </w:r>
      <w:r>
        <w:rPr>
          <w:rFonts w:ascii="Calibri" w:hAnsi="Calibri" w:cs="Calibri" w:eastAsia="Calibri" w:hint="default"/>
        </w:rPr>
        <w:t>in </w:t>
      </w:r>
      <w:r>
        <w:rPr>
          <w:rFonts w:ascii="Calibri" w:hAnsi="Calibri" w:cs="Calibri" w:eastAsia="Calibri" w:hint="default"/>
        </w:rPr>
      </w:r>
      <w:r>
        <w:rPr/>
        <w:t>terms of training</w:t>
      </w:r>
      <w:r>
        <w:rPr>
          <w:spacing w:val="-14"/>
        </w:rPr>
        <w:t> </w:t>
      </w:r>
      <w:r>
        <w:rPr/>
        <w:t>opportunities.</w:t>
      </w:r>
    </w:p>
    <w:p>
      <w:pPr>
        <w:spacing w:line="240" w:lineRule="auto" w:before="11"/>
        <w:ind w:right="0"/>
        <w:rPr>
          <w:rFonts w:ascii="Calibri" w:hAnsi="Calibri" w:cs="Calibri" w:eastAsia="Calibri" w:hint="default"/>
          <w:sz w:val="19"/>
          <w:szCs w:val="19"/>
        </w:rPr>
      </w:pPr>
    </w:p>
    <w:p>
      <w:pPr>
        <w:pStyle w:val="BodyText"/>
        <w:spacing w:line="240" w:lineRule="auto"/>
        <w:ind w:right="1435"/>
        <w:jc w:val="both"/>
      </w:pPr>
      <w:r>
        <w:rPr/>
        <w:t>The supply side of the tourism sector must take great heed regarding its investment in human capital. This investment must be more than monetary with respect to developing service-based skill sets that meet the needs of American tourists. This investment must also be stringently focused on enhancing the emotional aspect of service- based employees. This means that time and attention must be dedicated to lifting the self-efficacy of the local population. After all, if Curaçao is to realize its mission statement, it must be considered that memorable experiences are highly driven through the consumption of encounters that are filled with emotions and feelings. These encounters require that both tourists and locals be emotionally fulfilled in their interaction. The only way to achieve</w:t>
      </w:r>
      <w:r>
        <w:rPr>
          <w:spacing w:val="-6"/>
        </w:rPr>
        <w:t> </w:t>
      </w:r>
      <w:r>
        <w:rPr/>
        <w:t>this</w:t>
      </w:r>
      <w:r>
        <w:rPr>
          <w:spacing w:val="-7"/>
        </w:rPr>
        <w:t> </w:t>
      </w:r>
      <w:r>
        <w:rPr/>
        <w:t>bi-directional</w:t>
      </w:r>
      <w:r>
        <w:rPr>
          <w:spacing w:val="-5"/>
        </w:rPr>
        <w:t> </w:t>
      </w:r>
      <w:r>
        <w:rPr/>
        <w:t>emotional</w:t>
      </w:r>
      <w:r>
        <w:rPr>
          <w:spacing w:val="-5"/>
        </w:rPr>
        <w:t> </w:t>
      </w:r>
      <w:r>
        <w:rPr/>
        <w:t>fulfillment</w:t>
      </w:r>
      <w:r>
        <w:rPr>
          <w:spacing w:val="-5"/>
        </w:rPr>
        <w:t> </w:t>
      </w:r>
      <w:r>
        <w:rPr/>
        <w:t>is</w:t>
      </w:r>
      <w:r>
        <w:rPr>
          <w:spacing w:val="-7"/>
        </w:rPr>
        <w:t> </w:t>
      </w:r>
      <w:r>
        <w:rPr/>
        <w:t>when</w:t>
      </w:r>
      <w:r>
        <w:rPr>
          <w:spacing w:val="-5"/>
        </w:rPr>
        <w:t> </w:t>
      </w:r>
      <w:r>
        <w:rPr/>
        <w:t>both parties</w:t>
      </w:r>
      <w:r>
        <w:rPr>
          <w:spacing w:val="-7"/>
        </w:rPr>
        <w:t> </w:t>
      </w:r>
      <w:r>
        <w:rPr/>
        <w:t>leave</w:t>
      </w:r>
      <w:r>
        <w:rPr>
          <w:spacing w:val="-5"/>
        </w:rPr>
        <w:t> </w:t>
      </w:r>
      <w:r>
        <w:rPr/>
        <w:t>the</w:t>
      </w:r>
      <w:r>
        <w:rPr>
          <w:spacing w:val="-6"/>
        </w:rPr>
        <w:t> </w:t>
      </w:r>
      <w:r>
        <w:rPr/>
        <w:t>experience</w:t>
      </w:r>
      <w:r>
        <w:rPr>
          <w:spacing w:val="-4"/>
        </w:rPr>
        <w:t> </w:t>
      </w:r>
      <w:r>
        <w:rPr/>
        <w:t>feeling</w:t>
      </w:r>
      <w:r>
        <w:rPr>
          <w:spacing w:val="-5"/>
        </w:rPr>
        <w:t> </w:t>
      </w:r>
      <w:r>
        <w:rPr/>
        <w:t>positive</w:t>
      </w:r>
      <w:r>
        <w:rPr>
          <w:spacing w:val="-6"/>
        </w:rPr>
        <w:t> </w:t>
      </w:r>
      <w:r>
        <w:rPr/>
        <w:t>about</w:t>
      </w:r>
      <w:r>
        <w:rPr>
          <w:spacing w:val="-5"/>
        </w:rPr>
        <w:t> </w:t>
      </w:r>
      <w:r>
        <w:rPr/>
        <w:t>the </w:t>
      </w:r>
      <w:r>
        <w:rPr/>
        <w:t>encounter. In other words, the departure between a local and a tourist must be as rewarding an experience for the local as it is the</w:t>
      </w:r>
      <w:r>
        <w:rPr>
          <w:spacing w:val="-12"/>
        </w:rPr>
        <w:t> </w:t>
      </w:r>
      <w:r>
        <w:rPr/>
        <w:t>tourist.</w:t>
      </w:r>
    </w:p>
    <w:p>
      <w:pPr>
        <w:spacing w:after="0" w:line="240" w:lineRule="auto"/>
        <w:jc w:val="both"/>
        <w:sectPr>
          <w:footerReference w:type="default" r:id="rId68"/>
          <w:pgSz w:w="12240" w:h="15840"/>
          <w:pgMar w:footer="533" w:header="0"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9"/>
        <w:jc w:val="both"/>
      </w:pPr>
      <w:r>
        <w:rPr/>
        <w:t>Generally speaking, tourists leave feeling positive when their expectations have been met or exceeded. What is known from the data assessment in Curaçao is that, on one hand, American tourists currently seem satisfied with their overall experience in Curaçao. On the other hand, tourism employees (although pleased with interacting with tourists</w:t>
      </w:r>
      <w:r>
        <w:rPr>
          <w:spacing w:val="-4"/>
        </w:rPr>
        <w:t> </w:t>
      </w:r>
      <w:r>
        <w:rPr/>
        <w:t>in</w:t>
      </w:r>
      <w:r>
        <w:rPr>
          <w:spacing w:val="-3"/>
        </w:rPr>
        <w:t> </w:t>
      </w:r>
      <w:r>
        <w:rPr/>
        <w:t>general)</w:t>
      </w:r>
      <w:r>
        <w:rPr>
          <w:spacing w:val="-4"/>
        </w:rPr>
        <w:t> </w:t>
      </w:r>
      <w:r>
        <w:rPr/>
        <w:t>do</w:t>
      </w:r>
      <w:r>
        <w:rPr>
          <w:spacing w:val="-3"/>
        </w:rPr>
        <w:t> </w:t>
      </w:r>
      <w:r>
        <w:rPr/>
        <w:t>not</w:t>
      </w:r>
      <w:r>
        <w:rPr>
          <w:spacing w:val="-3"/>
        </w:rPr>
        <w:t> </w:t>
      </w:r>
      <w:r>
        <w:rPr/>
        <w:t>currently</w:t>
      </w:r>
      <w:r>
        <w:rPr>
          <w:spacing w:val="-3"/>
        </w:rPr>
        <w:t> </w:t>
      </w:r>
      <w:r>
        <w:rPr/>
        <w:t>feel</w:t>
      </w:r>
      <w:r>
        <w:rPr>
          <w:spacing w:val="-4"/>
        </w:rPr>
        <w:t> </w:t>
      </w:r>
      <w:r>
        <w:rPr/>
        <w:t>as</w:t>
      </w:r>
      <w:r>
        <w:rPr>
          <w:spacing w:val="-5"/>
        </w:rPr>
        <w:t> </w:t>
      </w:r>
      <w:r>
        <w:rPr/>
        <w:t>though</w:t>
      </w:r>
      <w:r>
        <w:rPr>
          <w:spacing w:val="-3"/>
        </w:rPr>
        <w:t> </w:t>
      </w:r>
      <w:r>
        <w:rPr/>
        <w:t>they</w:t>
      </w:r>
      <w:r>
        <w:rPr>
          <w:spacing w:val="-3"/>
        </w:rPr>
        <w:t> </w:t>
      </w:r>
      <w:r>
        <w:rPr/>
        <w:t>are</w:t>
      </w:r>
      <w:r>
        <w:rPr>
          <w:spacing w:val="-5"/>
        </w:rPr>
        <w:t> </w:t>
      </w:r>
      <w:r>
        <w:rPr/>
        <w:t>appropriately</w:t>
      </w:r>
      <w:r>
        <w:rPr>
          <w:spacing w:val="-3"/>
        </w:rPr>
        <w:t> </w:t>
      </w:r>
      <w:r>
        <w:rPr/>
        <w:t>compensated,</w:t>
      </w:r>
      <w:r>
        <w:rPr>
          <w:spacing w:val="-2"/>
        </w:rPr>
        <w:t> </w:t>
      </w:r>
      <w:r>
        <w:rPr/>
        <w:t>nor</w:t>
      </w:r>
      <w:r>
        <w:rPr>
          <w:spacing w:val="-3"/>
        </w:rPr>
        <w:t> </w:t>
      </w:r>
      <w:r>
        <w:rPr/>
        <w:t>fairly</w:t>
      </w:r>
      <w:r>
        <w:rPr>
          <w:spacing w:val="-2"/>
        </w:rPr>
        <w:t> </w:t>
      </w:r>
      <w:r>
        <w:rPr/>
        <w:t>supervised</w:t>
      </w:r>
      <w:r>
        <w:rPr>
          <w:spacing w:val="-3"/>
        </w:rPr>
        <w:t> </w:t>
      </w:r>
      <w:r>
        <w:rPr/>
        <w:t>in</w:t>
      </w:r>
      <w:r>
        <w:rPr>
          <w:spacing w:val="-3"/>
        </w:rPr>
        <w:t> </w:t>
      </w:r>
      <w:r>
        <w:rPr/>
        <w:t>the </w:t>
      </w:r>
      <w:r>
        <w:rPr/>
      </w:r>
      <w:r>
        <w:rPr>
          <w:rFonts w:ascii="Calibri" w:hAnsi="Calibri" w:cs="Calibri" w:eastAsia="Calibri" w:hint="default"/>
        </w:rPr>
        <w:t>industry. For example, 527 people working in Curaçao’s tourism industry were surveyed and had an average score </w:t>
      </w:r>
      <w:r>
        <w:rPr/>
        <w:t>of</w:t>
      </w:r>
      <w:r>
        <w:rPr>
          <w:spacing w:val="-4"/>
        </w:rPr>
        <w:t> </w:t>
      </w:r>
      <w:r>
        <w:rPr/>
        <w:t>2.97</w:t>
      </w:r>
      <w:r>
        <w:rPr>
          <w:spacing w:val="-2"/>
        </w:rPr>
        <w:t> </w:t>
      </w:r>
      <w:r>
        <w:rPr/>
        <w:t>out</w:t>
      </w:r>
      <w:r>
        <w:rPr>
          <w:spacing w:val="-2"/>
        </w:rPr>
        <w:t> </w:t>
      </w:r>
      <w:r>
        <w:rPr/>
        <w:t>of</w:t>
      </w:r>
      <w:r>
        <w:rPr>
          <w:spacing w:val="-4"/>
        </w:rPr>
        <w:t> </w:t>
      </w:r>
      <w:r>
        <w:rPr/>
        <w:t>5.00 when</w:t>
      </w:r>
      <w:r>
        <w:rPr>
          <w:spacing w:val="-2"/>
        </w:rPr>
        <w:t> </w:t>
      </w:r>
      <w:r>
        <w:rPr/>
        <w:t>asked</w:t>
      </w:r>
      <w:r>
        <w:rPr>
          <w:spacing w:val="-2"/>
        </w:rPr>
        <w:t> </w:t>
      </w:r>
      <w:r>
        <w:rPr/>
        <w:t>if</w:t>
      </w:r>
      <w:r>
        <w:rPr>
          <w:spacing w:val="-3"/>
        </w:rPr>
        <w:t> </w:t>
      </w:r>
      <w:r>
        <w:rPr/>
        <w:t>a</w:t>
      </w:r>
      <w:r>
        <w:rPr>
          <w:spacing w:val="-2"/>
        </w:rPr>
        <w:t> </w:t>
      </w:r>
      <w:r>
        <w:rPr/>
        <w:t>tourism</w:t>
      </w:r>
      <w:r>
        <w:rPr>
          <w:spacing w:val="-3"/>
        </w:rPr>
        <w:t> </w:t>
      </w:r>
      <w:r>
        <w:rPr/>
        <w:t>job</w:t>
      </w:r>
      <w:r>
        <w:rPr>
          <w:spacing w:val="-2"/>
        </w:rPr>
        <w:t> </w:t>
      </w:r>
      <w:r>
        <w:rPr/>
        <w:t>ensures</w:t>
      </w:r>
      <w:r>
        <w:rPr>
          <w:spacing w:val="-4"/>
        </w:rPr>
        <w:t> </w:t>
      </w:r>
      <w:r>
        <w:rPr/>
        <w:t>balance</w:t>
      </w:r>
      <w:r>
        <w:rPr>
          <w:spacing w:val="-4"/>
        </w:rPr>
        <w:t> </w:t>
      </w:r>
      <w:r>
        <w:rPr/>
        <w:t>between</w:t>
      </w:r>
      <w:r>
        <w:rPr>
          <w:spacing w:val="-2"/>
        </w:rPr>
        <w:t> </w:t>
      </w:r>
      <w:r>
        <w:rPr/>
        <w:t>work</w:t>
      </w:r>
      <w:r>
        <w:rPr>
          <w:spacing w:val="-2"/>
        </w:rPr>
        <w:t> </w:t>
      </w:r>
      <w:r>
        <w:rPr/>
        <w:t>and</w:t>
      </w:r>
      <w:r>
        <w:rPr>
          <w:spacing w:val="-2"/>
        </w:rPr>
        <w:t> </w:t>
      </w:r>
      <w:r>
        <w:rPr/>
        <w:t>life.</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t>The</w:t>
      </w:r>
      <w:r>
        <w:rPr>
          <w:spacing w:val="-6"/>
        </w:rPr>
        <w:t> </w:t>
      </w:r>
      <w:r>
        <w:rPr/>
        <w:t>negative</w:t>
      </w:r>
      <w:r>
        <w:rPr>
          <w:spacing w:val="-6"/>
        </w:rPr>
        <w:t> </w:t>
      </w:r>
      <w:r>
        <w:rPr/>
        <w:t>employee</w:t>
      </w:r>
      <w:r>
        <w:rPr>
          <w:spacing w:val="-6"/>
        </w:rPr>
        <w:t> </w:t>
      </w:r>
      <w:r>
        <w:rPr/>
        <w:t>connotations</w:t>
      </w:r>
      <w:r>
        <w:rPr>
          <w:spacing w:val="-6"/>
        </w:rPr>
        <w:t> </w:t>
      </w:r>
      <w:r>
        <w:rPr/>
        <w:t>of</w:t>
      </w:r>
      <w:r>
        <w:rPr>
          <w:spacing w:val="-6"/>
        </w:rPr>
        <w:t> </w:t>
      </w:r>
      <w:r>
        <w:rPr/>
        <w:t>feeling</w:t>
      </w:r>
      <w:r>
        <w:rPr>
          <w:spacing w:val="-5"/>
        </w:rPr>
        <w:t> </w:t>
      </w:r>
      <w:r>
        <w:rPr/>
        <w:t>underpaid,</w:t>
      </w:r>
      <w:r>
        <w:rPr>
          <w:spacing w:val="-5"/>
        </w:rPr>
        <w:t> </w:t>
      </w:r>
      <w:r>
        <w:rPr/>
        <w:t>overworked,</w:t>
      </w:r>
      <w:r>
        <w:rPr>
          <w:spacing w:val="-5"/>
        </w:rPr>
        <w:t> </w:t>
      </w:r>
      <w:r>
        <w:rPr/>
        <w:t>and</w:t>
      </w:r>
      <w:r>
        <w:rPr>
          <w:spacing w:val="-5"/>
        </w:rPr>
        <w:t> </w:t>
      </w:r>
      <w:r>
        <w:rPr/>
        <w:t>unfairly</w:t>
      </w:r>
      <w:r>
        <w:rPr>
          <w:spacing w:val="-4"/>
        </w:rPr>
        <w:t> </w:t>
      </w:r>
      <w:r>
        <w:rPr/>
        <w:t>treated</w:t>
      </w:r>
      <w:r>
        <w:rPr>
          <w:spacing w:val="-5"/>
        </w:rPr>
        <w:t> </w:t>
      </w:r>
      <w:r>
        <w:rPr/>
        <w:t>are</w:t>
      </w:r>
      <w:r>
        <w:rPr>
          <w:spacing w:val="-6"/>
        </w:rPr>
        <w:t> </w:t>
      </w:r>
      <w:r>
        <w:rPr/>
        <w:t>not</w:t>
      </w:r>
      <w:r>
        <w:rPr>
          <w:spacing w:val="-5"/>
        </w:rPr>
        <w:t> </w:t>
      </w:r>
      <w:r>
        <w:rPr/>
        <w:t>in</w:t>
      </w:r>
      <w:r>
        <w:rPr>
          <w:spacing w:val="-7"/>
        </w:rPr>
        <w:t> </w:t>
      </w:r>
      <w:r>
        <w:rPr/>
        <w:t>keeping</w:t>
      </w:r>
      <w:r>
        <w:rPr>
          <w:spacing w:val="-6"/>
        </w:rPr>
        <w:t> </w:t>
      </w:r>
      <w:r>
        <w:rPr/>
        <w:t>with </w:t>
      </w:r>
      <w:r>
        <w:rPr/>
        <w:t>an environment that will improve the self-efficacy of the local population. These feelings are also not in keeping with preserving and improving the level of human capital within the industry. If this perception from service-based employees</w:t>
      </w:r>
      <w:r>
        <w:rPr>
          <w:spacing w:val="-5"/>
        </w:rPr>
        <w:t> </w:t>
      </w:r>
      <w:r>
        <w:rPr/>
        <w:t>does</w:t>
      </w:r>
      <w:r>
        <w:rPr>
          <w:spacing w:val="-5"/>
        </w:rPr>
        <w:t> </w:t>
      </w:r>
      <w:r>
        <w:rPr/>
        <w:t>not</w:t>
      </w:r>
      <w:r>
        <w:rPr>
          <w:spacing w:val="-3"/>
        </w:rPr>
        <w:t> </w:t>
      </w:r>
      <w:r>
        <w:rPr/>
        <w:t>improve, it</w:t>
      </w:r>
      <w:r>
        <w:rPr>
          <w:spacing w:val="-3"/>
        </w:rPr>
        <w:t> </w:t>
      </w:r>
      <w:r>
        <w:rPr/>
        <w:t>can</w:t>
      </w:r>
      <w:r>
        <w:rPr>
          <w:spacing w:val="-1"/>
        </w:rPr>
        <w:t> </w:t>
      </w:r>
      <w:r>
        <w:rPr/>
        <w:t>be</w:t>
      </w:r>
      <w:r>
        <w:rPr>
          <w:spacing w:val="-6"/>
        </w:rPr>
        <w:t> </w:t>
      </w:r>
      <w:r>
        <w:rPr/>
        <w:t>expected</w:t>
      </w:r>
      <w:r>
        <w:rPr>
          <w:spacing w:val="-3"/>
        </w:rPr>
        <w:t> </w:t>
      </w:r>
      <w:r>
        <w:rPr/>
        <w:t>that</w:t>
      </w:r>
      <w:r>
        <w:rPr>
          <w:spacing w:val="-3"/>
        </w:rPr>
        <w:t> </w:t>
      </w:r>
      <w:r>
        <w:rPr/>
        <w:t>turnover</w:t>
      </w:r>
      <w:r>
        <w:rPr>
          <w:spacing w:val="-3"/>
        </w:rPr>
        <w:t> </w:t>
      </w:r>
      <w:r>
        <w:rPr/>
        <w:t>rates</w:t>
      </w:r>
      <w:r>
        <w:rPr>
          <w:spacing w:val="-5"/>
        </w:rPr>
        <w:t> </w:t>
      </w:r>
      <w:r>
        <w:rPr/>
        <w:t>will</w:t>
      </w:r>
      <w:r>
        <w:rPr>
          <w:spacing w:val="-1"/>
        </w:rPr>
        <w:t> </w:t>
      </w:r>
      <w:r>
        <w:rPr/>
        <w:t>increase</w:t>
      </w:r>
      <w:r>
        <w:rPr>
          <w:spacing w:val="-4"/>
        </w:rPr>
        <w:t> </w:t>
      </w:r>
      <w:r>
        <w:rPr/>
        <w:t>and</w:t>
      </w:r>
      <w:r>
        <w:rPr>
          <w:spacing w:val="-3"/>
        </w:rPr>
        <w:t> </w:t>
      </w:r>
      <w:r>
        <w:rPr/>
        <w:t>interest</w:t>
      </w:r>
      <w:r>
        <w:rPr>
          <w:spacing w:val="-3"/>
        </w:rPr>
        <w:t> </w:t>
      </w:r>
      <w:r>
        <w:rPr/>
        <w:t>in</w:t>
      </w:r>
      <w:r>
        <w:rPr>
          <w:spacing w:val="-3"/>
        </w:rPr>
        <w:t> </w:t>
      </w:r>
      <w:r>
        <w:rPr/>
        <w:t>working</w:t>
      </w:r>
      <w:r>
        <w:rPr>
          <w:spacing w:val="-4"/>
        </w:rPr>
        <w:t> </w:t>
      </w:r>
      <w:r>
        <w:rPr/>
        <w:t>in</w:t>
      </w:r>
      <w:r>
        <w:rPr>
          <w:spacing w:val="-3"/>
        </w:rPr>
        <w:t> </w:t>
      </w:r>
      <w:r>
        <w:rPr/>
        <w:t>tourism </w:t>
      </w:r>
      <w:r>
        <w:rPr/>
        <w:t>will decrease throughout the local population. In this case, Curaçao will lose the capacity to provide positive memorable experiences to the tourist through service encounters. Therefore, Curaçao tourism officials must develop ways to invest in tourism employees, and circumvent the negative feelings expressed throughout the industry.</w:t>
      </w:r>
    </w:p>
    <w:p>
      <w:pPr>
        <w:spacing w:line="240" w:lineRule="auto" w:before="2"/>
        <w:ind w:right="0"/>
        <w:rPr>
          <w:rFonts w:ascii="Calibri" w:hAnsi="Calibri" w:cs="Calibri" w:eastAsia="Calibri" w:hint="default"/>
          <w:sz w:val="20"/>
          <w:szCs w:val="20"/>
        </w:rPr>
      </w:pPr>
    </w:p>
    <w:p>
      <w:pPr>
        <w:pStyle w:val="BodyText"/>
        <w:spacing w:line="240" w:lineRule="auto"/>
        <w:ind w:right="1435"/>
        <w:jc w:val="both"/>
      </w:pPr>
      <w:r>
        <w:rPr/>
        <w:t>The</w:t>
      </w:r>
      <w:r>
        <w:rPr>
          <w:spacing w:val="-5"/>
        </w:rPr>
        <w:t> </w:t>
      </w:r>
      <w:r>
        <w:rPr/>
        <w:t>data</w:t>
      </w:r>
      <w:r>
        <w:rPr>
          <w:spacing w:val="-4"/>
        </w:rPr>
        <w:t> </w:t>
      </w:r>
      <w:r>
        <w:rPr/>
        <w:t>assessment</w:t>
      </w:r>
      <w:r>
        <w:rPr>
          <w:spacing w:val="-4"/>
        </w:rPr>
        <w:t> </w:t>
      </w:r>
      <w:r>
        <w:rPr/>
        <w:t>also</w:t>
      </w:r>
      <w:r>
        <w:rPr>
          <w:spacing w:val="-2"/>
        </w:rPr>
        <w:t> </w:t>
      </w:r>
      <w:r>
        <w:rPr/>
        <w:t>reveals</w:t>
      </w:r>
      <w:r>
        <w:rPr>
          <w:spacing w:val="-5"/>
        </w:rPr>
        <w:t> </w:t>
      </w:r>
      <w:r>
        <w:rPr/>
        <w:t>that</w:t>
      </w:r>
      <w:r>
        <w:rPr>
          <w:spacing w:val="-4"/>
        </w:rPr>
        <w:t> </w:t>
      </w:r>
      <w:r>
        <w:rPr/>
        <w:t>American</w:t>
      </w:r>
      <w:r>
        <w:rPr>
          <w:spacing w:val="-4"/>
        </w:rPr>
        <w:t> </w:t>
      </w:r>
      <w:r>
        <w:rPr/>
        <w:t>tourists</w:t>
      </w:r>
      <w:r>
        <w:rPr>
          <w:spacing w:val="-5"/>
        </w:rPr>
        <w:t> </w:t>
      </w:r>
      <w:r>
        <w:rPr/>
        <w:t>arrive</w:t>
      </w:r>
      <w:r>
        <w:rPr>
          <w:spacing w:val="-3"/>
        </w:rPr>
        <w:t> </w:t>
      </w:r>
      <w:r>
        <w:rPr/>
        <w:t>to</w:t>
      </w:r>
      <w:r>
        <w:rPr>
          <w:spacing w:val="-4"/>
        </w:rPr>
        <w:t> </w:t>
      </w:r>
      <w:r>
        <w:rPr/>
        <w:t>Curaçao of</w:t>
      </w:r>
      <w:r>
        <w:rPr>
          <w:spacing w:val="-4"/>
        </w:rPr>
        <w:t> </w:t>
      </w:r>
      <w:r>
        <w:rPr/>
        <w:t>what</w:t>
      </w:r>
      <w:r>
        <w:rPr>
          <w:spacing w:val="-4"/>
        </w:rPr>
        <w:t> </w:t>
      </w:r>
      <w:r>
        <w:rPr/>
        <w:t>Curaçao</w:t>
      </w:r>
      <w:r>
        <w:rPr>
          <w:spacing w:val="-4"/>
        </w:rPr>
        <w:t> </w:t>
      </w:r>
      <w:r>
        <w:rPr/>
        <w:t>has</w:t>
      </w:r>
      <w:r>
        <w:rPr>
          <w:spacing w:val="-5"/>
        </w:rPr>
        <w:t> </w:t>
      </w:r>
      <w:r>
        <w:rPr/>
        <w:t>to</w:t>
      </w:r>
      <w:r>
        <w:rPr>
          <w:spacing w:val="-4"/>
        </w:rPr>
        <w:t> </w:t>
      </w:r>
      <w:r>
        <w:rPr/>
        <w:t>offer beyond</w:t>
      </w:r>
      <w:r>
        <w:rPr>
          <w:spacing w:val="-4"/>
        </w:rPr>
        <w:t> </w:t>
      </w:r>
      <w:r>
        <w:rPr/>
        <w:t>SSS. </w:t>
      </w:r>
      <w:r>
        <w:rPr/>
        <w:t>The lack of expectations is due to the lack of brand awareness and information that American tourists receive from Curaçao prior to their arrival on the island. With regard to establishing strong positive memories with the tourists, it behooves Curaçao to create a foundation for those positive memorable experiences. That foundation could then breed</w:t>
      </w:r>
      <w:r>
        <w:rPr>
          <w:spacing w:val="-10"/>
        </w:rPr>
        <w:t> </w:t>
      </w:r>
      <w:r>
        <w:rPr/>
        <w:t>greater</w:t>
      </w:r>
      <w:r>
        <w:rPr>
          <w:spacing w:val="-10"/>
        </w:rPr>
        <w:t> </w:t>
      </w:r>
      <w:r>
        <w:rPr/>
        <w:t>tourist</w:t>
      </w:r>
      <w:r>
        <w:rPr>
          <w:spacing w:val="-10"/>
        </w:rPr>
        <w:t> </w:t>
      </w:r>
      <w:r>
        <w:rPr/>
        <w:t>expectations</w:t>
      </w:r>
      <w:r>
        <w:rPr>
          <w:spacing w:val="-10"/>
        </w:rPr>
        <w:t> </w:t>
      </w:r>
      <w:r>
        <w:rPr/>
        <w:t>of</w:t>
      </w:r>
      <w:r>
        <w:rPr>
          <w:spacing w:val="-10"/>
        </w:rPr>
        <w:t> </w:t>
      </w:r>
      <w:r>
        <w:rPr/>
        <w:t>Curacao.</w:t>
      </w:r>
      <w:r>
        <w:rPr>
          <w:spacing w:val="27"/>
        </w:rPr>
        <w:t> </w:t>
      </w:r>
      <w:r>
        <w:rPr/>
        <w:t>In</w:t>
      </w:r>
      <w:r>
        <w:rPr>
          <w:spacing w:val="-9"/>
        </w:rPr>
        <w:t> </w:t>
      </w:r>
      <w:r>
        <w:rPr/>
        <w:t>other</w:t>
      </w:r>
      <w:r>
        <w:rPr>
          <w:spacing w:val="-10"/>
        </w:rPr>
        <w:t> </w:t>
      </w:r>
      <w:r>
        <w:rPr/>
        <w:t>words,</w:t>
      </w:r>
      <w:r>
        <w:rPr>
          <w:spacing w:val="-10"/>
        </w:rPr>
        <w:t> </w:t>
      </w:r>
      <w:r>
        <w:rPr/>
        <w:t>if</w:t>
      </w:r>
      <w:r>
        <w:rPr>
          <w:spacing w:val="-9"/>
        </w:rPr>
        <w:t> </w:t>
      </w:r>
      <w:r>
        <w:rPr/>
        <w:t>tourists</w:t>
      </w:r>
      <w:r>
        <w:rPr>
          <w:spacing w:val="-10"/>
        </w:rPr>
        <w:t> </w:t>
      </w:r>
      <w:r>
        <w:rPr/>
        <w:t>have</w:t>
      </w:r>
      <w:r>
        <w:rPr>
          <w:spacing w:val="-10"/>
        </w:rPr>
        <w:t> </w:t>
      </w:r>
      <w:r>
        <w:rPr/>
        <w:t>some</w:t>
      </w:r>
      <w:r>
        <w:rPr>
          <w:spacing w:val="-10"/>
        </w:rPr>
        <w:t> </w:t>
      </w:r>
      <w:r>
        <w:rPr/>
        <w:t>notion</w:t>
      </w:r>
      <w:r>
        <w:rPr>
          <w:spacing w:val="-10"/>
        </w:rPr>
        <w:t> </w:t>
      </w:r>
      <w:r>
        <w:rPr/>
        <w:t>regarding</w:t>
      </w:r>
      <w:r>
        <w:rPr>
          <w:spacing w:val="-10"/>
        </w:rPr>
        <w:t> </w:t>
      </w:r>
      <w:r>
        <w:rPr/>
        <w:t>what</w:t>
      </w:r>
      <w:r>
        <w:rPr>
          <w:spacing w:val="-9"/>
        </w:rPr>
        <w:t> </w:t>
      </w:r>
      <w:r>
        <w:rPr/>
        <w:t>they</w:t>
      </w:r>
      <w:r>
        <w:rPr>
          <w:spacing w:val="-9"/>
        </w:rPr>
        <w:t> </w:t>
      </w:r>
      <w:r>
        <w:rPr/>
        <w:t>may </w:t>
      </w:r>
      <w:r>
        <w:rPr/>
        <w:t>expect</w:t>
      </w:r>
      <w:r>
        <w:rPr>
          <w:spacing w:val="-4"/>
        </w:rPr>
        <w:t> </w:t>
      </w:r>
      <w:r>
        <w:rPr/>
        <w:t>from</w:t>
      </w:r>
      <w:r>
        <w:rPr>
          <w:spacing w:val="-5"/>
        </w:rPr>
        <w:t> </w:t>
      </w:r>
      <w:r>
        <w:rPr/>
        <w:t>Curaçao</w:t>
      </w:r>
      <w:r>
        <w:rPr>
          <w:spacing w:val="-2"/>
        </w:rPr>
        <w:t> </w:t>
      </w:r>
      <w:r>
        <w:rPr/>
        <w:t>(other</w:t>
      </w:r>
      <w:r>
        <w:rPr>
          <w:spacing w:val="-4"/>
        </w:rPr>
        <w:t> </w:t>
      </w:r>
      <w:r>
        <w:rPr/>
        <w:t>than</w:t>
      </w:r>
      <w:r>
        <w:rPr>
          <w:spacing w:val="-3"/>
        </w:rPr>
        <w:t> </w:t>
      </w:r>
      <w:r>
        <w:rPr/>
        <w:t>being</w:t>
      </w:r>
      <w:r>
        <w:rPr>
          <w:spacing w:val="-5"/>
        </w:rPr>
        <w:t> </w:t>
      </w:r>
      <w:r>
        <w:rPr/>
        <w:t>a</w:t>
      </w:r>
      <w:r>
        <w:rPr>
          <w:spacing w:val="-4"/>
        </w:rPr>
        <w:t> </w:t>
      </w:r>
      <w:r>
        <w:rPr/>
        <w:t>SSS</w:t>
      </w:r>
      <w:r>
        <w:rPr>
          <w:spacing w:val="-5"/>
        </w:rPr>
        <w:t> </w:t>
      </w:r>
      <w:r>
        <w:rPr/>
        <w:t>destination)</w:t>
      </w:r>
      <w:r>
        <w:rPr>
          <w:spacing w:val="-5"/>
        </w:rPr>
        <w:t> </w:t>
      </w:r>
      <w:r>
        <w:rPr/>
        <w:t>the</w:t>
      </w:r>
      <w:r>
        <w:rPr>
          <w:spacing w:val="-5"/>
        </w:rPr>
        <w:t> </w:t>
      </w:r>
      <w:r>
        <w:rPr/>
        <w:t>strength</w:t>
      </w:r>
      <w:r>
        <w:rPr>
          <w:spacing w:val="-4"/>
        </w:rPr>
        <w:t> </w:t>
      </w:r>
      <w:r>
        <w:rPr/>
        <w:t>of</w:t>
      </w:r>
      <w:r>
        <w:rPr>
          <w:spacing w:val="-5"/>
        </w:rPr>
        <w:t> </w:t>
      </w:r>
      <w:r>
        <w:rPr/>
        <w:t>positive</w:t>
      </w:r>
      <w:r>
        <w:rPr>
          <w:spacing w:val="-3"/>
        </w:rPr>
        <w:t> </w:t>
      </w:r>
      <w:r>
        <w:rPr/>
        <w:t>memorable</w:t>
      </w:r>
      <w:r>
        <w:rPr>
          <w:spacing w:val="-5"/>
        </w:rPr>
        <w:t> </w:t>
      </w:r>
      <w:r>
        <w:rPr/>
        <w:t>experiences</w:t>
      </w:r>
      <w:r>
        <w:rPr>
          <w:spacing w:val="-3"/>
        </w:rPr>
        <w:t> </w:t>
      </w:r>
      <w:r>
        <w:rPr/>
        <w:t>would</w:t>
      </w:r>
      <w:r>
        <w:rPr>
          <w:spacing w:val="-3"/>
        </w:rPr>
        <w:t> </w:t>
      </w:r>
      <w:r>
        <w:rPr/>
        <w:t>be </w:t>
      </w:r>
      <w:r>
        <w:rPr/>
        <w:t>increased.</w:t>
      </w:r>
    </w:p>
    <w:p>
      <w:pPr>
        <w:spacing w:line="240" w:lineRule="auto" w:before="11"/>
        <w:ind w:right="0"/>
        <w:rPr>
          <w:rFonts w:ascii="Calibri" w:hAnsi="Calibri" w:cs="Calibri" w:eastAsia="Calibri" w:hint="default"/>
          <w:sz w:val="19"/>
          <w:szCs w:val="19"/>
        </w:rPr>
      </w:pPr>
    </w:p>
    <w:p>
      <w:pPr>
        <w:pStyle w:val="BodyText"/>
        <w:spacing w:line="240" w:lineRule="auto"/>
        <w:ind w:right="1437"/>
        <w:jc w:val="both"/>
      </w:pPr>
      <w:r>
        <w:rPr/>
        <w:t>Therefore, it is necessary for Curacao to provide more information to American tourists so that that segment might form expectations prior to its arrival on the island. Receiving this information may result in more meaningful experiences, which may lead to more spending, repeat visitations, word-of-mouth, and social media referrals from the American</w:t>
      </w:r>
      <w:r>
        <w:rPr>
          <w:spacing w:val="-8"/>
        </w:rPr>
        <w:t> </w:t>
      </w:r>
      <w:r>
        <w:rPr/>
        <w:t>market.</w:t>
      </w:r>
    </w:p>
    <w:p>
      <w:pPr>
        <w:spacing w:line="240" w:lineRule="auto" w:before="12"/>
        <w:ind w:right="0"/>
        <w:rPr>
          <w:rFonts w:ascii="Calibri" w:hAnsi="Calibri" w:cs="Calibri" w:eastAsia="Calibri" w:hint="default"/>
          <w:sz w:val="22"/>
          <w:szCs w:val="22"/>
        </w:rPr>
      </w:pPr>
    </w:p>
    <w:p>
      <w:pPr>
        <w:pStyle w:val="Heading2"/>
        <w:spacing w:line="240" w:lineRule="auto" w:before="0"/>
        <w:ind w:right="0"/>
        <w:jc w:val="both"/>
        <w:rPr>
          <w:b w:val="0"/>
          <w:bCs w:val="0"/>
        </w:rPr>
      </w:pPr>
      <w:bookmarkStart w:name="_bookmark154" w:id="155"/>
      <w:bookmarkEnd w:id="155"/>
      <w:r>
        <w:rPr>
          <w:b w:val="0"/>
        </w:rPr>
      </w:r>
      <w:r>
        <w:rPr/>
        <w:t>The strategic</w:t>
      </w:r>
      <w:r>
        <w:rPr>
          <w:spacing w:val="-17"/>
        </w:rPr>
        <w:t> </w:t>
      </w:r>
      <w:r>
        <w:rPr/>
        <w:t>framework</w:t>
      </w:r>
      <w:r>
        <w:rPr>
          <w:b w:val="0"/>
        </w:rPr>
      </w:r>
    </w:p>
    <w:p>
      <w:pPr>
        <w:pStyle w:val="BodyText"/>
        <w:spacing w:line="243" w:lineRule="exact" w:before="191"/>
        <w:ind w:right="0"/>
        <w:jc w:val="both"/>
      </w:pPr>
      <w:r>
        <w:rPr/>
        <w:t>The</w:t>
      </w:r>
      <w:r>
        <w:rPr>
          <w:spacing w:val="-3"/>
        </w:rPr>
        <w:t> </w:t>
      </w:r>
      <w:r>
        <w:rPr/>
        <w:t>2015-2020</w:t>
      </w:r>
      <w:r>
        <w:rPr>
          <w:spacing w:val="-2"/>
        </w:rPr>
        <w:t> </w:t>
      </w:r>
      <w:r>
        <w:rPr/>
        <w:t>Strategic Tourism</w:t>
      </w:r>
      <w:r>
        <w:rPr>
          <w:spacing w:val="-3"/>
        </w:rPr>
        <w:t> </w:t>
      </w:r>
      <w:r>
        <w:rPr/>
        <w:t>Master</w:t>
      </w:r>
      <w:r>
        <w:rPr>
          <w:spacing w:val="-3"/>
        </w:rPr>
        <w:t> </w:t>
      </w:r>
      <w:r>
        <w:rPr/>
        <w:t>Plan</w:t>
      </w:r>
      <w:r>
        <w:rPr>
          <w:spacing w:val="-2"/>
        </w:rPr>
        <w:t> </w:t>
      </w:r>
      <w:r>
        <w:rPr/>
        <w:t>is</w:t>
      </w:r>
      <w:r>
        <w:rPr>
          <w:spacing w:val="-4"/>
        </w:rPr>
        <w:t> </w:t>
      </w:r>
      <w:r>
        <w:rPr/>
        <w:t>directed</w:t>
      </w:r>
      <w:r>
        <w:rPr>
          <w:spacing w:val="-2"/>
        </w:rPr>
        <w:t> </w:t>
      </w:r>
      <w:r>
        <w:rPr/>
        <w:t>by</w:t>
      </w:r>
      <w:r>
        <w:rPr>
          <w:spacing w:val="-2"/>
        </w:rPr>
        <w:t> </w:t>
      </w:r>
      <w:r>
        <w:rPr/>
        <w:t>two</w:t>
      </w:r>
      <w:r>
        <w:rPr>
          <w:spacing w:val="-2"/>
        </w:rPr>
        <w:t> </w:t>
      </w:r>
      <w:r>
        <w:rPr/>
        <w:t>core</w:t>
      </w:r>
      <w:r>
        <w:rPr>
          <w:spacing w:val="-3"/>
        </w:rPr>
        <w:t> </w:t>
      </w:r>
      <w:r>
        <w:rPr/>
        <w:t>principles.</w:t>
      </w:r>
      <w:r>
        <w:rPr>
          <w:spacing w:val="-2"/>
        </w:rPr>
        <w:t> </w:t>
      </w:r>
      <w:r>
        <w:rPr/>
        <w:t>These</w:t>
      </w:r>
      <w:r>
        <w:rPr>
          <w:spacing w:val="-3"/>
        </w:rPr>
        <w:t> </w:t>
      </w:r>
      <w:r>
        <w:rPr/>
        <w:t>core</w:t>
      </w:r>
      <w:r>
        <w:rPr>
          <w:spacing w:val="-3"/>
        </w:rPr>
        <w:t> </w:t>
      </w:r>
      <w:r>
        <w:rPr/>
        <w:t>principles</w:t>
      </w:r>
      <w:r>
        <w:rPr>
          <w:spacing w:val="-4"/>
        </w:rPr>
        <w:t> </w:t>
      </w:r>
      <w:r>
        <w:rPr/>
        <w:t>consist</w:t>
      </w:r>
      <w:r>
        <w:rPr>
          <w:spacing w:val="-2"/>
        </w:rPr>
        <w:t> </w:t>
      </w:r>
      <w:r>
        <w:rPr/>
        <w:t>of:</w:t>
      </w:r>
    </w:p>
    <w:p>
      <w:pPr>
        <w:pStyle w:val="ListParagraph"/>
        <w:numPr>
          <w:ilvl w:val="0"/>
          <w:numId w:val="11"/>
        </w:numPr>
        <w:tabs>
          <w:tab w:pos="2161" w:val="left" w:leader="none"/>
        </w:tabs>
        <w:spacing w:line="243" w:lineRule="exact" w:before="0" w:after="0"/>
        <w:ind w:left="2160" w:right="0" w:hanging="360"/>
        <w:jc w:val="left"/>
        <w:rPr>
          <w:rFonts w:ascii="Calibri" w:hAnsi="Calibri" w:cs="Calibri" w:eastAsia="Calibri" w:hint="default"/>
          <w:sz w:val="20"/>
          <w:szCs w:val="20"/>
        </w:rPr>
      </w:pPr>
      <w:r>
        <w:rPr>
          <w:rFonts w:ascii="Calibri"/>
          <w:sz w:val="20"/>
        </w:rPr>
        <w:t>A demand orientated approach, rather than a supply orientated</w:t>
      </w:r>
      <w:r>
        <w:rPr>
          <w:rFonts w:ascii="Calibri"/>
          <w:spacing w:val="-18"/>
          <w:sz w:val="20"/>
        </w:rPr>
        <w:t> </w:t>
      </w:r>
      <w:r>
        <w:rPr>
          <w:rFonts w:ascii="Calibri"/>
          <w:sz w:val="20"/>
        </w:rPr>
        <w:t>approach,</w:t>
      </w:r>
    </w:p>
    <w:p>
      <w:pPr>
        <w:pStyle w:val="ListParagraph"/>
        <w:numPr>
          <w:ilvl w:val="0"/>
          <w:numId w:val="11"/>
        </w:numPr>
        <w:tabs>
          <w:tab w:pos="2161" w:val="left" w:leader="none"/>
        </w:tabs>
        <w:spacing w:line="252" w:lineRule="auto" w:before="12" w:after="0"/>
        <w:ind w:left="2160" w:right="1446" w:hanging="360"/>
        <w:jc w:val="left"/>
        <w:rPr>
          <w:rFonts w:ascii="Calibri" w:hAnsi="Calibri" w:cs="Calibri" w:eastAsia="Calibri" w:hint="default"/>
          <w:sz w:val="20"/>
          <w:szCs w:val="20"/>
        </w:rPr>
      </w:pPr>
      <w:r>
        <w:rPr>
          <w:rFonts w:ascii="Calibri" w:hAnsi="Calibri" w:cs="Calibri" w:eastAsia="Calibri" w:hint="default"/>
          <w:sz w:val="20"/>
          <w:szCs w:val="20"/>
        </w:rPr>
        <w:t>Focus</w:t>
      </w:r>
      <w:r>
        <w:rPr>
          <w:rFonts w:ascii="Calibri" w:hAnsi="Calibri" w:cs="Calibri" w:eastAsia="Calibri" w:hint="default"/>
          <w:spacing w:val="-9"/>
          <w:sz w:val="20"/>
          <w:szCs w:val="20"/>
        </w:rPr>
        <w:t> </w:t>
      </w:r>
      <w:r>
        <w:rPr>
          <w:rFonts w:ascii="Calibri" w:hAnsi="Calibri" w:cs="Calibri" w:eastAsia="Calibri" w:hint="default"/>
          <w:sz w:val="20"/>
          <w:szCs w:val="20"/>
        </w:rPr>
        <w:t>on</w:t>
      </w:r>
      <w:r>
        <w:rPr>
          <w:rFonts w:ascii="Calibri" w:hAnsi="Calibri" w:cs="Calibri" w:eastAsia="Calibri" w:hint="default"/>
          <w:spacing w:val="-7"/>
          <w:sz w:val="20"/>
          <w:szCs w:val="20"/>
        </w:rPr>
        <w:t> </w:t>
      </w:r>
      <w:r>
        <w:rPr>
          <w:rFonts w:ascii="Calibri" w:hAnsi="Calibri" w:cs="Calibri" w:eastAsia="Calibri" w:hint="default"/>
          <w:sz w:val="20"/>
          <w:szCs w:val="20"/>
        </w:rPr>
        <w:t>the</w:t>
      </w:r>
      <w:r>
        <w:rPr>
          <w:rFonts w:ascii="Calibri" w:hAnsi="Calibri" w:cs="Calibri" w:eastAsia="Calibri" w:hint="default"/>
          <w:spacing w:val="-9"/>
          <w:sz w:val="20"/>
          <w:szCs w:val="20"/>
        </w:rPr>
        <w:t> </w:t>
      </w:r>
      <w:r>
        <w:rPr>
          <w:rFonts w:ascii="Calibri" w:hAnsi="Calibri" w:cs="Calibri" w:eastAsia="Calibri" w:hint="default"/>
          <w:sz w:val="20"/>
          <w:szCs w:val="20"/>
        </w:rPr>
        <w:t>t</w:t>
      </w:r>
      <w:r>
        <w:rPr>
          <w:rFonts w:ascii="Calibri" w:hAnsi="Calibri" w:cs="Calibri" w:eastAsia="Calibri" w:hint="default"/>
          <w:sz w:val="20"/>
          <w:szCs w:val="20"/>
        </w:rPr>
        <w:t>ourism</w:t>
      </w:r>
      <w:r>
        <w:rPr>
          <w:rFonts w:ascii="Calibri" w:hAnsi="Calibri" w:cs="Calibri" w:eastAsia="Calibri" w:hint="default"/>
          <w:spacing w:val="-9"/>
          <w:sz w:val="20"/>
          <w:szCs w:val="20"/>
        </w:rPr>
        <w:t> </w:t>
      </w:r>
      <w:r>
        <w:rPr>
          <w:rFonts w:ascii="Calibri" w:hAnsi="Calibri" w:cs="Calibri" w:eastAsia="Calibri" w:hint="default"/>
          <w:sz w:val="20"/>
          <w:szCs w:val="20"/>
        </w:rPr>
        <w:t>industry’s</w:t>
      </w:r>
      <w:r>
        <w:rPr>
          <w:rFonts w:ascii="Calibri" w:hAnsi="Calibri" w:cs="Calibri" w:eastAsia="Calibri" w:hint="default"/>
          <w:spacing w:val="-9"/>
          <w:sz w:val="20"/>
          <w:szCs w:val="20"/>
        </w:rPr>
        <w:t> </w:t>
      </w:r>
      <w:r>
        <w:rPr>
          <w:rFonts w:ascii="Calibri" w:hAnsi="Calibri" w:cs="Calibri" w:eastAsia="Calibri" w:hint="default"/>
          <w:sz w:val="20"/>
          <w:szCs w:val="20"/>
        </w:rPr>
        <w:t>soft</w:t>
      </w:r>
      <w:r>
        <w:rPr>
          <w:rFonts w:ascii="Calibri" w:hAnsi="Calibri" w:cs="Calibri" w:eastAsia="Calibri" w:hint="default"/>
          <w:spacing w:val="-7"/>
          <w:sz w:val="20"/>
          <w:szCs w:val="20"/>
        </w:rPr>
        <w:t> </w:t>
      </w:r>
      <w:r>
        <w:rPr>
          <w:rFonts w:ascii="Calibri" w:hAnsi="Calibri" w:cs="Calibri" w:eastAsia="Calibri" w:hint="default"/>
          <w:sz w:val="20"/>
          <w:szCs w:val="20"/>
        </w:rPr>
        <w:t>component</w:t>
      </w:r>
      <w:r>
        <w:rPr>
          <w:rFonts w:ascii="Calibri" w:hAnsi="Calibri" w:cs="Calibri" w:eastAsia="Calibri" w:hint="default"/>
          <w:spacing w:val="-7"/>
          <w:sz w:val="20"/>
          <w:szCs w:val="20"/>
        </w:rPr>
        <w:t> </w:t>
      </w:r>
      <w:r>
        <w:rPr>
          <w:rFonts w:ascii="Calibri" w:hAnsi="Calibri" w:cs="Calibri" w:eastAsia="Calibri" w:hint="default"/>
          <w:sz w:val="20"/>
          <w:szCs w:val="20"/>
        </w:rPr>
        <w:t>(human</w:t>
      </w:r>
      <w:r>
        <w:rPr>
          <w:rFonts w:ascii="Calibri" w:hAnsi="Calibri" w:cs="Calibri" w:eastAsia="Calibri" w:hint="default"/>
          <w:spacing w:val="-6"/>
          <w:sz w:val="20"/>
          <w:szCs w:val="20"/>
        </w:rPr>
        <w:t> </w:t>
      </w:r>
      <w:r>
        <w:rPr>
          <w:rFonts w:ascii="Calibri" w:hAnsi="Calibri" w:cs="Calibri" w:eastAsia="Calibri" w:hint="default"/>
          <w:sz w:val="20"/>
          <w:szCs w:val="20"/>
        </w:rPr>
        <w:t>capital)</w:t>
      </w:r>
      <w:r>
        <w:rPr>
          <w:rFonts w:ascii="Calibri" w:hAnsi="Calibri" w:cs="Calibri" w:eastAsia="Calibri" w:hint="default"/>
          <w:spacing w:val="-8"/>
          <w:sz w:val="20"/>
          <w:szCs w:val="20"/>
        </w:rPr>
        <w:t> </w:t>
      </w:r>
      <w:r>
        <w:rPr>
          <w:rFonts w:ascii="Calibri" w:hAnsi="Calibri" w:cs="Calibri" w:eastAsia="Calibri" w:hint="default"/>
          <w:sz w:val="20"/>
          <w:szCs w:val="20"/>
        </w:rPr>
        <w:t>development</w:t>
      </w:r>
      <w:r>
        <w:rPr>
          <w:rFonts w:ascii="Calibri" w:hAnsi="Calibri" w:cs="Calibri" w:eastAsia="Calibri" w:hint="default"/>
          <w:spacing w:val="-7"/>
          <w:sz w:val="20"/>
          <w:szCs w:val="20"/>
        </w:rPr>
        <w:t> </w:t>
      </w:r>
      <w:r>
        <w:rPr>
          <w:rFonts w:ascii="Calibri" w:hAnsi="Calibri" w:cs="Calibri" w:eastAsia="Calibri" w:hint="default"/>
          <w:sz w:val="20"/>
          <w:szCs w:val="20"/>
        </w:rPr>
        <w:t>as</w:t>
      </w:r>
      <w:r>
        <w:rPr>
          <w:rFonts w:ascii="Calibri" w:hAnsi="Calibri" w:cs="Calibri" w:eastAsia="Calibri" w:hint="default"/>
          <w:spacing w:val="-9"/>
          <w:sz w:val="20"/>
          <w:szCs w:val="20"/>
        </w:rPr>
        <w:t> </w:t>
      </w:r>
      <w:r>
        <w:rPr>
          <w:rFonts w:ascii="Calibri" w:hAnsi="Calibri" w:cs="Calibri" w:eastAsia="Calibri" w:hint="default"/>
          <w:sz w:val="20"/>
          <w:szCs w:val="20"/>
        </w:rPr>
        <w:t>opposed</w:t>
      </w:r>
      <w:r>
        <w:rPr>
          <w:rFonts w:ascii="Calibri" w:hAnsi="Calibri" w:cs="Calibri" w:eastAsia="Calibri" w:hint="default"/>
          <w:spacing w:val="-7"/>
          <w:sz w:val="20"/>
          <w:szCs w:val="20"/>
        </w:rPr>
        <w:t> </w:t>
      </w:r>
      <w:r>
        <w:rPr>
          <w:rFonts w:ascii="Calibri" w:hAnsi="Calibri" w:cs="Calibri" w:eastAsia="Calibri" w:hint="default"/>
          <w:sz w:val="20"/>
          <w:szCs w:val="20"/>
        </w:rPr>
        <w:t>to</w:t>
      </w:r>
      <w:r>
        <w:rPr>
          <w:rFonts w:ascii="Calibri" w:hAnsi="Calibri" w:cs="Calibri" w:eastAsia="Calibri" w:hint="default"/>
          <w:spacing w:val="-7"/>
          <w:sz w:val="20"/>
          <w:szCs w:val="20"/>
        </w:rPr>
        <w:t> </w:t>
      </w:r>
      <w:r>
        <w:rPr>
          <w:rFonts w:ascii="Calibri" w:hAnsi="Calibri" w:cs="Calibri" w:eastAsia="Calibri" w:hint="default"/>
          <w:sz w:val="20"/>
          <w:szCs w:val="20"/>
        </w:rPr>
        <w:t>infrastructure </w:t>
      </w:r>
      <w:r>
        <w:rPr>
          <w:rFonts w:ascii="Calibri" w:hAnsi="Calibri" w:cs="Calibri" w:eastAsia="Calibri" w:hint="default"/>
          <w:sz w:val="20"/>
          <w:szCs w:val="20"/>
        </w:rPr>
      </w:r>
      <w:r>
        <w:rPr>
          <w:rFonts w:ascii="Calibri" w:hAnsi="Calibri" w:cs="Calibri" w:eastAsia="Calibri" w:hint="default"/>
          <w:sz w:val="20"/>
          <w:szCs w:val="20"/>
        </w:rPr>
        <w:t>developments (hard</w:t>
      </w:r>
      <w:r>
        <w:rPr>
          <w:rFonts w:ascii="Calibri" w:hAnsi="Calibri" w:cs="Calibri" w:eastAsia="Calibri" w:hint="default"/>
          <w:spacing w:val="-15"/>
          <w:sz w:val="20"/>
          <w:szCs w:val="20"/>
        </w:rPr>
        <w:t> </w:t>
      </w:r>
      <w:r>
        <w:rPr>
          <w:rFonts w:ascii="Calibri" w:hAnsi="Calibri" w:cs="Calibri" w:eastAsia="Calibri" w:hint="default"/>
          <w:sz w:val="20"/>
          <w:szCs w:val="20"/>
        </w:rPr>
        <w:t>components)</w:t>
      </w:r>
    </w:p>
    <w:p>
      <w:pPr>
        <w:spacing w:line="240" w:lineRule="auto" w:before="3"/>
        <w:ind w:right="0"/>
        <w:rPr>
          <w:rFonts w:ascii="Calibri" w:hAnsi="Calibri" w:cs="Calibri" w:eastAsia="Calibri" w:hint="default"/>
          <w:sz w:val="21"/>
          <w:szCs w:val="21"/>
        </w:rPr>
      </w:pPr>
    </w:p>
    <w:p>
      <w:pPr>
        <w:pStyle w:val="BodyText"/>
        <w:spacing w:line="240" w:lineRule="auto"/>
        <w:ind w:right="1439"/>
        <w:jc w:val="both"/>
        <w:rPr>
          <w:rFonts w:ascii="Calibri" w:hAnsi="Calibri" w:cs="Calibri" w:eastAsia="Calibri" w:hint="default"/>
        </w:rPr>
      </w:pPr>
      <w:r>
        <w:rPr/>
        <w:t>In order for Curaçao to shift its focus from a supply orientation to that of a demand-driven model, it is necessary that both the tourists and the residents assume a central role in the tourism system. This means </w:t>
      </w:r>
      <w:r>
        <w:rPr>
          <w:spacing w:val="2"/>
        </w:rPr>
        <w:t>that, </w:t>
      </w:r>
      <w:r>
        <w:rPr/>
        <w:t>in this new </w:t>
      </w:r>
      <w:r>
        <w:rPr/>
        <w:t>framework, more attention will be given to: the extent to which tourists enjoy their experience (i.e. focus on satisfaction and value), </w:t>
      </w:r>
      <w:r>
        <w:rPr>
          <w:rFonts w:ascii="Calibri" w:hAnsi="Calibri" w:cs="Calibri" w:eastAsia="Calibri" w:hint="default"/>
        </w:rPr>
        <w:t>tourists’ specific </w:t>
      </w:r>
      <w:r>
        <w:rPr/>
        <w:t>need</w:t>
      </w:r>
      <w:r>
        <w:rPr>
          <w:rFonts w:ascii="Calibri" w:hAnsi="Calibri" w:cs="Calibri" w:eastAsia="Calibri" w:hint="default"/>
        </w:rPr>
        <w:t>s and wants, understanding tourists’ motivations, and the measurement of residents’ quality of</w:t>
      </w:r>
      <w:r>
        <w:rPr>
          <w:rFonts w:ascii="Calibri" w:hAnsi="Calibri" w:cs="Calibri" w:eastAsia="Calibri" w:hint="default"/>
          <w:spacing w:val="-15"/>
        </w:rPr>
        <w:t> </w:t>
      </w:r>
      <w:r>
        <w:rPr>
          <w:rFonts w:ascii="Calibri" w:hAnsi="Calibri" w:cs="Calibri" w:eastAsia="Calibri" w:hint="default"/>
        </w:rPr>
        <w:t>life.</w:t>
      </w:r>
    </w:p>
    <w:p>
      <w:pPr>
        <w:pStyle w:val="BodyText"/>
        <w:spacing w:line="240" w:lineRule="auto"/>
        <w:ind w:right="0"/>
        <w:jc w:val="both"/>
      </w:pPr>
      <w:r>
        <w:rPr/>
        <w:t>Aggressive improvements must be made in the soft component of the tourism delivery product, such</w:t>
      </w:r>
      <w:r>
        <w:rPr>
          <w:spacing w:val="-30"/>
        </w:rPr>
        <w:t> </w:t>
      </w:r>
      <w:r>
        <w:rPr/>
        <w:t>as:</w:t>
      </w:r>
    </w:p>
    <w:p>
      <w:pPr>
        <w:pStyle w:val="ListParagraph"/>
        <w:numPr>
          <w:ilvl w:val="1"/>
          <w:numId w:val="10"/>
        </w:numPr>
        <w:tabs>
          <w:tab w:pos="2161" w:val="left" w:leader="none"/>
        </w:tabs>
        <w:spacing w:line="240" w:lineRule="auto" w:before="2" w:after="0"/>
        <w:ind w:left="2160" w:right="0" w:hanging="360"/>
        <w:jc w:val="left"/>
        <w:rPr>
          <w:rFonts w:ascii="Calibri" w:hAnsi="Calibri" w:cs="Calibri" w:eastAsia="Calibri" w:hint="default"/>
          <w:sz w:val="20"/>
          <w:szCs w:val="20"/>
        </w:rPr>
      </w:pPr>
      <w:r>
        <w:rPr>
          <w:rFonts w:ascii="Calibri"/>
          <w:sz w:val="20"/>
        </w:rPr>
        <w:t>Human capital</w:t>
      </w:r>
      <w:r>
        <w:rPr>
          <w:rFonts w:ascii="Calibri"/>
          <w:spacing w:val="-12"/>
          <w:sz w:val="20"/>
        </w:rPr>
        <w:t> </w:t>
      </w:r>
      <w:r>
        <w:rPr>
          <w:rFonts w:ascii="Calibri"/>
          <w:sz w:val="20"/>
        </w:rPr>
        <w:t>development</w:t>
      </w:r>
    </w:p>
    <w:p>
      <w:pPr>
        <w:pStyle w:val="ListParagraph"/>
        <w:numPr>
          <w:ilvl w:val="1"/>
          <w:numId w:val="10"/>
        </w:numPr>
        <w:tabs>
          <w:tab w:pos="2161" w:val="left" w:leader="none"/>
        </w:tabs>
        <w:spacing w:line="240" w:lineRule="auto" w:before="11" w:after="0"/>
        <w:ind w:left="2160" w:right="0" w:hanging="360"/>
        <w:jc w:val="left"/>
        <w:rPr>
          <w:rFonts w:ascii="Calibri" w:hAnsi="Calibri" w:cs="Calibri" w:eastAsia="Calibri" w:hint="default"/>
          <w:sz w:val="20"/>
          <w:szCs w:val="20"/>
        </w:rPr>
      </w:pPr>
      <w:r>
        <w:rPr>
          <w:rFonts w:ascii="Calibri"/>
          <w:sz w:val="20"/>
        </w:rPr>
        <w:t>Education</w:t>
      </w:r>
    </w:p>
    <w:p>
      <w:pPr>
        <w:pStyle w:val="ListParagraph"/>
        <w:numPr>
          <w:ilvl w:val="1"/>
          <w:numId w:val="10"/>
        </w:numPr>
        <w:tabs>
          <w:tab w:pos="2161" w:val="left" w:leader="none"/>
        </w:tabs>
        <w:spacing w:line="240" w:lineRule="auto" w:before="11" w:after="0"/>
        <w:ind w:left="2160" w:right="0" w:hanging="360"/>
        <w:jc w:val="left"/>
        <w:rPr>
          <w:rFonts w:ascii="Calibri" w:hAnsi="Calibri" w:cs="Calibri" w:eastAsia="Calibri" w:hint="default"/>
          <w:sz w:val="20"/>
          <w:szCs w:val="20"/>
        </w:rPr>
      </w:pPr>
      <w:r>
        <w:rPr>
          <w:rFonts w:ascii="Calibri"/>
          <w:sz w:val="20"/>
        </w:rPr>
        <w:t>Service</w:t>
      </w:r>
      <w:r>
        <w:rPr>
          <w:rFonts w:ascii="Calibri"/>
          <w:spacing w:val="-5"/>
          <w:sz w:val="20"/>
        </w:rPr>
        <w:t> </w:t>
      </w:r>
      <w:r>
        <w:rPr>
          <w:rFonts w:ascii="Calibri"/>
          <w:sz w:val="20"/>
        </w:rPr>
        <w:t>culture</w:t>
      </w:r>
    </w:p>
    <w:p>
      <w:pPr>
        <w:pStyle w:val="ListParagraph"/>
        <w:numPr>
          <w:ilvl w:val="1"/>
          <w:numId w:val="10"/>
        </w:numPr>
        <w:tabs>
          <w:tab w:pos="2161" w:val="left" w:leader="none"/>
        </w:tabs>
        <w:spacing w:line="240" w:lineRule="auto" w:before="11" w:after="0"/>
        <w:ind w:left="2160" w:right="0" w:hanging="360"/>
        <w:jc w:val="left"/>
        <w:rPr>
          <w:rFonts w:ascii="Calibri" w:hAnsi="Calibri" w:cs="Calibri" w:eastAsia="Calibri" w:hint="default"/>
          <w:sz w:val="20"/>
          <w:szCs w:val="20"/>
        </w:rPr>
      </w:pPr>
      <w:r>
        <w:rPr>
          <w:rFonts w:ascii="Calibri"/>
          <w:sz w:val="20"/>
        </w:rPr>
        <w:t>Service</w:t>
      </w:r>
      <w:r>
        <w:rPr>
          <w:rFonts w:ascii="Calibri"/>
          <w:spacing w:val="-7"/>
          <w:sz w:val="20"/>
        </w:rPr>
        <w:t> </w:t>
      </w:r>
      <w:r>
        <w:rPr>
          <w:rFonts w:ascii="Calibri"/>
          <w:sz w:val="20"/>
        </w:rPr>
        <w:t>delivery</w:t>
      </w:r>
    </w:p>
    <w:p>
      <w:pPr>
        <w:pStyle w:val="ListParagraph"/>
        <w:numPr>
          <w:ilvl w:val="1"/>
          <w:numId w:val="10"/>
        </w:numPr>
        <w:tabs>
          <w:tab w:pos="2161" w:val="left" w:leader="none"/>
        </w:tabs>
        <w:spacing w:line="240" w:lineRule="auto" w:before="11" w:after="0"/>
        <w:ind w:left="2160" w:right="0" w:hanging="360"/>
        <w:jc w:val="left"/>
        <w:rPr>
          <w:rFonts w:ascii="Calibri" w:hAnsi="Calibri" w:cs="Calibri" w:eastAsia="Calibri" w:hint="default"/>
          <w:sz w:val="20"/>
          <w:szCs w:val="20"/>
        </w:rPr>
      </w:pPr>
      <w:r>
        <w:rPr>
          <w:rFonts w:ascii="Calibri"/>
          <w:sz w:val="20"/>
        </w:rPr>
        <w:t>Institutional</w:t>
      </w:r>
      <w:r>
        <w:rPr>
          <w:rFonts w:ascii="Calibri"/>
          <w:spacing w:val="-9"/>
          <w:sz w:val="20"/>
        </w:rPr>
        <w:t> </w:t>
      </w:r>
      <w:r>
        <w:rPr>
          <w:rFonts w:ascii="Calibri"/>
          <w:sz w:val="20"/>
        </w:rPr>
        <w:t>support</w:t>
      </w:r>
    </w:p>
    <w:p>
      <w:pPr>
        <w:pStyle w:val="BodyText"/>
        <w:spacing w:line="240" w:lineRule="auto" w:before="173"/>
        <w:ind w:right="1437"/>
        <w:jc w:val="both"/>
      </w:pPr>
      <w:r>
        <w:rPr/>
        <w:t>The priority should be to revamp the lodging industry productivity measured in terms of increasing RevPAR. The lodging</w:t>
      </w:r>
      <w:r>
        <w:rPr>
          <w:spacing w:val="-4"/>
        </w:rPr>
        <w:t> </w:t>
      </w:r>
      <w:r>
        <w:rPr/>
        <w:t>industry</w:t>
      </w:r>
      <w:r>
        <w:rPr>
          <w:spacing w:val="-3"/>
        </w:rPr>
        <w:t> </w:t>
      </w:r>
      <w:r>
        <w:rPr/>
        <w:t>has</w:t>
      </w:r>
      <w:r>
        <w:rPr>
          <w:spacing w:val="-5"/>
        </w:rPr>
        <w:t> </w:t>
      </w:r>
      <w:r>
        <w:rPr/>
        <w:t>the</w:t>
      </w:r>
      <w:r>
        <w:rPr>
          <w:spacing w:val="-5"/>
        </w:rPr>
        <w:t> </w:t>
      </w:r>
      <w:r>
        <w:rPr/>
        <w:t>largest</w:t>
      </w:r>
      <w:r>
        <w:rPr>
          <w:spacing w:val="-4"/>
        </w:rPr>
        <w:t> </w:t>
      </w:r>
      <w:r>
        <w:rPr/>
        <w:t>impact</w:t>
      </w:r>
      <w:r>
        <w:rPr>
          <w:spacing w:val="-4"/>
        </w:rPr>
        <w:t> </w:t>
      </w:r>
      <w:r>
        <w:rPr/>
        <w:t>on</w:t>
      </w:r>
      <w:r>
        <w:rPr>
          <w:spacing w:val="-3"/>
        </w:rPr>
        <w:t> </w:t>
      </w:r>
      <w:r>
        <w:rPr/>
        <w:t>economic</w:t>
      </w:r>
      <w:r>
        <w:rPr>
          <w:spacing w:val="-5"/>
        </w:rPr>
        <w:t> </w:t>
      </w:r>
      <w:r>
        <w:rPr/>
        <w:t>growth</w:t>
      </w:r>
      <w:r>
        <w:rPr>
          <w:spacing w:val="-3"/>
        </w:rPr>
        <w:t> </w:t>
      </w:r>
      <w:r>
        <w:rPr/>
        <w:t>and</w:t>
      </w:r>
      <w:r>
        <w:rPr>
          <w:spacing w:val="-4"/>
        </w:rPr>
        <w:t> </w:t>
      </w:r>
      <w:r>
        <w:rPr/>
        <w:t>job</w:t>
      </w:r>
      <w:r>
        <w:rPr>
          <w:spacing w:val="-4"/>
        </w:rPr>
        <w:t> </w:t>
      </w:r>
      <w:r>
        <w:rPr/>
        <w:t>creation</w:t>
      </w:r>
      <w:r>
        <w:rPr>
          <w:spacing w:val="1"/>
        </w:rPr>
        <w:t> </w:t>
      </w:r>
      <w:r>
        <w:rPr/>
        <w:t>due</w:t>
      </w:r>
      <w:r>
        <w:rPr>
          <w:spacing w:val="-5"/>
        </w:rPr>
        <w:t> </w:t>
      </w:r>
      <w:r>
        <w:rPr/>
        <w:t>to</w:t>
      </w:r>
      <w:r>
        <w:rPr>
          <w:spacing w:val="-4"/>
        </w:rPr>
        <w:t> </w:t>
      </w:r>
      <w:r>
        <w:rPr/>
        <w:t>its</w:t>
      </w:r>
      <w:r>
        <w:rPr>
          <w:spacing w:val="-4"/>
        </w:rPr>
        <w:t> </w:t>
      </w:r>
      <w:r>
        <w:rPr/>
        <w:t>substantial</w:t>
      </w:r>
      <w:r>
        <w:rPr>
          <w:spacing w:val="-5"/>
        </w:rPr>
        <w:t> </w:t>
      </w:r>
      <w:r>
        <w:rPr/>
        <w:t>multiplier</w:t>
      </w:r>
      <w:r>
        <w:rPr>
          <w:spacing w:val="-3"/>
        </w:rPr>
        <w:t> </w:t>
      </w:r>
      <w:r>
        <w:rPr/>
        <w:t>effect. </w:t>
      </w:r>
      <w:r>
        <w:rPr/>
        <w:t>Destination managers should work alongside hotel managers in order to give priority to employee training.     </w:t>
      </w:r>
      <w:r>
        <w:rPr>
          <w:spacing w:val="44"/>
        </w:rPr>
        <w:t> </w:t>
      </w:r>
      <w:r>
        <w:rPr/>
        <w:t>This</w:t>
      </w:r>
    </w:p>
    <w:p>
      <w:pPr>
        <w:spacing w:after="0" w:line="240" w:lineRule="auto"/>
        <w:jc w:val="both"/>
        <w:sectPr>
          <w:footerReference w:type="default" r:id="rId69"/>
          <w:pgSz w:w="12240" w:h="15840"/>
          <w:pgMar w:footer="533" w:header="0" w:top="840" w:bottom="720" w:left="0" w:right="0"/>
          <w:pgNumType w:start="81"/>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46"/>
        <w:jc w:val="both"/>
        <w:rPr>
          <w:rFonts w:ascii="Calibri" w:hAnsi="Calibri" w:cs="Calibri" w:eastAsia="Calibri" w:hint="default"/>
        </w:rPr>
      </w:pPr>
      <w:r>
        <w:rPr/>
        <w:t>training should make employees astutely aware that the quality of their interaction with guests is a driver of satisfaction that </w:t>
      </w:r>
      <w:r>
        <w:rPr>
          <w:rFonts w:ascii="Calibri" w:hAnsi="Calibri" w:cs="Calibri" w:eastAsia="Calibri" w:hint="default"/>
        </w:rPr>
        <w:t>leads to an increase with tourists’ intention to revisit and recommend</w:t>
      </w:r>
      <w:r>
        <w:rPr>
          <w:rFonts w:ascii="Calibri" w:hAnsi="Calibri" w:cs="Calibri" w:eastAsia="Calibri" w:hint="default"/>
          <w:spacing w:val="-30"/>
        </w:rPr>
        <w:t> </w:t>
      </w:r>
      <w:r>
        <w:rPr>
          <w:rFonts w:ascii="Calibri" w:hAnsi="Calibri" w:cs="Calibri" w:eastAsia="Calibri" w:hint="default"/>
        </w:rPr>
        <w:t>Curacao.</w:t>
      </w:r>
    </w:p>
    <w:p>
      <w:pPr>
        <w:pStyle w:val="BodyText"/>
        <w:spacing w:line="240" w:lineRule="auto"/>
        <w:ind w:right="1439"/>
        <w:jc w:val="both"/>
      </w:pPr>
      <w:r>
        <w:rPr/>
        <w:t>Additionally, the destination demand portfolio should be recalibrated to significantly increasing the American segment to the island. In so doing, the tactics and strategies associated within this plan will optimize the existing tourism product through a refocus to the American market, a convergence approach to the cruise business, as well as a shift towards the Colombian market within South America. This optimization will ensure maximum future growth opportunities </w:t>
      </w:r>
      <w:r>
        <w:rPr>
          <w:rFonts w:ascii="Calibri" w:hAnsi="Calibri" w:cs="Calibri" w:eastAsia="Calibri" w:hint="default"/>
        </w:rPr>
        <w:t>for Curaçao’s residents. Curaçao should intend to disseminate benefits amassed via tourism’s </w:t>
      </w:r>
      <w:r>
        <w:rPr/>
        <w:t>growth across all socioeconomic</w:t>
      </w:r>
      <w:r>
        <w:rPr>
          <w:spacing w:val="-12"/>
        </w:rPr>
        <w:t> </w:t>
      </w:r>
      <w:r>
        <w:rPr/>
        <w:t>classes.</w:t>
      </w:r>
    </w:p>
    <w:p>
      <w:pPr>
        <w:spacing w:line="240" w:lineRule="auto" w:before="1"/>
        <w:ind w:right="0"/>
        <w:rPr>
          <w:rFonts w:ascii="Calibri" w:hAnsi="Calibri" w:cs="Calibri" w:eastAsia="Calibri" w:hint="default"/>
          <w:sz w:val="20"/>
          <w:szCs w:val="20"/>
        </w:rPr>
      </w:pPr>
    </w:p>
    <w:p>
      <w:pPr>
        <w:pStyle w:val="BodyText"/>
        <w:spacing w:line="240" w:lineRule="auto"/>
        <w:ind w:right="1437"/>
        <w:jc w:val="both"/>
      </w:pPr>
      <w:r>
        <w:rPr/>
        <w:t>The stated core principles frame guidelines for how Curaçao is to approach, design, steer, and monitor the plan in order to realize the new tourism vision for Curaçao. The application of these core principles includes a policy and planning process that is directed by a bottom-up approach. The bottom-up approach empowers all stakeholders to own and create innovative tourism offerings. Using this method means that all suggested actions, solutions, and goals enlisted within this plan originated from the majority stakeholder voice. This approach builds an inclusive tourism system as </w:t>
      </w:r>
      <w:r>
        <w:rPr>
          <w:rFonts w:ascii="Calibri" w:hAnsi="Calibri" w:cs="Calibri" w:eastAsia="Calibri" w:hint="default"/>
        </w:rPr>
        <w:t>the foundation for the next development stage of Curaçao’s tourism sector. An inclusive system </w:t>
      </w:r>
      <w:r>
        <w:rPr/>
        <w:t>integrates all stakeholders who hold a direct interest in tourism, as opposed to an exclusive system that represents only a few</w:t>
      </w:r>
      <w:r>
        <w:rPr>
          <w:spacing w:val="-13"/>
        </w:rPr>
        <w:t> </w:t>
      </w:r>
      <w:r>
        <w:rPr/>
        <w:t>stakeholders.</w:t>
      </w:r>
    </w:p>
    <w:p>
      <w:pPr>
        <w:spacing w:line="240" w:lineRule="auto" w:before="11"/>
        <w:ind w:right="0"/>
        <w:rPr>
          <w:rFonts w:ascii="Calibri" w:hAnsi="Calibri" w:cs="Calibri" w:eastAsia="Calibri" w:hint="default"/>
          <w:sz w:val="19"/>
          <w:szCs w:val="19"/>
        </w:rPr>
      </w:pPr>
    </w:p>
    <w:p>
      <w:pPr>
        <w:pStyle w:val="BodyText"/>
        <w:spacing w:line="240" w:lineRule="auto"/>
        <w:ind w:right="1439"/>
        <w:jc w:val="both"/>
      </w:pPr>
      <w:r>
        <w:rPr/>
        <w:t>An</w:t>
      </w:r>
      <w:r>
        <w:rPr>
          <w:spacing w:val="-7"/>
        </w:rPr>
        <w:t> </w:t>
      </w:r>
      <w:r>
        <w:rPr/>
        <w:t>inclusive</w:t>
      </w:r>
      <w:r>
        <w:rPr>
          <w:spacing w:val="-9"/>
        </w:rPr>
        <w:t> </w:t>
      </w:r>
      <w:r>
        <w:rPr/>
        <w:t>tourism</w:t>
      </w:r>
      <w:r>
        <w:rPr>
          <w:spacing w:val="-9"/>
        </w:rPr>
        <w:t> </w:t>
      </w:r>
      <w:r>
        <w:rPr/>
        <w:t>system</w:t>
      </w:r>
      <w:r>
        <w:rPr>
          <w:spacing w:val="-9"/>
        </w:rPr>
        <w:t> </w:t>
      </w:r>
      <w:r>
        <w:rPr/>
        <w:t>is</w:t>
      </w:r>
      <w:r>
        <w:rPr>
          <w:spacing w:val="-9"/>
        </w:rPr>
        <w:t> </w:t>
      </w:r>
      <w:r>
        <w:rPr/>
        <w:t>necessary</w:t>
      </w:r>
      <w:r>
        <w:rPr>
          <w:spacing w:val="-7"/>
        </w:rPr>
        <w:t> </w:t>
      </w:r>
      <w:r>
        <w:rPr/>
        <w:t>in</w:t>
      </w:r>
      <w:r>
        <w:rPr>
          <w:spacing w:val="-7"/>
        </w:rPr>
        <w:t> </w:t>
      </w:r>
      <w:r>
        <w:rPr/>
        <w:t>order</w:t>
      </w:r>
      <w:r>
        <w:rPr>
          <w:spacing w:val="-8"/>
        </w:rPr>
        <w:t> </w:t>
      </w:r>
      <w:r>
        <w:rPr/>
        <w:t>to</w:t>
      </w:r>
      <w:r>
        <w:rPr>
          <w:spacing w:val="-7"/>
        </w:rPr>
        <w:t> </w:t>
      </w:r>
      <w:r>
        <w:rPr/>
        <w:t>ensure</w:t>
      </w:r>
      <w:r>
        <w:rPr>
          <w:spacing w:val="-9"/>
        </w:rPr>
        <w:t> </w:t>
      </w:r>
      <w:r>
        <w:rPr/>
        <w:t>and</w:t>
      </w:r>
      <w:r>
        <w:rPr>
          <w:spacing w:val="-7"/>
        </w:rPr>
        <w:t> </w:t>
      </w:r>
      <w:r>
        <w:rPr/>
        <w:t>improve</w:t>
      </w:r>
      <w:r>
        <w:rPr>
          <w:spacing w:val="-9"/>
        </w:rPr>
        <w:t> </w:t>
      </w:r>
      <w:r>
        <w:rPr/>
        <w:t>the</w:t>
      </w:r>
      <w:r>
        <w:rPr>
          <w:spacing w:val="-9"/>
        </w:rPr>
        <w:t> </w:t>
      </w:r>
      <w:r>
        <w:rPr/>
        <w:t>level</w:t>
      </w:r>
      <w:r>
        <w:rPr>
          <w:spacing w:val="-8"/>
        </w:rPr>
        <w:t> </w:t>
      </w:r>
      <w:r>
        <w:rPr/>
        <w:t>of</w:t>
      </w:r>
      <w:r>
        <w:rPr>
          <w:spacing w:val="-9"/>
        </w:rPr>
        <w:t> </w:t>
      </w:r>
      <w:r>
        <w:rPr/>
        <w:t>trust</w:t>
      </w:r>
      <w:r>
        <w:rPr>
          <w:spacing w:val="-7"/>
        </w:rPr>
        <w:t> </w:t>
      </w:r>
      <w:r>
        <w:rPr/>
        <w:t>and</w:t>
      </w:r>
      <w:r>
        <w:rPr>
          <w:spacing w:val="-7"/>
        </w:rPr>
        <w:t> </w:t>
      </w:r>
      <w:r>
        <w:rPr/>
        <w:t>collaboration</w:t>
      </w:r>
      <w:r>
        <w:rPr>
          <w:spacing w:val="-9"/>
        </w:rPr>
        <w:t> </w:t>
      </w:r>
      <w:r>
        <w:rPr/>
        <w:t>required </w:t>
      </w:r>
      <w:r>
        <w:rPr/>
        <w:t>to</w:t>
      </w:r>
      <w:r>
        <w:rPr>
          <w:spacing w:val="-5"/>
        </w:rPr>
        <w:t> </w:t>
      </w:r>
      <w:r>
        <w:rPr/>
        <w:t>move</w:t>
      </w:r>
      <w:r>
        <w:rPr>
          <w:spacing w:val="-6"/>
        </w:rPr>
        <w:t> </w:t>
      </w:r>
      <w:r>
        <w:rPr/>
        <w:t>the</w:t>
      </w:r>
      <w:r>
        <w:rPr>
          <w:spacing w:val="-6"/>
        </w:rPr>
        <w:t> </w:t>
      </w:r>
      <w:r>
        <w:rPr/>
        <w:t>industry</w:t>
      </w:r>
      <w:r>
        <w:rPr>
          <w:spacing w:val="-3"/>
        </w:rPr>
        <w:t> </w:t>
      </w:r>
      <w:r>
        <w:rPr/>
        <w:t>forward</w:t>
      </w:r>
      <w:r>
        <w:rPr>
          <w:spacing w:val="-3"/>
        </w:rPr>
        <w:t> </w:t>
      </w:r>
      <w:r>
        <w:rPr/>
        <w:t>and</w:t>
      </w:r>
      <w:r>
        <w:rPr>
          <w:spacing w:val="-5"/>
        </w:rPr>
        <w:t> </w:t>
      </w:r>
      <w:r>
        <w:rPr/>
        <w:t>into</w:t>
      </w:r>
      <w:r>
        <w:rPr>
          <w:spacing w:val="-5"/>
        </w:rPr>
        <w:t> </w:t>
      </w:r>
      <w:r>
        <w:rPr/>
        <w:t>the</w:t>
      </w:r>
      <w:r>
        <w:rPr>
          <w:spacing w:val="-6"/>
        </w:rPr>
        <w:t> </w:t>
      </w:r>
      <w:r>
        <w:rPr/>
        <w:t>realization</w:t>
      </w:r>
      <w:r>
        <w:rPr>
          <w:spacing w:val="-5"/>
        </w:rPr>
        <w:t> </w:t>
      </w:r>
      <w:r>
        <w:rPr/>
        <w:t>of</w:t>
      </w:r>
      <w:r>
        <w:rPr>
          <w:spacing w:val="-6"/>
        </w:rPr>
        <w:t> </w:t>
      </w:r>
      <w:r>
        <w:rPr/>
        <w:t>its</w:t>
      </w:r>
      <w:r>
        <w:rPr>
          <w:spacing w:val="-6"/>
        </w:rPr>
        <w:t> </w:t>
      </w:r>
      <w:r>
        <w:rPr/>
        <w:t>proposed</w:t>
      </w:r>
      <w:r>
        <w:rPr>
          <w:spacing w:val="-5"/>
        </w:rPr>
        <w:t> </w:t>
      </w:r>
      <w:r>
        <w:rPr/>
        <w:t>vision.</w:t>
      </w:r>
      <w:r>
        <w:rPr>
          <w:spacing w:val="41"/>
        </w:rPr>
        <w:t> </w:t>
      </w:r>
      <w:r>
        <w:rPr/>
        <w:t>Thus,</w:t>
      </w:r>
      <w:r>
        <w:rPr>
          <w:spacing w:val="-5"/>
        </w:rPr>
        <w:t> </w:t>
      </w:r>
      <w:r>
        <w:rPr/>
        <w:t>it</w:t>
      </w:r>
      <w:r>
        <w:rPr>
          <w:spacing w:val="-5"/>
        </w:rPr>
        <w:t> </w:t>
      </w:r>
      <w:r>
        <w:rPr/>
        <w:t>must</w:t>
      </w:r>
      <w:r>
        <w:rPr>
          <w:spacing w:val="-5"/>
        </w:rPr>
        <w:t> </w:t>
      </w:r>
      <w:r>
        <w:rPr/>
        <w:t>be</w:t>
      </w:r>
      <w:r>
        <w:rPr>
          <w:spacing w:val="-6"/>
        </w:rPr>
        <w:t> </w:t>
      </w:r>
      <w:r>
        <w:rPr/>
        <w:t>considered</w:t>
      </w:r>
      <w:r>
        <w:rPr>
          <w:spacing w:val="-5"/>
        </w:rPr>
        <w:t> </w:t>
      </w:r>
      <w:r>
        <w:rPr/>
        <w:t>that,</w:t>
      </w:r>
      <w:r>
        <w:rPr>
          <w:spacing w:val="-5"/>
        </w:rPr>
        <w:t> </w:t>
      </w:r>
      <w:r>
        <w:rPr/>
        <w:t>while </w:t>
      </w:r>
      <w:r>
        <w:rPr/>
        <w:t>the tourism product requires healthy, internal competition to elevate continued quality standards, it also requires trust</w:t>
      </w:r>
      <w:r>
        <w:rPr>
          <w:spacing w:val="-3"/>
        </w:rPr>
        <w:t> </w:t>
      </w:r>
      <w:r>
        <w:rPr/>
        <w:t>and</w:t>
      </w:r>
      <w:r>
        <w:rPr>
          <w:spacing w:val="-3"/>
        </w:rPr>
        <w:t> </w:t>
      </w:r>
      <w:r>
        <w:rPr/>
        <w:t>collaboration</w:t>
      </w:r>
      <w:r>
        <w:rPr>
          <w:spacing w:val="-3"/>
        </w:rPr>
        <w:t> </w:t>
      </w:r>
      <w:r>
        <w:rPr/>
        <w:t>amongst</w:t>
      </w:r>
      <w:r>
        <w:rPr>
          <w:spacing w:val="-3"/>
        </w:rPr>
        <w:t> </w:t>
      </w:r>
      <w:r>
        <w:rPr/>
        <w:t>stakeholders</w:t>
      </w:r>
      <w:r>
        <w:rPr>
          <w:spacing w:val="-5"/>
        </w:rPr>
        <w:t> </w:t>
      </w:r>
      <w:r>
        <w:rPr/>
        <w:t>if</w:t>
      </w:r>
      <w:r>
        <w:rPr>
          <w:spacing w:val="-5"/>
        </w:rPr>
        <w:t> </w:t>
      </w:r>
      <w:r>
        <w:rPr/>
        <w:t>the</w:t>
      </w:r>
      <w:r>
        <w:rPr>
          <w:spacing w:val="-4"/>
        </w:rPr>
        <w:t> </w:t>
      </w:r>
      <w:r>
        <w:rPr/>
        <w:t>destination</w:t>
      </w:r>
      <w:r>
        <w:rPr>
          <w:spacing w:val="-3"/>
        </w:rPr>
        <w:t> </w:t>
      </w:r>
      <w:r>
        <w:rPr/>
        <w:t>is</w:t>
      </w:r>
      <w:r>
        <w:rPr>
          <w:spacing w:val="-4"/>
        </w:rPr>
        <w:t> </w:t>
      </w:r>
      <w:r>
        <w:rPr/>
        <w:t>to</w:t>
      </w:r>
      <w:r>
        <w:rPr>
          <w:spacing w:val="-3"/>
        </w:rPr>
        <w:t> </w:t>
      </w:r>
      <w:r>
        <w:rPr/>
        <w:t>be</w:t>
      </w:r>
      <w:r>
        <w:rPr>
          <w:spacing w:val="-4"/>
        </w:rPr>
        <w:t> </w:t>
      </w:r>
      <w:r>
        <w:rPr/>
        <w:t>sustainable.</w:t>
      </w:r>
    </w:p>
    <w:p>
      <w:pPr>
        <w:spacing w:line="240" w:lineRule="auto" w:before="1"/>
        <w:ind w:right="0"/>
        <w:rPr>
          <w:rFonts w:ascii="Calibri" w:hAnsi="Calibri" w:cs="Calibri" w:eastAsia="Calibri" w:hint="default"/>
          <w:sz w:val="20"/>
          <w:szCs w:val="20"/>
        </w:rPr>
      </w:pPr>
    </w:p>
    <w:p>
      <w:pPr>
        <w:pStyle w:val="BodyText"/>
        <w:spacing w:line="240" w:lineRule="auto"/>
        <w:ind w:right="1437"/>
        <w:jc w:val="both"/>
      </w:pPr>
      <w:r>
        <w:rPr/>
        <w:t>For</w:t>
      </w:r>
      <w:r>
        <w:rPr>
          <w:spacing w:val="-4"/>
        </w:rPr>
        <w:t> </w:t>
      </w:r>
      <w:r>
        <w:rPr/>
        <w:t>this</w:t>
      </w:r>
      <w:r>
        <w:rPr>
          <w:spacing w:val="-6"/>
        </w:rPr>
        <w:t> </w:t>
      </w:r>
      <w:r>
        <w:rPr/>
        <w:t>reason,</w:t>
      </w:r>
      <w:r>
        <w:rPr>
          <w:spacing w:val="-4"/>
        </w:rPr>
        <w:t> </w:t>
      </w:r>
      <w:r>
        <w:rPr/>
        <w:t>the</w:t>
      </w:r>
      <w:r>
        <w:rPr>
          <w:spacing w:val="-5"/>
        </w:rPr>
        <w:t> </w:t>
      </w:r>
      <w:r>
        <w:rPr/>
        <w:t>guidelines</w:t>
      </w:r>
      <w:r>
        <w:rPr>
          <w:spacing w:val="-3"/>
        </w:rPr>
        <w:t> </w:t>
      </w:r>
      <w:r>
        <w:rPr/>
        <w:t>associated</w:t>
      </w:r>
      <w:r>
        <w:rPr>
          <w:spacing w:val="-4"/>
        </w:rPr>
        <w:t> </w:t>
      </w:r>
      <w:r>
        <w:rPr/>
        <w:t>within</w:t>
      </w:r>
      <w:r>
        <w:rPr>
          <w:spacing w:val="-4"/>
        </w:rPr>
        <w:t> </w:t>
      </w:r>
      <w:r>
        <w:rPr/>
        <w:t>this</w:t>
      </w:r>
      <w:r>
        <w:rPr>
          <w:spacing w:val="-6"/>
        </w:rPr>
        <w:t> </w:t>
      </w:r>
      <w:r>
        <w:rPr/>
        <w:t>plan</w:t>
      </w:r>
      <w:r>
        <w:rPr>
          <w:spacing w:val="1"/>
        </w:rPr>
        <w:t> </w:t>
      </w:r>
      <w:r>
        <w:rPr/>
        <w:t>focus</w:t>
      </w:r>
      <w:r>
        <w:rPr>
          <w:spacing w:val="-5"/>
        </w:rPr>
        <w:t> </w:t>
      </w:r>
      <w:r>
        <w:rPr/>
        <w:t>on</w:t>
      </w:r>
      <w:r>
        <w:rPr>
          <w:spacing w:val="-4"/>
        </w:rPr>
        <w:t> </w:t>
      </w:r>
      <w:r>
        <w:rPr/>
        <w:t>developing</w:t>
      </w:r>
      <w:r>
        <w:rPr>
          <w:spacing w:val="-3"/>
        </w:rPr>
        <w:t> </w:t>
      </w:r>
      <w:r>
        <w:rPr/>
        <w:t>small</w:t>
      </w:r>
      <w:r>
        <w:rPr>
          <w:spacing w:val="-5"/>
        </w:rPr>
        <w:t> </w:t>
      </w:r>
      <w:r>
        <w:rPr/>
        <w:t>win</w:t>
      </w:r>
      <w:r>
        <w:rPr>
          <w:spacing w:val="-1"/>
        </w:rPr>
        <w:t> </w:t>
      </w:r>
      <w:r>
        <w:rPr/>
        <w:t>strategies</w:t>
      </w:r>
      <w:r>
        <w:rPr>
          <w:spacing w:val="-5"/>
        </w:rPr>
        <w:t> </w:t>
      </w:r>
      <w:r>
        <w:rPr/>
        <w:t>for</w:t>
      </w:r>
      <w:r>
        <w:rPr>
          <w:spacing w:val="-2"/>
        </w:rPr>
        <w:t> </w:t>
      </w:r>
      <w:r>
        <w:rPr/>
        <w:t>stakeholders. </w:t>
      </w:r>
      <w:r>
        <w:rPr/>
        <w:t>These small wins will address some of the intrinsic social and economic problems that Curaçao currently faces (e.g. high unemployment rates, declining productivity, languished human capital, stagnated economic growth, etc.). While these social problems may not all directly involve the tourism industry, the success of the industry is intertwined with finding methods to overcome these larger societal problems. Therefore, the construction of strategies used in the 2015-2020 Strategic Tourism Master Plan will provide a means to achieve small wins for the local population, thereby influencing and assisting with the resolution of larger societal issues. In turn, small wins will garnish continued support in the implementation of the 2015-2020 Strategic Tourism Master</w:t>
      </w:r>
      <w:r>
        <w:rPr>
          <w:spacing w:val="-29"/>
        </w:rPr>
        <w:t> </w:t>
      </w:r>
      <w:r>
        <w:rPr/>
        <w:t>Plan.</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rFonts w:ascii="Calibri" w:hAnsi="Calibri" w:cs="Calibri" w:eastAsia="Calibri" w:hint="default"/>
        </w:rPr>
        <w:t>Because Curaçao’s tourism supply is not being optimized, the plan views small wins </w:t>
      </w:r>
      <w:r>
        <w:rPr/>
        <w:t>as the actions required to first optimize the existing supply, and then to maximize revenue earnings. The actions in this plan are data driven. This means that the recommendations and decisions made are derived from rigorous statistical assessments that generate solutions to address business challenges and operations in Curaçao. The data used in this plan provide insight into Curaçao</w:t>
      </w:r>
      <w:r>
        <w:rPr>
          <w:rFonts w:ascii="Calibri" w:hAnsi="Calibri" w:cs="Calibri" w:eastAsia="Calibri" w:hint="default"/>
        </w:rPr>
        <w:t>’s tourists, business </w:t>
      </w:r>
      <w:r>
        <w:rPr/>
        <w:t>operations, organizational structure, and the welfare of the local residents. The map anchored in this framework is described</w:t>
      </w:r>
      <w:r>
        <w:rPr>
          <w:spacing w:val="-23"/>
        </w:rPr>
        <w:t> </w:t>
      </w:r>
      <w:r>
        <w:rPr/>
        <w:t>below.</w:t>
      </w:r>
    </w:p>
    <w:p>
      <w:pPr>
        <w:pStyle w:val="Heading2"/>
        <w:spacing w:line="240" w:lineRule="auto" w:before="37"/>
        <w:ind w:right="0"/>
        <w:jc w:val="both"/>
        <w:rPr>
          <w:b w:val="0"/>
          <w:bCs w:val="0"/>
        </w:rPr>
      </w:pPr>
      <w:bookmarkStart w:name="_bookmark155" w:id="156"/>
      <w:bookmarkEnd w:id="156"/>
      <w:r>
        <w:rPr>
          <w:b w:val="0"/>
        </w:rPr>
      </w:r>
      <w:r>
        <w:rPr/>
        <w:t>The underpinnings of the strategic</w:t>
      </w:r>
      <w:r>
        <w:rPr>
          <w:spacing w:val="-19"/>
        </w:rPr>
        <w:t> </w:t>
      </w:r>
      <w:r>
        <w:rPr/>
        <w:t>map</w:t>
      </w:r>
      <w:r>
        <w:rPr>
          <w:b w:val="0"/>
        </w:rPr>
      </w:r>
    </w:p>
    <w:p>
      <w:pPr>
        <w:pStyle w:val="BodyText"/>
        <w:spacing w:line="240" w:lineRule="auto" w:before="189"/>
        <w:ind w:right="1436"/>
        <w:jc w:val="both"/>
      </w:pPr>
      <w:r>
        <w:rPr/>
        <w:t>The tourism industry has emerged as a vital economic pillar for the island of Curaçao by providing direct economic growth, essential jobs, educational opportunities, and large amounts of income that have circulated throughout other industries on the island. While the tourism industry does feed the local economy and has developed links to other economic sectors prevalent on the island, Curaçao has not reached its full potential as a tourism destination. The strategic map depicting the path to a stronger and more rewarding tourism industry that emotionally connects to the tourists is in Figure 30. In order for Curaçao to become the most desirable destination in the Caribbean, a strategic map has been developed to guide stakeholders. The strategic map highlights the authenticity of the Curaçao people as its hallmark, while also reflecting the principles driving the vision and mission of Curaçao. The map</w:t>
      </w:r>
      <w:r>
        <w:rPr>
          <w:spacing w:val="-7"/>
        </w:rPr>
        <w:t> </w:t>
      </w:r>
      <w:r>
        <w:rPr/>
        <w:t>provides</w:t>
      </w:r>
      <w:r>
        <w:rPr>
          <w:spacing w:val="-9"/>
        </w:rPr>
        <w:t> </w:t>
      </w:r>
      <w:r>
        <w:rPr/>
        <w:t>opportunities</w:t>
      </w:r>
      <w:r>
        <w:rPr>
          <w:spacing w:val="-9"/>
        </w:rPr>
        <w:t> </w:t>
      </w:r>
      <w:r>
        <w:rPr/>
        <w:t>for</w:t>
      </w:r>
      <w:r>
        <w:rPr>
          <w:spacing w:val="-9"/>
        </w:rPr>
        <w:t> </w:t>
      </w:r>
      <w:r>
        <w:rPr/>
        <w:t>stakeholders</w:t>
      </w:r>
      <w:r>
        <w:rPr>
          <w:spacing w:val="-9"/>
        </w:rPr>
        <w:t> </w:t>
      </w:r>
      <w:r>
        <w:rPr/>
        <w:t>to</w:t>
      </w:r>
      <w:r>
        <w:rPr>
          <w:spacing w:val="-8"/>
        </w:rPr>
        <w:t> </w:t>
      </w:r>
      <w:r>
        <w:rPr/>
        <w:t>stimulate</w:t>
      </w:r>
      <w:r>
        <w:rPr>
          <w:spacing w:val="-6"/>
        </w:rPr>
        <w:t> </w:t>
      </w:r>
      <w:r>
        <w:rPr/>
        <w:t>collaboration</w:t>
      </w:r>
      <w:r>
        <w:rPr>
          <w:spacing w:val="-8"/>
        </w:rPr>
        <w:t> </w:t>
      </w:r>
      <w:r>
        <w:rPr/>
        <w:t>and</w:t>
      </w:r>
      <w:r>
        <w:rPr>
          <w:spacing w:val="-9"/>
        </w:rPr>
        <w:t> </w:t>
      </w:r>
      <w:r>
        <w:rPr/>
        <w:t>coordination</w:t>
      </w:r>
      <w:r>
        <w:rPr>
          <w:spacing w:val="-8"/>
        </w:rPr>
        <w:t> </w:t>
      </w:r>
      <w:r>
        <w:rPr/>
        <w:t>within</w:t>
      </w:r>
      <w:r>
        <w:rPr>
          <w:spacing w:val="-8"/>
        </w:rPr>
        <w:t> </w:t>
      </w:r>
      <w:r>
        <w:rPr/>
        <w:t>the</w:t>
      </w:r>
      <w:r>
        <w:rPr>
          <w:spacing w:val="-5"/>
        </w:rPr>
        <w:t> </w:t>
      </w:r>
      <w:r>
        <w:rPr/>
        <w:t>tourism</w:t>
      </w:r>
      <w:r>
        <w:rPr>
          <w:spacing w:val="-9"/>
        </w:rPr>
        <w:t> </w:t>
      </w:r>
      <w:r>
        <w:rPr/>
        <w:t>system. </w:t>
      </w:r>
      <w:r>
        <w:rPr/>
        <w:t>The strategic map is derived from five key</w:t>
      </w:r>
      <w:r>
        <w:rPr>
          <w:spacing w:val="-20"/>
        </w:rPr>
        <w:t> </w:t>
      </w:r>
      <w:r>
        <w:rPr/>
        <w:t>findings.</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46"/>
        <w:jc w:val="both"/>
      </w:pPr>
      <w:r>
        <w:rPr/>
        <w:t>First,</w:t>
      </w:r>
      <w:r>
        <w:rPr>
          <w:spacing w:val="-3"/>
        </w:rPr>
        <w:t> </w:t>
      </w:r>
      <w:r>
        <w:rPr/>
        <w:t>at</w:t>
      </w:r>
      <w:r>
        <w:rPr>
          <w:spacing w:val="-3"/>
        </w:rPr>
        <w:t> </w:t>
      </w:r>
      <w:r>
        <w:rPr/>
        <w:t>a</w:t>
      </w:r>
      <w:r>
        <w:rPr>
          <w:spacing w:val="-3"/>
        </w:rPr>
        <w:t> </w:t>
      </w:r>
      <w:r>
        <w:rPr/>
        <w:t>time</w:t>
      </w:r>
      <w:r>
        <w:rPr>
          <w:spacing w:val="-5"/>
        </w:rPr>
        <w:t> </w:t>
      </w:r>
      <w:r>
        <w:rPr/>
        <w:t>when</w:t>
      </w:r>
      <w:r>
        <w:rPr>
          <w:spacing w:val="-3"/>
        </w:rPr>
        <w:t> </w:t>
      </w:r>
      <w:r>
        <w:rPr/>
        <w:t>a</w:t>
      </w:r>
      <w:r>
        <w:rPr>
          <w:spacing w:val="-3"/>
        </w:rPr>
        <w:t> </w:t>
      </w:r>
      <w:r>
        <w:rPr/>
        <w:t>number</w:t>
      </w:r>
      <w:r>
        <w:rPr>
          <w:spacing w:val="-3"/>
        </w:rPr>
        <w:t> </w:t>
      </w:r>
      <w:r>
        <w:rPr/>
        <w:t>of</w:t>
      </w:r>
      <w:r>
        <w:rPr>
          <w:spacing w:val="-5"/>
        </w:rPr>
        <w:t> </w:t>
      </w:r>
      <w:r>
        <w:rPr/>
        <w:t>global</w:t>
      </w:r>
      <w:r>
        <w:rPr>
          <w:spacing w:val="-3"/>
        </w:rPr>
        <w:t> </w:t>
      </w:r>
      <w:r>
        <w:rPr/>
        <w:t>economic</w:t>
      </w:r>
      <w:r>
        <w:rPr>
          <w:spacing w:val="-4"/>
        </w:rPr>
        <w:t> </w:t>
      </w:r>
      <w:r>
        <w:rPr/>
        <w:t>factors</w:t>
      </w:r>
      <w:r>
        <w:rPr>
          <w:spacing w:val="-5"/>
        </w:rPr>
        <w:t> </w:t>
      </w:r>
      <w:r>
        <w:rPr/>
        <w:t>contribute</w:t>
      </w:r>
      <w:r>
        <w:rPr>
          <w:spacing w:val="-4"/>
        </w:rPr>
        <w:t> </w:t>
      </w:r>
      <w:r>
        <w:rPr/>
        <w:t>to</w:t>
      </w:r>
      <w:r>
        <w:rPr>
          <w:spacing w:val="-3"/>
        </w:rPr>
        <w:t> </w:t>
      </w:r>
      <w:r>
        <w:rPr/>
        <w:t>market</w:t>
      </w:r>
      <w:r>
        <w:rPr>
          <w:spacing w:val="-3"/>
        </w:rPr>
        <w:t> </w:t>
      </w:r>
      <w:r>
        <w:rPr/>
        <w:t>growth</w:t>
      </w:r>
      <w:r>
        <w:rPr>
          <w:spacing w:val="-3"/>
        </w:rPr>
        <w:t> </w:t>
      </w:r>
      <w:r>
        <w:rPr/>
        <w:t>uncertainty</w:t>
      </w:r>
      <w:r>
        <w:rPr>
          <w:spacing w:val="-2"/>
        </w:rPr>
        <w:t> </w:t>
      </w:r>
      <w:r>
        <w:rPr/>
        <w:t>for</w:t>
      </w:r>
      <w:r>
        <w:rPr>
          <w:spacing w:val="-3"/>
        </w:rPr>
        <w:t> </w:t>
      </w:r>
      <w:r>
        <w:rPr/>
        <w:t>destinations </w:t>
      </w:r>
      <w:r>
        <w:rPr/>
        <w:t>abroad,</w:t>
      </w:r>
      <w:r>
        <w:rPr>
          <w:spacing w:val="-3"/>
        </w:rPr>
        <w:t> </w:t>
      </w:r>
      <w:r>
        <w:rPr/>
        <w:t>an</w:t>
      </w:r>
      <w:r>
        <w:rPr>
          <w:spacing w:val="-5"/>
        </w:rPr>
        <w:t> </w:t>
      </w:r>
      <w:r>
        <w:rPr/>
        <w:t>esteemed</w:t>
      </w:r>
      <w:r>
        <w:rPr>
          <w:spacing w:val="-3"/>
        </w:rPr>
        <w:t> </w:t>
      </w:r>
      <w:r>
        <w:rPr/>
        <w:t>opportunity</w:t>
      </w:r>
      <w:r>
        <w:rPr>
          <w:spacing w:val="-3"/>
        </w:rPr>
        <w:t> </w:t>
      </w:r>
      <w:r>
        <w:rPr/>
        <w:t>has</w:t>
      </w:r>
      <w:r>
        <w:rPr>
          <w:spacing w:val="-4"/>
        </w:rPr>
        <w:t> </w:t>
      </w:r>
      <w:r>
        <w:rPr/>
        <w:t>surfaced</w:t>
      </w:r>
      <w:r>
        <w:rPr>
          <w:spacing w:val="-3"/>
        </w:rPr>
        <w:t> </w:t>
      </w:r>
      <w:r>
        <w:rPr/>
        <w:t>for</w:t>
      </w:r>
      <w:r>
        <w:rPr>
          <w:spacing w:val="-3"/>
        </w:rPr>
        <w:t> </w:t>
      </w:r>
      <w:r>
        <w:rPr/>
        <w:t>destinations</w:t>
      </w:r>
      <w:r>
        <w:rPr>
          <w:spacing w:val="-5"/>
        </w:rPr>
        <w:t> </w:t>
      </w:r>
      <w:r>
        <w:rPr/>
        <w:t>located</w:t>
      </w:r>
      <w:r>
        <w:rPr>
          <w:spacing w:val="-3"/>
        </w:rPr>
        <w:t> </w:t>
      </w:r>
      <w:r>
        <w:rPr/>
        <w:t>within</w:t>
      </w:r>
      <w:r>
        <w:rPr>
          <w:spacing w:val="-3"/>
        </w:rPr>
        <w:t> </w:t>
      </w:r>
      <w:r>
        <w:rPr/>
        <w:t>the</w:t>
      </w:r>
      <w:r>
        <w:rPr>
          <w:spacing w:val="-4"/>
        </w:rPr>
        <w:t> </w:t>
      </w:r>
      <w:r>
        <w:rPr/>
        <w:t>Caribbean.</w:t>
      </w:r>
      <w:r>
        <w:rPr>
          <w:spacing w:val="-3"/>
        </w:rPr>
        <w:t> </w:t>
      </w:r>
      <w:r>
        <w:rPr/>
        <w:t>This</w:t>
      </w:r>
      <w:r>
        <w:rPr>
          <w:spacing w:val="-5"/>
        </w:rPr>
        <w:t> </w:t>
      </w:r>
      <w:r>
        <w:rPr/>
        <w:t>opportunity</w:t>
      </w:r>
      <w:r>
        <w:rPr>
          <w:spacing w:val="-3"/>
        </w:rPr>
        <w:t> </w:t>
      </w:r>
      <w:r>
        <w:rPr/>
        <w:t>may </w:t>
      </w:r>
      <w:r>
        <w:rPr/>
        <w:t>benefit all Caribbean destinations given that the region is recognized as a more prominent source of vacations for Americans as opposed to Europe. According to MMGY Global, Caribbean vacations are the most desired foreign vacations for US</w:t>
      </w:r>
      <w:r>
        <w:rPr>
          <w:spacing w:val="-14"/>
        </w:rPr>
        <w:t> </w:t>
      </w:r>
      <w:r>
        <w:rPr/>
        <w:t>residents.</w:t>
      </w:r>
    </w:p>
    <w:p>
      <w:pPr>
        <w:spacing w:line="240" w:lineRule="auto" w:before="11"/>
        <w:ind w:right="0"/>
        <w:rPr>
          <w:rFonts w:ascii="Calibri" w:hAnsi="Calibri" w:cs="Calibri" w:eastAsia="Calibri" w:hint="default"/>
          <w:sz w:val="19"/>
          <w:szCs w:val="19"/>
        </w:rPr>
      </w:pPr>
    </w:p>
    <w:p>
      <w:pPr>
        <w:pStyle w:val="BodyText"/>
        <w:spacing w:line="240" w:lineRule="auto"/>
        <w:ind w:right="1437"/>
        <w:jc w:val="both"/>
      </w:pPr>
      <w:r>
        <w:rPr/>
        <w:t>Second, Curaçao has a unique opportunity if the destination is willing to take up the challenge to reposition itself. Warm weather continues to be a strong draw for desired vacations,</w:t>
      </w:r>
      <w:r>
        <w:rPr>
          <w:position w:val="5"/>
          <w:sz w:val="12"/>
          <w:szCs w:val="12"/>
        </w:rPr>
        <w:t>66 </w:t>
      </w:r>
      <w:r>
        <w:rPr/>
        <w:t>but hospitality factors (i.e., soft components </w:t>
      </w:r>
      <w:r>
        <w:rPr/>
        <w:t>of tourism) have emerged as the most important for tourists in deciding which Caribbean destination they would like to visit. The data assessment reveals that Curaçao is recognized as a Caribbean destination that (like all others) </w:t>
      </w:r>
      <w:r>
        <w:rPr>
          <w:rFonts w:ascii="Calibri" w:hAnsi="Calibri" w:cs="Calibri" w:eastAsia="Calibri" w:hint="default"/>
        </w:rPr>
        <w:t>has</w:t>
      </w:r>
      <w:r>
        <w:rPr>
          <w:rFonts w:ascii="Calibri" w:hAnsi="Calibri" w:cs="Calibri" w:eastAsia="Calibri" w:hint="default"/>
          <w:spacing w:val="-12"/>
        </w:rPr>
        <w:t> </w:t>
      </w:r>
      <w:r>
        <w:rPr>
          <w:rFonts w:ascii="Calibri" w:hAnsi="Calibri" w:cs="Calibri" w:eastAsia="Calibri" w:hint="default"/>
        </w:rPr>
        <w:t>warm</w:t>
      </w:r>
      <w:r>
        <w:rPr>
          <w:rFonts w:ascii="Calibri" w:hAnsi="Calibri" w:cs="Calibri" w:eastAsia="Calibri" w:hint="default"/>
          <w:spacing w:val="-10"/>
        </w:rPr>
        <w:t> </w:t>
      </w:r>
      <w:r>
        <w:rPr>
          <w:rFonts w:ascii="Calibri" w:hAnsi="Calibri" w:cs="Calibri" w:eastAsia="Calibri" w:hint="default"/>
        </w:rPr>
        <w:t>weather.</w:t>
      </w:r>
      <w:r>
        <w:rPr>
          <w:rFonts w:ascii="Calibri" w:hAnsi="Calibri" w:cs="Calibri" w:eastAsia="Calibri" w:hint="default"/>
          <w:spacing w:val="22"/>
        </w:rPr>
        <w:t> </w:t>
      </w:r>
      <w:r>
        <w:rPr>
          <w:rFonts w:ascii="Calibri" w:hAnsi="Calibri" w:cs="Calibri" w:eastAsia="Calibri" w:hint="default"/>
        </w:rPr>
        <w:t>Curaçao’s</w:t>
      </w:r>
      <w:r>
        <w:rPr>
          <w:rFonts w:ascii="Calibri" w:hAnsi="Calibri" w:cs="Calibri" w:eastAsia="Calibri" w:hint="default"/>
          <w:spacing w:val="-10"/>
        </w:rPr>
        <w:t> </w:t>
      </w:r>
      <w:r>
        <w:rPr>
          <w:rFonts w:ascii="Calibri" w:hAnsi="Calibri" w:cs="Calibri" w:eastAsia="Calibri" w:hint="default"/>
        </w:rPr>
        <w:t>visitors</w:t>
      </w:r>
      <w:r>
        <w:rPr>
          <w:rFonts w:ascii="Calibri" w:hAnsi="Calibri" w:cs="Calibri" w:eastAsia="Calibri" w:hint="default"/>
          <w:spacing w:val="-13"/>
        </w:rPr>
        <w:t> </w:t>
      </w:r>
      <w:r>
        <w:rPr>
          <w:rFonts w:ascii="Calibri" w:hAnsi="Calibri" w:cs="Calibri" w:eastAsia="Calibri" w:hint="default"/>
        </w:rPr>
        <w:t>also</w:t>
      </w:r>
      <w:r>
        <w:rPr>
          <w:rFonts w:ascii="Calibri" w:hAnsi="Calibri" w:cs="Calibri" w:eastAsia="Calibri" w:hint="default"/>
          <w:spacing w:val="-11"/>
        </w:rPr>
        <w:t> </w:t>
      </w:r>
      <w:r>
        <w:rPr>
          <w:rFonts w:ascii="Calibri" w:hAnsi="Calibri" w:cs="Calibri" w:eastAsia="Calibri" w:hint="default"/>
        </w:rPr>
        <w:t>rate</w:t>
      </w:r>
      <w:r>
        <w:rPr>
          <w:rFonts w:ascii="Calibri" w:hAnsi="Calibri" w:cs="Calibri" w:eastAsia="Calibri" w:hint="default"/>
          <w:spacing w:val="-12"/>
        </w:rPr>
        <w:t> </w:t>
      </w:r>
      <w:r>
        <w:rPr>
          <w:rFonts w:ascii="Calibri" w:hAnsi="Calibri" w:cs="Calibri" w:eastAsia="Calibri" w:hint="default"/>
        </w:rPr>
        <w:t>the</w:t>
      </w:r>
      <w:r>
        <w:rPr>
          <w:rFonts w:ascii="Calibri" w:hAnsi="Calibri" w:cs="Calibri" w:eastAsia="Calibri" w:hint="default"/>
          <w:spacing w:val="-10"/>
        </w:rPr>
        <w:t> </w:t>
      </w:r>
      <w:r>
        <w:rPr>
          <w:rFonts w:ascii="Calibri" w:hAnsi="Calibri" w:cs="Calibri" w:eastAsia="Calibri" w:hint="default"/>
        </w:rPr>
        <w:t>service</w:t>
      </w:r>
      <w:r>
        <w:rPr>
          <w:rFonts w:ascii="Calibri" w:hAnsi="Calibri" w:cs="Calibri" w:eastAsia="Calibri" w:hint="default"/>
          <w:spacing w:val="-12"/>
        </w:rPr>
        <w:t> </w:t>
      </w:r>
      <w:r>
        <w:rPr>
          <w:rFonts w:ascii="Calibri" w:hAnsi="Calibri" w:cs="Calibri" w:eastAsia="Calibri" w:hint="default"/>
        </w:rPr>
        <w:t>delivery</w:t>
      </w:r>
      <w:r>
        <w:rPr>
          <w:rFonts w:ascii="Calibri" w:hAnsi="Calibri" w:cs="Calibri" w:eastAsia="Calibri" w:hint="default"/>
          <w:spacing w:val="-11"/>
        </w:rPr>
        <w:t> </w:t>
      </w:r>
      <w:r>
        <w:rPr>
          <w:rFonts w:ascii="Calibri" w:hAnsi="Calibri" w:cs="Calibri" w:eastAsia="Calibri" w:hint="default"/>
        </w:rPr>
        <w:t>and</w:t>
      </w:r>
      <w:r>
        <w:rPr>
          <w:rFonts w:ascii="Calibri" w:hAnsi="Calibri" w:cs="Calibri" w:eastAsia="Calibri" w:hint="default"/>
          <w:spacing w:val="-11"/>
        </w:rPr>
        <w:t> </w:t>
      </w:r>
      <w:r>
        <w:rPr>
          <w:rFonts w:ascii="Calibri" w:hAnsi="Calibri" w:cs="Calibri" w:eastAsia="Calibri" w:hint="default"/>
        </w:rPr>
        <w:t>hospitali</w:t>
      </w:r>
      <w:r>
        <w:rPr/>
        <w:t>ty</w:t>
      </w:r>
      <w:r>
        <w:rPr>
          <w:spacing w:val="-10"/>
        </w:rPr>
        <w:t> </w:t>
      </w:r>
      <w:r>
        <w:rPr/>
        <w:t>factors</w:t>
      </w:r>
      <w:r>
        <w:rPr>
          <w:spacing w:val="-10"/>
        </w:rPr>
        <w:t> </w:t>
      </w:r>
      <w:r>
        <w:rPr/>
        <w:t>more</w:t>
      </w:r>
      <w:r>
        <w:rPr>
          <w:spacing w:val="-12"/>
        </w:rPr>
        <w:t> </w:t>
      </w:r>
      <w:r>
        <w:rPr/>
        <w:t>positively</w:t>
      </w:r>
      <w:r>
        <w:rPr>
          <w:spacing w:val="-11"/>
        </w:rPr>
        <w:t> </w:t>
      </w:r>
      <w:r>
        <w:rPr/>
        <w:t>than</w:t>
      </w:r>
      <w:r>
        <w:rPr>
          <w:spacing w:val="-10"/>
        </w:rPr>
        <w:t> </w:t>
      </w:r>
      <w:r>
        <w:rPr/>
        <w:t>those </w:t>
      </w:r>
      <w:r>
        <w:rPr/>
        <w:t>tourists that indicate they are interested in visiting Curaçao but have never been to Curaçao. This means that the </w:t>
      </w:r>
      <w:r>
        <w:rPr>
          <w:rFonts w:ascii="Calibri" w:hAnsi="Calibri" w:cs="Calibri" w:eastAsia="Calibri" w:hint="default"/>
        </w:rPr>
        <w:t>hospitality factors that may influence a traveler’s decision in destination selection are not hamperin</w:t>
      </w:r>
      <w:r>
        <w:rPr/>
        <w:t>g</w:t>
      </w:r>
      <w:r>
        <w:rPr>
          <w:spacing w:val="-27"/>
        </w:rPr>
        <w:t> </w:t>
      </w:r>
      <w:r>
        <w:rPr/>
        <w:t>Curaçao.</w:t>
      </w:r>
    </w:p>
    <w:p>
      <w:pPr>
        <w:pStyle w:val="BodyText"/>
        <w:spacing w:line="240" w:lineRule="auto"/>
        <w:ind w:right="1437"/>
        <w:jc w:val="both"/>
      </w:pPr>
      <w:r>
        <w:rPr/>
        <w:t>Third,</w:t>
      </w:r>
      <w:r>
        <w:rPr>
          <w:spacing w:val="-7"/>
        </w:rPr>
        <w:t> </w:t>
      </w:r>
      <w:r>
        <w:rPr/>
        <w:t>the</w:t>
      </w:r>
      <w:r>
        <w:rPr>
          <w:spacing w:val="-9"/>
        </w:rPr>
        <w:t> </w:t>
      </w:r>
      <w:r>
        <w:rPr/>
        <w:t>data</w:t>
      </w:r>
      <w:r>
        <w:rPr>
          <w:spacing w:val="-10"/>
        </w:rPr>
        <w:t> </w:t>
      </w:r>
      <w:r>
        <w:rPr/>
        <w:t>also</w:t>
      </w:r>
      <w:r>
        <w:rPr>
          <w:spacing w:val="-8"/>
        </w:rPr>
        <w:t> </w:t>
      </w:r>
      <w:r>
        <w:rPr/>
        <w:t>reveals</w:t>
      </w:r>
      <w:r>
        <w:rPr>
          <w:spacing w:val="-9"/>
        </w:rPr>
        <w:t> </w:t>
      </w:r>
      <w:r>
        <w:rPr/>
        <w:t>that</w:t>
      </w:r>
      <w:r>
        <w:rPr>
          <w:spacing w:val="-7"/>
        </w:rPr>
        <w:t> </w:t>
      </w:r>
      <w:r>
        <w:rPr/>
        <w:t>there</w:t>
      </w:r>
      <w:r>
        <w:rPr>
          <w:spacing w:val="-9"/>
        </w:rPr>
        <w:t> </w:t>
      </w:r>
      <w:r>
        <w:rPr/>
        <w:t>is</w:t>
      </w:r>
      <w:r>
        <w:rPr>
          <w:spacing w:val="-9"/>
        </w:rPr>
        <w:t> </w:t>
      </w:r>
      <w:r>
        <w:rPr/>
        <w:t>strong</w:t>
      </w:r>
      <w:r>
        <w:rPr>
          <w:spacing w:val="-8"/>
        </w:rPr>
        <w:t> </w:t>
      </w:r>
      <w:r>
        <w:rPr/>
        <w:t>local</w:t>
      </w:r>
      <w:r>
        <w:rPr>
          <w:spacing w:val="-8"/>
        </w:rPr>
        <w:t> </w:t>
      </w:r>
      <w:r>
        <w:rPr/>
        <w:t>support</w:t>
      </w:r>
      <w:r>
        <w:rPr>
          <w:spacing w:val="-7"/>
        </w:rPr>
        <w:t> </w:t>
      </w:r>
      <w:r>
        <w:rPr/>
        <w:t>for</w:t>
      </w:r>
      <w:r>
        <w:rPr>
          <w:spacing w:val="-8"/>
        </w:rPr>
        <w:t> </w:t>
      </w:r>
      <w:r>
        <w:rPr/>
        <w:t>tourism</w:t>
      </w:r>
      <w:r>
        <w:rPr>
          <w:spacing w:val="-9"/>
        </w:rPr>
        <w:t> </w:t>
      </w:r>
      <w:r>
        <w:rPr/>
        <w:t>development</w:t>
      </w:r>
      <w:r>
        <w:rPr>
          <w:spacing w:val="-7"/>
        </w:rPr>
        <w:t> </w:t>
      </w:r>
      <w:r>
        <w:rPr/>
        <w:t>amongst</w:t>
      </w:r>
      <w:r>
        <w:rPr>
          <w:spacing w:val="-7"/>
        </w:rPr>
        <w:t> </w:t>
      </w:r>
      <w:r>
        <w:rPr/>
        <w:t>the</w:t>
      </w:r>
      <w:r>
        <w:rPr>
          <w:spacing w:val="-9"/>
        </w:rPr>
        <w:t> </w:t>
      </w:r>
      <w:r>
        <w:rPr/>
        <w:t>local</w:t>
      </w:r>
      <w:r>
        <w:rPr>
          <w:spacing w:val="-8"/>
        </w:rPr>
        <w:t> </w:t>
      </w:r>
      <w:r>
        <w:rPr/>
        <w:t>population. </w:t>
      </w:r>
      <w:r>
        <w:rPr/>
        <w:t>This</w:t>
      </w:r>
      <w:r>
        <w:rPr>
          <w:spacing w:val="-12"/>
        </w:rPr>
        <w:t> </w:t>
      </w:r>
      <w:r>
        <w:rPr/>
        <w:t>information</w:t>
      </w:r>
      <w:r>
        <w:rPr>
          <w:spacing w:val="-9"/>
        </w:rPr>
        <w:t> </w:t>
      </w:r>
      <w:r>
        <w:rPr/>
        <w:t>is</w:t>
      </w:r>
      <w:r>
        <w:rPr>
          <w:spacing w:val="-12"/>
        </w:rPr>
        <w:t> </w:t>
      </w:r>
      <w:r>
        <w:rPr/>
        <w:t>contrary</w:t>
      </w:r>
      <w:r>
        <w:rPr>
          <w:spacing w:val="-9"/>
        </w:rPr>
        <w:t> </w:t>
      </w:r>
      <w:r>
        <w:rPr/>
        <w:t>to</w:t>
      </w:r>
      <w:r>
        <w:rPr>
          <w:spacing w:val="-7"/>
        </w:rPr>
        <w:t> </w:t>
      </w:r>
      <w:r>
        <w:rPr/>
        <w:t>what</w:t>
      </w:r>
      <w:r>
        <w:rPr>
          <w:spacing w:val="-9"/>
        </w:rPr>
        <w:t> </w:t>
      </w:r>
      <w:r>
        <w:rPr/>
        <w:t>was</w:t>
      </w:r>
      <w:r>
        <w:rPr>
          <w:spacing w:val="-8"/>
        </w:rPr>
        <w:t> </w:t>
      </w:r>
      <w:r>
        <w:rPr/>
        <w:t>seemingly</w:t>
      </w:r>
      <w:r>
        <w:rPr>
          <w:spacing w:val="-10"/>
        </w:rPr>
        <w:t> </w:t>
      </w:r>
      <w:r>
        <w:rPr/>
        <w:t>believed</w:t>
      </w:r>
      <w:r>
        <w:rPr>
          <w:spacing w:val="-7"/>
        </w:rPr>
        <w:t> </w:t>
      </w:r>
      <w:r>
        <w:rPr/>
        <w:t>by</w:t>
      </w:r>
      <w:r>
        <w:rPr>
          <w:spacing w:val="-9"/>
        </w:rPr>
        <w:t> </w:t>
      </w:r>
      <w:r>
        <w:rPr/>
        <w:t>most</w:t>
      </w:r>
      <w:r>
        <w:rPr>
          <w:spacing w:val="-10"/>
        </w:rPr>
        <w:t> </w:t>
      </w:r>
      <w:r>
        <w:rPr/>
        <w:t>of</w:t>
      </w:r>
      <w:r>
        <w:rPr>
          <w:spacing w:val="-6"/>
        </w:rPr>
        <w:t> </w:t>
      </w:r>
      <w:r>
        <w:rPr/>
        <w:t>Curaçao</w:t>
      </w:r>
      <w:r>
        <w:rPr>
          <w:rFonts w:ascii="Calibri" w:hAnsi="Calibri" w:cs="Calibri" w:eastAsia="Calibri" w:hint="default"/>
        </w:rPr>
        <w:t>’s</w:t>
      </w:r>
      <w:r>
        <w:rPr>
          <w:rFonts w:ascii="Calibri" w:hAnsi="Calibri" w:cs="Calibri" w:eastAsia="Calibri" w:hint="default"/>
          <w:spacing w:val="-11"/>
        </w:rPr>
        <w:t> </w:t>
      </w:r>
      <w:r>
        <w:rPr>
          <w:rFonts w:ascii="Calibri" w:hAnsi="Calibri" w:cs="Calibri" w:eastAsia="Calibri" w:hint="default"/>
        </w:rPr>
        <w:t>tourism</w:t>
      </w:r>
      <w:r>
        <w:rPr>
          <w:rFonts w:ascii="Calibri" w:hAnsi="Calibri" w:cs="Calibri" w:eastAsia="Calibri" w:hint="default"/>
          <w:spacing w:val="-9"/>
        </w:rPr>
        <w:t> </w:t>
      </w:r>
      <w:r>
        <w:rPr>
          <w:rFonts w:ascii="Calibri" w:hAnsi="Calibri" w:cs="Calibri" w:eastAsia="Calibri" w:hint="default"/>
        </w:rPr>
        <w:t>stakeholders</w:t>
      </w:r>
      <w:r>
        <w:rPr>
          <w:rFonts w:ascii="Calibri" w:hAnsi="Calibri" w:cs="Calibri" w:eastAsia="Calibri" w:hint="default"/>
          <w:spacing w:val="-11"/>
        </w:rPr>
        <w:t> </w:t>
      </w:r>
      <w:r>
        <w:rPr>
          <w:rFonts w:ascii="Calibri" w:hAnsi="Calibri" w:cs="Calibri" w:eastAsia="Calibri" w:hint="default"/>
        </w:rPr>
        <w:t>who</w:t>
      </w:r>
      <w:r>
        <w:rPr>
          <w:rFonts w:ascii="Calibri" w:hAnsi="Calibri" w:cs="Calibri" w:eastAsia="Calibri" w:hint="default"/>
          <w:spacing w:val="-10"/>
        </w:rPr>
        <w:t> </w:t>
      </w:r>
      <w:r>
        <w:rPr>
          <w:rFonts w:ascii="Calibri" w:hAnsi="Calibri" w:cs="Calibri" w:eastAsia="Calibri" w:hint="default"/>
        </w:rPr>
        <w:t>felt</w:t>
      </w:r>
      <w:r>
        <w:rPr>
          <w:rFonts w:ascii="Calibri" w:hAnsi="Calibri" w:cs="Calibri" w:eastAsia="Calibri" w:hint="default"/>
          <w:spacing w:val="-10"/>
        </w:rPr>
        <w:t> </w:t>
      </w:r>
      <w:r>
        <w:rPr>
          <w:rFonts w:ascii="Calibri" w:hAnsi="Calibri" w:cs="Calibri" w:eastAsia="Calibri" w:hint="default"/>
        </w:rPr>
        <w:t>that </w:t>
      </w:r>
      <w:r>
        <w:rPr>
          <w:rFonts w:ascii="Calibri" w:hAnsi="Calibri" w:cs="Calibri" w:eastAsia="Calibri" w:hint="default"/>
        </w:rPr>
      </w:r>
      <w:r>
        <w:rPr/>
        <w:t>locals would not be in support of the tourism industry. Therefore, Curaçao as a destination is logically positioned to grow</w:t>
      </w:r>
      <w:r>
        <w:rPr>
          <w:spacing w:val="-4"/>
        </w:rPr>
        <w:t> </w:t>
      </w:r>
      <w:r>
        <w:rPr/>
        <w:t>and</w:t>
      </w:r>
      <w:r>
        <w:rPr>
          <w:spacing w:val="-3"/>
        </w:rPr>
        <w:t> </w:t>
      </w:r>
      <w:r>
        <w:rPr/>
        <w:t>deliver</w:t>
      </w:r>
      <w:r>
        <w:rPr>
          <w:spacing w:val="-3"/>
        </w:rPr>
        <w:t> </w:t>
      </w:r>
      <w:r>
        <w:rPr/>
        <w:t>strong</w:t>
      </w:r>
      <w:r>
        <w:rPr>
          <w:spacing w:val="-4"/>
        </w:rPr>
        <w:t> </w:t>
      </w:r>
      <w:r>
        <w:rPr/>
        <w:t>economic</w:t>
      </w:r>
      <w:r>
        <w:rPr>
          <w:spacing w:val="-4"/>
        </w:rPr>
        <w:t> </w:t>
      </w:r>
      <w:r>
        <w:rPr/>
        <w:t>and</w:t>
      </w:r>
      <w:r>
        <w:rPr>
          <w:spacing w:val="-3"/>
        </w:rPr>
        <w:t> </w:t>
      </w:r>
      <w:r>
        <w:rPr/>
        <w:t>job</w:t>
      </w:r>
      <w:r>
        <w:rPr>
          <w:spacing w:val="-3"/>
        </w:rPr>
        <w:t> </w:t>
      </w:r>
      <w:r>
        <w:rPr/>
        <w:t>growth</w:t>
      </w:r>
      <w:r>
        <w:rPr>
          <w:spacing w:val="-3"/>
        </w:rPr>
        <w:t> </w:t>
      </w:r>
      <w:r>
        <w:rPr/>
        <w:t>from</w:t>
      </w:r>
      <w:r>
        <w:rPr>
          <w:spacing w:val="-3"/>
        </w:rPr>
        <w:t> </w:t>
      </w:r>
      <w:r>
        <w:rPr/>
        <w:t>the</w:t>
      </w:r>
      <w:r>
        <w:rPr>
          <w:spacing w:val="-2"/>
        </w:rPr>
        <w:t> </w:t>
      </w:r>
      <w:r>
        <w:rPr/>
        <w:t>tourism</w:t>
      </w:r>
      <w:r>
        <w:rPr>
          <w:spacing w:val="-4"/>
        </w:rPr>
        <w:t> </w:t>
      </w:r>
      <w:r>
        <w:rPr/>
        <w:t>sector.</w:t>
      </w:r>
    </w:p>
    <w:p>
      <w:pPr>
        <w:spacing w:line="240" w:lineRule="auto" w:before="11"/>
        <w:ind w:right="0"/>
        <w:rPr>
          <w:rFonts w:ascii="Calibri" w:hAnsi="Calibri" w:cs="Calibri" w:eastAsia="Calibri" w:hint="default"/>
          <w:sz w:val="19"/>
          <w:szCs w:val="19"/>
        </w:rPr>
      </w:pPr>
    </w:p>
    <w:p>
      <w:pPr>
        <w:pStyle w:val="BodyText"/>
        <w:spacing w:line="240" w:lineRule="auto"/>
        <w:ind w:right="1438"/>
        <w:jc w:val="both"/>
      </w:pPr>
      <w:r>
        <w:rPr/>
        <w:t>Fourth,</w:t>
      </w:r>
      <w:r>
        <w:rPr>
          <w:spacing w:val="-9"/>
        </w:rPr>
        <w:t> </w:t>
      </w:r>
      <w:r>
        <w:rPr/>
        <w:t>the</w:t>
      </w:r>
      <w:r>
        <w:rPr>
          <w:spacing w:val="-10"/>
        </w:rPr>
        <w:t> </w:t>
      </w:r>
      <w:r>
        <w:rPr/>
        <w:t>US</w:t>
      </w:r>
      <w:r>
        <w:rPr>
          <w:spacing w:val="-10"/>
        </w:rPr>
        <w:t> </w:t>
      </w:r>
      <w:r>
        <w:rPr/>
        <w:t>market</w:t>
      </w:r>
      <w:r>
        <w:rPr>
          <w:spacing w:val="-9"/>
        </w:rPr>
        <w:t> </w:t>
      </w:r>
      <w:r>
        <w:rPr/>
        <w:t>is</w:t>
      </w:r>
      <w:r>
        <w:rPr>
          <w:spacing w:val="-8"/>
        </w:rPr>
        <w:t> </w:t>
      </w:r>
      <w:r>
        <w:rPr/>
        <w:t>poised</w:t>
      </w:r>
      <w:r>
        <w:rPr>
          <w:spacing w:val="-9"/>
        </w:rPr>
        <w:t> </w:t>
      </w:r>
      <w:r>
        <w:rPr/>
        <w:t>to</w:t>
      </w:r>
      <w:r>
        <w:rPr>
          <w:spacing w:val="-9"/>
        </w:rPr>
        <w:t> </w:t>
      </w:r>
      <w:r>
        <w:rPr/>
        <w:t>grow</w:t>
      </w:r>
      <w:r>
        <w:rPr>
          <w:spacing w:val="-10"/>
        </w:rPr>
        <w:t> </w:t>
      </w:r>
      <w:r>
        <w:rPr/>
        <w:t>if</w:t>
      </w:r>
      <w:r>
        <w:rPr>
          <w:spacing w:val="-8"/>
        </w:rPr>
        <w:t> </w:t>
      </w:r>
      <w:r>
        <w:rPr/>
        <w:t>Curaçao</w:t>
      </w:r>
      <w:r>
        <w:rPr>
          <w:spacing w:val="-9"/>
        </w:rPr>
        <w:t> </w:t>
      </w:r>
      <w:r>
        <w:rPr/>
        <w:t>is</w:t>
      </w:r>
      <w:r>
        <w:rPr>
          <w:spacing w:val="-10"/>
        </w:rPr>
        <w:t> </w:t>
      </w:r>
      <w:r>
        <w:rPr/>
        <w:t>able</w:t>
      </w:r>
      <w:r>
        <w:rPr>
          <w:spacing w:val="-10"/>
        </w:rPr>
        <w:t> </w:t>
      </w:r>
      <w:r>
        <w:rPr/>
        <w:t>to</w:t>
      </w:r>
      <w:r>
        <w:rPr>
          <w:spacing w:val="-6"/>
        </w:rPr>
        <w:t> </w:t>
      </w:r>
      <w:r>
        <w:rPr/>
        <w:t>connect</w:t>
      </w:r>
      <w:r>
        <w:rPr>
          <w:spacing w:val="-8"/>
        </w:rPr>
        <w:t> </w:t>
      </w:r>
      <w:r>
        <w:rPr/>
        <w:t>with</w:t>
      </w:r>
      <w:r>
        <w:rPr>
          <w:spacing w:val="-8"/>
        </w:rPr>
        <w:t> </w:t>
      </w:r>
      <w:r>
        <w:rPr/>
        <w:t>that</w:t>
      </w:r>
      <w:r>
        <w:rPr>
          <w:spacing w:val="-8"/>
        </w:rPr>
        <w:t> </w:t>
      </w:r>
      <w:r>
        <w:rPr/>
        <w:t>market.</w:t>
      </w:r>
      <w:r>
        <w:rPr>
          <w:spacing w:val="28"/>
        </w:rPr>
        <w:t> </w:t>
      </w:r>
      <w:r>
        <w:rPr/>
        <w:t>The</w:t>
      </w:r>
      <w:r>
        <w:rPr>
          <w:spacing w:val="-10"/>
        </w:rPr>
        <w:t> </w:t>
      </w:r>
      <w:r>
        <w:rPr/>
        <w:t>Curaçao</w:t>
      </w:r>
      <w:r>
        <w:rPr>
          <w:spacing w:val="-9"/>
        </w:rPr>
        <w:t> </w:t>
      </w:r>
      <w:r>
        <w:rPr/>
        <w:t>tourism</w:t>
      </w:r>
      <w:r>
        <w:rPr>
          <w:spacing w:val="-10"/>
        </w:rPr>
        <w:t> </w:t>
      </w:r>
      <w:r>
        <w:rPr/>
        <w:t>product </w:t>
      </w:r>
      <w:r>
        <w:rPr/>
        <w:t>is highly income elastic, as well as price inelastic.</w:t>
      </w:r>
      <w:r>
        <w:rPr>
          <w:position w:val="5"/>
          <w:sz w:val="12"/>
        </w:rPr>
        <w:t>67 </w:t>
      </w:r>
      <w:r>
        <w:rPr/>
        <w:t>The income elasticity means that the propensity of the American </w:t>
      </w:r>
      <w:r>
        <w:rPr/>
        <w:t>market to visit Curaçao increases with the economic swell in the USA. Therefore, as the economic situation in the USA steadily improves, Curaçao has greater opportunities to attract larger tourist contingencies from the American segment.</w:t>
      </w:r>
      <w:r>
        <w:rPr>
          <w:spacing w:val="-3"/>
        </w:rPr>
        <w:t> </w:t>
      </w:r>
      <w:r>
        <w:rPr/>
        <w:t>In</w:t>
      </w:r>
      <w:r>
        <w:rPr>
          <w:spacing w:val="-3"/>
        </w:rPr>
        <w:t> </w:t>
      </w:r>
      <w:r>
        <w:rPr/>
        <w:t>addition,</w:t>
      </w:r>
      <w:r>
        <w:rPr>
          <w:spacing w:val="-3"/>
        </w:rPr>
        <w:t> </w:t>
      </w:r>
      <w:r>
        <w:rPr/>
        <w:t>the</w:t>
      </w:r>
      <w:r>
        <w:rPr>
          <w:spacing w:val="-4"/>
        </w:rPr>
        <w:t> </w:t>
      </w:r>
      <w:r>
        <w:rPr/>
        <w:t>American</w:t>
      </w:r>
      <w:r>
        <w:rPr>
          <w:spacing w:val="-3"/>
        </w:rPr>
        <w:t> </w:t>
      </w:r>
      <w:r>
        <w:rPr/>
        <w:t>tourist</w:t>
      </w:r>
      <w:r>
        <w:rPr>
          <w:spacing w:val="-3"/>
        </w:rPr>
        <w:t> </w:t>
      </w:r>
      <w:r>
        <w:rPr/>
        <w:t>does</w:t>
      </w:r>
      <w:r>
        <w:rPr>
          <w:spacing w:val="-5"/>
        </w:rPr>
        <w:t> </w:t>
      </w:r>
      <w:r>
        <w:rPr/>
        <w:t>not</w:t>
      </w:r>
      <w:r>
        <w:rPr>
          <w:spacing w:val="-3"/>
        </w:rPr>
        <w:t> </w:t>
      </w:r>
      <w:r>
        <w:rPr/>
        <w:t>seem</w:t>
      </w:r>
      <w:r>
        <w:rPr>
          <w:spacing w:val="-2"/>
        </w:rPr>
        <w:t> </w:t>
      </w:r>
      <w:r>
        <w:rPr/>
        <w:t>price</w:t>
      </w:r>
      <w:r>
        <w:rPr>
          <w:spacing w:val="-5"/>
        </w:rPr>
        <w:t> </w:t>
      </w:r>
      <w:r>
        <w:rPr/>
        <w:t>sensitive.</w:t>
      </w:r>
    </w:p>
    <w:p>
      <w:pPr>
        <w:spacing w:line="240" w:lineRule="auto" w:before="11"/>
        <w:ind w:right="0"/>
        <w:rPr>
          <w:rFonts w:ascii="Calibri" w:hAnsi="Calibri" w:cs="Calibri" w:eastAsia="Calibri" w:hint="default"/>
          <w:sz w:val="19"/>
          <w:szCs w:val="19"/>
        </w:rPr>
      </w:pPr>
    </w:p>
    <w:p>
      <w:pPr>
        <w:pStyle w:val="BodyText"/>
        <w:spacing w:line="240" w:lineRule="auto"/>
        <w:ind w:right="1444"/>
        <w:jc w:val="both"/>
      </w:pPr>
      <w:r>
        <w:rPr/>
        <w:t>In other words, the price factor does not seem to play a significant role in determining the competitiveness of the </w:t>
      </w:r>
      <w:r>
        <w:rPr>
          <w:rFonts w:ascii="Calibri" w:hAnsi="Calibri" w:cs="Calibri" w:eastAsia="Calibri" w:hint="default"/>
        </w:rPr>
        <w:t>Curaçao</w:t>
      </w:r>
      <w:r>
        <w:rPr>
          <w:rFonts w:ascii="Calibri" w:hAnsi="Calibri" w:cs="Calibri" w:eastAsia="Calibri" w:hint="default"/>
          <w:spacing w:val="-3"/>
        </w:rPr>
        <w:t> </w:t>
      </w:r>
      <w:r>
        <w:rPr>
          <w:rFonts w:ascii="Calibri" w:hAnsi="Calibri" w:cs="Calibri" w:eastAsia="Calibri" w:hint="default"/>
        </w:rPr>
        <w:t>product</w:t>
      </w:r>
      <w:r>
        <w:rPr>
          <w:rFonts w:ascii="Calibri" w:hAnsi="Calibri" w:cs="Calibri" w:eastAsia="Calibri" w:hint="default"/>
          <w:spacing w:val="-3"/>
        </w:rPr>
        <w:t> </w:t>
      </w:r>
      <w:r>
        <w:rPr>
          <w:rFonts w:ascii="Calibri" w:hAnsi="Calibri" w:cs="Calibri" w:eastAsia="Calibri" w:hint="default"/>
        </w:rPr>
        <w:t>in</w:t>
      </w:r>
      <w:r>
        <w:rPr>
          <w:rFonts w:ascii="Calibri" w:hAnsi="Calibri" w:cs="Calibri" w:eastAsia="Calibri" w:hint="default"/>
          <w:spacing w:val="-4"/>
        </w:rPr>
        <w:t> </w:t>
      </w:r>
      <w:r>
        <w:rPr>
          <w:rFonts w:ascii="Calibri" w:hAnsi="Calibri" w:cs="Calibri" w:eastAsia="Calibri" w:hint="default"/>
        </w:rPr>
        <w:t>the</w:t>
      </w:r>
      <w:r>
        <w:rPr>
          <w:rFonts w:ascii="Calibri" w:hAnsi="Calibri" w:cs="Calibri" w:eastAsia="Calibri" w:hint="default"/>
          <w:spacing w:val="-4"/>
        </w:rPr>
        <w:t> </w:t>
      </w:r>
      <w:r>
        <w:rPr>
          <w:rFonts w:ascii="Calibri" w:hAnsi="Calibri" w:cs="Calibri" w:eastAsia="Calibri" w:hint="default"/>
        </w:rPr>
        <w:t>American</w:t>
      </w:r>
      <w:r>
        <w:rPr>
          <w:rFonts w:ascii="Calibri" w:hAnsi="Calibri" w:cs="Calibri" w:eastAsia="Calibri" w:hint="default"/>
          <w:spacing w:val="-2"/>
        </w:rPr>
        <w:t> </w:t>
      </w:r>
      <w:r>
        <w:rPr>
          <w:rFonts w:ascii="Calibri" w:hAnsi="Calibri" w:cs="Calibri" w:eastAsia="Calibri" w:hint="default"/>
        </w:rPr>
        <w:t>market.</w:t>
      </w:r>
      <w:r>
        <w:rPr>
          <w:rFonts w:ascii="Calibri" w:hAnsi="Calibri" w:cs="Calibri" w:eastAsia="Calibri" w:hint="default"/>
          <w:spacing w:val="-3"/>
        </w:rPr>
        <w:t> </w:t>
      </w:r>
      <w:r>
        <w:rPr>
          <w:rFonts w:ascii="Calibri" w:hAnsi="Calibri" w:cs="Calibri" w:eastAsia="Calibri" w:hint="default"/>
        </w:rPr>
        <w:t>Perceptually,</w:t>
      </w:r>
      <w:r>
        <w:rPr>
          <w:rFonts w:ascii="Calibri" w:hAnsi="Calibri" w:cs="Calibri" w:eastAsia="Calibri" w:hint="default"/>
          <w:spacing w:val="-3"/>
        </w:rPr>
        <w:t> </w:t>
      </w:r>
      <w:r>
        <w:rPr>
          <w:rFonts w:ascii="Calibri" w:hAnsi="Calibri" w:cs="Calibri" w:eastAsia="Calibri" w:hint="default"/>
        </w:rPr>
        <w:t>price</w:t>
      </w:r>
      <w:r>
        <w:rPr>
          <w:rFonts w:ascii="Calibri" w:hAnsi="Calibri" w:cs="Calibri" w:eastAsia="Calibri" w:hint="default"/>
          <w:spacing w:val="-4"/>
        </w:rPr>
        <w:t> </w:t>
      </w:r>
      <w:r>
        <w:rPr>
          <w:rFonts w:ascii="Calibri" w:hAnsi="Calibri" w:cs="Calibri" w:eastAsia="Calibri" w:hint="default"/>
        </w:rPr>
        <w:t>may</w:t>
      </w:r>
      <w:r>
        <w:rPr>
          <w:rFonts w:ascii="Calibri" w:hAnsi="Calibri" w:cs="Calibri" w:eastAsia="Calibri" w:hint="default"/>
          <w:spacing w:val="-2"/>
        </w:rPr>
        <w:t> </w:t>
      </w:r>
      <w:r>
        <w:rPr>
          <w:rFonts w:ascii="Calibri" w:hAnsi="Calibri" w:cs="Calibri" w:eastAsia="Calibri" w:hint="default"/>
        </w:rPr>
        <w:t>seem</w:t>
      </w:r>
      <w:r>
        <w:rPr>
          <w:rFonts w:ascii="Calibri" w:hAnsi="Calibri" w:cs="Calibri" w:eastAsia="Calibri" w:hint="default"/>
          <w:spacing w:val="-4"/>
        </w:rPr>
        <w:t> </w:t>
      </w:r>
      <w:r>
        <w:rPr>
          <w:rFonts w:ascii="Calibri" w:hAnsi="Calibri" w:cs="Calibri" w:eastAsia="Calibri" w:hint="default"/>
        </w:rPr>
        <w:t>relevant,</w:t>
      </w:r>
      <w:r>
        <w:rPr>
          <w:rFonts w:ascii="Calibri" w:hAnsi="Calibri" w:cs="Calibri" w:eastAsia="Calibri" w:hint="default"/>
          <w:spacing w:val="-3"/>
        </w:rPr>
        <w:t> </w:t>
      </w:r>
      <w:r>
        <w:rPr>
          <w:rFonts w:ascii="Calibri" w:hAnsi="Calibri" w:cs="Calibri" w:eastAsia="Calibri" w:hint="default"/>
        </w:rPr>
        <w:t>but</w:t>
      </w:r>
      <w:r>
        <w:rPr>
          <w:rFonts w:ascii="Calibri" w:hAnsi="Calibri" w:cs="Calibri" w:eastAsia="Calibri" w:hint="default"/>
          <w:spacing w:val="-3"/>
        </w:rPr>
        <w:t> </w:t>
      </w:r>
      <w:r>
        <w:rPr>
          <w:rFonts w:ascii="Calibri" w:hAnsi="Calibri" w:cs="Calibri" w:eastAsia="Calibri" w:hint="default"/>
        </w:rPr>
        <w:t>its</w:t>
      </w:r>
      <w:r>
        <w:rPr>
          <w:rFonts w:ascii="Calibri" w:hAnsi="Calibri" w:cs="Calibri" w:eastAsia="Calibri" w:hint="default"/>
          <w:spacing w:val="-5"/>
        </w:rPr>
        <w:t> </w:t>
      </w:r>
      <w:r>
        <w:rPr>
          <w:rFonts w:ascii="Calibri" w:hAnsi="Calibri" w:cs="Calibri" w:eastAsia="Calibri" w:hint="default"/>
        </w:rPr>
        <w:t>weight</w:t>
      </w:r>
      <w:r>
        <w:rPr>
          <w:rFonts w:ascii="Calibri" w:hAnsi="Calibri" w:cs="Calibri" w:eastAsia="Calibri" w:hint="default"/>
          <w:spacing w:val="-3"/>
        </w:rPr>
        <w:t> </w:t>
      </w:r>
      <w:r>
        <w:rPr>
          <w:rFonts w:ascii="Calibri" w:hAnsi="Calibri" w:cs="Calibri" w:eastAsia="Calibri" w:hint="default"/>
        </w:rPr>
        <w:t>in</w:t>
      </w:r>
      <w:r>
        <w:rPr>
          <w:rFonts w:ascii="Calibri" w:hAnsi="Calibri" w:cs="Calibri" w:eastAsia="Calibri" w:hint="default"/>
          <w:spacing w:val="-2"/>
        </w:rPr>
        <w:t> </w:t>
      </w:r>
      <w:r>
        <w:rPr>
          <w:rFonts w:ascii="Calibri" w:hAnsi="Calibri" w:cs="Calibri" w:eastAsia="Calibri" w:hint="default"/>
        </w:rPr>
        <w:t>the</w:t>
      </w:r>
      <w:r>
        <w:rPr>
          <w:rFonts w:ascii="Calibri" w:hAnsi="Calibri" w:cs="Calibri" w:eastAsia="Calibri" w:hint="default"/>
          <w:spacing w:val="-4"/>
        </w:rPr>
        <w:t> </w:t>
      </w:r>
      <w:r>
        <w:rPr>
          <w:rFonts w:ascii="Calibri" w:hAnsi="Calibri" w:cs="Calibri" w:eastAsia="Calibri" w:hint="default"/>
        </w:rPr>
        <w:t>total</w:t>
      </w:r>
      <w:r>
        <w:rPr>
          <w:rFonts w:ascii="Calibri" w:hAnsi="Calibri" w:cs="Calibri" w:eastAsia="Calibri" w:hint="default"/>
          <w:spacing w:val="-4"/>
        </w:rPr>
        <w:t> </w:t>
      </w:r>
      <w:r>
        <w:rPr>
          <w:rFonts w:ascii="Calibri" w:hAnsi="Calibri" w:cs="Calibri" w:eastAsia="Calibri" w:hint="default"/>
        </w:rPr>
        <w:t>tourists’ </w:t>
      </w:r>
      <w:r>
        <w:rPr>
          <w:rFonts w:ascii="Calibri" w:hAnsi="Calibri" w:cs="Calibri" w:eastAsia="Calibri" w:hint="default"/>
        </w:rPr>
      </w:r>
      <w:r>
        <w:rPr/>
        <w:t>overall satisfaction is relatively low. This means that hotels and other tourist offerings are able to increase their prices, but only if two conditions are</w:t>
      </w:r>
      <w:r>
        <w:rPr>
          <w:spacing w:val="-20"/>
        </w:rPr>
        <w:t> </w:t>
      </w:r>
      <w:r>
        <w:rPr/>
        <w:t>present:</w:t>
      </w:r>
    </w:p>
    <w:p>
      <w:pPr>
        <w:spacing w:line="240" w:lineRule="auto" w:before="12"/>
        <w:ind w:right="0"/>
        <w:rPr>
          <w:rFonts w:ascii="Calibri" w:hAnsi="Calibri" w:cs="Calibri" w:eastAsia="Calibri" w:hint="default"/>
          <w:sz w:val="19"/>
          <w:szCs w:val="19"/>
        </w:rPr>
      </w:pPr>
    </w:p>
    <w:p>
      <w:pPr>
        <w:pStyle w:val="ListParagraph"/>
        <w:numPr>
          <w:ilvl w:val="0"/>
          <w:numId w:val="12"/>
        </w:numPr>
        <w:tabs>
          <w:tab w:pos="2161" w:val="left" w:leader="none"/>
        </w:tabs>
        <w:spacing w:line="240" w:lineRule="auto" w:before="0" w:after="0"/>
        <w:ind w:left="2160" w:right="0" w:hanging="360"/>
        <w:jc w:val="left"/>
        <w:rPr>
          <w:rFonts w:ascii="Calibri" w:hAnsi="Calibri" w:cs="Calibri" w:eastAsia="Calibri" w:hint="default"/>
          <w:sz w:val="20"/>
          <w:szCs w:val="20"/>
        </w:rPr>
      </w:pPr>
      <w:r>
        <w:rPr>
          <w:rFonts w:ascii="Calibri" w:hAnsi="Calibri"/>
          <w:sz w:val="20"/>
        </w:rPr>
        <w:t>Curaçao</w:t>
      </w:r>
      <w:r>
        <w:rPr>
          <w:rFonts w:ascii="Calibri" w:hAnsi="Calibri"/>
          <w:spacing w:val="-2"/>
          <w:sz w:val="20"/>
        </w:rPr>
        <w:t> </w:t>
      </w:r>
      <w:r>
        <w:rPr>
          <w:rFonts w:ascii="Calibri" w:hAnsi="Calibri"/>
          <w:sz w:val="20"/>
        </w:rPr>
        <w:t>must</w:t>
      </w:r>
      <w:r>
        <w:rPr>
          <w:rFonts w:ascii="Calibri" w:hAnsi="Calibri"/>
          <w:spacing w:val="-3"/>
          <w:sz w:val="20"/>
        </w:rPr>
        <w:t> </w:t>
      </w:r>
      <w:r>
        <w:rPr>
          <w:rFonts w:ascii="Calibri" w:hAnsi="Calibri"/>
          <w:sz w:val="20"/>
        </w:rPr>
        <w:t>have</w:t>
      </w:r>
      <w:r>
        <w:rPr>
          <w:rFonts w:ascii="Calibri" w:hAnsi="Calibri"/>
          <w:spacing w:val="-4"/>
          <w:sz w:val="20"/>
        </w:rPr>
        <w:t> </w:t>
      </w:r>
      <w:r>
        <w:rPr>
          <w:rFonts w:ascii="Calibri" w:hAnsi="Calibri"/>
          <w:sz w:val="20"/>
        </w:rPr>
        <w:t>stronger</w:t>
      </w:r>
      <w:r>
        <w:rPr>
          <w:rFonts w:ascii="Calibri" w:hAnsi="Calibri"/>
          <w:spacing w:val="-3"/>
          <w:sz w:val="20"/>
        </w:rPr>
        <w:t> </w:t>
      </w:r>
      <w:r>
        <w:rPr>
          <w:rFonts w:ascii="Calibri" w:hAnsi="Calibri"/>
          <w:sz w:val="20"/>
        </w:rPr>
        <w:t>quality</w:t>
      </w:r>
      <w:r>
        <w:rPr>
          <w:rFonts w:ascii="Calibri" w:hAnsi="Calibri"/>
          <w:spacing w:val="-3"/>
          <w:sz w:val="20"/>
        </w:rPr>
        <w:t> </w:t>
      </w:r>
      <w:r>
        <w:rPr>
          <w:rFonts w:ascii="Calibri" w:hAnsi="Calibri"/>
          <w:sz w:val="20"/>
        </w:rPr>
        <w:t>standards</w:t>
      </w:r>
      <w:r>
        <w:rPr>
          <w:rFonts w:ascii="Calibri" w:hAnsi="Calibri"/>
          <w:spacing w:val="-5"/>
          <w:sz w:val="20"/>
        </w:rPr>
        <w:t> </w:t>
      </w:r>
      <w:r>
        <w:rPr>
          <w:rFonts w:ascii="Calibri" w:hAnsi="Calibri"/>
          <w:sz w:val="20"/>
        </w:rPr>
        <w:t>than</w:t>
      </w:r>
      <w:r>
        <w:rPr>
          <w:rFonts w:ascii="Calibri" w:hAnsi="Calibri"/>
          <w:spacing w:val="-2"/>
          <w:sz w:val="20"/>
        </w:rPr>
        <w:t> </w:t>
      </w:r>
      <w:r>
        <w:rPr>
          <w:rFonts w:ascii="Calibri" w:hAnsi="Calibri"/>
          <w:sz w:val="20"/>
        </w:rPr>
        <w:t>other</w:t>
      </w:r>
      <w:r>
        <w:rPr>
          <w:rFonts w:ascii="Calibri" w:hAnsi="Calibri"/>
          <w:spacing w:val="-3"/>
          <w:sz w:val="20"/>
        </w:rPr>
        <w:t> </w:t>
      </w:r>
      <w:r>
        <w:rPr>
          <w:rFonts w:ascii="Calibri" w:hAnsi="Calibri"/>
          <w:sz w:val="20"/>
        </w:rPr>
        <w:t>islands</w:t>
      </w:r>
      <w:r>
        <w:rPr>
          <w:rFonts w:ascii="Calibri" w:hAnsi="Calibri"/>
          <w:spacing w:val="-5"/>
          <w:sz w:val="20"/>
        </w:rPr>
        <w:t> </w:t>
      </w:r>
      <w:r>
        <w:rPr>
          <w:rFonts w:ascii="Calibri" w:hAnsi="Calibri"/>
          <w:sz w:val="20"/>
        </w:rPr>
        <w:t>within</w:t>
      </w:r>
      <w:r>
        <w:rPr>
          <w:rFonts w:ascii="Calibri" w:hAnsi="Calibri"/>
          <w:spacing w:val="-3"/>
          <w:sz w:val="20"/>
        </w:rPr>
        <w:t> </w:t>
      </w:r>
      <w:r>
        <w:rPr>
          <w:rFonts w:ascii="Calibri" w:hAnsi="Calibri"/>
          <w:sz w:val="20"/>
        </w:rPr>
        <w:t>its</w:t>
      </w:r>
      <w:r>
        <w:rPr>
          <w:rFonts w:ascii="Calibri" w:hAnsi="Calibri"/>
          <w:spacing w:val="-5"/>
          <w:sz w:val="20"/>
        </w:rPr>
        <w:t> </w:t>
      </w:r>
      <w:r>
        <w:rPr>
          <w:rFonts w:ascii="Calibri" w:hAnsi="Calibri"/>
          <w:sz w:val="20"/>
        </w:rPr>
        <w:t>competitive</w:t>
      </w:r>
      <w:r>
        <w:rPr>
          <w:rFonts w:ascii="Calibri" w:hAnsi="Calibri"/>
          <w:spacing w:val="-4"/>
          <w:sz w:val="20"/>
        </w:rPr>
        <w:t> </w:t>
      </w:r>
      <w:r>
        <w:rPr>
          <w:rFonts w:ascii="Calibri" w:hAnsi="Calibri"/>
          <w:spacing w:val="2"/>
          <w:sz w:val="20"/>
        </w:rPr>
        <w:t>set.</w:t>
      </w:r>
    </w:p>
    <w:p>
      <w:pPr>
        <w:pStyle w:val="ListParagraph"/>
        <w:numPr>
          <w:ilvl w:val="0"/>
          <w:numId w:val="12"/>
        </w:numPr>
        <w:tabs>
          <w:tab w:pos="2161" w:val="left" w:leader="none"/>
        </w:tabs>
        <w:spacing w:line="240" w:lineRule="auto" w:before="12" w:after="0"/>
        <w:ind w:left="2160" w:right="0" w:hanging="360"/>
        <w:jc w:val="left"/>
        <w:rPr>
          <w:rFonts w:ascii="Calibri" w:hAnsi="Calibri" w:cs="Calibri" w:eastAsia="Calibri" w:hint="default"/>
          <w:sz w:val="20"/>
          <w:szCs w:val="20"/>
        </w:rPr>
      </w:pPr>
      <w:r>
        <w:rPr>
          <w:rFonts w:ascii="Calibri" w:hAnsi="Calibri"/>
          <w:sz w:val="20"/>
        </w:rPr>
        <w:t>Curaçao</w:t>
      </w:r>
      <w:r>
        <w:rPr>
          <w:rFonts w:ascii="Calibri" w:hAnsi="Calibri"/>
          <w:spacing w:val="-2"/>
          <w:sz w:val="20"/>
        </w:rPr>
        <w:t> </w:t>
      </w:r>
      <w:r>
        <w:rPr>
          <w:rFonts w:ascii="Calibri" w:hAnsi="Calibri"/>
          <w:sz w:val="20"/>
        </w:rPr>
        <w:t>must</w:t>
      </w:r>
      <w:r>
        <w:rPr>
          <w:rFonts w:ascii="Calibri" w:hAnsi="Calibri"/>
          <w:spacing w:val="-3"/>
          <w:sz w:val="20"/>
        </w:rPr>
        <w:t> </w:t>
      </w:r>
      <w:r>
        <w:rPr>
          <w:rFonts w:ascii="Calibri" w:hAnsi="Calibri"/>
          <w:sz w:val="20"/>
        </w:rPr>
        <w:t>offer</w:t>
      </w:r>
      <w:r>
        <w:rPr>
          <w:rFonts w:ascii="Calibri" w:hAnsi="Calibri"/>
          <w:spacing w:val="-1"/>
          <w:sz w:val="20"/>
        </w:rPr>
        <w:t> </w:t>
      </w:r>
      <w:r>
        <w:rPr>
          <w:rFonts w:ascii="Calibri" w:hAnsi="Calibri"/>
          <w:sz w:val="20"/>
        </w:rPr>
        <w:t>more</w:t>
      </w:r>
      <w:r>
        <w:rPr>
          <w:rFonts w:ascii="Calibri" w:hAnsi="Calibri"/>
          <w:spacing w:val="-2"/>
          <w:sz w:val="20"/>
        </w:rPr>
        <w:t> </w:t>
      </w:r>
      <w:r>
        <w:rPr>
          <w:rFonts w:ascii="Calibri" w:hAnsi="Calibri"/>
          <w:sz w:val="20"/>
        </w:rPr>
        <w:t>value</w:t>
      </w:r>
      <w:r>
        <w:rPr>
          <w:rFonts w:ascii="Calibri" w:hAnsi="Calibri"/>
          <w:spacing w:val="-3"/>
          <w:sz w:val="20"/>
        </w:rPr>
        <w:t> </w:t>
      </w:r>
      <w:r>
        <w:rPr>
          <w:rFonts w:ascii="Calibri" w:hAnsi="Calibri"/>
          <w:sz w:val="20"/>
        </w:rPr>
        <w:t>to</w:t>
      </w:r>
      <w:r>
        <w:rPr>
          <w:rFonts w:ascii="Calibri" w:hAnsi="Calibri"/>
          <w:spacing w:val="-3"/>
          <w:sz w:val="20"/>
        </w:rPr>
        <w:t> </w:t>
      </w:r>
      <w:r>
        <w:rPr>
          <w:rFonts w:ascii="Calibri" w:hAnsi="Calibri"/>
          <w:sz w:val="20"/>
        </w:rPr>
        <w:t>its</w:t>
      </w:r>
      <w:r>
        <w:rPr>
          <w:rFonts w:ascii="Calibri" w:hAnsi="Calibri"/>
          <w:spacing w:val="-4"/>
          <w:sz w:val="20"/>
        </w:rPr>
        <w:t> </w:t>
      </w:r>
      <w:r>
        <w:rPr>
          <w:rFonts w:ascii="Calibri" w:hAnsi="Calibri"/>
          <w:sz w:val="20"/>
        </w:rPr>
        <w:t>tourists</w:t>
      </w:r>
      <w:r>
        <w:rPr>
          <w:rFonts w:ascii="Calibri" w:hAnsi="Calibri"/>
          <w:spacing w:val="-3"/>
          <w:sz w:val="20"/>
        </w:rPr>
        <w:t> </w:t>
      </w:r>
      <w:r>
        <w:rPr>
          <w:rFonts w:ascii="Calibri" w:hAnsi="Calibri"/>
          <w:sz w:val="20"/>
        </w:rPr>
        <w:t>than</w:t>
      </w:r>
      <w:r>
        <w:rPr>
          <w:rFonts w:ascii="Calibri" w:hAnsi="Calibri"/>
          <w:spacing w:val="-2"/>
          <w:sz w:val="20"/>
        </w:rPr>
        <w:t> </w:t>
      </w:r>
      <w:r>
        <w:rPr>
          <w:rFonts w:ascii="Calibri" w:hAnsi="Calibri"/>
          <w:sz w:val="20"/>
        </w:rPr>
        <w:t>other</w:t>
      </w:r>
      <w:r>
        <w:rPr>
          <w:rFonts w:ascii="Calibri" w:hAnsi="Calibri"/>
          <w:spacing w:val="-3"/>
          <w:sz w:val="20"/>
        </w:rPr>
        <w:t> </w:t>
      </w:r>
      <w:r>
        <w:rPr>
          <w:rFonts w:ascii="Calibri" w:hAnsi="Calibri"/>
          <w:sz w:val="20"/>
        </w:rPr>
        <w:t>islands</w:t>
      </w:r>
      <w:r>
        <w:rPr>
          <w:rFonts w:ascii="Calibri" w:hAnsi="Calibri"/>
          <w:spacing w:val="-4"/>
          <w:sz w:val="20"/>
        </w:rPr>
        <w:t> </w:t>
      </w:r>
      <w:r>
        <w:rPr>
          <w:rFonts w:ascii="Calibri" w:hAnsi="Calibri"/>
          <w:sz w:val="20"/>
        </w:rPr>
        <w:t>within</w:t>
      </w:r>
      <w:r>
        <w:rPr>
          <w:rFonts w:ascii="Calibri" w:hAnsi="Calibri"/>
          <w:spacing w:val="-3"/>
          <w:sz w:val="20"/>
        </w:rPr>
        <w:t> </w:t>
      </w:r>
      <w:r>
        <w:rPr>
          <w:rFonts w:ascii="Calibri" w:hAnsi="Calibri"/>
          <w:sz w:val="20"/>
        </w:rPr>
        <w:t>its</w:t>
      </w:r>
      <w:r>
        <w:rPr>
          <w:rFonts w:ascii="Calibri" w:hAnsi="Calibri"/>
          <w:spacing w:val="-4"/>
          <w:sz w:val="20"/>
        </w:rPr>
        <w:t> </w:t>
      </w:r>
      <w:r>
        <w:rPr>
          <w:rFonts w:ascii="Calibri" w:hAnsi="Calibri"/>
          <w:sz w:val="20"/>
        </w:rPr>
        <w:t>competitive</w:t>
      </w:r>
      <w:r>
        <w:rPr>
          <w:rFonts w:ascii="Calibri" w:hAnsi="Calibri"/>
          <w:spacing w:val="-3"/>
          <w:sz w:val="20"/>
        </w:rPr>
        <w:t> </w:t>
      </w:r>
      <w:r>
        <w:rPr>
          <w:rFonts w:ascii="Calibri" w:hAnsi="Calibri"/>
          <w:sz w:val="20"/>
        </w:rPr>
        <w:t>set.</w:t>
      </w:r>
    </w:p>
    <w:p>
      <w:pPr>
        <w:pStyle w:val="BodyText"/>
        <w:spacing w:line="240" w:lineRule="auto" w:before="171"/>
        <w:ind w:right="1435"/>
        <w:jc w:val="both"/>
      </w:pPr>
      <w:r>
        <w:rPr/>
        <w:t>This is important information for tourism officials to retain in order to entice American tourists to select Curaçao as their choice vacation destination. This is especially true when considering the volatile nature of Curaçao</w:t>
      </w:r>
      <w:r>
        <w:rPr>
          <w:rFonts w:ascii="Calibri" w:hAnsi="Calibri" w:cs="Calibri" w:eastAsia="Calibri" w:hint="default"/>
        </w:rPr>
        <w:t>’s main </w:t>
      </w:r>
      <w:r>
        <w:rPr/>
        <w:t>trading partner and secondary tourist market, the Venezuelans. Curaçao cannot make itself vulnerable to the uncertain situation in Venezuela that results in undesirable shifts in tourism demand. Therefore, the income elasticity that is observed within the American market provides Curaçao</w:t>
      </w:r>
      <w:r>
        <w:rPr>
          <w:rFonts w:ascii="Calibri" w:hAnsi="Calibri" w:cs="Calibri" w:eastAsia="Calibri" w:hint="default"/>
        </w:rPr>
        <w:t>’s tourism industry a firm foundation and </w:t>
      </w:r>
      <w:r>
        <w:rPr/>
        <w:t>stable</w:t>
      </w:r>
      <w:r>
        <w:rPr>
          <w:spacing w:val="-8"/>
        </w:rPr>
        <w:t> </w:t>
      </w:r>
      <w:r>
        <w:rPr/>
        <w:t>demand.</w:t>
      </w:r>
    </w:p>
    <w:p>
      <w:pPr>
        <w:spacing w:line="240" w:lineRule="auto" w:before="11"/>
        <w:ind w:right="0"/>
        <w:rPr>
          <w:rFonts w:ascii="Calibri" w:hAnsi="Calibri" w:cs="Calibri" w:eastAsia="Calibri" w:hint="default"/>
          <w:sz w:val="19"/>
          <w:szCs w:val="19"/>
        </w:rPr>
      </w:pPr>
    </w:p>
    <w:p>
      <w:pPr>
        <w:pStyle w:val="BodyText"/>
        <w:spacing w:line="240" w:lineRule="auto"/>
        <w:ind w:right="1433"/>
        <w:jc w:val="both"/>
      </w:pPr>
      <w:r>
        <w:rPr/>
        <w:t>And, fifth, it is necessary for Curaçao to emotionally connect with American tourists. As previously indicated, the consumption of tourism-related experiences should be constructed in a manner that creates memorable experiences through emotional connections. The consumption of tourism-related products include the emotional connection amongst tourists and local residents. The data reveals that tourists are more positive about the service delivery of tourist offerings and the hospitality provided by local service employees </w:t>
      </w:r>
      <w:r>
        <w:rPr>
          <w:spacing w:val="3"/>
        </w:rPr>
        <w:t>than </w:t>
      </w:r>
      <w:r>
        <w:rPr/>
        <w:t>that of the local people. </w:t>
      </w:r>
      <w:r>
        <w:rPr/>
        <w:t>The local people view their own service standards, capabilities, and interactions with visitors more negatively than do the</w:t>
      </w:r>
      <w:r>
        <w:rPr>
          <w:spacing w:val="-7"/>
        </w:rPr>
        <w:t> </w:t>
      </w:r>
      <w:r>
        <w:rPr/>
        <w:t>tourists.</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1" w:after="0"/>
        <w:ind w:right="0"/>
        <w:rPr>
          <w:rFonts w:ascii="Calibri" w:hAnsi="Calibri" w:cs="Calibri" w:eastAsia="Calibri" w:hint="default"/>
          <w:sz w:val="29"/>
          <w:szCs w:val="29"/>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before="91"/>
        <w:ind w:left="1440" w:right="0" w:firstLine="0"/>
        <w:jc w:val="left"/>
        <w:rPr>
          <w:rFonts w:ascii="Calibri" w:hAnsi="Calibri" w:cs="Calibri" w:eastAsia="Calibri" w:hint="default"/>
          <w:sz w:val="16"/>
          <w:szCs w:val="16"/>
        </w:rPr>
      </w:pPr>
      <w:r>
        <w:rPr>
          <w:rFonts w:ascii="Calibri"/>
          <w:position w:val="5"/>
          <w:sz w:val="12"/>
        </w:rPr>
        <w:t>66 </w:t>
      </w:r>
      <w:r>
        <w:rPr>
          <w:rFonts w:ascii="Calibri"/>
          <w:sz w:val="16"/>
        </w:rPr>
        <w:t>See MasterCard</w:t>
      </w:r>
      <w:r>
        <w:rPr>
          <w:rFonts w:ascii="Calibri"/>
          <w:spacing w:val="-27"/>
          <w:sz w:val="16"/>
        </w:rPr>
        <w:t> </w:t>
      </w:r>
      <w:r>
        <w:rPr>
          <w:rFonts w:ascii="Calibri"/>
          <w:color w:val="0462C1"/>
          <w:spacing w:val="-27"/>
          <w:sz w:val="16"/>
        </w:rPr>
      </w:r>
      <w:hyperlink r:id="rId70">
        <w:r>
          <w:rPr>
            <w:rFonts w:ascii="Calibri"/>
            <w:color w:val="0462C1"/>
            <w:sz w:val="16"/>
            <w:u w:val="single" w:color="0462C1"/>
          </w:rPr>
          <w:t>http://www.mastercard.com/assetfile/nc/1003/MCA/MCA/142/AssetViewServlet13.pdf</w:t>
        </w:r>
        <w:r>
          <w:rPr>
            <w:rFonts w:ascii="Calibri"/>
            <w:color w:val="0462C1"/>
            <w:sz w:val="16"/>
          </w:rPr>
        </w:r>
        <w:r>
          <w:rPr>
            <w:rFonts w:ascii="Calibri"/>
            <w:sz w:val="16"/>
          </w:rPr>
          <w:t>.</w:t>
        </w:r>
      </w:hyperlink>
    </w:p>
    <w:p>
      <w:pPr>
        <w:spacing w:line="242" w:lineRule="auto" w:before="13"/>
        <w:ind w:left="1440" w:right="1447" w:firstLine="0"/>
        <w:jc w:val="left"/>
        <w:rPr>
          <w:rFonts w:ascii="Calibri" w:hAnsi="Calibri" w:cs="Calibri" w:eastAsia="Calibri" w:hint="default"/>
          <w:sz w:val="16"/>
          <w:szCs w:val="16"/>
        </w:rPr>
      </w:pPr>
      <w:r>
        <w:rPr>
          <w:rFonts w:ascii="Calibri" w:hAnsi="Calibri" w:cs="Calibri" w:eastAsia="Calibri" w:hint="default"/>
          <w:position w:val="5"/>
          <w:sz w:val="12"/>
          <w:szCs w:val="12"/>
        </w:rPr>
        <w:t>67 </w:t>
      </w:r>
      <w:r>
        <w:rPr>
          <w:rFonts w:ascii="Calibri" w:hAnsi="Calibri" w:cs="Calibri" w:eastAsia="Calibri" w:hint="default"/>
          <w:sz w:val="16"/>
          <w:szCs w:val="16"/>
        </w:rPr>
        <w:t>The OLS results are based on a second order difference estimation that reveals an income elasticity of 7.1735 at 10% level of significance. The </w:t>
      </w:r>
      <w:r>
        <w:rPr>
          <w:rFonts w:ascii="Calibri" w:hAnsi="Calibri" w:cs="Calibri" w:eastAsia="Calibri" w:hint="default"/>
          <w:sz w:val="16"/>
          <w:szCs w:val="16"/>
        </w:rPr>
        <w:t>R-square was 0.4018; a DW= 1.643393; F-stat=2.492428 (p=0.0777); Breusch</w:t>
      </w:r>
      <w:r>
        <w:rPr>
          <w:rFonts w:ascii="Calibri" w:hAnsi="Calibri" w:cs="Calibri" w:eastAsia="Calibri" w:hint="default"/>
          <w:sz w:val="16"/>
          <w:szCs w:val="16"/>
        </w:rPr>
        <w:t>–</w:t>
      </w:r>
      <w:r>
        <w:rPr>
          <w:rFonts w:ascii="Calibri" w:hAnsi="Calibri" w:cs="Calibri" w:eastAsia="Calibri" w:hint="default"/>
          <w:sz w:val="16"/>
          <w:szCs w:val="16"/>
        </w:rPr>
        <w:t>Godfrey LM test =3.7021 (p=0.1571); and Breusch</w:t>
      </w:r>
      <w:r>
        <w:rPr>
          <w:rFonts w:ascii="Calibri" w:hAnsi="Calibri" w:cs="Calibri" w:eastAsia="Calibri" w:hint="default"/>
          <w:sz w:val="16"/>
          <w:szCs w:val="16"/>
        </w:rPr>
        <w:t>–</w:t>
      </w:r>
      <w:r>
        <w:rPr>
          <w:rFonts w:ascii="Calibri" w:hAnsi="Calibri" w:cs="Calibri" w:eastAsia="Calibri" w:hint="default"/>
          <w:sz w:val="16"/>
          <w:szCs w:val="16"/>
        </w:rPr>
        <w:t>Pagan/Cook</w:t>
      </w:r>
      <w:r>
        <w:rPr>
          <w:rFonts w:ascii="Calibri" w:hAnsi="Calibri" w:cs="Calibri" w:eastAsia="Calibri" w:hint="default"/>
          <w:sz w:val="16"/>
          <w:szCs w:val="16"/>
        </w:rPr>
        <w:t>– </w:t>
      </w:r>
      <w:r>
        <w:rPr>
          <w:rFonts w:ascii="Calibri" w:hAnsi="Calibri" w:cs="Calibri" w:eastAsia="Calibri" w:hint="default"/>
          <w:sz w:val="16"/>
          <w:szCs w:val="16"/>
        </w:rPr>
        <w:t>Weisberg test=6.4957</w:t>
      </w:r>
      <w:r>
        <w:rPr>
          <w:rFonts w:ascii="Calibri" w:hAnsi="Calibri" w:cs="Calibri" w:eastAsia="Calibri" w:hint="default"/>
          <w:spacing w:val="-6"/>
          <w:sz w:val="16"/>
          <w:szCs w:val="16"/>
        </w:rPr>
        <w:t> </w:t>
      </w:r>
      <w:r>
        <w:rPr>
          <w:rFonts w:ascii="Calibri" w:hAnsi="Calibri" w:cs="Calibri" w:eastAsia="Calibri" w:hint="default"/>
          <w:sz w:val="16"/>
          <w:szCs w:val="16"/>
        </w:rPr>
        <w:t>(p=0.6895).</w:t>
      </w:r>
    </w:p>
    <w:p>
      <w:pPr>
        <w:spacing w:after="0" w:line="242"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6"/>
        <w:jc w:val="both"/>
        <w:rPr>
          <w:rFonts w:ascii="Calibri" w:hAnsi="Calibri" w:cs="Calibri" w:eastAsia="Calibri" w:hint="default"/>
        </w:rPr>
      </w:pPr>
      <w:r>
        <w:rPr/>
        <w:t>The</w:t>
      </w:r>
      <w:r>
        <w:rPr>
          <w:spacing w:val="-12"/>
        </w:rPr>
        <w:t> </w:t>
      </w:r>
      <w:r>
        <w:rPr/>
        <w:t>take</w:t>
      </w:r>
      <w:r>
        <w:rPr>
          <w:spacing w:val="-12"/>
        </w:rPr>
        <w:t> </w:t>
      </w:r>
      <w:r>
        <w:rPr/>
        <w:t>away</w:t>
      </w:r>
      <w:r>
        <w:rPr>
          <w:spacing w:val="-10"/>
        </w:rPr>
        <w:t> </w:t>
      </w:r>
      <w:r>
        <w:rPr/>
        <w:t>here</w:t>
      </w:r>
      <w:r>
        <w:rPr>
          <w:spacing w:val="-12"/>
        </w:rPr>
        <w:t> </w:t>
      </w:r>
      <w:r>
        <w:rPr/>
        <w:t>is</w:t>
      </w:r>
      <w:r>
        <w:rPr>
          <w:spacing w:val="-13"/>
        </w:rPr>
        <w:t> </w:t>
      </w:r>
      <w:r>
        <w:rPr/>
        <w:t>that</w:t>
      </w:r>
      <w:r>
        <w:rPr>
          <w:spacing w:val="-11"/>
        </w:rPr>
        <w:t> </w:t>
      </w:r>
      <w:r>
        <w:rPr/>
        <w:t>Curaçao</w:t>
      </w:r>
      <w:r>
        <w:rPr>
          <w:spacing w:val="-11"/>
        </w:rPr>
        <w:t> </w:t>
      </w:r>
      <w:r>
        <w:rPr/>
        <w:t>residents</w:t>
      </w:r>
      <w:r>
        <w:rPr>
          <w:spacing w:val="-13"/>
        </w:rPr>
        <w:t> </w:t>
      </w:r>
      <w:r>
        <w:rPr/>
        <w:t>reflect</w:t>
      </w:r>
      <w:r>
        <w:rPr>
          <w:spacing w:val="-11"/>
        </w:rPr>
        <w:t> </w:t>
      </w:r>
      <w:r>
        <w:rPr/>
        <w:t>poorly</w:t>
      </w:r>
      <w:r>
        <w:rPr>
          <w:spacing w:val="-11"/>
        </w:rPr>
        <w:t> </w:t>
      </w:r>
      <w:r>
        <w:rPr/>
        <w:t>upon</w:t>
      </w:r>
      <w:r>
        <w:rPr>
          <w:spacing w:val="-11"/>
        </w:rPr>
        <w:t> </w:t>
      </w:r>
      <w:r>
        <w:rPr/>
        <w:t>themselves</w:t>
      </w:r>
      <w:r>
        <w:rPr>
          <w:spacing w:val="-10"/>
        </w:rPr>
        <w:t> </w:t>
      </w:r>
      <w:r>
        <w:rPr/>
        <w:t>with</w:t>
      </w:r>
      <w:r>
        <w:rPr>
          <w:spacing w:val="-11"/>
        </w:rPr>
        <w:t> </w:t>
      </w:r>
      <w:r>
        <w:rPr/>
        <w:t>regard</w:t>
      </w:r>
      <w:r>
        <w:rPr>
          <w:spacing w:val="-8"/>
        </w:rPr>
        <w:t> </w:t>
      </w:r>
      <w:r>
        <w:rPr/>
        <w:t>to</w:t>
      </w:r>
      <w:r>
        <w:rPr>
          <w:spacing w:val="-11"/>
        </w:rPr>
        <w:t> </w:t>
      </w:r>
      <w:r>
        <w:rPr/>
        <w:t>the</w:t>
      </w:r>
      <w:r>
        <w:rPr>
          <w:spacing w:val="-12"/>
        </w:rPr>
        <w:t> </w:t>
      </w:r>
      <w:r>
        <w:rPr/>
        <w:t>quality</w:t>
      </w:r>
      <w:r>
        <w:rPr>
          <w:spacing w:val="-11"/>
        </w:rPr>
        <w:t> </w:t>
      </w:r>
      <w:r>
        <w:rPr/>
        <w:t>of</w:t>
      </w:r>
      <w:r>
        <w:rPr>
          <w:spacing w:val="-12"/>
        </w:rPr>
        <w:t> </w:t>
      </w:r>
      <w:r>
        <w:rPr/>
        <w:t>the</w:t>
      </w:r>
      <w:r>
        <w:rPr>
          <w:spacing w:val="-12"/>
        </w:rPr>
        <w:t> </w:t>
      </w:r>
      <w:r>
        <w:rPr/>
        <w:t>tourism </w:t>
      </w:r>
      <w:r>
        <w:rPr/>
        <w:t>services they are able to offer tourists; yet, the tourists indicate they are satisfied with the service. That the locals do not possess the confidence in their ability to deliver high service quality is an unfortunate circumstance. Eventually, if locals continue to believe that they perform poorly, the overall service quality will erode and lead to less</w:t>
      </w:r>
      <w:r>
        <w:rPr>
          <w:spacing w:val="-7"/>
        </w:rPr>
        <w:t> </w:t>
      </w:r>
      <w:r>
        <w:rPr/>
        <w:t>emotional</w:t>
      </w:r>
      <w:r>
        <w:rPr>
          <w:spacing w:val="-5"/>
        </w:rPr>
        <w:t> </w:t>
      </w:r>
      <w:r>
        <w:rPr/>
        <w:t>connections</w:t>
      </w:r>
      <w:r>
        <w:rPr>
          <w:spacing w:val="-7"/>
        </w:rPr>
        <w:t> </w:t>
      </w:r>
      <w:r>
        <w:rPr/>
        <w:t>between</w:t>
      </w:r>
      <w:r>
        <w:rPr>
          <w:spacing w:val="-5"/>
        </w:rPr>
        <w:t> </w:t>
      </w:r>
      <w:r>
        <w:rPr/>
        <w:t>residents</w:t>
      </w:r>
      <w:r>
        <w:rPr>
          <w:spacing w:val="-6"/>
        </w:rPr>
        <w:t> </w:t>
      </w:r>
      <w:r>
        <w:rPr/>
        <w:t>and</w:t>
      </w:r>
      <w:r>
        <w:rPr>
          <w:spacing w:val="-5"/>
        </w:rPr>
        <w:t> </w:t>
      </w:r>
      <w:r>
        <w:rPr/>
        <w:t>tourists.</w:t>
      </w:r>
      <w:r>
        <w:rPr>
          <w:spacing w:val="-4"/>
        </w:rPr>
        <w:t> </w:t>
      </w:r>
      <w:r>
        <w:rPr/>
        <w:t>Thus,</w:t>
      </w:r>
      <w:r>
        <w:rPr>
          <w:spacing w:val="-5"/>
        </w:rPr>
        <w:t> </w:t>
      </w:r>
      <w:r>
        <w:rPr/>
        <w:t>the</w:t>
      </w:r>
      <w:r>
        <w:rPr>
          <w:spacing w:val="-6"/>
        </w:rPr>
        <w:t> </w:t>
      </w:r>
      <w:r>
        <w:rPr/>
        <w:t>result</w:t>
      </w:r>
      <w:r>
        <w:rPr>
          <w:spacing w:val="-4"/>
        </w:rPr>
        <w:t> </w:t>
      </w:r>
      <w:r>
        <w:rPr/>
        <w:t>equates</w:t>
      </w:r>
      <w:r>
        <w:rPr>
          <w:spacing w:val="-6"/>
        </w:rPr>
        <w:t> </w:t>
      </w:r>
      <w:r>
        <w:rPr/>
        <w:t>to</w:t>
      </w:r>
      <w:r>
        <w:rPr>
          <w:spacing w:val="-5"/>
        </w:rPr>
        <w:t> </w:t>
      </w:r>
      <w:r>
        <w:rPr/>
        <w:t>less</w:t>
      </w:r>
      <w:r>
        <w:rPr>
          <w:spacing w:val="-6"/>
        </w:rPr>
        <w:t> </w:t>
      </w:r>
      <w:r>
        <w:rPr/>
        <w:t>memorable</w:t>
      </w:r>
      <w:r>
        <w:rPr>
          <w:spacing w:val="-6"/>
        </w:rPr>
        <w:t> </w:t>
      </w:r>
      <w:r>
        <w:rPr/>
        <w:t>experiences </w:t>
      </w:r>
      <w:r>
        <w:rPr/>
      </w:r>
      <w:r>
        <w:rPr>
          <w:rFonts w:ascii="Calibri" w:hAnsi="Calibri" w:cs="Calibri" w:eastAsia="Calibri" w:hint="default"/>
        </w:rPr>
        <w:t>for Curaçao’s</w:t>
      </w:r>
      <w:r>
        <w:rPr>
          <w:rFonts w:ascii="Calibri" w:hAnsi="Calibri" w:cs="Calibri" w:eastAsia="Calibri" w:hint="default"/>
          <w:spacing w:val="-10"/>
        </w:rPr>
        <w:t> </w:t>
      </w:r>
      <w:r>
        <w:rPr>
          <w:rFonts w:ascii="Calibri" w:hAnsi="Calibri" w:cs="Calibri" w:eastAsia="Calibri" w:hint="default"/>
        </w:rPr>
        <w:t>tourists.</w:t>
      </w:r>
    </w:p>
    <w:p>
      <w:pPr>
        <w:pStyle w:val="Heading2"/>
        <w:spacing w:line="240" w:lineRule="auto" w:before="35"/>
        <w:ind w:right="0"/>
        <w:jc w:val="both"/>
        <w:rPr>
          <w:b w:val="0"/>
          <w:bCs w:val="0"/>
        </w:rPr>
      </w:pPr>
      <w:bookmarkStart w:name="_bookmark156" w:id="157"/>
      <w:bookmarkEnd w:id="157"/>
      <w:r>
        <w:rPr>
          <w:b w:val="0"/>
        </w:rPr>
      </w:r>
      <w:r>
        <w:rPr/>
        <w:t>Main goals: Economic and job</w:t>
      </w:r>
      <w:r>
        <w:rPr>
          <w:spacing w:val="-17"/>
        </w:rPr>
        <w:t> </w:t>
      </w:r>
      <w:r>
        <w:rPr/>
        <w:t>growth</w:t>
      </w:r>
      <w:r>
        <w:rPr>
          <w:b w:val="0"/>
        </w:rPr>
      </w:r>
    </w:p>
    <w:p>
      <w:pPr>
        <w:pStyle w:val="BodyText"/>
        <w:spacing w:line="240" w:lineRule="auto" w:before="191"/>
        <w:ind w:right="1441"/>
        <w:jc w:val="both"/>
      </w:pPr>
      <w:r>
        <w:rPr/>
        <w:t>The strategic map (Figure 30) provides pathways to accomplish the three main goals that (if achieved) will convert Curaçao into the most desired island in the Caribbean. As discussed in the previous chapter, those three goals are as</w:t>
      </w:r>
      <w:r>
        <w:rPr>
          <w:spacing w:val="-6"/>
        </w:rPr>
        <w:t> </w:t>
      </w:r>
      <w:r>
        <w:rPr/>
        <w:t>follows:</w:t>
      </w:r>
    </w:p>
    <w:p>
      <w:pPr>
        <w:pStyle w:val="ListParagraph"/>
        <w:numPr>
          <w:ilvl w:val="0"/>
          <w:numId w:val="13"/>
        </w:numPr>
        <w:tabs>
          <w:tab w:pos="2161" w:val="left" w:leader="none"/>
        </w:tabs>
        <w:spacing w:line="240" w:lineRule="auto" w:before="0" w:after="0"/>
        <w:ind w:left="2160" w:right="0" w:hanging="360"/>
        <w:jc w:val="left"/>
        <w:rPr>
          <w:rFonts w:ascii="Calibri" w:hAnsi="Calibri" w:cs="Calibri" w:eastAsia="Calibri" w:hint="default"/>
          <w:sz w:val="20"/>
          <w:szCs w:val="20"/>
        </w:rPr>
      </w:pPr>
      <w:r>
        <w:rPr>
          <w:rFonts w:ascii="Calibri"/>
          <w:sz w:val="20"/>
        </w:rPr>
        <w:t>Tourism must boost economic</w:t>
      </w:r>
      <w:r>
        <w:rPr>
          <w:rFonts w:ascii="Calibri"/>
          <w:spacing w:val="-14"/>
          <w:sz w:val="20"/>
        </w:rPr>
        <w:t> </w:t>
      </w:r>
      <w:r>
        <w:rPr>
          <w:rFonts w:ascii="Calibri"/>
          <w:sz w:val="20"/>
        </w:rPr>
        <w:t>growth,</w:t>
      </w:r>
    </w:p>
    <w:p>
      <w:pPr>
        <w:spacing w:line="240" w:lineRule="auto" w:before="1"/>
        <w:ind w:right="0"/>
        <w:rPr>
          <w:rFonts w:ascii="Calibri" w:hAnsi="Calibri" w:cs="Calibri" w:eastAsia="Calibri" w:hint="default"/>
          <w:sz w:val="20"/>
          <w:szCs w:val="20"/>
        </w:rPr>
      </w:pPr>
    </w:p>
    <w:p>
      <w:pPr>
        <w:pStyle w:val="ListParagraph"/>
        <w:numPr>
          <w:ilvl w:val="0"/>
          <w:numId w:val="13"/>
        </w:numPr>
        <w:tabs>
          <w:tab w:pos="2161" w:val="left" w:leader="none"/>
        </w:tabs>
        <w:spacing w:line="240" w:lineRule="auto" w:before="0" w:after="0"/>
        <w:ind w:left="2160" w:right="0" w:hanging="360"/>
        <w:jc w:val="left"/>
        <w:rPr>
          <w:rFonts w:ascii="Calibri" w:hAnsi="Calibri" w:cs="Calibri" w:eastAsia="Calibri" w:hint="default"/>
          <w:sz w:val="20"/>
          <w:szCs w:val="20"/>
        </w:rPr>
      </w:pPr>
      <w:r>
        <w:rPr>
          <w:rFonts w:ascii="Calibri"/>
          <w:sz w:val="20"/>
        </w:rPr>
        <w:t>Tourism must spawn new jobs and accelerate job</w:t>
      </w:r>
      <w:r>
        <w:rPr>
          <w:rFonts w:ascii="Calibri"/>
          <w:spacing w:val="-13"/>
          <w:sz w:val="20"/>
        </w:rPr>
        <w:t> </w:t>
      </w:r>
      <w:r>
        <w:rPr>
          <w:rFonts w:ascii="Calibri"/>
          <w:sz w:val="20"/>
        </w:rPr>
        <w:t>creation,</w:t>
      </w:r>
    </w:p>
    <w:p>
      <w:pPr>
        <w:spacing w:line="240" w:lineRule="auto" w:before="12"/>
        <w:ind w:right="0"/>
        <w:rPr>
          <w:rFonts w:ascii="Calibri" w:hAnsi="Calibri" w:cs="Calibri" w:eastAsia="Calibri" w:hint="default"/>
          <w:sz w:val="19"/>
          <w:szCs w:val="19"/>
        </w:rPr>
      </w:pPr>
    </w:p>
    <w:p>
      <w:pPr>
        <w:pStyle w:val="ListParagraph"/>
        <w:numPr>
          <w:ilvl w:val="0"/>
          <w:numId w:val="13"/>
        </w:numPr>
        <w:tabs>
          <w:tab w:pos="2161" w:val="left" w:leader="none"/>
        </w:tabs>
        <w:spacing w:line="240" w:lineRule="auto" w:before="0" w:after="0"/>
        <w:ind w:left="2160" w:right="0" w:hanging="360"/>
        <w:jc w:val="left"/>
        <w:rPr>
          <w:rFonts w:ascii="Calibri" w:hAnsi="Calibri" w:cs="Calibri" w:eastAsia="Calibri" w:hint="default"/>
          <w:sz w:val="20"/>
          <w:szCs w:val="20"/>
        </w:rPr>
      </w:pPr>
      <w:r>
        <w:rPr>
          <w:rFonts w:ascii="Calibri"/>
          <w:sz w:val="20"/>
        </w:rPr>
        <w:t>Consolidation of the lodging industry must</w:t>
      </w:r>
      <w:r>
        <w:rPr>
          <w:rFonts w:ascii="Calibri"/>
          <w:spacing w:val="-13"/>
          <w:sz w:val="20"/>
        </w:rPr>
        <w:t> </w:t>
      </w:r>
      <w:r>
        <w:rPr>
          <w:rFonts w:ascii="Calibri"/>
          <w:sz w:val="20"/>
        </w:rPr>
        <w:t>occur.</w:t>
      </w:r>
    </w:p>
    <w:p>
      <w:pPr>
        <w:spacing w:line="240" w:lineRule="auto" w:before="0"/>
        <w:ind w:right="0"/>
        <w:rPr>
          <w:rFonts w:ascii="Calibri" w:hAnsi="Calibri" w:cs="Calibri" w:eastAsia="Calibri" w:hint="default"/>
          <w:sz w:val="20"/>
          <w:szCs w:val="20"/>
        </w:rPr>
      </w:pPr>
    </w:p>
    <w:p>
      <w:pPr>
        <w:pStyle w:val="BodyText"/>
        <w:spacing w:line="240" w:lineRule="auto" w:before="159"/>
        <w:ind w:right="1439"/>
        <w:jc w:val="both"/>
      </w:pPr>
      <w:r>
        <w:rPr/>
        <w:t>Curaçao should become the most desirable destination in the Caribbean. Becoming the most desirable destination in the Caribbean is directly associated with increased economic and job growth. The goal is to </w:t>
      </w:r>
      <w:r>
        <w:rPr>
          <w:spacing w:val="2"/>
        </w:rPr>
        <w:t>push </w:t>
      </w:r>
      <w:r>
        <w:rPr/>
        <w:t>real economic </w:t>
      </w:r>
      <w:r>
        <w:rPr/>
        <w:t>growth at an annual average of 2%, while spawning nearly 4,000 jobs by year 5 of the plan. In so doing, tourism </w:t>
      </w:r>
      <w:r>
        <w:rPr>
          <w:rFonts w:ascii="Calibri" w:hAnsi="Calibri" w:cs="Calibri" w:eastAsia="Calibri" w:hint="default"/>
        </w:rPr>
        <w:t>would</w:t>
      </w:r>
      <w:r>
        <w:rPr>
          <w:rFonts w:ascii="Calibri" w:hAnsi="Calibri" w:cs="Calibri" w:eastAsia="Calibri" w:hint="default"/>
          <w:spacing w:val="-6"/>
        </w:rPr>
        <w:t> </w:t>
      </w:r>
      <w:r>
        <w:rPr>
          <w:rFonts w:ascii="Calibri" w:hAnsi="Calibri" w:cs="Calibri" w:eastAsia="Calibri" w:hint="default"/>
        </w:rPr>
        <w:t>become</w:t>
      </w:r>
      <w:r>
        <w:rPr>
          <w:rFonts w:ascii="Calibri" w:hAnsi="Calibri" w:cs="Calibri" w:eastAsia="Calibri" w:hint="default"/>
          <w:spacing w:val="-8"/>
        </w:rPr>
        <w:t> </w:t>
      </w:r>
      <w:r>
        <w:rPr>
          <w:rFonts w:ascii="Calibri" w:hAnsi="Calibri" w:cs="Calibri" w:eastAsia="Calibri" w:hint="default"/>
        </w:rPr>
        <w:t>a</w:t>
      </w:r>
      <w:r>
        <w:rPr>
          <w:rFonts w:ascii="Calibri" w:hAnsi="Calibri" w:cs="Calibri" w:eastAsia="Calibri" w:hint="default"/>
          <w:spacing w:val="-6"/>
        </w:rPr>
        <w:t> </w:t>
      </w:r>
      <w:r>
        <w:rPr>
          <w:rFonts w:ascii="Calibri" w:hAnsi="Calibri" w:cs="Calibri" w:eastAsia="Calibri" w:hint="default"/>
        </w:rPr>
        <w:t>means</w:t>
      </w:r>
      <w:r>
        <w:rPr>
          <w:rFonts w:ascii="Calibri" w:hAnsi="Calibri" w:cs="Calibri" w:eastAsia="Calibri" w:hint="default"/>
          <w:spacing w:val="-8"/>
        </w:rPr>
        <w:t> </w:t>
      </w:r>
      <w:r>
        <w:rPr>
          <w:rFonts w:ascii="Calibri" w:hAnsi="Calibri" w:cs="Calibri" w:eastAsia="Calibri" w:hint="default"/>
        </w:rPr>
        <w:t>to</w:t>
      </w:r>
      <w:r>
        <w:rPr>
          <w:rFonts w:ascii="Calibri" w:hAnsi="Calibri" w:cs="Calibri" w:eastAsia="Calibri" w:hint="default"/>
          <w:spacing w:val="-6"/>
        </w:rPr>
        <w:t> </w:t>
      </w:r>
      <w:r>
        <w:rPr>
          <w:rFonts w:ascii="Calibri" w:hAnsi="Calibri" w:cs="Calibri" w:eastAsia="Calibri" w:hint="default"/>
        </w:rPr>
        <w:t>increase</w:t>
      </w:r>
      <w:r>
        <w:rPr>
          <w:rFonts w:ascii="Calibri" w:hAnsi="Calibri" w:cs="Calibri" w:eastAsia="Calibri" w:hint="default"/>
          <w:spacing w:val="-8"/>
        </w:rPr>
        <w:t> </w:t>
      </w:r>
      <w:r>
        <w:rPr>
          <w:rFonts w:ascii="Calibri" w:hAnsi="Calibri" w:cs="Calibri" w:eastAsia="Calibri" w:hint="default"/>
        </w:rPr>
        <w:t>economic</w:t>
      </w:r>
      <w:r>
        <w:rPr>
          <w:rFonts w:ascii="Calibri" w:hAnsi="Calibri" w:cs="Calibri" w:eastAsia="Calibri" w:hint="default"/>
          <w:spacing w:val="-7"/>
        </w:rPr>
        <w:t> </w:t>
      </w:r>
      <w:r>
        <w:rPr>
          <w:rFonts w:ascii="Calibri" w:hAnsi="Calibri" w:cs="Calibri" w:eastAsia="Calibri" w:hint="default"/>
        </w:rPr>
        <w:t>welfare</w:t>
      </w:r>
      <w:r>
        <w:rPr>
          <w:rFonts w:ascii="Calibri" w:hAnsi="Calibri" w:cs="Calibri" w:eastAsia="Calibri" w:hint="default"/>
          <w:spacing w:val="-8"/>
        </w:rPr>
        <w:t> </w:t>
      </w:r>
      <w:r>
        <w:rPr>
          <w:rFonts w:ascii="Calibri" w:hAnsi="Calibri" w:cs="Calibri" w:eastAsia="Calibri" w:hint="default"/>
        </w:rPr>
        <w:t>and</w:t>
      </w:r>
      <w:r>
        <w:rPr>
          <w:rFonts w:ascii="Calibri" w:hAnsi="Calibri" w:cs="Calibri" w:eastAsia="Calibri" w:hint="default"/>
          <w:spacing w:val="-6"/>
        </w:rPr>
        <w:t> </w:t>
      </w:r>
      <w:r>
        <w:rPr>
          <w:rFonts w:ascii="Calibri" w:hAnsi="Calibri" w:cs="Calibri" w:eastAsia="Calibri" w:hint="default"/>
        </w:rPr>
        <w:t>job</w:t>
      </w:r>
      <w:r>
        <w:rPr>
          <w:rFonts w:ascii="Calibri" w:hAnsi="Calibri" w:cs="Calibri" w:eastAsia="Calibri" w:hint="default"/>
          <w:spacing w:val="-6"/>
        </w:rPr>
        <w:t> </w:t>
      </w:r>
      <w:r>
        <w:rPr>
          <w:rFonts w:ascii="Calibri" w:hAnsi="Calibri" w:cs="Calibri" w:eastAsia="Calibri" w:hint="default"/>
        </w:rPr>
        <w:t>growth</w:t>
      </w:r>
      <w:r>
        <w:rPr>
          <w:rFonts w:ascii="Calibri" w:hAnsi="Calibri" w:cs="Calibri" w:eastAsia="Calibri" w:hint="default"/>
          <w:spacing w:val="-6"/>
        </w:rPr>
        <w:t> </w:t>
      </w:r>
      <w:r>
        <w:rPr>
          <w:rFonts w:ascii="Calibri" w:hAnsi="Calibri" w:cs="Calibri" w:eastAsia="Calibri" w:hint="default"/>
        </w:rPr>
        <w:t>through</w:t>
      </w:r>
      <w:r>
        <w:rPr>
          <w:rFonts w:ascii="Calibri" w:hAnsi="Calibri" w:cs="Calibri" w:eastAsia="Calibri" w:hint="default"/>
          <w:spacing w:val="-6"/>
        </w:rPr>
        <w:t> </w:t>
      </w:r>
      <w:r>
        <w:rPr>
          <w:rFonts w:ascii="Calibri" w:hAnsi="Calibri" w:cs="Calibri" w:eastAsia="Calibri" w:hint="default"/>
        </w:rPr>
        <w:t>the</w:t>
      </w:r>
      <w:r>
        <w:rPr>
          <w:rFonts w:ascii="Calibri" w:hAnsi="Calibri" w:cs="Calibri" w:eastAsia="Calibri" w:hint="default"/>
          <w:spacing w:val="-8"/>
        </w:rPr>
        <w:t> </w:t>
      </w:r>
      <w:r>
        <w:rPr>
          <w:rFonts w:ascii="Calibri" w:hAnsi="Calibri" w:cs="Calibri" w:eastAsia="Calibri" w:hint="default"/>
        </w:rPr>
        <w:t>industry’s</w:t>
      </w:r>
      <w:r>
        <w:rPr>
          <w:rFonts w:ascii="Calibri" w:hAnsi="Calibri" w:cs="Calibri" w:eastAsia="Calibri" w:hint="default"/>
          <w:spacing w:val="-8"/>
        </w:rPr>
        <w:t> </w:t>
      </w:r>
      <w:r>
        <w:rPr>
          <w:rFonts w:ascii="Calibri" w:hAnsi="Calibri" w:cs="Calibri" w:eastAsia="Calibri" w:hint="default"/>
        </w:rPr>
        <w:t>connections</w:t>
      </w:r>
      <w:r>
        <w:rPr>
          <w:rFonts w:ascii="Calibri" w:hAnsi="Calibri" w:cs="Calibri" w:eastAsia="Calibri" w:hint="default"/>
          <w:spacing w:val="-5"/>
        </w:rPr>
        <w:t> </w:t>
      </w:r>
      <w:r>
        <w:rPr>
          <w:rFonts w:ascii="Calibri" w:hAnsi="Calibri" w:cs="Calibri" w:eastAsia="Calibri" w:hint="default"/>
        </w:rPr>
        <w:t>with</w:t>
      </w:r>
      <w:r>
        <w:rPr>
          <w:rFonts w:ascii="Calibri" w:hAnsi="Calibri" w:cs="Calibri" w:eastAsia="Calibri" w:hint="default"/>
          <w:spacing w:val="-6"/>
        </w:rPr>
        <w:t> </w:t>
      </w:r>
      <w:r>
        <w:rPr>
          <w:rFonts w:ascii="Calibri" w:hAnsi="Calibri" w:cs="Calibri" w:eastAsia="Calibri" w:hint="default"/>
        </w:rPr>
        <w:t>other </w:t>
      </w:r>
      <w:r>
        <w:rPr>
          <w:rFonts w:ascii="Calibri" w:hAnsi="Calibri" w:cs="Calibri" w:eastAsia="Calibri" w:hint="default"/>
        </w:rPr>
      </w:r>
      <w:r>
        <w:rPr/>
        <w:t>economic</w:t>
      </w:r>
      <w:r>
        <w:rPr>
          <w:spacing w:val="-5"/>
        </w:rPr>
        <w:t> </w:t>
      </w:r>
      <w:r>
        <w:rPr/>
        <w:t>sectors.</w:t>
      </w:r>
    </w:p>
    <w:p>
      <w:pPr>
        <w:spacing w:line="240" w:lineRule="auto" w:before="1"/>
        <w:ind w:right="0"/>
        <w:rPr>
          <w:rFonts w:ascii="Calibri" w:hAnsi="Calibri" w:cs="Calibri" w:eastAsia="Calibri" w:hint="default"/>
          <w:sz w:val="20"/>
          <w:szCs w:val="20"/>
        </w:rPr>
      </w:pPr>
    </w:p>
    <w:p>
      <w:pPr>
        <w:pStyle w:val="BodyText"/>
        <w:spacing w:line="256" w:lineRule="auto"/>
        <w:ind w:right="1444"/>
        <w:jc w:val="both"/>
      </w:pPr>
      <w:r>
        <w:rPr/>
        <w:t>Currently, tourism has a weak relationship with economic growth. Therefore, higher receipts should provide the necessary lubrication for economic growth. This could be attained by establishing a growth model that focuses on increasing</w:t>
      </w:r>
      <w:r>
        <w:rPr>
          <w:spacing w:val="-7"/>
        </w:rPr>
        <w:t> </w:t>
      </w:r>
      <w:r>
        <w:rPr/>
        <w:t>receipts</w:t>
      </w:r>
      <w:r>
        <w:rPr>
          <w:spacing w:val="-8"/>
        </w:rPr>
        <w:t> </w:t>
      </w:r>
      <w:r>
        <w:rPr/>
        <w:t>at</w:t>
      </w:r>
      <w:r>
        <w:rPr>
          <w:spacing w:val="-6"/>
        </w:rPr>
        <w:t> </w:t>
      </w:r>
      <w:r>
        <w:rPr/>
        <w:t>a</w:t>
      </w:r>
      <w:r>
        <w:rPr>
          <w:spacing w:val="-6"/>
        </w:rPr>
        <w:t> </w:t>
      </w:r>
      <w:r>
        <w:rPr/>
        <w:t>higher</w:t>
      </w:r>
      <w:r>
        <w:rPr>
          <w:spacing w:val="-10"/>
        </w:rPr>
        <w:t> </w:t>
      </w:r>
      <w:r>
        <w:rPr/>
        <w:t>rate</w:t>
      </w:r>
      <w:r>
        <w:rPr>
          <w:spacing w:val="-7"/>
        </w:rPr>
        <w:t> </w:t>
      </w:r>
      <w:r>
        <w:rPr/>
        <w:t>than</w:t>
      </w:r>
      <w:r>
        <w:rPr>
          <w:spacing w:val="-6"/>
        </w:rPr>
        <w:t> </w:t>
      </w:r>
      <w:r>
        <w:rPr/>
        <w:t>arrivals.</w:t>
      </w:r>
      <w:r>
        <w:rPr>
          <w:spacing w:val="32"/>
        </w:rPr>
        <w:t> </w:t>
      </w:r>
      <w:r>
        <w:rPr/>
        <w:t>A</w:t>
      </w:r>
      <w:r>
        <w:rPr>
          <w:spacing w:val="-7"/>
        </w:rPr>
        <w:t> </w:t>
      </w:r>
      <w:r>
        <w:rPr/>
        <w:t>quick</w:t>
      </w:r>
      <w:r>
        <w:rPr>
          <w:spacing w:val="-7"/>
        </w:rPr>
        <w:t> </w:t>
      </w:r>
      <w:r>
        <w:rPr/>
        <w:t>way</w:t>
      </w:r>
      <w:r>
        <w:rPr>
          <w:spacing w:val="-5"/>
        </w:rPr>
        <w:t> </w:t>
      </w:r>
      <w:r>
        <w:rPr/>
        <w:t>to</w:t>
      </w:r>
      <w:r>
        <w:rPr>
          <w:spacing w:val="-6"/>
        </w:rPr>
        <w:t> </w:t>
      </w:r>
      <w:r>
        <w:rPr/>
        <w:t>achieve</w:t>
      </w:r>
      <w:r>
        <w:rPr>
          <w:spacing w:val="-8"/>
        </w:rPr>
        <w:t> </w:t>
      </w:r>
      <w:r>
        <w:rPr/>
        <w:t>and</w:t>
      </w:r>
      <w:r>
        <w:rPr>
          <w:spacing w:val="-6"/>
        </w:rPr>
        <w:t> </w:t>
      </w:r>
      <w:r>
        <w:rPr/>
        <w:t>monitor</w:t>
      </w:r>
      <w:r>
        <w:rPr>
          <w:spacing w:val="-7"/>
        </w:rPr>
        <w:t> </w:t>
      </w:r>
      <w:r>
        <w:rPr/>
        <w:t>this</w:t>
      </w:r>
      <w:r>
        <w:rPr>
          <w:spacing w:val="-11"/>
        </w:rPr>
        <w:t> </w:t>
      </w:r>
      <w:r>
        <w:rPr/>
        <w:t>goal</w:t>
      </w:r>
      <w:r>
        <w:rPr>
          <w:spacing w:val="-7"/>
        </w:rPr>
        <w:t> </w:t>
      </w:r>
      <w:r>
        <w:rPr/>
        <w:t>is</w:t>
      </w:r>
      <w:r>
        <w:rPr>
          <w:spacing w:val="-8"/>
        </w:rPr>
        <w:t> </w:t>
      </w:r>
      <w:r>
        <w:rPr/>
        <w:t>to</w:t>
      </w:r>
      <w:r>
        <w:rPr>
          <w:spacing w:val="-6"/>
        </w:rPr>
        <w:t> </w:t>
      </w:r>
      <w:r>
        <w:rPr/>
        <w:t>increase</w:t>
      </w:r>
      <w:r>
        <w:rPr>
          <w:spacing w:val="-8"/>
        </w:rPr>
        <w:t> </w:t>
      </w:r>
      <w:r>
        <w:rPr/>
        <w:t>RevPAR. </w:t>
      </w:r>
      <w:r>
        <w:rPr/>
        <w:t>A major component in the increase of tourism receipts is derived from spending in hotels. The hotel sector should increase the rate of growth of real</w:t>
      </w:r>
      <w:r>
        <w:rPr>
          <w:spacing w:val="-17"/>
        </w:rPr>
        <w:t> </w:t>
      </w:r>
      <w:r>
        <w:rPr/>
        <w:t>RevPAR.</w:t>
      </w:r>
    </w:p>
    <w:p>
      <w:pPr>
        <w:spacing w:line="390" w:lineRule="exact" w:before="157"/>
        <w:ind w:left="1440" w:right="0" w:firstLine="0"/>
        <w:jc w:val="both"/>
        <w:rPr>
          <w:rFonts w:ascii="Calibri" w:hAnsi="Calibri" w:cs="Calibri" w:eastAsia="Calibri" w:hint="default"/>
          <w:sz w:val="32"/>
          <w:szCs w:val="32"/>
        </w:rPr>
      </w:pPr>
      <w:r>
        <w:rPr>
          <w:rFonts w:ascii="Calibri"/>
          <w:b/>
          <w:sz w:val="32"/>
        </w:rPr>
        <w:t>Strategies to become the most desired Caribbean</w:t>
      </w:r>
      <w:r>
        <w:rPr>
          <w:rFonts w:ascii="Calibri"/>
          <w:b/>
          <w:spacing w:val="-30"/>
          <w:sz w:val="32"/>
        </w:rPr>
        <w:t> </w:t>
      </w:r>
      <w:r>
        <w:rPr>
          <w:rFonts w:ascii="Calibri"/>
          <w:b/>
          <w:sz w:val="32"/>
        </w:rPr>
        <w:t>destination</w:t>
      </w:r>
      <w:r>
        <w:rPr>
          <w:rFonts w:ascii="Calibri"/>
          <w:sz w:val="32"/>
        </w:rPr>
      </w:r>
    </w:p>
    <w:p>
      <w:pPr>
        <w:pStyle w:val="BodyText"/>
        <w:spacing w:line="256" w:lineRule="auto"/>
        <w:ind w:right="1440"/>
        <w:jc w:val="both"/>
      </w:pPr>
      <w:r>
        <w:rPr/>
        <w:t>The plan forwards six strategies to realize the suggested goals: refocus the demand structure, airlift and hotel optimization,</w:t>
      </w:r>
      <w:r>
        <w:rPr>
          <w:spacing w:val="-11"/>
        </w:rPr>
        <w:t> </w:t>
      </w:r>
      <w:r>
        <w:rPr/>
        <w:t>human</w:t>
      </w:r>
      <w:r>
        <w:rPr>
          <w:spacing w:val="-10"/>
        </w:rPr>
        <w:t> </w:t>
      </w:r>
      <w:r>
        <w:rPr/>
        <w:t>capital</w:t>
      </w:r>
      <w:r>
        <w:rPr>
          <w:spacing w:val="-11"/>
        </w:rPr>
        <w:t> </w:t>
      </w:r>
      <w:r>
        <w:rPr/>
        <w:t>investment,</w:t>
      </w:r>
      <w:r>
        <w:rPr>
          <w:spacing w:val="-10"/>
        </w:rPr>
        <w:t> </w:t>
      </w:r>
      <w:r>
        <w:rPr/>
        <w:t>developing</w:t>
      </w:r>
      <w:r>
        <w:rPr>
          <w:spacing w:val="-11"/>
        </w:rPr>
        <w:t> </w:t>
      </w:r>
      <w:r>
        <w:rPr/>
        <w:t>sustainable</w:t>
      </w:r>
      <w:r>
        <w:rPr>
          <w:spacing w:val="-11"/>
        </w:rPr>
        <w:t> </w:t>
      </w:r>
      <w:r>
        <w:rPr/>
        <w:t>financial</w:t>
      </w:r>
      <w:r>
        <w:rPr>
          <w:spacing w:val="-11"/>
        </w:rPr>
        <w:t> </w:t>
      </w:r>
      <w:r>
        <w:rPr/>
        <w:t>resources,</w:t>
      </w:r>
      <w:r>
        <w:rPr>
          <w:spacing w:val="-4"/>
        </w:rPr>
        <w:t> </w:t>
      </w:r>
      <w:r>
        <w:rPr/>
        <w:t>renovating</w:t>
      </w:r>
      <w:r>
        <w:rPr>
          <w:spacing w:val="-11"/>
        </w:rPr>
        <w:t> </w:t>
      </w:r>
      <w:r>
        <w:rPr/>
        <w:t>the</w:t>
      </w:r>
      <w:r>
        <w:rPr>
          <w:spacing w:val="-11"/>
        </w:rPr>
        <w:t> </w:t>
      </w:r>
      <w:r>
        <w:rPr/>
        <w:t>downtown</w:t>
      </w:r>
      <w:r>
        <w:rPr>
          <w:spacing w:val="-11"/>
        </w:rPr>
        <w:t> </w:t>
      </w:r>
      <w:r>
        <w:rPr/>
        <w:t>area, </w:t>
      </w:r>
      <w:r>
        <w:rPr/>
        <w:t>and planning for Oostpunt</w:t>
      </w:r>
      <w:r>
        <w:rPr>
          <w:spacing w:val="-20"/>
        </w:rPr>
        <w:t> </w:t>
      </w:r>
      <w:r>
        <w:rPr/>
        <w:t>development.</w:t>
      </w:r>
    </w:p>
    <w:p>
      <w:pPr>
        <w:pStyle w:val="BodyText"/>
        <w:spacing w:line="240" w:lineRule="auto" w:before="161"/>
        <w:ind w:right="1437"/>
        <w:jc w:val="both"/>
      </w:pPr>
      <w:r>
        <w:rPr/>
        <w:t>To optimize existing tourism supply within years 1 and 2, the DPITS recommends that Curaçao centrally concert efforts in the following</w:t>
      </w:r>
      <w:r>
        <w:rPr>
          <w:spacing w:val="-12"/>
        </w:rPr>
        <w:t> </w:t>
      </w:r>
      <w:r>
        <w:rPr/>
        <w:t>areas:</w:t>
      </w:r>
    </w:p>
    <w:p>
      <w:pPr>
        <w:pStyle w:val="ListParagraph"/>
        <w:numPr>
          <w:ilvl w:val="0"/>
          <w:numId w:val="14"/>
        </w:numPr>
        <w:tabs>
          <w:tab w:pos="2161" w:val="left" w:leader="none"/>
        </w:tabs>
        <w:spacing w:line="240" w:lineRule="auto" w:before="0" w:after="0"/>
        <w:ind w:left="2160" w:right="0" w:hanging="360"/>
        <w:jc w:val="left"/>
        <w:rPr>
          <w:rFonts w:ascii="Calibri" w:hAnsi="Calibri" w:cs="Calibri" w:eastAsia="Calibri" w:hint="default"/>
          <w:sz w:val="20"/>
          <w:szCs w:val="20"/>
        </w:rPr>
      </w:pPr>
      <w:r>
        <w:rPr>
          <w:rFonts w:ascii="Calibri"/>
          <w:sz w:val="20"/>
        </w:rPr>
        <w:t>Increase</w:t>
      </w:r>
      <w:r>
        <w:rPr>
          <w:rFonts w:ascii="Calibri"/>
          <w:spacing w:val="-7"/>
          <w:sz w:val="20"/>
        </w:rPr>
        <w:t> </w:t>
      </w:r>
      <w:r>
        <w:rPr>
          <w:rFonts w:ascii="Calibri"/>
          <w:sz w:val="20"/>
        </w:rPr>
        <w:t>RevPAR</w:t>
      </w:r>
    </w:p>
    <w:p>
      <w:pPr>
        <w:pStyle w:val="ListParagraph"/>
        <w:numPr>
          <w:ilvl w:val="0"/>
          <w:numId w:val="14"/>
        </w:numPr>
        <w:tabs>
          <w:tab w:pos="2161" w:val="left" w:leader="none"/>
        </w:tabs>
        <w:spacing w:line="240" w:lineRule="auto" w:before="123" w:after="0"/>
        <w:ind w:left="2160" w:right="0" w:hanging="360"/>
        <w:jc w:val="left"/>
        <w:rPr>
          <w:rFonts w:ascii="Calibri" w:hAnsi="Calibri" w:cs="Calibri" w:eastAsia="Calibri" w:hint="default"/>
          <w:sz w:val="20"/>
          <w:szCs w:val="20"/>
        </w:rPr>
      </w:pPr>
      <w:r>
        <w:rPr>
          <w:rFonts w:ascii="Calibri"/>
          <w:sz w:val="20"/>
        </w:rPr>
        <w:t>Procure more</w:t>
      </w:r>
      <w:r>
        <w:rPr>
          <w:rFonts w:ascii="Calibri"/>
          <w:spacing w:val="-7"/>
          <w:sz w:val="20"/>
        </w:rPr>
        <w:t> </w:t>
      </w:r>
      <w:r>
        <w:rPr>
          <w:rFonts w:ascii="Calibri"/>
          <w:sz w:val="20"/>
        </w:rPr>
        <w:t>airlift</w:t>
      </w:r>
    </w:p>
    <w:p>
      <w:pPr>
        <w:pStyle w:val="ListParagraph"/>
        <w:numPr>
          <w:ilvl w:val="0"/>
          <w:numId w:val="14"/>
        </w:numPr>
        <w:tabs>
          <w:tab w:pos="2161" w:val="left" w:leader="none"/>
        </w:tabs>
        <w:spacing w:line="240" w:lineRule="auto" w:before="120" w:after="0"/>
        <w:ind w:left="2160" w:right="0" w:hanging="360"/>
        <w:jc w:val="left"/>
        <w:rPr>
          <w:rFonts w:ascii="Calibri" w:hAnsi="Calibri" w:cs="Calibri" w:eastAsia="Calibri" w:hint="default"/>
          <w:sz w:val="20"/>
          <w:szCs w:val="20"/>
        </w:rPr>
      </w:pPr>
      <w:r>
        <w:rPr>
          <w:rFonts w:ascii="Calibri"/>
          <w:sz w:val="20"/>
        </w:rPr>
        <w:t>Increase service quality in the lodging</w:t>
      </w:r>
      <w:r>
        <w:rPr>
          <w:rFonts w:ascii="Calibri"/>
          <w:spacing w:val="-18"/>
          <w:sz w:val="20"/>
        </w:rPr>
        <w:t> </w:t>
      </w:r>
      <w:r>
        <w:rPr>
          <w:rFonts w:ascii="Calibri"/>
          <w:sz w:val="20"/>
        </w:rPr>
        <w:t>industry</w:t>
      </w:r>
    </w:p>
    <w:p>
      <w:pPr>
        <w:pStyle w:val="ListParagraph"/>
        <w:numPr>
          <w:ilvl w:val="0"/>
          <w:numId w:val="14"/>
        </w:numPr>
        <w:tabs>
          <w:tab w:pos="2161" w:val="left" w:leader="none"/>
        </w:tabs>
        <w:spacing w:line="240" w:lineRule="auto" w:before="123" w:after="0"/>
        <w:ind w:left="2160" w:right="0" w:hanging="360"/>
        <w:jc w:val="left"/>
        <w:rPr>
          <w:rFonts w:ascii="Calibri" w:hAnsi="Calibri" w:cs="Calibri" w:eastAsia="Calibri" w:hint="default"/>
          <w:sz w:val="20"/>
          <w:szCs w:val="20"/>
        </w:rPr>
      </w:pPr>
      <w:r>
        <w:rPr>
          <w:rFonts w:ascii="Calibri"/>
          <w:sz w:val="20"/>
        </w:rPr>
        <w:t>Enhance domestic awareness about the importance of</w:t>
      </w:r>
      <w:r>
        <w:rPr>
          <w:rFonts w:ascii="Calibri"/>
          <w:spacing w:val="-32"/>
          <w:sz w:val="20"/>
        </w:rPr>
        <w:t> </w:t>
      </w:r>
      <w:r>
        <w:rPr>
          <w:rFonts w:ascii="Calibri"/>
          <w:sz w:val="20"/>
        </w:rPr>
        <w:t>tourism development</w:t>
      </w:r>
    </w:p>
    <w:p>
      <w:pPr>
        <w:spacing w:after="0" w:line="240" w:lineRule="auto"/>
        <w:jc w:val="left"/>
        <w:rPr>
          <w:rFonts w:ascii="Calibri" w:hAnsi="Calibri" w:cs="Calibri" w:eastAsia="Calibri" w:hint="default"/>
          <w:sz w:val="20"/>
          <w:szCs w:val="20"/>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0"/>
        <w:jc w:val="left"/>
      </w:pPr>
      <w:r>
        <w:rPr/>
        <w:t>In years 3 and 4 the DPITS suggests that Curaçao focus</w:t>
      </w:r>
      <w:r>
        <w:rPr>
          <w:spacing w:val="-24"/>
        </w:rPr>
        <w:t> </w:t>
      </w:r>
      <w:r>
        <w:rPr/>
        <w:t>on:</w:t>
      </w:r>
    </w:p>
    <w:p>
      <w:pPr>
        <w:pStyle w:val="ListParagraph"/>
        <w:numPr>
          <w:ilvl w:val="0"/>
          <w:numId w:val="15"/>
        </w:numPr>
        <w:tabs>
          <w:tab w:pos="2161" w:val="left" w:leader="none"/>
        </w:tabs>
        <w:spacing w:line="240" w:lineRule="auto" w:before="123" w:after="0"/>
        <w:ind w:left="2160" w:right="0" w:hanging="360"/>
        <w:jc w:val="left"/>
        <w:rPr>
          <w:rFonts w:ascii="Calibri" w:hAnsi="Calibri" w:cs="Calibri" w:eastAsia="Calibri" w:hint="default"/>
          <w:sz w:val="20"/>
          <w:szCs w:val="20"/>
        </w:rPr>
      </w:pPr>
      <w:r>
        <w:rPr>
          <w:rFonts w:ascii="Calibri"/>
          <w:sz w:val="20"/>
        </w:rPr>
        <w:t>Achieving an enhanced product</w:t>
      </w:r>
      <w:r>
        <w:rPr>
          <w:rFonts w:ascii="Calibri"/>
          <w:spacing w:val="-14"/>
          <w:sz w:val="20"/>
        </w:rPr>
        <w:t> </w:t>
      </w:r>
      <w:r>
        <w:rPr>
          <w:rFonts w:ascii="Calibri"/>
          <w:sz w:val="20"/>
        </w:rPr>
        <w:t>image</w:t>
      </w:r>
    </w:p>
    <w:p>
      <w:pPr>
        <w:pStyle w:val="ListParagraph"/>
        <w:numPr>
          <w:ilvl w:val="0"/>
          <w:numId w:val="15"/>
        </w:numPr>
        <w:tabs>
          <w:tab w:pos="2161" w:val="left" w:leader="none"/>
        </w:tabs>
        <w:spacing w:line="240" w:lineRule="auto" w:before="120" w:after="0"/>
        <w:ind w:left="2160" w:right="0" w:hanging="360"/>
        <w:jc w:val="left"/>
        <w:rPr>
          <w:rFonts w:ascii="Calibri" w:hAnsi="Calibri" w:cs="Calibri" w:eastAsia="Calibri" w:hint="default"/>
          <w:sz w:val="20"/>
          <w:szCs w:val="20"/>
        </w:rPr>
      </w:pPr>
      <w:r>
        <w:rPr>
          <w:rFonts w:ascii="Calibri"/>
          <w:sz w:val="20"/>
        </w:rPr>
        <w:t>Developing experiential tourism</w:t>
      </w:r>
      <w:r>
        <w:rPr>
          <w:rFonts w:ascii="Calibri"/>
          <w:spacing w:val="-14"/>
          <w:sz w:val="20"/>
        </w:rPr>
        <w:t> </w:t>
      </w:r>
      <w:r>
        <w:rPr>
          <w:rFonts w:ascii="Calibri"/>
          <w:sz w:val="20"/>
        </w:rPr>
        <w:t>clusters</w:t>
      </w:r>
    </w:p>
    <w:p>
      <w:pPr>
        <w:pStyle w:val="ListParagraph"/>
        <w:numPr>
          <w:ilvl w:val="0"/>
          <w:numId w:val="15"/>
        </w:numPr>
        <w:tabs>
          <w:tab w:pos="2161" w:val="left" w:leader="none"/>
        </w:tabs>
        <w:spacing w:line="240" w:lineRule="auto" w:before="123" w:after="0"/>
        <w:ind w:left="2160" w:right="0" w:hanging="360"/>
        <w:jc w:val="left"/>
        <w:rPr>
          <w:rFonts w:ascii="Calibri" w:hAnsi="Calibri" w:cs="Calibri" w:eastAsia="Calibri" w:hint="default"/>
          <w:sz w:val="20"/>
          <w:szCs w:val="20"/>
        </w:rPr>
      </w:pPr>
      <w:r>
        <w:rPr>
          <w:rFonts w:ascii="Calibri"/>
          <w:sz w:val="20"/>
        </w:rPr>
        <w:t>Increasing human</w:t>
      </w:r>
      <w:r>
        <w:rPr>
          <w:rFonts w:ascii="Calibri"/>
          <w:spacing w:val="-10"/>
          <w:sz w:val="20"/>
        </w:rPr>
        <w:t> </w:t>
      </w:r>
      <w:r>
        <w:rPr>
          <w:rFonts w:ascii="Calibri"/>
          <w:sz w:val="20"/>
        </w:rPr>
        <w:t>capital</w:t>
      </w:r>
    </w:p>
    <w:p>
      <w:pPr>
        <w:pStyle w:val="ListParagraph"/>
        <w:numPr>
          <w:ilvl w:val="0"/>
          <w:numId w:val="15"/>
        </w:numPr>
        <w:tabs>
          <w:tab w:pos="2161" w:val="left" w:leader="none"/>
        </w:tabs>
        <w:spacing w:line="240" w:lineRule="auto" w:before="120" w:after="0"/>
        <w:ind w:left="2160" w:right="0" w:hanging="360"/>
        <w:jc w:val="left"/>
        <w:rPr>
          <w:rFonts w:ascii="Calibri" w:hAnsi="Calibri" w:cs="Calibri" w:eastAsia="Calibri" w:hint="default"/>
          <w:sz w:val="20"/>
          <w:szCs w:val="20"/>
        </w:rPr>
      </w:pPr>
      <w:r>
        <w:rPr>
          <w:rFonts w:ascii="Calibri"/>
          <w:sz w:val="20"/>
        </w:rPr>
        <w:t>Creating opportunities to recognize cultural</w:t>
      </w:r>
      <w:r>
        <w:rPr>
          <w:rFonts w:ascii="Calibri"/>
          <w:spacing w:val="-19"/>
          <w:sz w:val="20"/>
        </w:rPr>
        <w:t> </w:t>
      </w:r>
      <w:r>
        <w:rPr>
          <w:rFonts w:ascii="Calibri"/>
          <w:sz w:val="20"/>
        </w:rPr>
        <w:t>pride</w:t>
      </w:r>
    </w:p>
    <w:p>
      <w:pPr>
        <w:spacing w:line="240" w:lineRule="auto" w:before="3"/>
        <w:ind w:right="0"/>
        <w:rPr>
          <w:rFonts w:ascii="Calibri" w:hAnsi="Calibri" w:cs="Calibri" w:eastAsia="Calibri" w:hint="default"/>
          <w:sz w:val="23"/>
          <w:szCs w:val="23"/>
        </w:rPr>
      </w:pPr>
    </w:p>
    <w:p>
      <w:pPr>
        <w:pStyle w:val="BodyText"/>
        <w:spacing w:line="243" w:lineRule="exact"/>
        <w:ind w:right="0"/>
        <w:jc w:val="left"/>
      </w:pPr>
      <w:r>
        <w:rPr/>
        <w:t>In year 5, Curaçao should achieve the goals</w:t>
      </w:r>
      <w:r>
        <w:rPr>
          <w:spacing w:val="-13"/>
        </w:rPr>
        <w:t> </w:t>
      </w:r>
      <w:r>
        <w:rPr/>
        <w:t>of:</w:t>
      </w:r>
    </w:p>
    <w:p>
      <w:pPr>
        <w:pStyle w:val="ListParagraph"/>
        <w:numPr>
          <w:ilvl w:val="0"/>
          <w:numId w:val="16"/>
        </w:numPr>
        <w:tabs>
          <w:tab w:pos="2161" w:val="left" w:leader="none"/>
        </w:tabs>
        <w:spacing w:line="243" w:lineRule="exact" w:before="0" w:after="0"/>
        <w:ind w:left="2160" w:right="0" w:hanging="360"/>
        <w:jc w:val="left"/>
        <w:rPr>
          <w:rFonts w:ascii="Calibri" w:hAnsi="Calibri" w:cs="Calibri" w:eastAsia="Calibri" w:hint="default"/>
          <w:sz w:val="20"/>
          <w:szCs w:val="20"/>
        </w:rPr>
      </w:pPr>
      <w:r>
        <w:rPr>
          <w:rFonts w:ascii="Calibri"/>
          <w:sz w:val="20"/>
        </w:rPr>
        <w:t>Establishing strategic</w:t>
      </w:r>
      <w:r>
        <w:rPr>
          <w:rFonts w:ascii="Calibri"/>
          <w:spacing w:val="-12"/>
          <w:sz w:val="20"/>
        </w:rPr>
        <w:t> </w:t>
      </w:r>
      <w:r>
        <w:rPr>
          <w:rFonts w:ascii="Calibri"/>
          <w:sz w:val="20"/>
        </w:rPr>
        <w:t>partnerships</w:t>
      </w:r>
    </w:p>
    <w:p>
      <w:pPr>
        <w:pStyle w:val="ListParagraph"/>
        <w:numPr>
          <w:ilvl w:val="0"/>
          <w:numId w:val="16"/>
        </w:numPr>
        <w:tabs>
          <w:tab w:pos="2161" w:val="left" w:leader="none"/>
        </w:tabs>
        <w:spacing w:line="240" w:lineRule="auto" w:before="123" w:after="0"/>
        <w:ind w:left="2160" w:right="0" w:hanging="360"/>
        <w:jc w:val="left"/>
        <w:rPr>
          <w:rFonts w:ascii="Calibri" w:hAnsi="Calibri" w:cs="Calibri" w:eastAsia="Calibri" w:hint="default"/>
          <w:sz w:val="20"/>
          <w:szCs w:val="20"/>
        </w:rPr>
      </w:pPr>
      <w:r>
        <w:rPr>
          <w:rFonts w:ascii="Calibri"/>
          <w:sz w:val="20"/>
        </w:rPr>
        <w:t>Developing plans for continued product</w:t>
      </w:r>
      <w:r>
        <w:rPr>
          <w:rFonts w:ascii="Calibri"/>
          <w:spacing w:val="-23"/>
          <w:sz w:val="20"/>
        </w:rPr>
        <w:t> </w:t>
      </w:r>
      <w:r>
        <w:rPr>
          <w:rFonts w:ascii="Calibri"/>
          <w:sz w:val="20"/>
        </w:rPr>
        <w:t>development</w:t>
      </w:r>
    </w:p>
    <w:p>
      <w:pPr>
        <w:pStyle w:val="ListParagraph"/>
        <w:numPr>
          <w:ilvl w:val="0"/>
          <w:numId w:val="16"/>
        </w:numPr>
        <w:tabs>
          <w:tab w:pos="2161" w:val="left" w:leader="none"/>
        </w:tabs>
        <w:spacing w:line="240" w:lineRule="auto" w:before="123" w:after="0"/>
        <w:ind w:left="2160" w:right="0" w:hanging="360"/>
        <w:jc w:val="left"/>
        <w:rPr>
          <w:rFonts w:ascii="Calibri" w:hAnsi="Calibri" w:cs="Calibri" w:eastAsia="Calibri" w:hint="default"/>
          <w:sz w:val="20"/>
          <w:szCs w:val="20"/>
        </w:rPr>
      </w:pPr>
      <w:r>
        <w:rPr>
          <w:rFonts w:ascii="Calibri"/>
          <w:sz w:val="20"/>
        </w:rPr>
        <w:t>Securing opportunities for capital</w:t>
      </w:r>
      <w:r>
        <w:rPr>
          <w:rFonts w:ascii="Calibri"/>
          <w:spacing w:val="-22"/>
          <w:sz w:val="20"/>
        </w:rPr>
        <w:t> </w:t>
      </w:r>
      <w:r>
        <w:rPr>
          <w:rFonts w:ascii="Calibri"/>
          <w:sz w:val="20"/>
        </w:rPr>
        <w:t>investment</w:t>
      </w:r>
    </w:p>
    <w:p>
      <w:pPr>
        <w:pStyle w:val="ListParagraph"/>
        <w:numPr>
          <w:ilvl w:val="0"/>
          <w:numId w:val="16"/>
        </w:numPr>
        <w:tabs>
          <w:tab w:pos="2161" w:val="left" w:leader="none"/>
        </w:tabs>
        <w:spacing w:line="240" w:lineRule="auto" w:before="120" w:after="0"/>
        <w:ind w:left="2160" w:right="0" w:hanging="360"/>
        <w:jc w:val="left"/>
        <w:rPr>
          <w:rFonts w:ascii="Calibri" w:hAnsi="Calibri" w:cs="Calibri" w:eastAsia="Calibri" w:hint="default"/>
          <w:sz w:val="20"/>
          <w:szCs w:val="20"/>
        </w:rPr>
      </w:pPr>
      <w:r>
        <w:rPr>
          <w:rFonts w:ascii="Calibri" w:hAnsi="Calibri" w:cs="Calibri" w:eastAsia="Calibri" w:hint="default"/>
          <w:sz w:val="20"/>
          <w:szCs w:val="20"/>
        </w:rPr>
        <w:t>Increasing the quality of life for Curaçao</w:t>
      </w:r>
      <w:r>
        <w:rPr>
          <w:rFonts w:ascii="Calibri" w:hAnsi="Calibri" w:cs="Calibri" w:eastAsia="Calibri" w:hint="default"/>
          <w:sz w:val="20"/>
          <w:szCs w:val="20"/>
        </w:rPr>
        <w:t>’s</w:t>
      </w:r>
      <w:r>
        <w:rPr>
          <w:rFonts w:ascii="Calibri" w:hAnsi="Calibri" w:cs="Calibri" w:eastAsia="Calibri" w:hint="default"/>
          <w:spacing w:val="-22"/>
          <w:sz w:val="20"/>
          <w:szCs w:val="20"/>
        </w:rPr>
        <w:t> </w:t>
      </w:r>
      <w:r>
        <w:rPr>
          <w:rFonts w:ascii="Calibri" w:hAnsi="Calibri" w:cs="Calibri" w:eastAsia="Calibri" w:hint="default"/>
          <w:sz w:val="20"/>
          <w:szCs w:val="20"/>
        </w:rPr>
        <w:t>r</w:t>
      </w:r>
      <w:r>
        <w:rPr>
          <w:rFonts w:ascii="Calibri" w:hAnsi="Calibri" w:cs="Calibri" w:eastAsia="Calibri" w:hint="default"/>
          <w:sz w:val="20"/>
          <w:szCs w:val="20"/>
        </w:rPr>
        <w:t>esidents</w:t>
      </w:r>
    </w:p>
    <w:p>
      <w:pPr>
        <w:spacing w:line="240" w:lineRule="auto" w:before="1" w:after="0"/>
        <w:ind w:right="0"/>
        <w:rPr>
          <w:rFonts w:ascii="Calibri" w:hAnsi="Calibri" w:cs="Calibri" w:eastAsia="Calibri" w:hint="default"/>
          <w:sz w:val="23"/>
          <w:szCs w:val="23"/>
        </w:rPr>
      </w:pPr>
    </w:p>
    <w:p>
      <w:pPr>
        <w:spacing w:line="240" w:lineRule="auto"/>
        <w:ind w:left="3165"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740857" cy="4736592"/>
            <wp:effectExtent l="0" t="0" r="0" b="0"/>
            <wp:docPr id="109" name="image39.png" descr=""/>
            <wp:cNvGraphicFramePr>
              <a:graphicFrameLocks noChangeAspect="1"/>
            </wp:cNvGraphicFramePr>
            <a:graphic>
              <a:graphicData uri="http://schemas.openxmlformats.org/drawingml/2006/picture">
                <pic:pic>
                  <pic:nvPicPr>
                    <pic:cNvPr id="110" name="image39.png"/>
                    <pic:cNvPicPr/>
                  </pic:nvPicPr>
                  <pic:blipFill>
                    <a:blip r:embed="rId71" cstate="print"/>
                    <a:stretch>
                      <a:fillRect/>
                    </a:stretch>
                  </pic:blipFill>
                  <pic:spPr>
                    <a:xfrm>
                      <a:off x="0" y="0"/>
                      <a:ext cx="3740857" cy="4736592"/>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13"/>
        <w:ind w:right="26"/>
        <w:jc w:val="center"/>
        <w:rPr>
          <w:b w:val="0"/>
          <w:bCs w:val="0"/>
        </w:rPr>
      </w:pPr>
      <w:bookmarkStart w:name="_bookmark157" w:id="158"/>
      <w:bookmarkEnd w:id="158"/>
      <w:r>
        <w:rPr>
          <w:b w:val="0"/>
        </w:rPr>
      </w:r>
      <w:r>
        <w:rPr/>
        <w:t>Figure 30:  Strategic framework</w:t>
      </w:r>
      <w:r>
        <w:rPr>
          <w:spacing w:val="-16"/>
        </w:rPr>
        <w:t> </w:t>
      </w:r>
      <w:r>
        <w:rPr/>
        <w:t>2015-2020</w:t>
      </w:r>
      <w:r>
        <w:rPr>
          <w:b w:val="0"/>
        </w:rPr>
      </w:r>
    </w:p>
    <w:p>
      <w:pPr>
        <w:spacing w:after="0" w:line="240" w:lineRule="auto"/>
        <w:jc w:val="center"/>
        <w:sectPr>
          <w:pgSz w:w="12240" w:h="15840"/>
          <w:pgMar w:header="0" w:footer="533" w:top="840" w:bottom="720" w:left="0" w:right="0"/>
        </w:sectPr>
      </w:pPr>
    </w:p>
    <w:p>
      <w:pPr>
        <w:spacing w:line="240" w:lineRule="auto" w:before="0"/>
        <w:ind w:right="0"/>
        <w:rPr>
          <w:rFonts w:ascii="Calibri" w:hAnsi="Calibri" w:cs="Calibri" w:eastAsia="Calibri" w:hint="default"/>
          <w:b/>
          <w:bCs/>
          <w:sz w:val="20"/>
          <w:szCs w:val="20"/>
        </w:rPr>
      </w:pPr>
    </w:p>
    <w:p>
      <w:pPr>
        <w:spacing w:line="240" w:lineRule="auto" w:before="9"/>
        <w:ind w:right="0"/>
        <w:rPr>
          <w:rFonts w:ascii="Calibri" w:hAnsi="Calibri" w:cs="Calibri" w:eastAsia="Calibri" w:hint="default"/>
          <w:b/>
          <w:bCs/>
          <w:sz w:val="24"/>
          <w:szCs w:val="24"/>
        </w:rPr>
      </w:pPr>
    </w:p>
    <w:p>
      <w:pPr>
        <w:pStyle w:val="Heading2"/>
        <w:spacing w:line="240" w:lineRule="auto"/>
        <w:ind w:right="0"/>
        <w:jc w:val="both"/>
        <w:rPr>
          <w:b w:val="0"/>
          <w:bCs w:val="0"/>
        </w:rPr>
      </w:pPr>
      <w:bookmarkStart w:name="_bookmark158" w:id="159"/>
      <w:bookmarkEnd w:id="159"/>
      <w:r>
        <w:rPr>
          <w:b w:val="0"/>
        </w:rPr>
      </w:r>
      <w:r>
        <w:rPr/>
        <w:t>Strategy #1:  Refocus demand</w:t>
      </w:r>
      <w:r>
        <w:rPr>
          <w:spacing w:val="-20"/>
        </w:rPr>
        <w:t> </w:t>
      </w:r>
      <w:r>
        <w:rPr/>
        <w:t>structure</w:t>
      </w:r>
      <w:r>
        <w:rPr>
          <w:b w:val="0"/>
        </w:rPr>
      </w:r>
    </w:p>
    <w:p>
      <w:pPr>
        <w:pStyle w:val="BodyText"/>
        <w:spacing w:line="240" w:lineRule="auto" w:before="191"/>
        <w:ind w:right="1440"/>
        <w:jc w:val="both"/>
        <w:rPr>
          <w:sz w:val="12"/>
          <w:szCs w:val="12"/>
        </w:rPr>
      </w:pPr>
      <w:r>
        <w:rPr>
          <w:rFonts w:ascii="Calibri" w:hAnsi="Calibri" w:cs="Calibri" w:eastAsia="Calibri" w:hint="default"/>
        </w:rPr>
        <w:t>In</w:t>
      </w:r>
      <w:r>
        <w:rPr>
          <w:rFonts w:ascii="Calibri" w:hAnsi="Calibri" w:cs="Calibri" w:eastAsia="Calibri" w:hint="default"/>
          <w:spacing w:val="-8"/>
        </w:rPr>
        <w:t> </w:t>
      </w:r>
      <w:r>
        <w:rPr>
          <w:rFonts w:ascii="Calibri" w:hAnsi="Calibri" w:cs="Calibri" w:eastAsia="Calibri" w:hint="default"/>
        </w:rPr>
        <w:t>order</w:t>
      </w:r>
      <w:r>
        <w:rPr>
          <w:rFonts w:ascii="Calibri" w:hAnsi="Calibri" w:cs="Calibri" w:eastAsia="Calibri" w:hint="default"/>
          <w:spacing w:val="-9"/>
        </w:rPr>
        <w:t> </w:t>
      </w:r>
      <w:r>
        <w:rPr>
          <w:rFonts w:ascii="Calibri" w:hAnsi="Calibri" w:cs="Calibri" w:eastAsia="Calibri" w:hint="default"/>
        </w:rPr>
        <w:t>for</w:t>
      </w:r>
      <w:r>
        <w:rPr>
          <w:rFonts w:ascii="Calibri" w:hAnsi="Calibri" w:cs="Calibri" w:eastAsia="Calibri" w:hint="default"/>
          <w:spacing w:val="-7"/>
        </w:rPr>
        <w:t> </w:t>
      </w:r>
      <w:r>
        <w:rPr>
          <w:rFonts w:ascii="Calibri" w:hAnsi="Calibri" w:cs="Calibri" w:eastAsia="Calibri" w:hint="default"/>
        </w:rPr>
        <w:t>Curaçao’s</w:t>
      </w:r>
      <w:r>
        <w:rPr>
          <w:rFonts w:ascii="Calibri" w:hAnsi="Calibri" w:cs="Calibri" w:eastAsia="Calibri" w:hint="default"/>
          <w:spacing w:val="-8"/>
        </w:rPr>
        <w:t> </w:t>
      </w:r>
      <w:r>
        <w:rPr>
          <w:rFonts w:ascii="Calibri" w:hAnsi="Calibri" w:cs="Calibri" w:eastAsia="Calibri" w:hint="default"/>
        </w:rPr>
        <w:t>RevPAR</w:t>
      </w:r>
      <w:r>
        <w:rPr>
          <w:rFonts w:ascii="Calibri" w:hAnsi="Calibri" w:cs="Calibri" w:eastAsia="Calibri" w:hint="default"/>
          <w:spacing w:val="-5"/>
        </w:rPr>
        <w:t> </w:t>
      </w:r>
      <w:r>
        <w:rPr>
          <w:rFonts w:ascii="Calibri" w:hAnsi="Calibri" w:cs="Calibri" w:eastAsia="Calibri" w:hint="default"/>
        </w:rPr>
        <w:t>value</w:t>
      </w:r>
      <w:r>
        <w:rPr>
          <w:rFonts w:ascii="Calibri" w:hAnsi="Calibri" w:cs="Calibri" w:eastAsia="Calibri" w:hint="default"/>
          <w:spacing w:val="-10"/>
        </w:rPr>
        <w:t> </w:t>
      </w:r>
      <w:r>
        <w:rPr>
          <w:rFonts w:ascii="Calibri" w:hAnsi="Calibri" w:cs="Calibri" w:eastAsia="Calibri" w:hint="default"/>
        </w:rPr>
        <w:t>to</w:t>
      </w:r>
      <w:r>
        <w:rPr>
          <w:rFonts w:ascii="Calibri" w:hAnsi="Calibri" w:cs="Calibri" w:eastAsia="Calibri" w:hint="default"/>
          <w:spacing w:val="-6"/>
        </w:rPr>
        <w:t> </w:t>
      </w:r>
      <w:r>
        <w:rPr>
          <w:rFonts w:ascii="Calibri" w:hAnsi="Calibri" w:cs="Calibri" w:eastAsia="Calibri" w:hint="default"/>
        </w:rPr>
        <w:t>increase</w:t>
      </w:r>
      <w:r>
        <w:rPr>
          <w:rFonts w:ascii="Calibri" w:hAnsi="Calibri" w:cs="Calibri" w:eastAsia="Calibri" w:hint="default"/>
          <w:spacing w:val="-10"/>
        </w:rPr>
        <w:t> </w:t>
      </w:r>
      <w:r>
        <w:rPr>
          <w:rFonts w:ascii="Calibri" w:hAnsi="Calibri" w:cs="Calibri" w:eastAsia="Calibri" w:hint="default"/>
        </w:rPr>
        <w:t>to</w:t>
      </w:r>
      <w:r>
        <w:rPr>
          <w:rFonts w:ascii="Calibri" w:hAnsi="Calibri" w:cs="Calibri" w:eastAsia="Calibri" w:hint="default"/>
          <w:spacing w:val="-6"/>
        </w:rPr>
        <w:t> </w:t>
      </w:r>
      <w:r>
        <w:rPr>
          <w:rFonts w:ascii="Calibri" w:hAnsi="Calibri" w:cs="Calibri" w:eastAsia="Calibri" w:hint="default"/>
        </w:rPr>
        <w:t>a</w:t>
      </w:r>
      <w:r>
        <w:rPr>
          <w:rFonts w:ascii="Calibri" w:hAnsi="Calibri" w:cs="Calibri" w:eastAsia="Calibri" w:hint="default"/>
          <w:spacing w:val="-9"/>
        </w:rPr>
        <w:t> </w:t>
      </w:r>
      <w:r>
        <w:rPr>
          <w:rFonts w:ascii="Calibri" w:hAnsi="Calibri" w:cs="Calibri" w:eastAsia="Calibri" w:hint="default"/>
        </w:rPr>
        <w:t>level</w:t>
      </w:r>
      <w:r>
        <w:rPr>
          <w:rFonts w:ascii="Calibri" w:hAnsi="Calibri" w:cs="Calibri" w:eastAsia="Calibri" w:hint="default"/>
          <w:spacing w:val="-9"/>
        </w:rPr>
        <w:t> </w:t>
      </w:r>
      <w:r>
        <w:rPr>
          <w:rFonts w:ascii="Calibri" w:hAnsi="Calibri" w:cs="Calibri" w:eastAsia="Calibri" w:hint="default"/>
        </w:rPr>
        <w:t>that</w:t>
      </w:r>
      <w:r>
        <w:rPr>
          <w:rFonts w:ascii="Calibri" w:hAnsi="Calibri" w:cs="Calibri" w:eastAsia="Calibri" w:hint="default"/>
          <w:spacing w:val="-8"/>
        </w:rPr>
        <w:t> </w:t>
      </w:r>
      <w:r>
        <w:rPr>
          <w:rFonts w:ascii="Calibri" w:hAnsi="Calibri" w:cs="Calibri" w:eastAsia="Calibri" w:hint="default"/>
        </w:rPr>
        <w:t>would</w:t>
      </w:r>
      <w:r>
        <w:rPr>
          <w:rFonts w:ascii="Calibri" w:hAnsi="Calibri" w:cs="Calibri" w:eastAsia="Calibri" w:hint="default"/>
          <w:spacing w:val="-9"/>
        </w:rPr>
        <w:t> </w:t>
      </w:r>
      <w:r>
        <w:rPr>
          <w:rFonts w:ascii="Calibri" w:hAnsi="Calibri" w:cs="Calibri" w:eastAsia="Calibri" w:hint="default"/>
        </w:rPr>
        <w:t>create</w:t>
      </w:r>
      <w:r>
        <w:rPr>
          <w:rFonts w:ascii="Calibri" w:hAnsi="Calibri" w:cs="Calibri" w:eastAsia="Calibri" w:hint="default"/>
          <w:spacing w:val="-8"/>
        </w:rPr>
        <w:t> </w:t>
      </w:r>
      <w:r>
        <w:rPr>
          <w:rFonts w:ascii="Calibri" w:hAnsi="Calibri" w:cs="Calibri" w:eastAsia="Calibri" w:hint="default"/>
        </w:rPr>
        <w:t>economic</w:t>
      </w:r>
      <w:r>
        <w:rPr>
          <w:rFonts w:ascii="Calibri" w:hAnsi="Calibri" w:cs="Calibri" w:eastAsia="Calibri" w:hint="default"/>
          <w:spacing w:val="-7"/>
        </w:rPr>
        <w:t> </w:t>
      </w:r>
      <w:r>
        <w:rPr>
          <w:rFonts w:ascii="Calibri" w:hAnsi="Calibri" w:cs="Calibri" w:eastAsia="Calibri" w:hint="default"/>
        </w:rPr>
        <w:t>and</w:t>
      </w:r>
      <w:r>
        <w:rPr>
          <w:rFonts w:ascii="Calibri" w:hAnsi="Calibri" w:cs="Calibri" w:eastAsia="Calibri" w:hint="default"/>
          <w:spacing w:val="-8"/>
        </w:rPr>
        <w:t> </w:t>
      </w:r>
      <w:r>
        <w:rPr>
          <w:rFonts w:ascii="Calibri" w:hAnsi="Calibri" w:cs="Calibri" w:eastAsia="Calibri" w:hint="default"/>
        </w:rPr>
        <w:t>job</w:t>
      </w:r>
      <w:r>
        <w:rPr>
          <w:rFonts w:ascii="Calibri" w:hAnsi="Calibri" w:cs="Calibri" w:eastAsia="Calibri" w:hint="default"/>
          <w:spacing w:val="-3"/>
        </w:rPr>
        <w:t> </w:t>
      </w:r>
      <w:r>
        <w:rPr/>
        <w:t>growth,</w:t>
      </w:r>
      <w:r>
        <w:rPr>
          <w:spacing w:val="-9"/>
        </w:rPr>
        <w:t> </w:t>
      </w:r>
      <w:r>
        <w:rPr/>
        <w:t>it</w:t>
      </w:r>
      <w:r>
        <w:rPr>
          <w:spacing w:val="-9"/>
        </w:rPr>
        <w:t> </w:t>
      </w:r>
      <w:r>
        <w:rPr/>
        <w:t>is</w:t>
      </w:r>
      <w:r>
        <w:rPr>
          <w:spacing w:val="-10"/>
        </w:rPr>
        <w:t> </w:t>
      </w:r>
      <w:r>
        <w:rPr/>
        <w:t>necessary </w:t>
      </w:r>
      <w:r>
        <w:rPr/>
        <w:t>to refocus the current demand structure towards the American market. The relationship between tourism receipts and</w:t>
      </w:r>
      <w:r>
        <w:rPr>
          <w:spacing w:val="-8"/>
        </w:rPr>
        <w:t> </w:t>
      </w:r>
      <w:r>
        <w:rPr/>
        <w:t>Curaçao</w:t>
      </w:r>
      <w:r>
        <w:rPr>
          <w:rFonts w:ascii="Calibri" w:hAnsi="Calibri" w:cs="Calibri" w:eastAsia="Calibri" w:hint="default"/>
        </w:rPr>
        <w:t>’s</w:t>
      </w:r>
      <w:r>
        <w:rPr>
          <w:rFonts w:ascii="Calibri" w:hAnsi="Calibri" w:cs="Calibri" w:eastAsia="Calibri" w:hint="default"/>
          <w:spacing w:val="-10"/>
        </w:rPr>
        <w:t> </w:t>
      </w:r>
      <w:r>
        <w:rPr>
          <w:rFonts w:ascii="Calibri" w:hAnsi="Calibri" w:cs="Calibri" w:eastAsia="Calibri" w:hint="default"/>
        </w:rPr>
        <w:t>economic</w:t>
      </w:r>
      <w:r>
        <w:rPr>
          <w:rFonts w:ascii="Calibri" w:hAnsi="Calibri" w:cs="Calibri" w:eastAsia="Calibri" w:hint="default"/>
          <w:spacing w:val="-10"/>
        </w:rPr>
        <w:t> </w:t>
      </w:r>
      <w:r>
        <w:rPr>
          <w:rFonts w:ascii="Calibri" w:hAnsi="Calibri" w:cs="Calibri" w:eastAsia="Calibri" w:hint="default"/>
        </w:rPr>
        <w:t>growth</w:t>
      </w:r>
      <w:r>
        <w:rPr>
          <w:rFonts w:ascii="Calibri" w:hAnsi="Calibri" w:cs="Calibri" w:eastAsia="Calibri" w:hint="default"/>
          <w:spacing w:val="-8"/>
        </w:rPr>
        <w:t> </w:t>
      </w:r>
      <w:r>
        <w:rPr>
          <w:rFonts w:ascii="Calibri" w:hAnsi="Calibri" w:cs="Calibri" w:eastAsia="Calibri" w:hint="default"/>
        </w:rPr>
        <w:t>is</w:t>
      </w:r>
      <w:r>
        <w:rPr>
          <w:rFonts w:ascii="Calibri" w:hAnsi="Calibri" w:cs="Calibri" w:eastAsia="Calibri" w:hint="default"/>
          <w:spacing w:val="-11"/>
        </w:rPr>
        <w:t> </w:t>
      </w:r>
      <w:r>
        <w:rPr>
          <w:rFonts w:ascii="Calibri" w:hAnsi="Calibri" w:cs="Calibri" w:eastAsia="Calibri" w:hint="default"/>
        </w:rPr>
        <w:t>weak.</w:t>
      </w:r>
      <w:r>
        <w:rPr>
          <w:rFonts w:ascii="Calibri" w:hAnsi="Calibri" w:cs="Calibri" w:eastAsia="Calibri" w:hint="default"/>
          <w:spacing w:val="28"/>
        </w:rPr>
        <w:t> </w:t>
      </w:r>
      <w:r>
        <w:rPr>
          <w:rFonts w:ascii="Calibri" w:hAnsi="Calibri" w:cs="Calibri" w:eastAsia="Calibri" w:hint="default"/>
        </w:rPr>
        <w:t>Increasing</w:t>
      </w:r>
      <w:r>
        <w:rPr>
          <w:rFonts w:ascii="Calibri" w:hAnsi="Calibri" w:cs="Calibri" w:eastAsia="Calibri" w:hint="default"/>
          <w:spacing w:val="-7"/>
        </w:rPr>
        <w:t> </w:t>
      </w:r>
      <w:r>
        <w:rPr>
          <w:rFonts w:ascii="Calibri" w:hAnsi="Calibri" w:cs="Calibri" w:eastAsia="Calibri" w:hint="default"/>
        </w:rPr>
        <w:t>arrivals</w:t>
      </w:r>
      <w:r>
        <w:rPr>
          <w:rFonts w:ascii="Calibri" w:hAnsi="Calibri" w:cs="Calibri" w:eastAsia="Calibri" w:hint="default"/>
          <w:spacing w:val="-8"/>
        </w:rPr>
        <w:t> </w:t>
      </w:r>
      <w:r>
        <w:rPr>
          <w:rFonts w:ascii="Calibri" w:hAnsi="Calibri" w:cs="Calibri" w:eastAsia="Calibri" w:hint="default"/>
        </w:rPr>
        <w:t>under</w:t>
      </w:r>
      <w:r>
        <w:rPr>
          <w:rFonts w:ascii="Calibri" w:hAnsi="Calibri" w:cs="Calibri" w:eastAsia="Calibri" w:hint="default"/>
          <w:spacing w:val="-9"/>
        </w:rPr>
        <w:t> </w:t>
      </w:r>
      <w:r>
        <w:rPr>
          <w:rFonts w:ascii="Calibri" w:hAnsi="Calibri" w:cs="Calibri" w:eastAsia="Calibri" w:hint="default"/>
        </w:rPr>
        <w:t>the</w:t>
      </w:r>
      <w:r>
        <w:rPr>
          <w:rFonts w:ascii="Calibri" w:hAnsi="Calibri" w:cs="Calibri" w:eastAsia="Calibri" w:hint="default"/>
          <w:spacing w:val="-10"/>
        </w:rPr>
        <w:t> </w:t>
      </w:r>
      <w:r>
        <w:rPr>
          <w:rFonts w:ascii="Calibri" w:hAnsi="Calibri" w:cs="Calibri" w:eastAsia="Calibri" w:hint="default"/>
        </w:rPr>
        <w:t>current</w:t>
      </w:r>
      <w:r>
        <w:rPr>
          <w:rFonts w:ascii="Calibri" w:hAnsi="Calibri" w:cs="Calibri" w:eastAsia="Calibri" w:hint="default"/>
          <w:spacing w:val="-9"/>
        </w:rPr>
        <w:t> </w:t>
      </w:r>
      <w:r>
        <w:rPr>
          <w:rFonts w:ascii="Calibri" w:hAnsi="Calibri" w:cs="Calibri" w:eastAsia="Calibri" w:hint="default"/>
        </w:rPr>
        <w:t>demand</w:t>
      </w:r>
      <w:r>
        <w:rPr>
          <w:rFonts w:ascii="Calibri" w:hAnsi="Calibri" w:cs="Calibri" w:eastAsia="Calibri" w:hint="default"/>
          <w:spacing w:val="-8"/>
        </w:rPr>
        <w:t> </w:t>
      </w:r>
      <w:r>
        <w:rPr>
          <w:rFonts w:ascii="Calibri" w:hAnsi="Calibri" w:cs="Calibri" w:eastAsia="Calibri" w:hint="default"/>
        </w:rPr>
        <w:t>structure</w:t>
      </w:r>
      <w:r>
        <w:rPr>
          <w:rFonts w:ascii="Calibri" w:hAnsi="Calibri" w:cs="Calibri" w:eastAsia="Calibri" w:hint="default"/>
          <w:spacing w:val="-10"/>
        </w:rPr>
        <w:t> </w:t>
      </w:r>
      <w:r>
        <w:rPr>
          <w:rFonts w:ascii="Calibri" w:hAnsi="Calibri" w:cs="Calibri" w:eastAsia="Calibri" w:hint="default"/>
        </w:rPr>
        <w:t>would</w:t>
      </w:r>
      <w:r>
        <w:rPr>
          <w:rFonts w:ascii="Calibri" w:hAnsi="Calibri" w:cs="Calibri" w:eastAsia="Calibri" w:hint="default"/>
          <w:spacing w:val="-9"/>
        </w:rPr>
        <w:t> </w:t>
      </w:r>
      <w:r>
        <w:rPr>
          <w:rFonts w:ascii="Calibri" w:hAnsi="Calibri" w:cs="Calibri" w:eastAsia="Calibri" w:hint="default"/>
        </w:rPr>
        <w:t>only</w:t>
      </w:r>
      <w:r>
        <w:rPr>
          <w:rFonts w:ascii="Calibri" w:hAnsi="Calibri" w:cs="Calibri" w:eastAsia="Calibri" w:hint="default"/>
          <w:spacing w:val="-9"/>
        </w:rPr>
        <w:t> </w:t>
      </w:r>
      <w:r>
        <w:rPr>
          <w:rFonts w:ascii="Calibri" w:hAnsi="Calibri" w:cs="Calibri" w:eastAsia="Calibri" w:hint="default"/>
        </w:rPr>
        <w:t>suggest </w:t>
      </w:r>
      <w:r>
        <w:rPr>
          <w:rFonts w:ascii="Calibri" w:hAnsi="Calibri" w:cs="Calibri" w:eastAsia="Calibri" w:hint="default"/>
        </w:rPr>
      </w:r>
      <w:r>
        <w:rPr/>
        <w:t>marginal</w:t>
      </w:r>
      <w:r>
        <w:rPr>
          <w:spacing w:val="-2"/>
        </w:rPr>
        <w:t> </w:t>
      </w:r>
      <w:r>
        <w:rPr/>
        <w:t>improvements</w:t>
      </w:r>
      <w:r>
        <w:rPr>
          <w:spacing w:val="-4"/>
        </w:rPr>
        <w:t> </w:t>
      </w:r>
      <w:r>
        <w:rPr/>
        <w:t>on</w:t>
      </w:r>
      <w:r>
        <w:rPr>
          <w:spacing w:val="-2"/>
        </w:rPr>
        <w:t> </w:t>
      </w:r>
      <w:r>
        <w:rPr/>
        <w:t>receipts</w:t>
      </w:r>
      <w:r>
        <w:rPr>
          <w:spacing w:val="-3"/>
        </w:rPr>
        <w:t> </w:t>
      </w:r>
      <w:r>
        <w:rPr/>
        <w:t>given</w:t>
      </w:r>
      <w:r>
        <w:rPr>
          <w:spacing w:val="-2"/>
        </w:rPr>
        <w:t> </w:t>
      </w:r>
      <w:r>
        <w:rPr/>
        <w:t>the</w:t>
      </w:r>
      <w:r>
        <w:rPr>
          <w:spacing w:val="-3"/>
        </w:rPr>
        <w:t> </w:t>
      </w:r>
      <w:r>
        <w:rPr/>
        <w:t>lack</w:t>
      </w:r>
      <w:r>
        <w:rPr>
          <w:spacing w:val="-2"/>
        </w:rPr>
        <w:t> </w:t>
      </w:r>
      <w:r>
        <w:rPr/>
        <w:t>of</w:t>
      </w:r>
      <w:r>
        <w:rPr>
          <w:spacing w:val="-4"/>
        </w:rPr>
        <w:t> </w:t>
      </w:r>
      <w:r>
        <w:rPr/>
        <w:t>hotel</w:t>
      </w:r>
      <w:r>
        <w:rPr>
          <w:spacing w:val="-3"/>
        </w:rPr>
        <w:t> </w:t>
      </w:r>
      <w:r>
        <w:rPr/>
        <w:t>consumption</w:t>
      </w:r>
      <w:r>
        <w:rPr>
          <w:spacing w:val="-2"/>
        </w:rPr>
        <w:t> </w:t>
      </w:r>
      <w:r>
        <w:rPr/>
        <w:t>from</w:t>
      </w:r>
      <w:r>
        <w:rPr>
          <w:spacing w:val="-2"/>
        </w:rPr>
        <w:t> </w:t>
      </w:r>
      <w:r>
        <w:rPr/>
        <w:t>the</w:t>
      </w:r>
      <w:r>
        <w:rPr>
          <w:spacing w:val="-3"/>
        </w:rPr>
        <w:t> </w:t>
      </w:r>
      <w:r>
        <w:rPr/>
        <w:t>primary Dutch</w:t>
      </w:r>
      <w:r>
        <w:rPr>
          <w:spacing w:val="-2"/>
        </w:rPr>
        <w:t> </w:t>
      </w:r>
      <w:r>
        <w:rPr/>
        <w:t>market.</w:t>
      </w:r>
      <w:r>
        <w:rPr>
          <w:position w:val="5"/>
          <w:sz w:val="12"/>
          <w:szCs w:val="12"/>
        </w:rPr>
        <w:t>68</w:t>
      </w:r>
      <w:r>
        <w:rPr>
          <w:sz w:val="12"/>
          <w:szCs w:val="12"/>
        </w:rPr>
      </w:r>
    </w:p>
    <w:p>
      <w:pPr>
        <w:spacing w:line="240" w:lineRule="auto" w:before="1"/>
        <w:ind w:right="0"/>
        <w:rPr>
          <w:rFonts w:ascii="Calibri" w:hAnsi="Calibri" w:cs="Calibri" w:eastAsia="Calibri" w:hint="default"/>
          <w:sz w:val="20"/>
          <w:szCs w:val="20"/>
        </w:rPr>
      </w:pPr>
    </w:p>
    <w:p>
      <w:pPr>
        <w:pStyle w:val="BodyText"/>
        <w:spacing w:line="240" w:lineRule="auto"/>
        <w:ind w:right="1433"/>
        <w:jc w:val="both"/>
        <w:rPr>
          <w:sz w:val="12"/>
          <w:szCs w:val="12"/>
        </w:rPr>
      </w:pPr>
      <w:r>
        <w:rPr/>
        <w:t>Refocusing the demand structure toward the American market without replacing the Dutch and Venezuelan markets, while sustaining the Latin American market through a shift towards the Colombian market, entails an additional</w:t>
      </w:r>
      <w:r>
        <w:rPr>
          <w:spacing w:val="-11"/>
        </w:rPr>
        <w:t> </w:t>
      </w:r>
      <w:r>
        <w:rPr/>
        <w:t>influx</w:t>
      </w:r>
      <w:r>
        <w:rPr>
          <w:spacing w:val="-12"/>
        </w:rPr>
        <w:t> </w:t>
      </w:r>
      <w:r>
        <w:rPr/>
        <w:t>of</w:t>
      </w:r>
      <w:r>
        <w:rPr>
          <w:spacing w:val="-12"/>
        </w:rPr>
        <w:t> </w:t>
      </w:r>
      <w:r>
        <w:rPr/>
        <w:t>American</w:t>
      </w:r>
      <w:r>
        <w:rPr>
          <w:spacing w:val="-11"/>
        </w:rPr>
        <w:t> </w:t>
      </w:r>
      <w:r>
        <w:rPr/>
        <w:t>tourists</w:t>
      </w:r>
      <w:r>
        <w:rPr>
          <w:spacing w:val="-12"/>
        </w:rPr>
        <w:t> </w:t>
      </w:r>
      <w:r>
        <w:rPr/>
        <w:t>by</w:t>
      </w:r>
      <w:r>
        <w:rPr>
          <w:spacing w:val="-11"/>
        </w:rPr>
        <w:t> </w:t>
      </w:r>
      <w:r>
        <w:rPr/>
        <w:t>year</w:t>
      </w:r>
      <w:r>
        <w:rPr>
          <w:spacing w:val="-9"/>
        </w:rPr>
        <w:t> </w:t>
      </w:r>
      <w:r>
        <w:rPr/>
        <w:t>2</w:t>
      </w:r>
      <w:r>
        <w:rPr>
          <w:spacing w:val="-12"/>
        </w:rPr>
        <w:t> </w:t>
      </w:r>
      <w:r>
        <w:rPr/>
        <w:t>of</w:t>
      </w:r>
      <w:r>
        <w:rPr>
          <w:spacing w:val="-10"/>
        </w:rPr>
        <w:t> </w:t>
      </w:r>
      <w:r>
        <w:rPr/>
        <w:t>nearly</w:t>
      </w:r>
      <w:r>
        <w:rPr>
          <w:spacing w:val="-6"/>
        </w:rPr>
        <w:t> </w:t>
      </w:r>
      <w:r>
        <w:rPr/>
        <w:t>50,000</w:t>
      </w:r>
      <w:r>
        <w:rPr>
          <w:spacing w:val="-12"/>
        </w:rPr>
        <w:t> </w:t>
      </w:r>
      <w:r>
        <w:rPr/>
        <w:t>arrivals.</w:t>
      </w:r>
      <w:r>
        <w:rPr>
          <w:spacing w:val="-9"/>
        </w:rPr>
        <w:t> </w:t>
      </w:r>
      <w:r>
        <w:rPr/>
        <w:t>This</w:t>
      </w:r>
      <w:r>
        <w:rPr>
          <w:spacing w:val="-10"/>
        </w:rPr>
        <w:t> </w:t>
      </w:r>
      <w:r>
        <w:rPr/>
        <w:t>means</w:t>
      </w:r>
      <w:r>
        <w:rPr>
          <w:spacing w:val="-10"/>
        </w:rPr>
        <w:t> </w:t>
      </w:r>
      <w:r>
        <w:rPr/>
        <w:t>that</w:t>
      </w:r>
      <w:r>
        <w:rPr>
          <w:spacing w:val="-8"/>
        </w:rPr>
        <w:t> </w:t>
      </w:r>
      <w:r>
        <w:rPr/>
        <w:t>Curaçao</w:t>
      </w:r>
      <w:r>
        <w:rPr>
          <w:spacing w:val="-10"/>
        </w:rPr>
        <w:t> </w:t>
      </w:r>
      <w:r>
        <w:rPr/>
        <w:t>must</w:t>
      </w:r>
      <w:r>
        <w:rPr>
          <w:spacing w:val="-9"/>
        </w:rPr>
        <w:t> </w:t>
      </w:r>
      <w:r>
        <w:rPr/>
        <w:t>aim</w:t>
      </w:r>
      <w:r>
        <w:rPr>
          <w:spacing w:val="-12"/>
        </w:rPr>
        <w:t> </w:t>
      </w:r>
      <w:r>
        <w:rPr/>
        <w:t>to</w:t>
      </w:r>
      <w:r>
        <w:rPr>
          <w:spacing w:val="-8"/>
        </w:rPr>
        <w:t> </w:t>
      </w:r>
      <w:r>
        <w:rPr/>
        <w:t>double </w:t>
      </w:r>
      <w:r>
        <w:rPr/>
        <w:t>the amount of American tourists in two years. By year 5, the additional arrivals from the USA should increase to nearly 100,000, for total arrivals of 158,860 from the USA market (see Table 48). It is expected, that in the short- term, the Venezuelan market will decline due to the uncertain economic situation in the country. However, it is imperative that Curaçao moves to quickly penetrate the Colombian market in order to compensate as much as possible the potential loss of a portion of the Venezuelan market. Thus, by year 5, Curaçao</w:t>
      </w:r>
      <w:r>
        <w:rPr>
          <w:rFonts w:ascii="Calibri" w:hAnsi="Calibri" w:cs="Calibri" w:eastAsia="Calibri" w:hint="default"/>
        </w:rPr>
        <w:t>’s tourism dem</w:t>
      </w:r>
      <w:r>
        <w:rPr/>
        <w:t>and structure</w:t>
      </w:r>
      <w:r>
        <w:rPr>
          <w:spacing w:val="-10"/>
        </w:rPr>
        <w:t> </w:t>
      </w:r>
      <w:r>
        <w:rPr/>
        <w:t>will</w:t>
      </w:r>
      <w:r>
        <w:rPr>
          <w:spacing w:val="-10"/>
        </w:rPr>
        <w:t> </w:t>
      </w:r>
      <w:r>
        <w:rPr/>
        <w:t>shift</w:t>
      </w:r>
      <w:r>
        <w:rPr>
          <w:spacing w:val="-9"/>
        </w:rPr>
        <w:t> </w:t>
      </w:r>
      <w:r>
        <w:rPr/>
        <w:t>toward</w:t>
      </w:r>
      <w:r>
        <w:rPr>
          <w:spacing w:val="-8"/>
        </w:rPr>
        <w:t> </w:t>
      </w:r>
      <w:r>
        <w:rPr/>
        <w:t>24.1%</w:t>
      </w:r>
      <w:r>
        <w:rPr>
          <w:spacing w:val="-10"/>
        </w:rPr>
        <w:t> </w:t>
      </w:r>
      <w:r>
        <w:rPr/>
        <w:t>arrivals</w:t>
      </w:r>
      <w:r>
        <w:rPr>
          <w:spacing w:val="-9"/>
        </w:rPr>
        <w:t> </w:t>
      </w:r>
      <w:r>
        <w:rPr/>
        <w:t>from</w:t>
      </w:r>
      <w:r>
        <w:rPr>
          <w:spacing w:val="-10"/>
        </w:rPr>
        <w:t> </w:t>
      </w:r>
      <w:r>
        <w:rPr/>
        <w:t>the</w:t>
      </w:r>
      <w:r>
        <w:rPr>
          <w:spacing w:val="-9"/>
        </w:rPr>
        <w:t> </w:t>
      </w:r>
      <w:r>
        <w:rPr/>
        <w:t>USA,</w:t>
      </w:r>
      <w:r>
        <w:rPr>
          <w:spacing w:val="-9"/>
        </w:rPr>
        <w:t> </w:t>
      </w:r>
      <w:r>
        <w:rPr/>
        <w:t>24.5%</w:t>
      </w:r>
      <w:r>
        <w:rPr>
          <w:spacing w:val="-10"/>
        </w:rPr>
        <w:t> </w:t>
      </w:r>
      <w:r>
        <w:rPr/>
        <w:t>from</w:t>
      </w:r>
      <w:r>
        <w:rPr>
          <w:spacing w:val="-10"/>
        </w:rPr>
        <w:t> </w:t>
      </w:r>
      <w:r>
        <w:rPr/>
        <w:t>the</w:t>
      </w:r>
      <w:r>
        <w:rPr>
          <w:spacing w:val="-10"/>
        </w:rPr>
        <w:t> </w:t>
      </w:r>
      <w:r>
        <w:rPr/>
        <w:t>Netherlands,</w:t>
      </w:r>
      <w:r>
        <w:rPr>
          <w:spacing w:val="-7"/>
        </w:rPr>
        <w:t> </w:t>
      </w:r>
      <w:r>
        <w:rPr/>
        <w:t>and</w:t>
      </w:r>
      <w:r>
        <w:rPr>
          <w:spacing w:val="-7"/>
        </w:rPr>
        <w:t> </w:t>
      </w:r>
      <w:r>
        <w:rPr/>
        <w:t>18.5%</w:t>
      </w:r>
      <w:r>
        <w:rPr>
          <w:spacing w:val="-9"/>
        </w:rPr>
        <w:t> </w:t>
      </w:r>
      <w:r>
        <w:rPr/>
        <w:t>from</w:t>
      </w:r>
      <w:r>
        <w:rPr>
          <w:spacing w:val="-8"/>
        </w:rPr>
        <w:t> </w:t>
      </w:r>
      <w:r>
        <w:rPr/>
        <w:t>Venezuela</w:t>
      </w:r>
      <w:r>
        <w:rPr>
          <w:spacing w:val="-9"/>
        </w:rPr>
        <w:t> </w:t>
      </w:r>
      <w:r>
        <w:rPr/>
        <w:t>(see </w:t>
      </w:r>
      <w:r>
        <w:rPr/>
        <w:t>Figure</w:t>
      </w:r>
      <w:r>
        <w:rPr>
          <w:spacing w:val="-7"/>
        </w:rPr>
        <w:t> </w:t>
      </w:r>
      <w:r>
        <w:rPr/>
        <w:t>31).</w:t>
      </w:r>
      <w:r>
        <w:rPr>
          <w:position w:val="5"/>
          <w:sz w:val="12"/>
          <w:szCs w:val="12"/>
        </w:rPr>
        <w:t>69</w:t>
      </w:r>
      <w:r>
        <w:rPr>
          <w:sz w:val="12"/>
          <w:szCs w:val="12"/>
        </w:rPr>
      </w:r>
    </w:p>
    <w:p>
      <w:pPr>
        <w:pStyle w:val="Heading9"/>
        <w:tabs>
          <w:tab w:pos="4335" w:val="left" w:leader="none"/>
          <w:tab w:pos="10837" w:val="left" w:leader="none"/>
        </w:tabs>
        <w:spacing w:line="240" w:lineRule="auto" w:after="51"/>
        <w:ind w:left="1404" w:right="0"/>
        <w:jc w:val="both"/>
        <w:rPr>
          <w:b w:val="0"/>
          <w:bCs w:val="0"/>
        </w:rPr>
      </w:pPr>
      <w:bookmarkStart w:name="_bookmark159" w:id="160"/>
      <w:bookmarkEnd w:id="160"/>
      <w:r>
        <w:rPr>
          <w:b w:val="0"/>
        </w:rPr>
      </w:r>
      <w:r>
        <w:rPr>
          <w:w w:val="99"/>
        </w:rPr>
      </w:r>
      <w:r>
        <w:rPr>
          <w:w w:val="99"/>
          <w:u w:val="single" w:color="000000"/>
        </w:rPr>
        <w:t> </w:t>
      </w:r>
      <w:r>
        <w:rPr>
          <w:u w:val="single" w:color="000000"/>
        </w:rPr>
        <w:tab/>
        <w:t>Table 48:  Total arrivals forecast</w:t>
      </w:r>
      <w:r>
        <w:rPr>
          <w:spacing w:val="-15"/>
          <w:u w:val="single" w:color="000000"/>
        </w:rPr>
        <w:t> </w:t>
      </w:r>
      <w:r>
        <w:rPr>
          <w:u w:val="single" w:color="000000"/>
        </w:rPr>
        <w:t>2016-2020</w:t>
        <w:tab/>
      </w:r>
      <w:r>
        <w:rPr/>
      </w:r>
      <w:r>
        <w:rPr>
          <w:b w:val="0"/>
        </w:rPr>
      </w:r>
    </w:p>
    <w:tbl>
      <w:tblPr>
        <w:tblW w:w="0" w:type="auto"/>
        <w:jc w:val="left"/>
        <w:tblInd w:w="1404" w:type="dxa"/>
        <w:tblLayout w:type="fixed"/>
        <w:tblCellMar>
          <w:top w:w="0" w:type="dxa"/>
          <w:left w:w="0" w:type="dxa"/>
          <w:bottom w:w="0" w:type="dxa"/>
          <w:right w:w="0" w:type="dxa"/>
        </w:tblCellMar>
        <w:tblLook w:val="01E0"/>
      </w:tblPr>
      <w:tblGrid>
        <w:gridCol w:w="1507"/>
        <w:gridCol w:w="1544"/>
        <w:gridCol w:w="1706"/>
        <w:gridCol w:w="1582"/>
        <w:gridCol w:w="1520"/>
        <w:gridCol w:w="1574"/>
      </w:tblGrid>
      <w:tr>
        <w:trPr>
          <w:trHeight w:val="207" w:hRule="exact"/>
        </w:trPr>
        <w:tc>
          <w:tcPr>
            <w:tcW w:w="1507" w:type="dxa"/>
            <w:tcBorders>
              <w:top w:val="nil" w:sz="6" w:space="0" w:color="auto"/>
              <w:left w:val="nil" w:sz="6" w:space="0" w:color="auto"/>
              <w:bottom w:val="single" w:sz="4" w:space="0" w:color="000000"/>
              <w:right w:val="nil" w:sz="6" w:space="0" w:color="auto"/>
            </w:tcBorders>
          </w:tcPr>
          <w:p>
            <w:pPr>
              <w:pStyle w:val="TableParagraph"/>
              <w:spacing w:line="203" w:lineRule="exact"/>
              <w:ind w:right="534"/>
              <w:jc w:val="right"/>
              <w:rPr>
                <w:rFonts w:ascii="Calibri" w:hAnsi="Calibri" w:cs="Calibri" w:eastAsia="Calibri" w:hint="default"/>
                <w:sz w:val="20"/>
                <w:szCs w:val="20"/>
              </w:rPr>
            </w:pPr>
            <w:r>
              <w:rPr>
                <w:rFonts w:ascii="Calibri"/>
                <w:b/>
                <w:w w:val="95"/>
                <w:sz w:val="20"/>
              </w:rPr>
              <w:t>Year</w:t>
            </w:r>
            <w:r>
              <w:rPr>
                <w:rFonts w:ascii="Calibri"/>
                <w:sz w:val="20"/>
              </w:rPr>
            </w:r>
          </w:p>
        </w:tc>
        <w:tc>
          <w:tcPr>
            <w:tcW w:w="1544" w:type="dxa"/>
            <w:tcBorders>
              <w:top w:val="nil" w:sz="6" w:space="0" w:color="auto"/>
              <w:left w:val="nil" w:sz="6" w:space="0" w:color="auto"/>
              <w:bottom w:val="single" w:sz="4" w:space="0" w:color="000000"/>
              <w:right w:val="nil" w:sz="6" w:space="0" w:color="auto"/>
            </w:tcBorders>
          </w:tcPr>
          <w:p>
            <w:pPr>
              <w:pStyle w:val="TableParagraph"/>
              <w:spacing w:line="203" w:lineRule="exact"/>
              <w:ind w:left="153" w:right="0"/>
              <w:jc w:val="center"/>
              <w:rPr>
                <w:rFonts w:ascii="Calibri" w:hAnsi="Calibri" w:cs="Calibri" w:eastAsia="Calibri" w:hint="default"/>
                <w:sz w:val="20"/>
                <w:szCs w:val="20"/>
              </w:rPr>
            </w:pPr>
            <w:r>
              <w:rPr>
                <w:rFonts w:ascii="Calibri"/>
                <w:b/>
                <w:sz w:val="20"/>
              </w:rPr>
              <w:t>USA</w:t>
            </w:r>
            <w:r>
              <w:rPr>
                <w:rFonts w:ascii="Calibri"/>
                <w:sz w:val="20"/>
              </w:rPr>
            </w:r>
          </w:p>
        </w:tc>
        <w:tc>
          <w:tcPr>
            <w:tcW w:w="1706" w:type="dxa"/>
            <w:tcBorders>
              <w:top w:val="nil" w:sz="6" w:space="0" w:color="auto"/>
              <w:left w:val="nil" w:sz="6" w:space="0" w:color="auto"/>
              <w:bottom w:val="single" w:sz="4" w:space="0" w:color="000000"/>
              <w:right w:val="nil" w:sz="6" w:space="0" w:color="auto"/>
            </w:tcBorders>
          </w:tcPr>
          <w:p>
            <w:pPr>
              <w:pStyle w:val="TableParagraph"/>
              <w:spacing w:line="203" w:lineRule="exact"/>
              <w:ind w:left="52" w:right="0"/>
              <w:jc w:val="center"/>
              <w:rPr>
                <w:rFonts w:ascii="Calibri" w:hAnsi="Calibri" w:cs="Calibri" w:eastAsia="Calibri" w:hint="default"/>
                <w:sz w:val="20"/>
                <w:szCs w:val="20"/>
              </w:rPr>
            </w:pPr>
            <w:r>
              <w:rPr>
                <w:rFonts w:ascii="Calibri"/>
                <w:b/>
                <w:sz w:val="20"/>
              </w:rPr>
              <w:t>Netherlands</w:t>
            </w:r>
            <w:r>
              <w:rPr>
                <w:rFonts w:ascii="Calibri"/>
                <w:sz w:val="20"/>
              </w:rPr>
            </w:r>
          </w:p>
        </w:tc>
        <w:tc>
          <w:tcPr>
            <w:tcW w:w="1582" w:type="dxa"/>
            <w:tcBorders>
              <w:top w:val="nil" w:sz="6" w:space="0" w:color="auto"/>
              <w:left w:val="nil" w:sz="6" w:space="0" w:color="auto"/>
              <w:bottom w:val="single" w:sz="4" w:space="0" w:color="000000"/>
              <w:right w:val="nil" w:sz="6" w:space="0" w:color="auto"/>
            </w:tcBorders>
          </w:tcPr>
          <w:p>
            <w:pPr>
              <w:pStyle w:val="TableParagraph"/>
              <w:spacing w:line="203" w:lineRule="exact"/>
              <w:ind w:right="89"/>
              <w:jc w:val="center"/>
              <w:rPr>
                <w:rFonts w:ascii="Calibri" w:hAnsi="Calibri" w:cs="Calibri" w:eastAsia="Calibri" w:hint="default"/>
                <w:sz w:val="20"/>
                <w:szCs w:val="20"/>
              </w:rPr>
            </w:pPr>
            <w:r>
              <w:rPr>
                <w:rFonts w:ascii="Calibri"/>
                <w:b/>
                <w:sz w:val="20"/>
              </w:rPr>
              <w:t>Venezuela</w:t>
            </w:r>
            <w:r>
              <w:rPr>
                <w:rFonts w:ascii="Calibri"/>
                <w:sz w:val="20"/>
              </w:rPr>
            </w:r>
          </w:p>
        </w:tc>
        <w:tc>
          <w:tcPr>
            <w:tcW w:w="1520" w:type="dxa"/>
            <w:tcBorders>
              <w:top w:val="nil" w:sz="6" w:space="0" w:color="auto"/>
              <w:left w:val="nil" w:sz="6" w:space="0" w:color="auto"/>
              <w:bottom w:val="single" w:sz="4" w:space="0" w:color="000000"/>
              <w:right w:val="nil" w:sz="6" w:space="0" w:color="auto"/>
            </w:tcBorders>
          </w:tcPr>
          <w:p>
            <w:pPr>
              <w:pStyle w:val="TableParagraph"/>
              <w:spacing w:line="203" w:lineRule="exact"/>
              <w:ind w:left="454" w:right="0"/>
              <w:jc w:val="left"/>
              <w:rPr>
                <w:rFonts w:ascii="Calibri" w:hAnsi="Calibri" w:cs="Calibri" w:eastAsia="Calibri" w:hint="default"/>
                <w:sz w:val="20"/>
                <w:szCs w:val="20"/>
              </w:rPr>
            </w:pPr>
            <w:r>
              <w:rPr>
                <w:rFonts w:ascii="Calibri"/>
                <w:b/>
                <w:sz w:val="20"/>
              </w:rPr>
              <w:t>Others</w:t>
            </w:r>
            <w:r>
              <w:rPr>
                <w:rFonts w:ascii="Calibri"/>
                <w:sz w:val="20"/>
              </w:rPr>
            </w:r>
          </w:p>
        </w:tc>
        <w:tc>
          <w:tcPr>
            <w:tcW w:w="1574" w:type="dxa"/>
            <w:tcBorders>
              <w:top w:val="nil" w:sz="6" w:space="0" w:color="auto"/>
              <w:left w:val="nil" w:sz="6" w:space="0" w:color="auto"/>
              <w:bottom w:val="single" w:sz="4" w:space="0" w:color="000000"/>
              <w:right w:val="nil" w:sz="6" w:space="0" w:color="auto"/>
            </w:tcBorders>
          </w:tcPr>
          <w:p>
            <w:pPr>
              <w:pStyle w:val="TableParagraph"/>
              <w:spacing w:line="203" w:lineRule="exact"/>
              <w:ind w:right="0"/>
              <w:jc w:val="center"/>
              <w:rPr>
                <w:rFonts w:ascii="Calibri" w:hAnsi="Calibri" w:cs="Calibri" w:eastAsia="Calibri" w:hint="default"/>
                <w:sz w:val="20"/>
                <w:szCs w:val="20"/>
              </w:rPr>
            </w:pPr>
            <w:r>
              <w:rPr>
                <w:rFonts w:ascii="Calibri"/>
                <w:b/>
                <w:sz w:val="20"/>
              </w:rPr>
              <w:t>Total</w:t>
            </w:r>
            <w:r>
              <w:rPr>
                <w:rFonts w:ascii="Calibri"/>
                <w:sz w:val="20"/>
              </w:rPr>
            </w:r>
          </w:p>
        </w:tc>
      </w:tr>
      <w:tr>
        <w:trPr>
          <w:trHeight w:val="268" w:hRule="exact"/>
        </w:trPr>
        <w:tc>
          <w:tcPr>
            <w:tcW w:w="1507"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518"/>
              <w:jc w:val="right"/>
              <w:rPr>
                <w:rFonts w:ascii="Calibri" w:hAnsi="Calibri" w:cs="Calibri" w:eastAsia="Calibri" w:hint="default"/>
                <w:sz w:val="20"/>
                <w:szCs w:val="20"/>
              </w:rPr>
            </w:pPr>
            <w:r>
              <w:rPr>
                <w:rFonts w:ascii="Calibri"/>
                <w:spacing w:val="-1"/>
                <w:w w:val="95"/>
                <w:sz w:val="20"/>
              </w:rPr>
              <w:t>2016</w:t>
            </w:r>
            <w:r>
              <w:rPr>
                <w:rFonts w:ascii="Calibri"/>
                <w:sz w:val="20"/>
              </w:rPr>
            </w:r>
          </w:p>
        </w:tc>
        <w:tc>
          <w:tcPr>
            <w:tcW w:w="1544"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153" w:right="0"/>
              <w:jc w:val="center"/>
              <w:rPr>
                <w:rFonts w:ascii="Calibri" w:hAnsi="Calibri" w:cs="Calibri" w:eastAsia="Calibri" w:hint="default"/>
                <w:sz w:val="20"/>
                <w:szCs w:val="20"/>
              </w:rPr>
            </w:pPr>
            <w:r>
              <w:rPr>
                <w:rFonts w:ascii="Calibri"/>
                <w:sz w:val="20"/>
              </w:rPr>
              <w:t>90,660</w:t>
            </w:r>
          </w:p>
        </w:tc>
        <w:tc>
          <w:tcPr>
            <w:tcW w:w="1706"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49" w:right="0"/>
              <w:jc w:val="center"/>
              <w:rPr>
                <w:rFonts w:ascii="Calibri" w:hAnsi="Calibri" w:cs="Calibri" w:eastAsia="Calibri" w:hint="default"/>
                <w:sz w:val="20"/>
                <w:szCs w:val="20"/>
              </w:rPr>
            </w:pPr>
            <w:r>
              <w:rPr>
                <w:rFonts w:ascii="Calibri"/>
                <w:sz w:val="20"/>
              </w:rPr>
              <w:t>155,779</w:t>
            </w:r>
          </w:p>
        </w:tc>
        <w:tc>
          <w:tcPr>
            <w:tcW w:w="1582"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91"/>
              <w:jc w:val="center"/>
              <w:rPr>
                <w:rFonts w:ascii="Calibri" w:hAnsi="Calibri" w:cs="Calibri" w:eastAsia="Calibri" w:hint="default"/>
                <w:sz w:val="20"/>
                <w:szCs w:val="20"/>
              </w:rPr>
            </w:pPr>
            <w:r>
              <w:rPr>
                <w:rFonts w:ascii="Calibri"/>
                <w:sz w:val="20"/>
              </w:rPr>
              <w:t>100,000</w:t>
            </w:r>
          </w:p>
        </w:tc>
        <w:tc>
          <w:tcPr>
            <w:tcW w:w="1520"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406" w:right="0"/>
              <w:jc w:val="left"/>
              <w:rPr>
                <w:rFonts w:ascii="Calibri" w:hAnsi="Calibri" w:cs="Calibri" w:eastAsia="Calibri" w:hint="default"/>
                <w:sz w:val="20"/>
                <w:szCs w:val="20"/>
              </w:rPr>
            </w:pPr>
            <w:r>
              <w:rPr>
                <w:rFonts w:ascii="Calibri"/>
                <w:sz w:val="20"/>
              </w:rPr>
              <w:t>178,500</w:t>
            </w:r>
          </w:p>
        </w:tc>
        <w:tc>
          <w:tcPr>
            <w:tcW w:w="1574"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1"/>
              <w:jc w:val="center"/>
              <w:rPr>
                <w:rFonts w:ascii="Calibri" w:hAnsi="Calibri" w:cs="Calibri" w:eastAsia="Calibri" w:hint="default"/>
                <w:sz w:val="20"/>
                <w:szCs w:val="20"/>
              </w:rPr>
            </w:pPr>
            <w:r>
              <w:rPr>
                <w:rFonts w:ascii="Calibri"/>
                <w:sz w:val="20"/>
              </w:rPr>
              <w:t>524,939</w:t>
            </w:r>
          </w:p>
        </w:tc>
      </w:tr>
      <w:tr>
        <w:trPr>
          <w:trHeight w:val="244" w:hRule="exact"/>
        </w:trPr>
        <w:tc>
          <w:tcPr>
            <w:tcW w:w="1507" w:type="dxa"/>
            <w:tcBorders>
              <w:top w:val="nil" w:sz="6" w:space="0" w:color="auto"/>
              <w:left w:val="nil" w:sz="6" w:space="0" w:color="auto"/>
              <w:bottom w:val="nil" w:sz="6" w:space="0" w:color="auto"/>
              <w:right w:val="nil" w:sz="6" w:space="0" w:color="auto"/>
            </w:tcBorders>
          </w:tcPr>
          <w:p>
            <w:pPr>
              <w:pStyle w:val="TableParagraph"/>
              <w:spacing w:line="225" w:lineRule="exact"/>
              <w:ind w:right="518"/>
              <w:jc w:val="right"/>
              <w:rPr>
                <w:rFonts w:ascii="Calibri" w:hAnsi="Calibri" w:cs="Calibri" w:eastAsia="Calibri" w:hint="default"/>
                <w:sz w:val="20"/>
                <w:szCs w:val="20"/>
              </w:rPr>
            </w:pPr>
            <w:r>
              <w:rPr>
                <w:rFonts w:ascii="Calibri"/>
                <w:spacing w:val="-1"/>
                <w:w w:val="95"/>
                <w:sz w:val="20"/>
              </w:rPr>
              <w:t>2017</w:t>
            </w:r>
            <w:r>
              <w:rPr>
                <w:rFonts w:ascii="Calibri"/>
                <w:sz w:val="20"/>
              </w:rPr>
            </w:r>
          </w:p>
        </w:tc>
        <w:tc>
          <w:tcPr>
            <w:tcW w:w="1544" w:type="dxa"/>
            <w:tcBorders>
              <w:top w:val="nil" w:sz="6" w:space="0" w:color="auto"/>
              <w:left w:val="nil" w:sz="6" w:space="0" w:color="auto"/>
              <w:bottom w:val="nil" w:sz="6" w:space="0" w:color="auto"/>
              <w:right w:val="nil" w:sz="6" w:space="0" w:color="auto"/>
            </w:tcBorders>
          </w:tcPr>
          <w:p>
            <w:pPr>
              <w:pStyle w:val="TableParagraph"/>
              <w:spacing w:line="225" w:lineRule="exact"/>
              <w:ind w:left="153" w:right="0"/>
              <w:jc w:val="center"/>
              <w:rPr>
                <w:rFonts w:ascii="Calibri" w:hAnsi="Calibri" w:cs="Calibri" w:eastAsia="Calibri" w:hint="default"/>
                <w:sz w:val="20"/>
                <w:szCs w:val="20"/>
              </w:rPr>
            </w:pPr>
            <w:r>
              <w:rPr>
                <w:rFonts w:ascii="Calibri"/>
                <w:sz w:val="20"/>
              </w:rPr>
              <w:t>124,249</w:t>
            </w:r>
          </w:p>
        </w:tc>
        <w:tc>
          <w:tcPr>
            <w:tcW w:w="1706" w:type="dxa"/>
            <w:tcBorders>
              <w:top w:val="nil" w:sz="6" w:space="0" w:color="auto"/>
              <w:left w:val="nil" w:sz="6" w:space="0" w:color="auto"/>
              <w:bottom w:val="nil" w:sz="6" w:space="0" w:color="auto"/>
              <w:right w:val="nil" w:sz="6" w:space="0" w:color="auto"/>
            </w:tcBorders>
          </w:tcPr>
          <w:p>
            <w:pPr>
              <w:pStyle w:val="TableParagraph"/>
              <w:spacing w:line="225" w:lineRule="exact"/>
              <w:ind w:left="49" w:right="0"/>
              <w:jc w:val="center"/>
              <w:rPr>
                <w:rFonts w:ascii="Calibri" w:hAnsi="Calibri" w:cs="Calibri" w:eastAsia="Calibri" w:hint="default"/>
                <w:sz w:val="20"/>
                <w:szCs w:val="20"/>
              </w:rPr>
            </w:pPr>
            <w:r>
              <w:rPr>
                <w:rFonts w:ascii="Calibri"/>
                <w:sz w:val="20"/>
              </w:rPr>
              <w:t>159,258</w:t>
            </w:r>
          </w:p>
        </w:tc>
        <w:tc>
          <w:tcPr>
            <w:tcW w:w="1582" w:type="dxa"/>
            <w:tcBorders>
              <w:top w:val="nil" w:sz="6" w:space="0" w:color="auto"/>
              <w:left w:val="nil" w:sz="6" w:space="0" w:color="auto"/>
              <w:bottom w:val="nil" w:sz="6" w:space="0" w:color="auto"/>
              <w:right w:val="nil" w:sz="6" w:space="0" w:color="auto"/>
            </w:tcBorders>
          </w:tcPr>
          <w:p>
            <w:pPr>
              <w:pStyle w:val="TableParagraph"/>
              <w:spacing w:line="225" w:lineRule="exact"/>
              <w:ind w:right="91"/>
              <w:jc w:val="center"/>
              <w:rPr>
                <w:rFonts w:ascii="Calibri" w:hAnsi="Calibri" w:cs="Calibri" w:eastAsia="Calibri" w:hint="default"/>
                <w:sz w:val="20"/>
                <w:szCs w:val="20"/>
              </w:rPr>
            </w:pPr>
            <w:r>
              <w:rPr>
                <w:rFonts w:ascii="Calibri"/>
                <w:sz w:val="20"/>
              </w:rPr>
              <w:t>105,000</w:t>
            </w:r>
          </w:p>
        </w:tc>
        <w:tc>
          <w:tcPr>
            <w:tcW w:w="1520" w:type="dxa"/>
            <w:tcBorders>
              <w:top w:val="nil" w:sz="6" w:space="0" w:color="auto"/>
              <w:left w:val="nil" w:sz="6" w:space="0" w:color="auto"/>
              <w:bottom w:val="nil" w:sz="6" w:space="0" w:color="auto"/>
              <w:right w:val="nil" w:sz="6" w:space="0" w:color="auto"/>
            </w:tcBorders>
          </w:tcPr>
          <w:p>
            <w:pPr>
              <w:pStyle w:val="TableParagraph"/>
              <w:spacing w:line="225" w:lineRule="exact"/>
              <w:ind w:left="406" w:right="0"/>
              <w:jc w:val="left"/>
              <w:rPr>
                <w:rFonts w:ascii="Calibri" w:hAnsi="Calibri" w:cs="Calibri" w:eastAsia="Calibri" w:hint="default"/>
                <w:sz w:val="20"/>
                <w:szCs w:val="20"/>
              </w:rPr>
            </w:pPr>
            <w:r>
              <w:rPr>
                <w:rFonts w:ascii="Calibri"/>
                <w:sz w:val="20"/>
              </w:rPr>
              <w:t>187,425</w:t>
            </w:r>
          </w:p>
        </w:tc>
        <w:tc>
          <w:tcPr>
            <w:tcW w:w="1574" w:type="dxa"/>
            <w:tcBorders>
              <w:top w:val="nil" w:sz="6" w:space="0" w:color="auto"/>
              <w:left w:val="nil" w:sz="6" w:space="0" w:color="auto"/>
              <w:bottom w:val="nil" w:sz="6" w:space="0" w:color="auto"/>
              <w:right w:val="nil" w:sz="6" w:space="0" w:color="auto"/>
            </w:tcBorders>
          </w:tcPr>
          <w:p>
            <w:pPr>
              <w:pStyle w:val="TableParagraph"/>
              <w:spacing w:line="225" w:lineRule="exact"/>
              <w:ind w:right="1"/>
              <w:jc w:val="center"/>
              <w:rPr>
                <w:rFonts w:ascii="Calibri" w:hAnsi="Calibri" w:cs="Calibri" w:eastAsia="Calibri" w:hint="default"/>
                <w:sz w:val="20"/>
                <w:szCs w:val="20"/>
              </w:rPr>
            </w:pPr>
            <w:r>
              <w:rPr>
                <w:rFonts w:ascii="Calibri"/>
                <w:sz w:val="20"/>
              </w:rPr>
              <w:t>575,932</w:t>
            </w:r>
          </w:p>
        </w:tc>
      </w:tr>
      <w:tr>
        <w:trPr>
          <w:trHeight w:val="245" w:hRule="exact"/>
        </w:trPr>
        <w:tc>
          <w:tcPr>
            <w:tcW w:w="1507" w:type="dxa"/>
            <w:tcBorders>
              <w:top w:val="nil" w:sz="6" w:space="0" w:color="auto"/>
              <w:left w:val="nil" w:sz="6" w:space="0" w:color="auto"/>
              <w:bottom w:val="nil" w:sz="6" w:space="0" w:color="auto"/>
              <w:right w:val="nil" w:sz="6" w:space="0" w:color="auto"/>
            </w:tcBorders>
          </w:tcPr>
          <w:p>
            <w:pPr>
              <w:pStyle w:val="TableParagraph"/>
              <w:spacing w:line="226" w:lineRule="exact"/>
              <w:ind w:right="518"/>
              <w:jc w:val="right"/>
              <w:rPr>
                <w:rFonts w:ascii="Calibri" w:hAnsi="Calibri" w:cs="Calibri" w:eastAsia="Calibri" w:hint="default"/>
                <w:sz w:val="20"/>
                <w:szCs w:val="20"/>
              </w:rPr>
            </w:pPr>
            <w:r>
              <w:rPr>
                <w:rFonts w:ascii="Calibri"/>
                <w:spacing w:val="-1"/>
                <w:w w:val="95"/>
                <w:sz w:val="20"/>
              </w:rPr>
              <w:t>2018</w:t>
            </w:r>
            <w:r>
              <w:rPr>
                <w:rFonts w:ascii="Calibri"/>
                <w:sz w:val="20"/>
              </w:rPr>
            </w:r>
          </w:p>
        </w:tc>
        <w:tc>
          <w:tcPr>
            <w:tcW w:w="1544" w:type="dxa"/>
            <w:tcBorders>
              <w:top w:val="nil" w:sz="6" w:space="0" w:color="auto"/>
              <w:left w:val="nil" w:sz="6" w:space="0" w:color="auto"/>
              <w:bottom w:val="nil" w:sz="6" w:space="0" w:color="auto"/>
              <w:right w:val="nil" w:sz="6" w:space="0" w:color="auto"/>
            </w:tcBorders>
          </w:tcPr>
          <w:p>
            <w:pPr>
              <w:pStyle w:val="TableParagraph"/>
              <w:spacing w:line="226" w:lineRule="exact"/>
              <w:ind w:left="153" w:right="0"/>
              <w:jc w:val="center"/>
              <w:rPr>
                <w:rFonts w:ascii="Calibri" w:hAnsi="Calibri" w:cs="Calibri" w:eastAsia="Calibri" w:hint="default"/>
                <w:sz w:val="20"/>
                <w:szCs w:val="20"/>
              </w:rPr>
            </w:pPr>
            <w:r>
              <w:rPr>
                <w:rFonts w:ascii="Calibri"/>
                <w:sz w:val="20"/>
              </w:rPr>
              <w:t>135,733</w:t>
            </w:r>
          </w:p>
        </w:tc>
        <w:tc>
          <w:tcPr>
            <w:tcW w:w="1706" w:type="dxa"/>
            <w:tcBorders>
              <w:top w:val="nil" w:sz="6" w:space="0" w:color="auto"/>
              <w:left w:val="nil" w:sz="6" w:space="0" w:color="auto"/>
              <w:bottom w:val="nil" w:sz="6" w:space="0" w:color="auto"/>
              <w:right w:val="nil" w:sz="6" w:space="0" w:color="auto"/>
            </w:tcBorders>
          </w:tcPr>
          <w:p>
            <w:pPr>
              <w:pStyle w:val="TableParagraph"/>
              <w:spacing w:line="226" w:lineRule="exact"/>
              <w:ind w:left="49" w:right="0"/>
              <w:jc w:val="center"/>
              <w:rPr>
                <w:rFonts w:ascii="Calibri" w:hAnsi="Calibri" w:cs="Calibri" w:eastAsia="Calibri" w:hint="default"/>
                <w:sz w:val="20"/>
                <w:szCs w:val="20"/>
              </w:rPr>
            </w:pPr>
            <w:r>
              <w:rPr>
                <w:rFonts w:ascii="Calibri"/>
                <w:sz w:val="20"/>
              </w:rPr>
              <w:t>160,027</w:t>
            </w:r>
          </w:p>
        </w:tc>
        <w:tc>
          <w:tcPr>
            <w:tcW w:w="1582" w:type="dxa"/>
            <w:tcBorders>
              <w:top w:val="nil" w:sz="6" w:space="0" w:color="auto"/>
              <w:left w:val="nil" w:sz="6" w:space="0" w:color="auto"/>
              <w:bottom w:val="nil" w:sz="6" w:space="0" w:color="auto"/>
              <w:right w:val="nil" w:sz="6" w:space="0" w:color="auto"/>
            </w:tcBorders>
          </w:tcPr>
          <w:p>
            <w:pPr>
              <w:pStyle w:val="TableParagraph"/>
              <w:spacing w:line="226" w:lineRule="exact"/>
              <w:ind w:right="91"/>
              <w:jc w:val="center"/>
              <w:rPr>
                <w:rFonts w:ascii="Calibri" w:hAnsi="Calibri" w:cs="Calibri" w:eastAsia="Calibri" w:hint="default"/>
                <w:sz w:val="20"/>
                <w:szCs w:val="20"/>
              </w:rPr>
            </w:pPr>
            <w:r>
              <w:rPr>
                <w:rFonts w:ascii="Calibri"/>
                <w:sz w:val="20"/>
              </w:rPr>
              <w:t>110,250</w:t>
            </w:r>
          </w:p>
        </w:tc>
        <w:tc>
          <w:tcPr>
            <w:tcW w:w="1520" w:type="dxa"/>
            <w:tcBorders>
              <w:top w:val="nil" w:sz="6" w:space="0" w:color="auto"/>
              <w:left w:val="nil" w:sz="6" w:space="0" w:color="auto"/>
              <w:bottom w:val="nil" w:sz="6" w:space="0" w:color="auto"/>
              <w:right w:val="nil" w:sz="6" w:space="0" w:color="auto"/>
            </w:tcBorders>
          </w:tcPr>
          <w:p>
            <w:pPr>
              <w:pStyle w:val="TableParagraph"/>
              <w:spacing w:line="226" w:lineRule="exact"/>
              <w:ind w:left="406" w:right="0"/>
              <w:jc w:val="left"/>
              <w:rPr>
                <w:rFonts w:ascii="Calibri" w:hAnsi="Calibri" w:cs="Calibri" w:eastAsia="Calibri" w:hint="default"/>
                <w:sz w:val="20"/>
                <w:szCs w:val="20"/>
              </w:rPr>
            </w:pPr>
            <w:r>
              <w:rPr>
                <w:rFonts w:ascii="Calibri"/>
                <w:sz w:val="20"/>
              </w:rPr>
              <w:t>196,796</w:t>
            </w:r>
          </w:p>
        </w:tc>
        <w:tc>
          <w:tcPr>
            <w:tcW w:w="1574" w:type="dxa"/>
            <w:tcBorders>
              <w:top w:val="nil" w:sz="6" w:space="0" w:color="auto"/>
              <w:left w:val="nil" w:sz="6" w:space="0" w:color="auto"/>
              <w:bottom w:val="nil" w:sz="6" w:space="0" w:color="auto"/>
              <w:right w:val="nil" w:sz="6" w:space="0" w:color="auto"/>
            </w:tcBorders>
          </w:tcPr>
          <w:p>
            <w:pPr>
              <w:pStyle w:val="TableParagraph"/>
              <w:spacing w:line="226" w:lineRule="exact"/>
              <w:ind w:right="1"/>
              <w:jc w:val="center"/>
              <w:rPr>
                <w:rFonts w:ascii="Calibri" w:hAnsi="Calibri" w:cs="Calibri" w:eastAsia="Calibri" w:hint="default"/>
                <w:sz w:val="20"/>
                <w:szCs w:val="20"/>
              </w:rPr>
            </w:pPr>
            <w:r>
              <w:rPr>
                <w:rFonts w:ascii="Calibri"/>
                <w:sz w:val="20"/>
              </w:rPr>
              <w:t>602,806</w:t>
            </w:r>
          </w:p>
        </w:tc>
      </w:tr>
      <w:tr>
        <w:trPr>
          <w:trHeight w:val="245" w:hRule="exact"/>
        </w:trPr>
        <w:tc>
          <w:tcPr>
            <w:tcW w:w="1507" w:type="dxa"/>
            <w:tcBorders>
              <w:top w:val="nil" w:sz="6" w:space="0" w:color="auto"/>
              <w:left w:val="nil" w:sz="6" w:space="0" w:color="auto"/>
              <w:bottom w:val="nil" w:sz="6" w:space="0" w:color="auto"/>
              <w:right w:val="nil" w:sz="6" w:space="0" w:color="auto"/>
            </w:tcBorders>
          </w:tcPr>
          <w:p>
            <w:pPr>
              <w:pStyle w:val="TableParagraph"/>
              <w:spacing w:line="226" w:lineRule="exact"/>
              <w:ind w:right="518"/>
              <w:jc w:val="right"/>
              <w:rPr>
                <w:rFonts w:ascii="Calibri" w:hAnsi="Calibri" w:cs="Calibri" w:eastAsia="Calibri" w:hint="default"/>
                <w:sz w:val="20"/>
                <w:szCs w:val="20"/>
              </w:rPr>
            </w:pPr>
            <w:r>
              <w:rPr>
                <w:rFonts w:ascii="Calibri"/>
                <w:spacing w:val="-1"/>
                <w:w w:val="95"/>
                <w:sz w:val="20"/>
              </w:rPr>
              <w:t>2019</w:t>
            </w:r>
            <w:r>
              <w:rPr>
                <w:rFonts w:ascii="Calibri"/>
                <w:sz w:val="20"/>
              </w:rPr>
            </w:r>
          </w:p>
        </w:tc>
        <w:tc>
          <w:tcPr>
            <w:tcW w:w="1544" w:type="dxa"/>
            <w:tcBorders>
              <w:top w:val="nil" w:sz="6" w:space="0" w:color="auto"/>
              <w:left w:val="nil" w:sz="6" w:space="0" w:color="auto"/>
              <w:bottom w:val="nil" w:sz="6" w:space="0" w:color="auto"/>
              <w:right w:val="nil" w:sz="6" w:space="0" w:color="auto"/>
            </w:tcBorders>
          </w:tcPr>
          <w:p>
            <w:pPr>
              <w:pStyle w:val="TableParagraph"/>
              <w:spacing w:line="226" w:lineRule="exact"/>
              <w:ind w:left="153" w:right="0"/>
              <w:jc w:val="center"/>
              <w:rPr>
                <w:rFonts w:ascii="Calibri" w:hAnsi="Calibri" w:cs="Calibri" w:eastAsia="Calibri" w:hint="default"/>
                <w:sz w:val="20"/>
                <w:szCs w:val="20"/>
              </w:rPr>
            </w:pPr>
            <w:r>
              <w:rPr>
                <w:rFonts w:ascii="Calibri"/>
                <w:sz w:val="20"/>
              </w:rPr>
              <w:t>147,136</w:t>
            </w:r>
          </w:p>
        </w:tc>
        <w:tc>
          <w:tcPr>
            <w:tcW w:w="1706" w:type="dxa"/>
            <w:tcBorders>
              <w:top w:val="nil" w:sz="6" w:space="0" w:color="auto"/>
              <w:left w:val="nil" w:sz="6" w:space="0" w:color="auto"/>
              <w:bottom w:val="nil" w:sz="6" w:space="0" w:color="auto"/>
              <w:right w:val="nil" w:sz="6" w:space="0" w:color="auto"/>
            </w:tcBorders>
          </w:tcPr>
          <w:p>
            <w:pPr>
              <w:pStyle w:val="TableParagraph"/>
              <w:spacing w:line="226" w:lineRule="exact"/>
              <w:ind w:left="49" w:right="0"/>
              <w:jc w:val="center"/>
              <w:rPr>
                <w:rFonts w:ascii="Calibri" w:hAnsi="Calibri" w:cs="Calibri" w:eastAsia="Calibri" w:hint="default"/>
                <w:sz w:val="20"/>
                <w:szCs w:val="20"/>
              </w:rPr>
            </w:pPr>
            <w:r>
              <w:rPr>
                <w:rFonts w:ascii="Calibri"/>
                <w:sz w:val="20"/>
              </w:rPr>
              <w:t>160,540</w:t>
            </w:r>
          </w:p>
        </w:tc>
        <w:tc>
          <w:tcPr>
            <w:tcW w:w="1582" w:type="dxa"/>
            <w:tcBorders>
              <w:top w:val="nil" w:sz="6" w:space="0" w:color="auto"/>
              <w:left w:val="nil" w:sz="6" w:space="0" w:color="auto"/>
              <w:bottom w:val="nil" w:sz="6" w:space="0" w:color="auto"/>
              <w:right w:val="nil" w:sz="6" w:space="0" w:color="auto"/>
            </w:tcBorders>
          </w:tcPr>
          <w:p>
            <w:pPr>
              <w:pStyle w:val="TableParagraph"/>
              <w:spacing w:line="226" w:lineRule="exact"/>
              <w:ind w:right="91"/>
              <w:jc w:val="center"/>
              <w:rPr>
                <w:rFonts w:ascii="Calibri" w:hAnsi="Calibri" w:cs="Calibri" w:eastAsia="Calibri" w:hint="default"/>
                <w:sz w:val="20"/>
                <w:szCs w:val="20"/>
              </w:rPr>
            </w:pPr>
            <w:r>
              <w:rPr>
                <w:rFonts w:ascii="Calibri"/>
                <w:sz w:val="20"/>
              </w:rPr>
              <w:t>115,763</w:t>
            </w:r>
          </w:p>
        </w:tc>
        <w:tc>
          <w:tcPr>
            <w:tcW w:w="1520" w:type="dxa"/>
            <w:tcBorders>
              <w:top w:val="nil" w:sz="6" w:space="0" w:color="auto"/>
              <w:left w:val="nil" w:sz="6" w:space="0" w:color="auto"/>
              <w:bottom w:val="nil" w:sz="6" w:space="0" w:color="auto"/>
              <w:right w:val="nil" w:sz="6" w:space="0" w:color="auto"/>
            </w:tcBorders>
          </w:tcPr>
          <w:p>
            <w:pPr>
              <w:pStyle w:val="TableParagraph"/>
              <w:spacing w:line="226" w:lineRule="exact"/>
              <w:ind w:left="406" w:right="0"/>
              <w:jc w:val="left"/>
              <w:rPr>
                <w:rFonts w:ascii="Calibri" w:hAnsi="Calibri" w:cs="Calibri" w:eastAsia="Calibri" w:hint="default"/>
                <w:sz w:val="20"/>
                <w:szCs w:val="20"/>
              </w:rPr>
            </w:pPr>
            <w:r>
              <w:rPr>
                <w:rFonts w:ascii="Calibri"/>
                <w:sz w:val="20"/>
              </w:rPr>
              <w:t>206,636</w:t>
            </w:r>
          </w:p>
        </w:tc>
        <w:tc>
          <w:tcPr>
            <w:tcW w:w="1574" w:type="dxa"/>
            <w:tcBorders>
              <w:top w:val="nil" w:sz="6" w:space="0" w:color="auto"/>
              <w:left w:val="nil" w:sz="6" w:space="0" w:color="auto"/>
              <w:bottom w:val="nil" w:sz="6" w:space="0" w:color="auto"/>
              <w:right w:val="nil" w:sz="6" w:space="0" w:color="auto"/>
            </w:tcBorders>
          </w:tcPr>
          <w:p>
            <w:pPr>
              <w:pStyle w:val="TableParagraph"/>
              <w:spacing w:line="226" w:lineRule="exact"/>
              <w:ind w:right="1"/>
              <w:jc w:val="center"/>
              <w:rPr>
                <w:rFonts w:ascii="Calibri" w:hAnsi="Calibri" w:cs="Calibri" w:eastAsia="Calibri" w:hint="default"/>
                <w:sz w:val="20"/>
                <w:szCs w:val="20"/>
              </w:rPr>
            </w:pPr>
            <w:r>
              <w:rPr>
                <w:rFonts w:ascii="Calibri"/>
                <w:sz w:val="20"/>
              </w:rPr>
              <w:t>630,075</w:t>
            </w:r>
          </w:p>
        </w:tc>
      </w:tr>
      <w:tr>
        <w:trPr>
          <w:trHeight w:val="230" w:hRule="exact"/>
        </w:trPr>
        <w:tc>
          <w:tcPr>
            <w:tcW w:w="1507" w:type="dxa"/>
            <w:tcBorders>
              <w:top w:val="nil" w:sz="6" w:space="0" w:color="auto"/>
              <w:left w:val="nil" w:sz="6" w:space="0" w:color="auto"/>
              <w:bottom w:val="single" w:sz="4" w:space="0" w:color="000000"/>
              <w:right w:val="nil" w:sz="6" w:space="0" w:color="auto"/>
            </w:tcBorders>
          </w:tcPr>
          <w:p>
            <w:pPr>
              <w:pStyle w:val="TableParagraph"/>
              <w:spacing w:line="226" w:lineRule="exact"/>
              <w:ind w:right="518"/>
              <w:jc w:val="right"/>
              <w:rPr>
                <w:rFonts w:ascii="Calibri" w:hAnsi="Calibri" w:cs="Calibri" w:eastAsia="Calibri" w:hint="default"/>
                <w:sz w:val="20"/>
                <w:szCs w:val="20"/>
              </w:rPr>
            </w:pPr>
            <w:r>
              <w:rPr>
                <w:rFonts w:ascii="Calibri"/>
                <w:spacing w:val="-1"/>
                <w:w w:val="95"/>
                <w:sz w:val="20"/>
              </w:rPr>
              <w:t>2020</w:t>
            </w:r>
            <w:r>
              <w:rPr>
                <w:rFonts w:ascii="Calibri"/>
                <w:sz w:val="20"/>
              </w:rPr>
            </w:r>
          </w:p>
        </w:tc>
        <w:tc>
          <w:tcPr>
            <w:tcW w:w="1544" w:type="dxa"/>
            <w:tcBorders>
              <w:top w:val="nil" w:sz="6" w:space="0" w:color="auto"/>
              <w:left w:val="nil" w:sz="6" w:space="0" w:color="auto"/>
              <w:bottom w:val="single" w:sz="4" w:space="0" w:color="000000"/>
              <w:right w:val="nil" w:sz="6" w:space="0" w:color="auto"/>
            </w:tcBorders>
          </w:tcPr>
          <w:p>
            <w:pPr>
              <w:pStyle w:val="TableParagraph"/>
              <w:spacing w:line="226" w:lineRule="exact"/>
              <w:ind w:left="153" w:right="0"/>
              <w:jc w:val="center"/>
              <w:rPr>
                <w:rFonts w:ascii="Calibri" w:hAnsi="Calibri" w:cs="Calibri" w:eastAsia="Calibri" w:hint="default"/>
                <w:sz w:val="20"/>
                <w:szCs w:val="20"/>
              </w:rPr>
            </w:pPr>
            <w:r>
              <w:rPr>
                <w:rFonts w:ascii="Calibri"/>
                <w:sz w:val="20"/>
              </w:rPr>
              <w:t>158,860</w:t>
            </w:r>
          </w:p>
        </w:tc>
        <w:tc>
          <w:tcPr>
            <w:tcW w:w="1706" w:type="dxa"/>
            <w:tcBorders>
              <w:top w:val="nil" w:sz="6" w:space="0" w:color="auto"/>
              <w:left w:val="nil" w:sz="6" w:space="0" w:color="auto"/>
              <w:bottom w:val="single" w:sz="4" w:space="0" w:color="000000"/>
              <w:right w:val="nil" w:sz="6" w:space="0" w:color="auto"/>
            </w:tcBorders>
          </w:tcPr>
          <w:p>
            <w:pPr>
              <w:pStyle w:val="TableParagraph"/>
              <w:spacing w:line="226" w:lineRule="exact"/>
              <w:ind w:left="49" w:right="0"/>
              <w:jc w:val="center"/>
              <w:rPr>
                <w:rFonts w:ascii="Calibri" w:hAnsi="Calibri" w:cs="Calibri" w:eastAsia="Calibri" w:hint="default"/>
                <w:sz w:val="20"/>
                <w:szCs w:val="20"/>
              </w:rPr>
            </w:pPr>
            <w:r>
              <w:rPr>
                <w:rFonts w:ascii="Calibri"/>
                <w:sz w:val="20"/>
              </w:rPr>
              <w:t>160,796</w:t>
            </w:r>
          </w:p>
        </w:tc>
        <w:tc>
          <w:tcPr>
            <w:tcW w:w="1582" w:type="dxa"/>
            <w:tcBorders>
              <w:top w:val="nil" w:sz="6" w:space="0" w:color="auto"/>
              <w:left w:val="nil" w:sz="6" w:space="0" w:color="auto"/>
              <w:bottom w:val="single" w:sz="4" w:space="0" w:color="000000"/>
              <w:right w:val="nil" w:sz="6" w:space="0" w:color="auto"/>
            </w:tcBorders>
          </w:tcPr>
          <w:p>
            <w:pPr>
              <w:pStyle w:val="TableParagraph"/>
              <w:spacing w:line="226" w:lineRule="exact"/>
              <w:ind w:right="91"/>
              <w:jc w:val="center"/>
              <w:rPr>
                <w:rFonts w:ascii="Calibri" w:hAnsi="Calibri" w:cs="Calibri" w:eastAsia="Calibri" w:hint="default"/>
                <w:sz w:val="20"/>
                <w:szCs w:val="20"/>
              </w:rPr>
            </w:pPr>
            <w:r>
              <w:rPr>
                <w:rFonts w:ascii="Calibri"/>
                <w:sz w:val="20"/>
              </w:rPr>
              <w:t>121,551</w:t>
            </w:r>
          </w:p>
        </w:tc>
        <w:tc>
          <w:tcPr>
            <w:tcW w:w="1520" w:type="dxa"/>
            <w:tcBorders>
              <w:top w:val="nil" w:sz="6" w:space="0" w:color="auto"/>
              <w:left w:val="nil" w:sz="6" w:space="0" w:color="auto"/>
              <w:bottom w:val="single" w:sz="4" w:space="0" w:color="000000"/>
              <w:right w:val="nil" w:sz="6" w:space="0" w:color="auto"/>
            </w:tcBorders>
          </w:tcPr>
          <w:p>
            <w:pPr>
              <w:pStyle w:val="TableParagraph"/>
              <w:spacing w:line="226" w:lineRule="exact"/>
              <w:ind w:left="406" w:right="0"/>
              <w:jc w:val="left"/>
              <w:rPr>
                <w:rFonts w:ascii="Calibri" w:hAnsi="Calibri" w:cs="Calibri" w:eastAsia="Calibri" w:hint="default"/>
                <w:sz w:val="20"/>
                <w:szCs w:val="20"/>
              </w:rPr>
            </w:pPr>
            <w:r>
              <w:rPr>
                <w:rFonts w:ascii="Calibri"/>
                <w:sz w:val="20"/>
              </w:rPr>
              <w:t>216,968</w:t>
            </w:r>
          </w:p>
        </w:tc>
        <w:tc>
          <w:tcPr>
            <w:tcW w:w="1574" w:type="dxa"/>
            <w:tcBorders>
              <w:top w:val="nil" w:sz="6" w:space="0" w:color="auto"/>
              <w:left w:val="nil" w:sz="6" w:space="0" w:color="auto"/>
              <w:bottom w:val="single" w:sz="4" w:space="0" w:color="000000"/>
              <w:right w:val="nil" w:sz="6" w:space="0" w:color="auto"/>
            </w:tcBorders>
          </w:tcPr>
          <w:p>
            <w:pPr>
              <w:pStyle w:val="TableParagraph"/>
              <w:spacing w:line="226" w:lineRule="exact"/>
              <w:ind w:right="1"/>
              <w:jc w:val="center"/>
              <w:rPr>
                <w:rFonts w:ascii="Calibri" w:hAnsi="Calibri" w:cs="Calibri" w:eastAsia="Calibri" w:hint="default"/>
                <w:sz w:val="20"/>
                <w:szCs w:val="20"/>
              </w:rPr>
            </w:pPr>
            <w:r>
              <w:rPr>
                <w:rFonts w:ascii="Calibri"/>
                <w:sz w:val="20"/>
              </w:rPr>
              <w:t>658,175</w:t>
            </w:r>
          </w:p>
        </w:tc>
      </w:tr>
    </w:tbl>
    <w:p>
      <w:pPr>
        <w:spacing w:line="240" w:lineRule="auto" w:before="0"/>
        <w:ind w:right="0"/>
        <w:rPr>
          <w:rFonts w:ascii="Calibri" w:hAnsi="Calibri" w:cs="Calibri" w:eastAsia="Calibri" w:hint="default"/>
          <w:b/>
          <w:bCs/>
          <w:sz w:val="20"/>
          <w:szCs w:val="20"/>
        </w:rPr>
      </w:pPr>
    </w:p>
    <w:p>
      <w:pPr>
        <w:spacing w:line="240" w:lineRule="auto" w:before="9"/>
        <w:ind w:right="0"/>
        <w:rPr>
          <w:rFonts w:ascii="Calibri" w:hAnsi="Calibri" w:cs="Calibri" w:eastAsia="Calibri" w:hint="default"/>
          <w:b/>
          <w:bCs/>
          <w:sz w:val="14"/>
          <w:szCs w:val="14"/>
        </w:rPr>
      </w:pPr>
    </w:p>
    <w:p>
      <w:pPr>
        <w:spacing w:line="240" w:lineRule="auto"/>
        <w:ind w:left="3218"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4132985" cy="2043683"/>
            <wp:effectExtent l="0" t="0" r="0" b="0"/>
            <wp:docPr id="111" name="image40.png" descr=""/>
            <wp:cNvGraphicFramePr>
              <a:graphicFrameLocks noChangeAspect="1"/>
            </wp:cNvGraphicFramePr>
            <a:graphic>
              <a:graphicData uri="http://schemas.openxmlformats.org/drawingml/2006/picture">
                <pic:pic>
                  <pic:nvPicPr>
                    <pic:cNvPr id="112" name="image40.png"/>
                    <pic:cNvPicPr/>
                  </pic:nvPicPr>
                  <pic:blipFill>
                    <a:blip r:embed="rId72" cstate="print"/>
                    <a:stretch>
                      <a:fillRect/>
                    </a:stretch>
                  </pic:blipFill>
                  <pic:spPr>
                    <a:xfrm>
                      <a:off x="0" y="0"/>
                      <a:ext cx="4132985" cy="2043683"/>
                    </a:xfrm>
                    <a:prstGeom prst="rect">
                      <a:avLst/>
                    </a:prstGeom>
                  </pic:spPr>
                </pic:pic>
              </a:graphicData>
            </a:graphic>
          </wp:inline>
        </w:drawing>
      </w:r>
      <w:r>
        <w:rPr>
          <w:rFonts w:ascii="Calibri" w:hAnsi="Calibri" w:cs="Calibri" w:eastAsia="Calibri" w:hint="default"/>
          <w:sz w:val="20"/>
          <w:szCs w:val="20"/>
        </w:rPr>
      </w:r>
    </w:p>
    <w:p>
      <w:pPr>
        <w:spacing w:line="240" w:lineRule="auto" w:before="7"/>
        <w:ind w:right="0"/>
        <w:rPr>
          <w:rFonts w:ascii="Calibri" w:hAnsi="Calibri" w:cs="Calibri" w:eastAsia="Calibri" w:hint="default"/>
          <w:b/>
          <w:bCs/>
          <w:sz w:val="10"/>
          <w:szCs w:val="10"/>
        </w:rPr>
      </w:pPr>
    </w:p>
    <w:p>
      <w:pPr>
        <w:pStyle w:val="Heading9"/>
        <w:spacing w:line="240" w:lineRule="auto" w:before="59"/>
        <w:ind w:left="25" w:right="26"/>
        <w:jc w:val="center"/>
        <w:rPr>
          <w:b w:val="0"/>
          <w:bCs w:val="0"/>
        </w:rPr>
      </w:pPr>
      <w:bookmarkStart w:name="_bookmark160" w:id="161"/>
      <w:bookmarkEnd w:id="161"/>
      <w:r>
        <w:rPr>
          <w:b w:val="0"/>
        </w:rPr>
      </w:r>
      <w:r>
        <w:rPr/>
        <w:t>Figure 31:   The new demand structure by</w:t>
      </w:r>
      <w:r>
        <w:rPr>
          <w:spacing w:val="-20"/>
        </w:rPr>
        <w:t> </w:t>
      </w:r>
      <w:r>
        <w:rPr/>
        <w:t>2020</w:t>
      </w:r>
      <w:r>
        <w:rPr>
          <w:b w:val="0"/>
        </w:rPr>
      </w:r>
    </w:p>
    <w:p>
      <w:pPr>
        <w:spacing w:line="240" w:lineRule="auto" w:before="0"/>
        <w:ind w:right="0"/>
        <w:rPr>
          <w:rFonts w:ascii="Calibri" w:hAnsi="Calibri" w:cs="Calibri" w:eastAsia="Calibri" w:hint="default"/>
          <w:b/>
          <w:bCs/>
          <w:sz w:val="20"/>
          <w:szCs w:val="20"/>
        </w:rPr>
      </w:pPr>
    </w:p>
    <w:p>
      <w:pPr>
        <w:pStyle w:val="BodyText"/>
        <w:spacing w:line="259" w:lineRule="auto" w:before="179"/>
        <w:ind w:right="1442"/>
        <w:jc w:val="both"/>
      </w:pPr>
      <w:r>
        <w:rPr/>
        <w:t>It is important to emphasize that the refocused demand toward the American market is suggested because it is mandatory for Curaçao </w:t>
      </w:r>
      <w:r>
        <w:rPr>
          <w:rFonts w:ascii="Calibri" w:hAnsi="Calibri" w:cs="Calibri" w:eastAsia="Calibri" w:hint="default"/>
        </w:rPr>
        <w:t>to increase the hotel sector’s financial performance. The hotel sector has the most potent </w:t>
      </w:r>
      <w:r>
        <w:rPr/>
        <w:t>short-term</w:t>
      </w:r>
      <w:r>
        <w:rPr>
          <w:spacing w:val="-6"/>
        </w:rPr>
        <w:t> </w:t>
      </w:r>
      <w:r>
        <w:rPr/>
        <w:t>economic</w:t>
      </w:r>
      <w:r>
        <w:rPr>
          <w:spacing w:val="-6"/>
        </w:rPr>
        <w:t> </w:t>
      </w:r>
      <w:r>
        <w:rPr/>
        <w:t>impact</w:t>
      </w:r>
      <w:r>
        <w:rPr>
          <w:spacing w:val="-5"/>
        </w:rPr>
        <w:t> </w:t>
      </w:r>
      <w:r>
        <w:rPr/>
        <w:t>for</w:t>
      </w:r>
      <w:r>
        <w:rPr>
          <w:spacing w:val="-5"/>
        </w:rPr>
        <w:t> </w:t>
      </w:r>
      <w:r>
        <w:rPr/>
        <w:t>the</w:t>
      </w:r>
      <w:r>
        <w:rPr>
          <w:spacing w:val="-4"/>
        </w:rPr>
        <w:t> </w:t>
      </w:r>
      <w:r>
        <w:rPr/>
        <w:t>tourism</w:t>
      </w:r>
      <w:r>
        <w:rPr>
          <w:spacing w:val="-6"/>
        </w:rPr>
        <w:t> </w:t>
      </w:r>
      <w:r>
        <w:rPr/>
        <w:t>industry.</w:t>
      </w:r>
      <w:r>
        <w:rPr>
          <w:spacing w:val="33"/>
        </w:rPr>
        <w:t> </w:t>
      </w:r>
      <w:r>
        <w:rPr/>
        <w:t>The</w:t>
      </w:r>
      <w:r>
        <w:rPr>
          <w:spacing w:val="-6"/>
        </w:rPr>
        <w:t> </w:t>
      </w:r>
      <w:r>
        <w:rPr/>
        <w:t>most</w:t>
      </w:r>
      <w:r>
        <w:rPr>
          <w:spacing w:val="-5"/>
        </w:rPr>
        <w:t> </w:t>
      </w:r>
      <w:r>
        <w:rPr/>
        <w:t>efficient</w:t>
      </w:r>
      <w:r>
        <w:rPr>
          <w:spacing w:val="-5"/>
        </w:rPr>
        <w:t> </w:t>
      </w:r>
      <w:r>
        <w:rPr/>
        <w:t>means</w:t>
      </w:r>
      <w:r>
        <w:rPr>
          <w:spacing w:val="-6"/>
        </w:rPr>
        <w:t> </w:t>
      </w:r>
      <w:r>
        <w:rPr/>
        <w:t>by</w:t>
      </w:r>
      <w:r>
        <w:rPr>
          <w:spacing w:val="-5"/>
        </w:rPr>
        <w:t> </w:t>
      </w:r>
      <w:r>
        <w:rPr/>
        <w:t>which</w:t>
      </w:r>
      <w:r>
        <w:rPr>
          <w:spacing w:val="-5"/>
        </w:rPr>
        <w:t> </w:t>
      </w:r>
      <w:r>
        <w:rPr/>
        <w:t>to</w:t>
      </w:r>
      <w:r>
        <w:rPr>
          <w:spacing w:val="-5"/>
        </w:rPr>
        <w:t> </w:t>
      </w:r>
      <w:r>
        <w:rPr/>
        <w:t>measure</w:t>
      </w:r>
      <w:r>
        <w:rPr>
          <w:spacing w:val="-6"/>
        </w:rPr>
        <w:t> </w:t>
      </w:r>
      <w:r>
        <w:rPr/>
        <w:t>the</w:t>
      </w:r>
      <w:r>
        <w:rPr>
          <w:spacing w:val="-6"/>
        </w:rPr>
        <w:t> </w:t>
      </w:r>
      <w:r>
        <w:rPr/>
        <w:t>aggregate</w:t>
      </w:r>
    </w:p>
    <w:p>
      <w:pPr>
        <w:spacing w:line="240" w:lineRule="auto" w:before="1"/>
        <w:ind w:right="0"/>
        <w:rPr>
          <w:rFonts w:ascii="Calibri" w:hAnsi="Calibri" w:cs="Calibri" w:eastAsia="Calibri" w:hint="default"/>
          <w:sz w:val="14"/>
          <w:szCs w:val="14"/>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before="91"/>
        <w:ind w:left="1440" w:right="0" w:firstLine="0"/>
        <w:jc w:val="left"/>
        <w:rPr>
          <w:rFonts w:ascii="Calibri" w:hAnsi="Calibri" w:cs="Calibri" w:eastAsia="Calibri" w:hint="default"/>
          <w:sz w:val="16"/>
          <w:szCs w:val="16"/>
        </w:rPr>
      </w:pPr>
      <w:r>
        <w:rPr>
          <w:rFonts w:ascii="Calibri"/>
          <w:position w:val="5"/>
          <w:sz w:val="12"/>
        </w:rPr>
        <w:t>68 </w:t>
      </w:r>
      <w:r>
        <w:rPr>
          <w:rFonts w:ascii="Calibri"/>
          <w:sz w:val="16"/>
        </w:rPr>
        <w:t>Less than half of Dutch arrivals stay in hotel accommodations on the</w:t>
      </w:r>
      <w:r>
        <w:rPr>
          <w:rFonts w:ascii="Calibri"/>
          <w:spacing w:val="-19"/>
          <w:sz w:val="16"/>
        </w:rPr>
        <w:t> </w:t>
      </w:r>
      <w:r>
        <w:rPr>
          <w:rFonts w:ascii="Calibri"/>
          <w:sz w:val="16"/>
        </w:rPr>
        <w:t>island.</w:t>
      </w:r>
    </w:p>
    <w:p>
      <w:pPr>
        <w:spacing w:line="240" w:lineRule="auto" w:before="13"/>
        <w:ind w:left="1440" w:right="1584" w:firstLine="0"/>
        <w:jc w:val="left"/>
        <w:rPr>
          <w:rFonts w:ascii="Calibri" w:hAnsi="Calibri" w:cs="Calibri" w:eastAsia="Calibri" w:hint="default"/>
          <w:sz w:val="16"/>
          <w:szCs w:val="16"/>
        </w:rPr>
      </w:pPr>
      <w:r>
        <w:rPr>
          <w:rFonts w:ascii="Calibri"/>
          <w:position w:val="5"/>
          <w:sz w:val="12"/>
        </w:rPr>
        <w:t>69 </w:t>
      </w:r>
      <w:r>
        <w:rPr>
          <w:rFonts w:ascii="Calibri"/>
          <w:sz w:val="16"/>
        </w:rPr>
        <w:t>This table reveals the scenario that will prompt the destination to the desired productivity. For the purpose of this report, a scenario is a </w:t>
      </w:r>
      <w:r>
        <w:rPr>
          <w:rFonts w:ascii="Calibri"/>
          <w:sz w:val="16"/>
        </w:rPr>
        <w:t>Hypothetical case relying on a number of assumptions. The Venezuelan situation has deteriorated so rapidly that several adjustments were made during the course of the Tourism Master Plan. By now, it seems clear that the Venezuelan situation can prompt a similar market condition experienced by the destination in the second part of the first decade of the 21</w:t>
      </w:r>
      <w:r>
        <w:rPr>
          <w:rFonts w:ascii="Calibri"/>
          <w:position w:val="5"/>
          <w:sz w:val="10"/>
        </w:rPr>
        <w:t>st </w:t>
      </w:r>
      <w:r>
        <w:rPr>
          <w:rFonts w:ascii="Calibri"/>
          <w:sz w:val="16"/>
        </w:rPr>
        <w:t>century. That is why the remedial actions suggested </w:t>
      </w:r>
      <w:r>
        <w:rPr>
          <w:rFonts w:ascii="Calibri"/>
          <w:sz w:val="16"/>
        </w:rPr>
        <w:t>in an alternative scenario is to work towards the penetration of the Colombian market to compensate for the potential Venezuelan loss. The strategic</w:t>
      </w:r>
      <w:r>
        <w:rPr>
          <w:rFonts w:ascii="Calibri"/>
          <w:spacing w:val="-3"/>
          <w:sz w:val="16"/>
        </w:rPr>
        <w:t> </w:t>
      </w:r>
      <w:r>
        <w:rPr>
          <w:rFonts w:ascii="Calibri"/>
          <w:sz w:val="16"/>
        </w:rPr>
        <w:t>focus</w:t>
      </w:r>
      <w:r>
        <w:rPr>
          <w:rFonts w:ascii="Calibri"/>
          <w:spacing w:val="-3"/>
          <w:sz w:val="16"/>
        </w:rPr>
        <w:t> </w:t>
      </w:r>
      <w:r>
        <w:rPr>
          <w:rFonts w:ascii="Calibri"/>
          <w:sz w:val="16"/>
        </w:rPr>
        <w:t>however</w:t>
      </w:r>
      <w:r>
        <w:rPr>
          <w:rFonts w:ascii="Calibri"/>
          <w:spacing w:val="-1"/>
          <w:sz w:val="16"/>
        </w:rPr>
        <w:t> </w:t>
      </w:r>
      <w:r>
        <w:rPr>
          <w:rFonts w:ascii="Calibri"/>
          <w:sz w:val="16"/>
        </w:rPr>
        <w:t>is</w:t>
      </w:r>
      <w:r>
        <w:rPr>
          <w:rFonts w:ascii="Calibri"/>
          <w:spacing w:val="-3"/>
          <w:sz w:val="16"/>
        </w:rPr>
        <w:t> </w:t>
      </w:r>
      <w:r>
        <w:rPr>
          <w:rFonts w:ascii="Calibri"/>
          <w:sz w:val="16"/>
        </w:rPr>
        <w:t>to</w:t>
      </w:r>
      <w:r>
        <w:rPr>
          <w:rFonts w:ascii="Calibri"/>
          <w:spacing w:val="-1"/>
          <w:sz w:val="16"/>
        </w:rPr>
        <w:t> </w:t>
      </w:r>
      <w:r>
        <w:rPr>
          <w:rFonts w:ascii="Calibri"/>
          <w:sz w:val="16"/>
        </w:rPr>
        <w:t>keep</w:t>
      </w:r>
      <w:r>
        <w:rPr>
          <w:rFonts w:ascii="Calibri"/>
          <w:spacing w:val="-1"/>
          <w:sz w:val="16"/>
        </w:rPr>
        <w:t> </w:t>
      </w:r>
      <w:r>
        <w:rPr>
          <w:rFonts w:ascii="Calibri"/>
          <w:sz w:val="16"/>
        </w:rPr>
        <w:t>the</w:t>
      </w:r>
      <w:r>
        <w:rPr>
          <w:rFonts w:ascii="Calibri"/>
          <w:spacing w:val="-3"/>
          <w:sz w:val="16"/>
        </w:rPr>
        <w:t> </w:t>
      </w:r>
      <w:r>
        <w:rPr>
          <w:rFonts w:ascii="Calibri"/>
          <w:sz w:val="16"/>
        </w:rPr>
        <w:t>market</w:t>
      </w:r>
      <w:r>
        <w:rPr>
          <w:rFonts w:ascii="Calibri"/>
          <w:spacing w:val="-3"/>
          <w:sz w:val="16"/>
        </w:rPr>
        <w:t> </w:t>
      </w:r>
      <w:r>
        <w:rPr>
          <w:rFonts w:ascii="Calibri"/>
          <w:sz w:val="16"/>
        </w:rPr>
        <w:t>share</w:t>
      </w:r>
      <w:r>
        <w:rPr>
          <w:rFonts w:ascii="Calibri"/>
          <w:spacing w:val="-3"/>
          <w:sz w:val="16"/>
        </w:rPr>
        <w:t> </w:t>
      </w:r>
      <w:r>
        <w:rPr>
          <w:rFonts w:ascii="Calibri"/>
          <w:sz w:val="16"/>
        </w:rPr>
        <w:t>of</w:t>
      </w:r>
      <w:r>
        <w:rPr>
          <w:rFonts w:ascii="Calibri"/>
          <w:spacing w:val="-3"/>
          <w:sz w:val="16"/>
        </w:rPr>
        <w:t> </w:t>
      </w:r>
      <w:r>
        <w:rPr>
          <w:rFonts w:ascii="Calibri"/>
          <w:sz w:val="16"/>
        </w:rPr>
        <w:t>the</w:t>
      </w:r>
      <w:r>
        <w:rPr>
          <w:rFonts w:ascii="Calibri"/>
          <w:spacing w:val="-4"/>
          <w:sz w:val="16"/>
        </w:rPr>
        <w:t> </w:t>
      </w:r>
      <w:r>
        <w:rPr>
          <w:rFonts w:ascii="Calibri"/>
          <w:sz w:val="16"/>
        </w:rPr>
        <w:t>Latin</w:t>
      </w:r>
      <w:r>
        <w:rPr>
          <w:rFonts w:ascii="Calibri"/>
          <w:spacing w:val="-3"/>
          <w:sz w:val="16"/>
        </w:rPr>
        <w:t> </w:t>
      </w:r>
      <w:r>
        <w:rPr>
          <w:rFonts w:ascii="Calibri"/>
          <w:sz w:val="16"/>
        </w:rPr>
        <w:t>American</w:t>
      </w:r>
      <w:r>
        <w:rPr>
          <w:rFonts w:ascii="Calibri"/>
          <w:spacing w:val="-1"/>
          <w:sz w:val="16"/>
        </w:rPr>
        <w:t> </w:t>
      </w:r>
      <w:r>
        <w:rPr>
          <w:rFonts w:ascii="Calibri"/>
          <w:sz w:val="16"/>
        </w:rPr>
        <w:t>market</w:t>
      </w:r>
      <w:r>
        <w:rPr>
          <w:rFonts w:ascii="Calibri"/>
          <w:spacing w:val="-3"/>
          <w:sz w:val="16"/>
        </w:rPr>
        <w:t> </w:t>
      </w:r>
      <w:r>
        <w:rPr>
          <w:rFonts w:ascii="Calibri"/>
          <w:sz w:val="16"/>
        </w:rPr>
        <w:t>at</w:t>
      </w:r>
      <w:r>
        <w:rPr>
          <w:rFonts w:ascii="Calibri"/>
          <w:spacing w:val="-3"/>
          <w:sz w:val="16"/>
        </w:rPr>
        <w:t> </w:t>
      </w:r>
      <w:r>
        <w:rPr>
          <w:rFonts w:ascii="Calibri"/>
          <w:sz w:val="16"/>
        </w:rPr>
        <w:t>its</w:t>
      </w:r>
      <w:r>
        <w:rPr>
          <w:rFonts w:ascii="Calibri"/>
          <w:spacing w:val="-1"/>
          <w:sz w:val="16"/>
        </w:rPr>
        <w:t> </w:t>
      </w:r>
      <w:r>
        <w:rPr>
          <w:rFonts w:ascii="Calibri"/>
          <w:sz w:val="16"/>
        </w:rPr>
        <w:t>current</w:t>
      </w:r>
      <w:r>
        <w:rPr>
          <w:rFonts w:ascii="Calibri"/>
          <w:spacing w:val="-3"/>
          <w:sz w:val="16"/>
        </w:rPr>
        <w:t> </w:t>
      </w:r>
      <w:r>
        <w:rPr>
          <w:rFonts w:ascii="Calibri"/>
          <w:sz w:val="16"/>
        </w:rPr>
        <w:t>levels.</w:t>
      </w:r>
    </w:p>
    <w:p>
      <w:pPr>
        <w:spacing w:after="0" w:line="240"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59" w:lineRule="auto" w:before="59"/>
        <w:ind w:right="1435"/>
        <w:jc w:val="left"/>
        <w:rPr>
          <w:sz w:val="12"/>
          <w:szCs w:val="12"/>
        </w:rPr>
      </w:pPr>
      <w:r>
        <w:rPr/>
        <w:t>performance</w:t>
      </w:r>
      <w:r>
        <w:rPr>
          <w:spacing w:val="-11"/>
        </w:rPr>
        <w:t> </w:t>
      </w:r>
      <w:r>
        <w:rPr/>
        <w:t>of</w:t>
      </w:r>
      <w:r>
        <w:rPr>
          <w:spacing w:val="-11"/>
        </w:rPr>
        <w:t> </w:t>
      </w:r>
      <w:r>
        <w:rPr/>
        <w:t>the</w:t>
      </w:r>
      <w:r>
        <w:rPr>
          <w:spacing w:val="-11"/>
        </w:rPr>
        <w:t> </w:t>
      </w:r>
      <w:r>
        <w:rPr/>
        <w:t>hotel</w:t>
      </w:r>
      <w:r>
        <w:rPr>
          <w:spacing w:val="-11"/>
        </w:rPr>
        <w:t> </w:t>
      </w:r>
      <w:r>
        <w:rPr/>
        <w:t>sector</w:t>
      </w:r>
      <w:r>
        <w:rPr>
          <w:spacing w:val="-10"/>
        </w:rPr>
        <w:t> </w:t>
      </w:r>
      <w:r>
        <w:rPr/>
        <w:t>is</w:t>
      </w:r>
      <w:r>
        <w:rPr>
          <w:spacing w:val="-12"/>
        </w:rPr>
        <w:t> </w:t>
      </w:r>
      <w:r>
        <w:rPr/>
        <w:t>via</w:t>
      </w:r>
      <w:r>
        <w:rPr>
          <w:spacing w:val="-10"/>
        </w:rPr>
        <w:t> </w:t>
      </w:r>
      <w:r>
        <w:rPr/>
        <w:t>benchmarking</w:t>
      </w:r>
      <w:r>
        <w:rPr>
          <w:spacing w:val="-7"/>
        </w:rPr>
        <w:t> </w:t>
      </w:r>
      <w:r>
        <w:rPr/>
        <w:t>Curaçao</w:t>
      </w:r>
      <w:r>
        <w:rPr>
          <w:rFonts w:ascii="Calibri" w:hAnsi="Calibri" w:cs="Calibri" w:eastAsia="Calibri" w:hint="default"/>
        </w:rPr>
        <w:t>’s</w:t>
      </w:r>
      <w:r>
        <w:rPr>
          <w:rFonts w:ascii="Calibri" w:hAnsi="Calibri" w:cs="Calibri" w:eastAsia="Calibri" w:hint="default"/>
          <w:spacing w:val="-11"/>
        </w:rPr>
        <w:t> </w:t>
      </w:r>
      <w:r>
        <w:rPr>
          <w:rFonts w:ascii="Calibri" w:hAnsi="Calibri" w:cs="Calibri" w:eastAsia="Calibri" w:hint="default"/>
        </w:rPr>
        <w:t>RevPAR</w:t>
      </w:r>
      <w:r>
        <w:rPr>
          <w:rFonts w:ascii="Calibri" w:hAnsi="Calibri" w:cs="Calibri" w:eastAsia="Calibri" w:hint="default"/>
          <w:spacing w:val="-10"/>
        </w:rPr>
        <w:t> </w:t>
      </w:r>
      <w:r>
        <w:rPr>
          <w:rFonts w:ascii="Calibri" w:hAnsi="Calibri" w:cs="Calibri" w:eastAsia="Calibri" w:hint="default"/>
        </w:rPr>
        <w:t>value.</w:t>
      </w:r>
      <w:r>
        <w:rPr>
          <w:rFonts w:ascii="Calibri" w:hAnsi="Calibri" w:cs="Calibri" w:eastAsia="Calibri" w:hint="default"/>
          <w:spacing w:val="26"/>
        </w:rPr>
        <w:t> </w:t>
      </w:r>
      <w:r>
        <w:rPr>
          <w:rFonts w:ascii="Calibri" w:hAnsi="Calibri" w:cs="Calibri" w:eastAsia="Calibri" w:hint="default"/>
        </w:rPr>
        <w:t>It</w:t>
      </w:r>
      <w:r>
        <w:rPr>
          <w:rFonts w:ascii="Calibri" w:hAnsi="Calibri" w:cs="Calibri" w:eastAsia="Calibri" w:hint="default"/>
          <w:spacing w:val="-10"/>
        </w:rPr>
        <w:t> </w:t>
      </w:r>
      <w:r>
        <w:rPr>
          <w:rFonts w:ascii="Calibri" w:hAnsi="Calibri" w:cs="Calibri" w:eastAsia="Calibri" w:hint="default"/>
        </w:rPr>
        <w:t>is</w:t>
      </w:r>
      <w:r>
        <w:rPr>
          <w:rFonts w:ascii="Calibri" w:hAnsi="Calibri" w:cs="Calibri" w:eastAsia="Calibri" w:hint="default"/>
          <w:spacing w:val="-12"/>
        </w:rPr>
        <w:t> </w:t>
      </w:r>
      <w:r>
        <w:rPr>
          <w:rFonts w:ascii="Calibri" w:hAnsi="Calibri" w:cs="Calibri" w:eastAsia="Calibri" w:hint="default"/>
        </w:rPr>
        <w:t>expected</w:t>
      </w:r>
      <w:r>
        <w:rPr>
          <w:rFonts w:ascii="Calibri" w:hAnsi="Calibri" w:cs="Calibri" w:eastAsia="Calibri" w:hint="default"/>
          <w:spacing w:val="-9"/>
        </w:rPr>
        <w:t> </w:t>
      </w:r>
      <w:r>
        <w:rPr>
          <w:rFonts w:ascii="Calibri" w:hAnsi="Calibri" w:cs="Calibri" w:eastAsia="Calibri" w:hint="default"/>
        </w:rPr>
        <w:t>that</w:t>
      </w:r>
      <w:r>
        <w:rPr>
          <w:rFonts w:ascii="Calibri" w:hAnsi="Calibri" w:cs="Calibri" w:eastAsia="Calibri" w:hint="default"/>
          <w:spacing w:val="-12"/>
        </w:rPr>
        <w:t> </w:t>
      </w:r>
      <w:r>
        <w:rPr>
          <w:rFonts w:ascii="Calibri" w:hAnsi="Calibri" w:cs="Calibri" w:eastAsia="Calibri" w:hint="default"/>
        </w:rPr>
        <w:t>by</w:t>
      </w:r>
      <w:r>
        <w:rPr>
          <w:rFonts w:ascii="Calibri" w:hAnsi="Calibri" w:cs="Calibri" w:eastAsia="Calibri" w:hint="default"/>
          <w:spacing w:val="-12"/>
        </w:rPr>
        <w:t> </w:t>
      </w:r>
      <w:r>
        <w:rPr>
          <w:rFonts w:ascii="Calibri" w:hAnsi="Calibri" w:cs="Calibri" w:eastAsia="Calibri" w:hint="default"/>
        </w:rPr>
        <w:t>year</w:t>
      </w:r>
      <w:r>
        <w:rPr>
          <w:rFonts w:ascii="Calibri" w:hAnsi="Calibri" w:cs="Calibri" w:eastAsia="Calibri" w:hint="default"/>
          <w:spacing w:val="-10"/>
        </w:rPr>
        <w:t> </w:t>
      </w:r>
      <w:r>
        <w:rPr>
          <w:rFonts w:ascii="Calibri" w:hAnsi="Calibri" w:cs="Calibri" w:eastAsia="Calibri" w:hint="default"/>
        </w:rPr>
        <w:t>5,</w:t>
      </w:r>
      <w:r>
        <w:rPr>
          <w:rFonts w:ascii="Calibri" w:hAnsi="Calibri" w:cs="Calibri" w:eastAsia="Calibri" w:hint="default"/>
          <w:spacing w:val="-9"/>
        </w:rPr>
        <w:t> </w:t>
      </w:r>
      <w:r>
        <w:rPr/>
        <w:t>Curaçao</w:t>
      </w:r>
      <w:r>
        <w:rPr>
          <w:rFonts w:ascii="Calibri" w:hAnsi="Calibri" w:cs="Calibri" w:eastAsia="Calibri" w:hint="default"/>
        </w:rPr>
        <w:t>’s </w:t>
      </w:r>
      <w:r>
        <w:rPr/>
        <w:t>RevPAR will increase to US$128.13, which brings Curaçao closer to the regional RevPAR (see Table</w:t>
      </w:r>
      <w:r>
        <w:rPr>
          <w:spacing w:val="-30"/>
        </w:rPr>
        <w:t> </w:t>
      </w:r>
      <w:r>
        <w:rPr/>
        <w:t>49).</w:t>
      </w:r>
      <w:r>
        <w:rPr>
          <w:position w:val="5"/>
          <w:sz w:val="12"/>
          <w:szCs w:val="12"/>
        </w:rPr>
        <w:t>70</w:t>
      </w:r>
      <w:r>
        <w:rPr>
          <w:sz w:val="12"/>
          <w:szCs w:val="12"/>
        </w:rPr>
      </w:r>
    </w:p>
    <w:p>
      <w:pPr>
        <w:pStyle w:val="Heading9"/>
        <w:tabs>
          <w:tab w:pos="4287" w:val="left" w:leader="none"/>
          <w:tab w:pos="10737" w:val="left" w:leader="none"/>
        </w:tabs>
        <w:spacing w:line="240" w:lineRule="auto" w:before="158" w:after="51"/>
        <w:ind w:left="1505" w:right="0"/>
        <w:jc w:val="left"/>
        <w:rPr>
          <w:b w:val="0"/>
          <w:bCs w:val="0"/>
        </w:rPr>
      </w:pPr>
      <w:bookmarkStart w:name="_bookmark161" w:id="162"/>
      <w:bookmarkEnd w:id="162"/>
      <w:r>
        <w:rPr>
          <w:b w:val="0"/>
        </w:rPr>
      </w:r>
      <w:r>
        <w:rPr>
          <w:w w:val="99"/>
        </w:rPr>
      </w:r>
      <w:r>
        <w:rPr>
          <w:w w:val="99"/>
          <w:u w:val="single" w:color="000000"/>
        </w:rPr>
        <w:t> </w:t>
      </w:r>
      <w:r>
        <w:rPr>
          <w:u w:val="single" w:color="000000"/>
        </w:rPr>
        <w:tab/>
        <w:t>Table 49:  Expected RevPAR from</w:t>
      </w:r>
      <w:r>
        <w:rPr>
          <w:spacing w:val="-22"/>
          <w:u w:val="single" w:color="000000"/>
        </w:rPr>
        <w:t> </w:t>
      </w:r>
      <w:r>
        <w:rPr>
          <w:u w:val="single" w:color="000000"/>
        </w:rPr>
        <w:t>2016-2020</w:t>
        <w:tab/>
      </w:r>
      <w:r>
        <w:rPr/>
      </w:r>
      <w:r>
        <w:rPr>
          <w:b w:val="0"/>
        </w:rPr>
      </w:r>
    </w:p>
    <w:tbl>
      <w:tblPr>
        <w:tblW w:w="0" w:type="auto"/>
        <w:jc w:val="left"/>
        <w:tblInd w:w="1490" w:type="dxa"/>
        <w:tblLayout w:type="fixed"/>
        <w:tblCellMar>
          <w:top w:w="0" w:type="dxa"/>
          <w:left w:w="0" w:type="dxa"/>
          <w:bottom w:w="0" w:type="dxa"/>
          <w:right w:w="0" w:type="dxa"/>
        </w:tblCellMar>
        <w:tblLook w:val="01E0"/>
      </w:tblPr>
      <w:tblGrid>
        <w:gridCol w:w="1103"/>
        <w:gridCol w:w="1564"/>
        <w:gridCol w:w="1482"/>
        <w:gridCol w:w="1477"/>
        <w:gridCol w:w="1362"/>
        <w:gridCol w:w="1050"/>
        <w:gridCol w:w="1208"/>
      </w:tblGrid>
      <w:tr>
        <w:trPr>
          <w:trHeight w:val="454" w:hRule="exact"/>
        </w:trPr>
        <w:tc>
          <w:tcPr>
            <w:tcW w:w="1103" w:type="dxa"/>
            <w:tcBorders>
              <w:top w:val="nil" w:sz="6" w:space="0" w:color="auto"/>
              <w:left w:val="nil" w:sz="6" w:space="0" w:color="auto"/>
              <w:bottom w:val="single" w:sz="4" w:space="0" w:color="000000"/>
              <w:right w:val="nil" w:sz="6" w:space="0" w:color="auto"/>
            </w:tcBorders>
          </w:tcPr>
          <w:p>
            <w:pPr>
              <w:pStyle w:val="TableParagraph"/>
              <w:spacing w:line="240" w:lineRule="auto" w:before="81"/>
              <w:ind w:right="317"/>
              <w:jc w:val="right"/>
              <w:rPr>
                <w:rFonts w:ascii="Calibri" w:hAnsi="Calibri" w:cs="Calibri" w:eastAsia="Calibri" w:hint="default"/>
                <w:sz w:val="20"/>
                <w:szCs w:val="20"/>
              </w:rPr>
            </w:pPr>
            <w:r>
              <w:rPr>
                <w:rFonts w:ascii="Calibri"/>
                <w:b/>
                <w:w w:val="95"/>
                <w:sz w:val="20"/>
              </w:rPr>
              <w:t>Year</w:t>
            </w:r>
            <w:r>
              <w:rPr>
                <w:rFonts w:ascii="Calibri"/>
                <w:sz w:val="20"/>
              </w:rPr>
            </w:r>
          </w:p>
        </w:tc>
        <w:tc>
          <w:tcPr>
            <w:tcW w:w="1564" w:type="dxa"/>
            <w:tcBorders>
              <w:top w:val="nil" w:sz="6" w:space="0" w:color="auto"/>
              <w:left w:val="nil" w:sz="6" w:space="0" w:color="auto"/>
              <w:bottom w:val="single" w:sz="4" w:space="0" w:color="000000"/>
              <w:right w:val="nil" w:sz="6" w:space="0" w:color="auto"/>
            </w:tcBorders>
          </w:tcPr>
          <w:p>
            <w:pPr>
              <w:pStyle w:val="TableParagraph"/>
              <w:spacing w:line="240" w:lineRule="auto" w:before="81"/>
              <w:ind w:left="20" w:right="0"/>
              <w:jc w:val="center"/>
              <w:rPr>
                <w:rFonts w:ascii="Calibri" w:hAnsi="Calibri" w:cs="Calibri" w:eastAsia="Calibri" w:hint="default"/>
                <w:sz w:val="20"/>
                <w:szCs w:val="20"/>
              </w:rPr>
            </w:pPr>
            <w:r>
              <w:rPr>
                <w:rFonts w:ascii="Calibri"/>
                <w:b/>
                <w:sz w:val="20"/>
              </w:rPr>
              <w:t>Rooms</w:t>
            </w:r>
            <w:r>
              <w:rPr>
                <w:rFonts w:ascii="Calibri"/>
                <w:b/>
                <w:spacing w:val="-5"/>
                <w:sz w:val="20"/>
              </w:rPr>
              <w:t> </w:t>
            </w:r>
            <w:r>
              <w:rPr>
                <w:rFonts w:ascii="Calibri"/>
                <w:b/>
                <w:sz w:val="20"/>
              </w:rPr>
              <w:t>Sold</w:t>
            </w:r>
            <w:r>
              <w:rPr>
                <w:rFonts w:ascii="Calibri"/>
                <w:sz w:val="20"/>
              </w:rPr>
            </w:r>
          </w:p>
        </w:tc>
        <w:tc>
          <w:tcPr>
            <w:tcW w:w="1482" w:type="dxa"/>
            <w:tcBorders>
              <w:top w:val="nil" w:sz="6" w:space="0" w:color="auto"/>
              <w:left w:val="nil" w:sz="6" w:space="0" w:color="auto"/>
              <w:bottom w:val="single" w:sz="4" w:space="0" w:color="000000"/>
              <w:right w:val="nil" w:sz="6" w:space="0" w:color="auto"/>
            </w:tcBorders>
          </w:tcPr>
          <w:p>
            <w:pPr>
              <w:pStyle w:val="TableParagraph"/>
              <w:spacing w:line="240" w:lineRule="auto" w:before="81"/>
              <w:ind w:right="6"/>
              <w:jc w:val="center"/>
              <w:rPr>
                <w:rFonts w:ascii="Calibri" w:hAnsi="Calibri" w:cs="Calibri" w:eastAsia="Calibri" w:hint="default"/>
                <w:sz w:val="20"/>
                <w:szCs w:val="20"/>
              </w:rPr>
            </w:pPr>
            <w:r>
              <w:rPr>
                <w:rFonts w:ascii="Calibri"/>
                <w:b/>
                <w:sz w:val="20"/>
              </w:rPr>
              <w:t>Occupancy</w:t>
            </w:r>
            <w:r>
              <w:rPr>
                <w:rFonts w:ascii="Calibri"/>
                <w:sz w:val="20"/>
              </w:rPr>
            </w:r>
          </w:p>
        </w:tc>
        <w:tc>
          <w:tcPr>
            <w:tcW w:w="1477" w:type="dxa"/>
            <w:tcBorders>
              <w:top w:val="nil" w:sz="6" w:space="0" w:color="auto"/>
              <w:left w:val="nil" w:sz="6" w:space="0" w:color="auto"/>
              <w:bottom w:val="single" w:sz="4" w:space="0" w:color="000000"/>
              <w:right w:val="nil" w:sz="6" w:space="0" w:color="auto"/>
            </w:tcBorders>
          </w:tcPr>
          <w:p>
            <w:pPr>
              <w:pStyle w:val="TableParagraph"/>
              <w:spacing w:line="203" w:lineRule="exact"/>
              <w:ind w:left="373" w:right="0" w:hanging="80"/>
              <w:jc w:val="left"/>
              <w:rPr>
                <w:rFonts w:ascii="Calibri" w:hAnsi="Calibri" w:cs="Calibri" w:eastAsia="Calibri" w:hint="default"/>
                <w:sz w:val="20"/>
                <w:szCs w:val="20"/>
              </w:rPr>
            </w:pPr>
            <w:r>
              <w:rPr>
                <w:rFonts w:ascii="Calibri" w:hAnsi="Calibri" w:cs="Calibri" w:eastAsia="Calibri" w:hint="default"/>
                <w:b/>
                <w:bCs/>
                <w:sz w:val="20"/>
                <w:szCs w:val="20"/>
              </w:rPr>
              <w:t>∆ in</w:t>
            </w:r>
            <w:r>
              <w:rPr>
                <w:rFonts w:ascii="Calibri" w:hAnsi="Calibri" w:cs="Calibri" w:eastAsia="Calibri" w:hint="default"/>
                <w:b/>
                <w:bCs/>
                <w:spacing w:val="-3"/>
                <w:sz w:val="20"/>
                <w:szCs w:val="20"/>
              </w:rPr>
              <w:t> </w:t>
            </w:r>
            <w:r>
              <w:rPr>
                <w:rFonts w:ascii="Calibri" w:hAnsi="Calibri" w:cs="Calibri" w:eastAsia="Calibri" w:hint="default"/>
                <w:b/>
                <w:bCs/>
                <w:sz w:val="20"/>
                <w:szCs w:val="20"/>
              </w:rPr>
              <w:t>Rooms</w:t>
            </w:r>
            <w:r>
              <w:rPr>
                <w:rFonts w:ascii="Calibri" w:hAnsi="Calibri" w:cs="Calibri" w:eastAsia="Calibri" w:hint="default"/>
                <w:sz w:val="20"/>
                <w:szCs w:val="20"/>
              </w:rPr>
            </w:r>
          </w:p>
          <w:p>
            <w:pPr>
              <w:pStyle w:val="TableParagraph"/>
              <w:spacing w:line="240" w:lineRule="auto"/>
              <w:ind w:left="373" w:right="0"/>
              <w:jc w:val="left"/>
              <w:rPr>
                <w:rFonts w:ascii="Calibri" w:hAnsi="Calibri" w:cs="Calibri" w:eastAsia="Calibri" w:hint="default"/>
                <w:sz w:val="20"/>
                <w:szCs w:val="20"/>
              </w:rPr>
            </w:pPr>
            <w:r>
              <w:rPr>
                <w:rFonts w:ascii="Calibri"/>
                <w:b/>
                <w:sz w:val="20"/>
              </w:rPr>
              <w:t>Occupied</w:t>
            </w:r>
            <w:r>
              <w:rPr>
                <w:rFonts w:ascii="Calibri"/>
                <w:sz w:val="20"/>
              </w:rPr>
            </w:r>
          </w:p>
        </w:tc>
        <w:tc>
          <w:tcPr>
            <w:tcW w:w="1362" w:type="dxa"/>
            <w:tcBorders>
              <w:top w:val="nil" w:sz="6" w:space="0" w:color="auto"/>
              <w:left w:val="nil" w:sz="6" w:space="0" w:color="auto"/>
              <w:bottom w:val="single" w:sz="4" w:space="0" w:color="000000"/>
              <w:right w:val="nil" w:sz="6" w:space="0" w:color="auto"/>
            </w:tcBorders>
          </w:tcPr>
          <w:p>
            <w:pPr>
              <w:pStyle w:val="TableParagraph"/>
              <w:spacing w:line="203" w:lineRule="exact"/>
              <w:ind w:left="71" w:right="0"/>
              <w:jc w:val="center"/>
              <w:rPr>
                <w:rFonts w:ascii="Calibri" w:hAnsi="Calibri" w:cs="Calibri" w:eastAsia="Calibri" w:hint="default"/>
                <w:sz w:val="20"/>
                <w:szCs w:val="20"/>
              </w:rPr>
            </w:pPr>
            <w:r>
              <w:rPr>
                <w:rFonts w:ascii="Calibri" w:hAnsi="Calibri" w:cs="Calibri" w:eastAsia="Calibri" w:hint="default"/>
                <w:b/>
                <w:bCs/>
                <w:sz w:val="20"/>
                <w:szCs w:val="20"/>
              </w:rPr>
              <w:t>∆ in</w:t>
            </w:r>
            <w:r>
              <w:rPr>
                <w:rFonts w:ascii="Calibri" w:hAnsi="Calibri" w:cs="Calibri" w:eastAsia="Calibri" w:hint="default"/>
                <w:b/>
                <w:bCs/>
                <w:spacing w:val="-3"/>
                <w:sz w:val="20"/>
                <w:szCs w:val="20"/>
              </w:rPr>
              <w:t> </w:t>
            </w:r>
            <w:r>
              <w:rPr>
                <w:rFonts w:ascii="Calibri" w:hAnsi="Calibri" w:cs="Calibri" w:eastAsia="Calibri" w:hint="default"/>
                <w:b/>
                <w:bCs/>
                <w:sz w:val="20"/>
                <w:szCs w:val="20"/>
              </w:rPr>
              <w:t>Rooms</w:t>
            </w:r>
            <w:r>
              <w:rPr>
                <w:rFonts w:ascii="Calibri" w:hAnsi="Calibri" w:cs="Calibri" w:eastAsia="Calibri" w:hint="default"/>
                <w:sz w:val="20"/>
                <w:szCs w:val="20"/>
              </w:rPr>
            </w:r>
          </w:p>
          <w:p>
            <w:pPr>
              <w:pStyle w:val="TableParagraph"/>
              <w:spacing w:line="240" w:lineRule="auto"/>
              <w:ind w:left="66" w:right="0"/>
              <w:jc w:val="center"/>
              <w:rPr>
                <w:rFonts w:ascii="Calibri" w:hAnsi="Calibri" w:cs="Calibri" w:eastAsia="Calibri" w:hint="default"/>
                <w:sz w:val="20"/>
                <w:szCs w:val="20"/>
              </w:rPr>
            </w:pPr>
            <w:r>
              <w:rPr>
                <w:rFonts w:ascii="Calibri"/>
                <w:b/>
                <w:sz w:val="20"/>
              </w:rPr>
              <w:t>Nights</w:t>
            </w:r>
            <w:r>
              <w:rPr>
                <w:rFonts w:ascii="Calibri"/>
                <w:sz w:val="20"/>
              </w:rPr>
            </w:r>
          </w:p>
        </w:tc>
        <w:tc>
          <w:tcPr>
            <w:tcW w:w="2258" w:type="dxa"/>
            <w:gridSpan w:val="2"/>
            <w:tcBorders>
              <w:top w:val="nil" w:sz="6" w:space="0" w:color="auto"/>
              <w:left w:val="nil" w:sz="6" w:space="0" w:color="auto"/>
              <w:bottom w:val="single" w:sz="4" w:space="0" w:color="000000"/>
              <w:right w:val="nil" w:sz="6" w:space="0" w:color="auto"/>
            </w:tcBorders>
          </w:tcPr>
          <w:p>
            <w:pPr>
              <w:pStyle w:val="TableParagraph"/>
              <w:tabs>
                <w:tab w:pos="1053" w:val="left" w:leader="none"/>
              </w:tabs>
              <w:spacing w:line="240" w:lineRule="auto" w:before="81"/>
              <w:ind w:left="179" w:right="0"/>
              <w:jc w:val="left"/>
              <w:rPr>
                <w:rFonts w:ascii="Calibri" w:hAnsi="Calibri" w:cs="Calibri" w:eastAsia="Calibri" w:hint="default"/>
                <w:sz w:val="20"/>
                <w:szCs w:val="20"/>
              </w:rPr>
            </w:pPr>
            <w:r>
              <w:rPr>
                <w:rFonts w:ascii="Calibri"/>
                <w:b/>
                <w:spacing w:val="-1"/>
                <w:sz w:val="20"/>
              </w:rPr>
              <w:t>RevPAR</w:t>
              <w:tab/>
            </w:r>
            <w:r>
              <w:rPr>
                <w:rFonts w:ascii="Calibri"/>
                <w:b/>
                <w:sz w:val="20"/>
              </w:rPr>
              <w:t>(%,</w:t>
            </w:r>
            <w:r>
              <w:rPr>
                <w:rFonts w:ascii="Calibri"/>
                <w:b/>
                <w:spacing w:val="-3"/>
                <w:sz w:val="20"/>
              </w:rPr>
              <w:t> </w:t>
            </w:r>
            <w:r>
              <w:rPr>
                <w:rFonts w:ascii="Calibri"/>
                <w:b/>
                <w:sz w:val="20"/>
              </w:rPr>
              <w:t>$)</w:t>
            </w:r>
            <w:r>
              <w:rPr>
                <w:rFonts w:ascii="Calibri"/>
                <w:sz w:val="20"/>
              </w:rPr>
            </w:r>
          </w:p>
        </w:tc>
      </w:tr>
      <w:tr>
        <w:trPr>
          <w:trHeight w:val="266" w:hRule="exact"/>
        </w:trPr>
        <w:tc>
          <w:tcPr>
            <w:tcW w:w="1103" w:type="dxa"/>
            <w:tcBorders>
              <w:top w:val="single" w:sz="4" w:space="0" w:color="000000"/>
              <w:left w:val="nil" w:sz="6" w:space="0" w:color="auto"/>
              <w:bottom w:val="nil" w:sz="6" w:space="0" w:color="auto"/>
              <w:right w:val="nil" w:sz="6" w:space="0" w:color="auto"/>
            </w:tcBorders>
          </w:tcPr>
          <w:p>
            <w:pPr>
              <w:pStyle w:val="TableParagraph"/>
              <w:spacing w:line="243" w:lineRule="exact"/>
              <w:ind w:right="303"/>
              <w:jc w:val="right"/>
              <w:rPr>
                <w:rFonts w:ascii="Calibri" w:hAnsi="Calibri" w:cs="Calibri" w:eastAsia="Calibri" w:hint="default"/>
                <w:sz w:val="20"/>
                <w:szCs w:val="20"/>
              </w:rPr>
            </w:pPr>
            <w:r>
              <w:rPr>
                <w:rFonts w:ascii="Calibri"/>
                <w:spacing w:val="-1"/>
                <w:w w:val="95"/>
                <w:sz w:val="20"/>
              </w:rPr>
              <w:t>2016</w:t>
            </w:r>
            <w:r>
              <w:rPr>
                <w:rFonts w:ascii="Calibri"/>
                <w:sz w:val="20"/>
              </w:rPr>
            </w:r>
          </w:p>
        </w:tc>
        <w:tc>
          <w:tcPr>
            <w:tcW w:w="1564" w:type="dxa"/>
            <w:tcBorders>
              <w:top w:val="single" w:sz="4" w:space="0" w:color="000000"/>
              <w:left w:val="nil" w:sz="6" w:space="0" w:color="auto"/>
              <w:bottom w:val="nil" w:sz="6" w:space="0" w:color="auto"/>
              <w:right w:val="nil" w:sz="6" w:space="0" w:color="auto"/>
            </w:tcBorders>
          </w:tcPr>
          <w:p>
            <w:pPr>
              <w:pStyle w:val="TableParagraph"/>
              <w:spacing w:line="243" w:lineRule="exact"/>
              <w:ind w:left="19" w:right="0"/>
              <w:jc w:val="center"/>
              <w:rPr>
                <w:rFonts w:ascii="Calibri" w:hAnsi="Calibri" w:cs="Calibri" w:eastAsia="Calibri" w:hint="default"/>
                <w:sz w:val="20"/>
                <w:szCs w:val="20"/>
              </w:rPr>
            </w:pPr>
            <w:r>
              <w:rPr>
                <w:rFonts w:ascii="Calibri"/>
                <w:sz w:val="20"/>
              </w:rPr>
              <w:t>4,500</w:t>
            </w:r>
          </w:p>
        </w:tc>
        <w:tc>
          <w:tcPr>
            <w:tcW w:w="1482" w:type="dxa"/>
            <w:tcBorders>
              <w:top w:val="single" w:sz="4" w:space="0" w:color="000000"/>
              <w:left w:val="nil" w:sz="6" w:space="0" w:color="auto"/>
              <w:bottom w:val="nil" w:sz="6" w:space="0" w:color="auto"/>
              <w:right w:val="nil" w:sz="6" w:space="0" w:color="auto"/>
            </w:tcBorders>
          </w:tcPr>
          <w:p>
            <w:pPr>
              <w:pStyle w:val="TableParagraph"/>
              <w:spacing w:line="243" w:lineRule="exact"/>
              <w:ind w:right="9"/>
              <w:jc w:val="center"/>
              <w:rPr>
                <w:rFonts w:ascii="Calibri" w:hAnsi="Calibri" w:cs="Calibri" w:eastAsia="Calibri" w:hint="default"/>
                <w:sz w:val="20"/>
                <w:szCs w:val="20"/>
              </w:rPr>
            </w:pPr>
            <w:r>
              <w:rPr>
                <w:rFonts w:ascii="Calibri"/>
                <w:sz w:val="20"/>
              </w:rPr>
              <w:t>75.0%</w:t>
            </w:r>
          </w:p>
        </w:tc>
        <w:tc>
          <w:tcPr>
            <w:tcW w:w="1477" w:type="dxa"/>
            <w:tcBorders>
              <w:top w:val="single" w:sz="4" w:space="0" w:color="000000"/>
              <w:left w:val="nil" w:sz="6" w:space="0" w:color="auto"/>
              <w:bottom w:val="nil" w:sz="6" w:space="0" w:color="auto"/>
              <w:right w:val="nil" w:sz="6" w:space="0" w:color="auto"/>
            </w:tcBorders>
          </w:tcPr>
          <w:p>
            <w:pPr>
              <w:pStyle w:val="TableParagraph"/>
              <w:spacing w:line="243" w:lineRule="exact"/>
              <w:ind w:right="564"/>
              <w:jc w:val="right"/>
              <w:rPr>
                <w:rFonts w:ascii="Calibri" w:hAnsi="Calibri" w:cs="Calibri" w:eastAsia="Calibri" w:hint="default"/>
                <w:sz w:val="20"/>
                <w:szCs w:val="20"/>
              </w:rPr>
            </w:pPr>
            <w:r>
              <w:rPr>
                <w:rFonts w:ascii="Calibri"/>
                <w:spacing w:val="-1"/>
                <w:w w:val="95"/>
                <w:sz w:val="20"/>
              </w:rPr>
              <w:t>300</w:t>
            </w:r>
            <w:r>
              <w:rPr>
                <w:rFonts w:ascii="Calibri"/>
                <w:sz w:val="20"/>
              </w:rPr>
            </w:r>
          </w:p>
        </w:tc>
        <w:tc>
          <w:tcPr>
            <w:tcW w:w="1362" w:type="dxa"/>
            <w:tcBorders>
              <w:top w:val="single" w:sz="4" w:space="0" w:color="000000"/>
              <w:left w:val="nil" w:sz="6" w:space="0" w:color="auto"/>
              <w:bottom w:val="nil" w:sz="6" w:space="0" w:color="auto"/>
              <w:right w:val="nil" w:sz="6" w:space="0" w:color="auto"/>
            </w:tcBorders>
          </w:tcPr>
          <w:p>
            <w:pPr>
              <w:pStyle w:val="TableParagraph"/>
              <w:spacing w:line="243" w:lineRule="exact"/>
              <w:ind w:left="67" w:right="0"/>
              <w:jc w:val="center"/>
              <w:rPr>
                <w:rFonts w:ascii="Calibri" w:hAnsi="Calibri" w:cs="Calibri" w:eastAsia="Calibri" w:hint="default"/>
                <w:sz w:val="20"/>
                <w:szCs w:val="20"/>
              </w:rPr>
            </w:pPr>
            <w:r>
              <w:rPr>
                <w:rFonts w:ascii="Calibri"/>
                <w:sz w:val="20"/>
              </w:rPr>
              <w:t>109,500</w:t>
            </w:r>
          </w:p>
        </w:tc>
        <w:tc>
          <w:tcPr>
            <w:tcW w:w="1050" w:type="dxa"/>
            <w:tcBorders>
              <w:top w:val="single" w:sz="4" w:space="0" w:color="000000"/>
              <w:left w:val="nil" w:sz="6" w:space="0" w:color="auto"/>
              <w:bottom w:val="nil" w:sz="6" w:space="0" w:color="auto"/>
              <w:right w:val="nil" w:sz="6" w:space="0" w:color="auto"/>
            </w:tcBorders>
          </w:tcPr>
          <w:p>
            <w:pPr>
              <w:pStyle w:val="TableParagraph"/>
              <w:spacing w:line="243" w:lineRule="exact"/>
              <w:ind w:right="255"/>
              <w:jc w:val="right"/>
              <w:rPr>
                <w:rFonts w:ascii="Calibri" w:hAnsi="Calibri" w:cs="Calibri" w:eastAsia="Calibri" w:hint="default"/>
                <w:sz w:val="20"/>
                <w:szCs w:val="20"/>
              </w:rPr>
            </w:pPr>
            <w:r>
              <w:rPr>
                <w:rFonts w:ascii="Calibri"/>
                <w:w w:val="95"/>
                <w:sz w:val="20"/>
              </w:rPr>
              <w:t>7.50%</w:t>
            </w:r>
            <w:r>
              <w:rPr>
                <w:rFonts w:ascii="Calibri"/>
                <w:sz w:val="20"/>
              </w:rPr>
            </w:r>
          </w:p>
        </w:tc>
        <w:tc>
          <w:tcPr>
            <w:tcW w:w="1208" w:type="dxa"/>
            <w:tcBorders>
              <w:top w:val="single" w:sz="4" w:space="0" w:color="000000"/>
              <w:left w:val="nil" w:sz="6" w:space="0" w:color="auto"/>
              <w:bottom w:val="nil" w:sz="6" w:space="0" w:color="auto"/>
              <w:right w:val="nil" w:sz="6" w:space="0" w:color="auto"/>
            </w:tcBorders>
          </w:tcPr>
          <w:p>
            <w:pPr>
              <w:pStyle w:val="TableParagraph"/>
              <w:spacing w:line="243" w:lineRule="exact"/>
              <w:ind w:right="35"/>
              <w:jc w:val="center"/>
              <w:rPr>
                <w:rFonts w:ascii="Calibri" w:hAnsi="Calibri" w:cs="Calibri" w:eastAsia="Calibri" w:hint="default"/>
                <w:sz w:val="20"/>
                <w:szCs w:val="20"/>
              </w:rPr>
            </w:pPr>
            <w:r>
              <w:rPr>
                <w:rFonts w:ascii="Calibri"/>
                <w:sz w:val="20"/>
              </w:rPr>
              <w:t>$107.50</w:t>
            </w:r>
          </w:p>
        </w:tc>
      </w:tr>
      <w:tr>
        <w:trPr>
          <w:trHeight w:val="244" w:hRule="exact"/>
        </w:trPr>
        <w:tc>
          <w:tcPr>
            <w:tcW w:w="1103" w:type="dxa"/>
            <w:tcBorders>
              <w:top w:val="nil" w:sz="6" w:space="0" w:color="auto"/>
              <w:left w:val="nil" w:sz="6" w:space="0" w:color="auto"/>
              <w:bottom w:val="nil" w:sz="6" w:space="0" w:color="auto"/>
              <w:right w:val="nil" w:sz="6" w:space="0" w:color="auto"/>
            </w:tcBorders>
          </w:tcPr>
          <w:p>
            <w:pPr>
              <w:pStyle w:val="TableParagraph"/>
              <w:spacing w:line="225" w:lineRule="exact"/>
              <w:ind w:right="303"/>
              <w:jc w:val="right"/>
              <w:rPr>
                <w:rFonts w:ascii="Calibri" w:hAnsi="Calibri" w:cs="Calibri" w:eastAsia="Calibri" w:hint="default"/>
                <w:sz w:val="20"/>
                <w:szCs w:val="20"/>
              </w:rPr>
            </w:pPr>
            <w:r>
              <w:rPr>
                <w:rFonts w:ascii="Calibri"/>
                <w:spacing w:val="-1"/>
                <w:w w:val="95"/>
                <w:sz w:val="20"/>
              </w:rPr>
              <w:t>2017</w:t>
            </w:r>
            <w:r>
              <w:rPr>
                <w:rFonts w:ascii="Calibri"/>
                <w:sz w:val="20"/>
              </w:rPr>
            </w:r>
          </w:p>
        </w:tc>
        <w:tc>
          <w:tcPr>
            <w:tcW w:w="1564" w:type="dxa"/>
            <w:tcBorders>
              <w:top w:val="nil" w:sz="6" w:space="0" w:color="auto"/>
              <w:left w:val="nil" w:sz="6" w:space="0" w:color="auto"/>
              <w:bottom w:val="nil" w:sz="6" w:space="0" w:color="auto"/>
              <w:right w:val="nil" w:sz="6" w:space="0" w:color="auto"/>
            </w:tcBorders>
          </w:tcPr>
          <w:p>
            <w:pPr>
              <w:pStyle w:val="TableParagraph"/>
              <w:spacing w:line="225" w:lineRule="exact"/>
              <w:ind w:left="19" w:right="0"/>
              <w:jc w:val="center"/>
              <w:rPr>
                <w:rFonts w:ascii="Calibri" w:hAnsi="Calibri" w:cs="Calibri" w:eastAsia="Calibri" w:hint="default"/>
                <w:sz w:val="20"/>
                <w:szCs w:val="20"/>
              </w:rPr>
            </w:pPr>
            <w:r>
              <w:rPr>
                <w:rFonts w:ascii="Calibri"/>
                <w:sz w:val="20"/>
              </w:rPr>
              <w:t>4,800</w:t>
            </w:r>
          </w:p>
        </w:tc>
        <w:tc>
          <w:tcPr>
            <w:tcW w:w="1482" w:type="dxa"/>
            <w:tcBorders>
              <w:top w:val="nil" w:sz="6" w:space="0" w:color="auto"/>
              <w:left w:val="nil" w:sz="6" w:space="0" w:color="auto"/>
              <w:bottom w:val="nil" w:sz="6" w:space="0" w:color="auto"/>
              <w:right w:val="nil" w:sz="6" w:space="0" w:color="auto"/>
            </w:tcBorders>
          </w:tcPr>
          <w:p>
            <w:pPr>
              <w:pStyle w:val="TableParagraph"/>
              <w:spacing w:line="225" w:lineRule="exact"/>
              <w:ind w:right="9"/>
              <w:jc w:val="center"/>
              <w:rPr>
                <w:rFonts w:ascii="Calibri" w:hAnsi="Calibri" w:cs="Calibri" w:eastAsia="Calibri" w:hint="default"/>
                <w:sz w:val="20"/>
                <w:szCs w:val="20"/>
              </w:rPr>
            </w:pPr>
            <w:r>
              <w:rPr>
                <w:rFonts w:ascii="Calibri"/>
                <w:sz w:val="20"/>
              </w:rPr>
              <w:t>80.0%</w:t>
            </w:r>
          </w:p>
        </w:tc>
        <w:tc>
          <w:tcPr>
            <w:tcW w:w="1477" w:type="dxa"/>
            <w:tcBorders>
              <w:top w:val="nil" w:sz="6" w:space="0" w:color="auto"/>
              <w:left w:val="nil" w:sz="6" w:space="0" w:color="auto"/>
              <w:bottom w:val="nil" w:sz="6" w:space="0" w:color="auto"/>
              <w:right w:val="nil" w:sz="6" w:space="0" w:color="auto"/>
            </w:tcBorders>
          </w:tcPr>
          <w:p>
            <w:pPr>
              <w:pStyle w:val="TableParagraph"/>
              <w:spacing w:line="225" w:lineRule="exact"/>
              <w:ind w:right="564"/>
              <w:jc w:val="right"/>
              <w:rPr>
                <w:rFonts w:ascii="Calibri" w:hAnsi="Calibri" w:cs="Calibri" w:eastAsia="Calibri" w:hint="default"/>
                <w:sz w:val="20"/>
                <w:szCs w:val="20"/>
              </w:rPr>
            </w:pPr>
            <w:r>
              <w:rPr>
                <w:rFonts w:ascii="Calibri"/>
                <w:spacing w:val="-1"/>
                <w:w w:val="95"/>
                <w:sz w:val="20"/>
              </w:rPr>
              <w:t>300</w:t>
            </w:r>
            <w:r>
              <w:rPr>
                <w:rFonts w:ascii="Calibri"/>
                <w:sz w:val="20"/>
              </w:rPr>
            </w:r>
          </w:p>
        </w:tc>
        <w:tc>
          <w:tcPr>
            <w:tcW w:w="1362" w:type="dxa"/>
            <w:tcBorders>
              <w:top w:val="nil" w:sz="6" w:space="0" w:color="auto"/>
              <w:left w:val="nil" w:sz="6" w:space="0" w:color="auto"/>
              <w:bottom w:val="nil" w:sz="6" w:space="0" w:color="auto"/>
              <w:right w:val="nil" w:sz="6" w:space="0" w:color="auto"/>
            </w:tcBorders>
          </w:tcPr>
          <w:p>
            <w:pPr>
              <w:pStyle w:val="TableParagraph"/>
              <w:spacing w:line="225" w:lineRule="exact"/>
              <w:ind w:left="67" w:right="0"/>
              <w:jc w:val="center"/>
              <w:rPr>
                <w:rFonts w:ascii="Calibri" w:hAnsi="Calibri" w:cs="Calibri" w:eastAsia="Calibri" w:hint="default"/>
                <w:sz w:val="20"/>
                <w:szCs w:val="20"/>
              </w:rPr>
            </w:pPr>
            <w:r>
              <w:rPr>
                <w:rFonts w:ascii="Calibri"/>
                <w:sz w:val="20"/>
              </w:rPr>
              <w:t>109,500</w:t>
            </w:r>
          </w:p>
        </w:tc>
        <w:tc>
          <w:tcPr>
            <w:tcW w:w="1050" w:type="dxa"/>
            <w:tcBorders>
              <w:top w:val="nil" w:sz="6" w:space="0" w:color="auto"/>
              <w:left w:val="nil" w:sz="6" w:space="0" w:color="auto"/>
              <w:bottom w:val="nil" w:sz="6" w:space="0" w:color="auto"/>
              <w:right w:val="nil" w:sz="6" w:space="0" w:color="auto"/>
            </w:tcBorders>
          </w:tcPr>
          <w:p>
            <w:pPr>
              <w:pStyle w:val="TableParagraph"/>
              <w:spacing w:line="225" w:lineRule="exact"/>
              <w:ind w:right="255"/>
              <w:jc w:val="right"/>
              <w:rPr>
                <w:rFonts w:ascii="Calibri" w:hAnsi="Calibri" w:cs="Calibri" w:eastAsia="Calibri" w:hint="default"/>
                <w:sz w:val="20"/>
                <w:szCs w:val="20"/>
              </w:rPr>
            </w:pPr>
            <w:r>
              <w:rPr>
                <w:rFonts w:ascii="Calibri"/>
                <w:w w:val="95"/>
                <w:sz w:val="20"/>
              </w:rPr>
              <w:t>7.50%</w:t>
            </w:r>
            <w:r>
              <w:rPr>
                <w:rFonts w:ascii="Calibri"/>
                <w:sz w:val="20"/>
              </w:rPr>
            </w:r>
          </w:p>
        </w:tc>
        <w:tc>
          <w:tcPr>
            <w:tcW w:w="1208" w:type="dxa"/>
            <w:tcBorders>
              <w:top w:val="nil" w:sz="6" w:space="0" w:color="auto"/>
              <w:left w:val="nil" w:sz="6" w:space="0" w:color="auto"/>
              <w:bottom w:val="nil" w:sz="6" w:space="0" w:color="auto"/>
              <w:right w:val="nil" w:sz="6" w:space="0" w:color="auto"/>
            </w:tcBorders>
          </w:tcPr>
          <w:p>
            <w:pPr>
              <w:pStyle w:val="TableParagraph"/>
              <w:spacing w:line="225" w:lineRule="exact"/>
              <w:ind w:right="35"/>
              <w:jc w:val="center"/>
              <w:rPr>
                <w:rFonts w:ascii="Calibri" w:hAnsi="Calibri" w:cs="Calibri" w:eastAsia="Calibri" w:hint="default"/>
                <w:sz w:val="20"/>
                <w:szCs w:val="20"/>
              </w:rPr>
            </w:pPr>
            <w:r>
              <w:rPr>
                <w:rFonts w:ascii="Calibri"/>
                <w:sz w:val="20"/>
              </w:rPr>
              <w:t>$115.56</w:t>
            </w:r>
          </w:p>
        </w:tc>
      </w:tr>
      <w:tr>
        <w:trPr>
          <w:trHeight w:val="245" w:hRule="exact"/>
        </w:trPr>
        <w:tc>
          <w:tcPr>
            <w:tcW w:w="1103" w:type="dxa"/>
            <w:tcBorders>
              <w:top w:val="nil" w:sz="6" w:space="0" w:color="auto"/>
              <w:left w:val="nil" w:sz="6" w:space="0" w:color="auto"/>
              <w:bottom w:val="nil" w:sz="6" w:space="0" w:color="auto"/>
              <w:right w:val="nil" w:sz="6" w:space="0" w:color="auto"/>
            </w:tcBorders>
          </w:tcPr>
          <w:p>
            <w:pPr>
              <w:pStyle w:val="TableParagraph"/>
              <w:spacing w:line="226" w:lineRule="exact"/>
              <w:ind w:right="303"/>
              <w:jc w:val="right"/>
              <w:rPr>
                <w:rFonts w:ascii="Calibri" w:hAnsi="Calibri" w:cs="Calibri" w:eastAsia="Calibri" w:hint="default"/>
                <w:sz w:val="20"/>
                <w:szCs w:val="20"/>
              </w:rPr>
            </w:pPr>
            <w:r>
              <w:rPr>
                <w:rFonts w:ascii="Calibri"/>
                <w:spacing w:val="-1"/>
                <w:w w:val="95"/>
                <w:sz w:val="20"/>
              </w:rPr>
              <w:t>2018</w:t>
            </w:r>
            <w:r>
              <w:rPr>
                <w:rFonts w:ascii="Calibri"/>
                <w:sz w:val="20"/>
              </w:rPr>
            </w:r>
          </w:p>
        </w:tc>
        <w:tc>
          <w:tcPr>
            <w:tcW w:w="1564" w:type="dxa"/>
            <w:tcBorders>
              <w:top w:val="nil" w:sz="6" w:space="0" w:color="auto"/>
              <w:left w:val="nil" w:sz="6" w:space="0" w:color="auto"/>
              <w:bottom w:val="nil" w:sz="6" w:space="0" w:color="auto"/>
              <w:right w:val="nil" w:sz="6" w:space="0" w:color="auto"/>
            </w:tcBorders>
          </w:tcPr>
          <w:p>
            <w:pPr>
              <w:pStyle w:val="TableParagraph"/>
              <w:spacing w:line="226" w:lineRule="exact"/>
              <w:ind w:left="19" w:right="0"/>
              <w:jc w:val="center"/>
              <w:rPr>
                <w:rFonts w:ascii="Calibri" w:hAnsi="Calibri" w:cs="Calibri" w:eastAsia="Calibri" w:hint="default"/>
                <w:sz w:val="20"/>
                <w:szCs w:val="20"/>
              </w:rPr>
            </w:pPr>
            <w:r>
              <w:rPr>
                <w:rFonts w:ascii="Calibri"/>
                <w:sz w:val="20"/>
              </w:rPr>
              <w:t>4,890</w:t>
            </w:r>
          </w:p>
        </w:tc>
        <w:tc>
          <w:tcPr>
            <w:tcW w:w="1482" w:type="dxa"/>
            <w:tcBorders>
              <w:top w:val="nil" w:sz="6" w:space="0" w:color="auto"/>
              <w:left w:val="nil" w:sz="6" w:space="0" w:color="auto"/>
              <w:bottom w:val="nil" w:sz="6" w:space="0" w:color="auto"/>
              <w:right w:val="nil" w:sz="6" w:space="0" w:color="auto"/>
            </w:tcBorders>
          </w:tcPr>
          <w:p>
            <w:pPr>
              <w:pStyle w:val="TableParagraph"/>
              <w:spacing w:line="226" w:lineRule="exact"/>
              <w:ind w:right="9"/>
              <w:jc w:val="center"/>
              <w:rPr>
                <w:rFonts w:ascii="Calibri" w:hAnsi="Calibri" w:cs="Calibri" w:eastAsia="Calibri" w:hint="default"/>
                <w:sz w:val="20"/>
                <w:szCs w:val="20"/>
              </w:rPr>
            </w:pPr>
            <w:r>
              <w:rPr>
                <w:rFonts w:ascii="Calibri"/>
                <w:sz w:val="20"/>
              </w:rPr>
              <w:t>81.5%</w:t>
            </w:r>
          </w:p>
        </w:tc>
        <w:tc>
          <w:tcPr>
            <w:tcW w:w="1477" w:type="dxa"/>
            <w:tcBorders>
              <w:top w:val="nil" w:sz="6" w:space="0" w:color="auto"/>
              <w:left w:val="nil" w:sz="6" w:space="0" w:color="auto"/>
              <w:bottom w:val="nil" w:sz="6" w:space="0" w:color="auto"/>
              <w:right w:val="nil" w:sz="6" w:space="0" w:color="auto"/>
            </w:tcBorders>
          </w:tcPr>
          <w:p>
            <w:pPr>
              <w:pStyle w:val="TableParagraph"/>
              <w:spacing w:line="226" w:lineRule="exact"/>
              <w:ind w:right="568"/>
              <w:jc w:val="right"/>
              <w:rPr>
                <w:rFonts w:ascii="Calibri" w:hAnsi="Calibri" w:cs="Calibri" w:eastAsia="Calibri" w:hint="default"/>
                <w:sz w:val="20"/>
                <w:szCs w:val="20"/>
              </w:rPr>
            </w:pPr>
            <w:r>
              <w:rPr>
                <w:rFonts w:ascii="Calibri"/>
                <w:spacing w:val="-1"/>
                <w:w w:val="95"/>
                <w:sz w:val="20"/>
              </w:rPr>
              <w:t>90</w:t>
            </w:r>
            <w:r>
              <w:rPr>
                <w:rFonts w:ascii="Calibri"/>
                <w:sz w:val="20"/>
              </w:rPr>
            </w:r>
          </w:p>
        </w:tc>
        <w:tc>
          <w:tcPr>
            <w:tcW w:w="1362" w:type="dxa"/>
            <w:tcBorders>
              <w:top w:val="nil" w:sz="6" w:space="0" w:color="auto"/>
              <w:left w:val="nil" w:sz="6" w:space="0" w:color="auto"/>
              <w:bottom w:val="nil" w:sz="6" w:space="0" w:color="auto"/>
              <w:right w:val="nil" w:sz="6" w:space="0" w:color="auto"/>
            </w:tcBorders>
          </w:tcPr>
          <w:p>
            <w:pPr>
              <w:pStyle w:val="TableParagraph"/>
              <w:spacing w:line="226" w:lineRule="exact"/>
              <w:ind w:left="67" w:right="0"/>
              <w:jc w:val="center"/>
              <w:rPr>
                <w:rFonts w:ascii="Calibri" w:hAnsi="Calibri" w:cs="Calibri" w:eastAsia="Calibri" w:hint="default"/>
                <w:sz w:val="20"/>
                <w:szCs w:val="20"/>
              </w:rPr>
            </w:pPr>
            <w:r>
              <w:rPr>
                <w:rFonts w:ascii="Calibri"/>
                <w:sz w:val="20"/>
              </w:rPr>
              <w:t>32,850</w:t>
            </w:r>
          </w:p>
        </w:tc>
        <w:tc>
          <w:tcPr>
            <w:tcW w:w="1050" w:type="dxa"/>
            <w:tcBorders>
              <w:top w:val="nil" w:sz="6" w:space="0" w:color="auto"/>
              <w:left w:val="nil" w:sz="6" w:space="0" w:color="auto"/>
              <w:bottom w:val="nil" w:sz="6" w:space="0" w:color="auto"/>
              <w:right w:val="nil" w:sz="6" w:space="0" w:color="auto"/>
            </w:tcBorders>
          </w:tcPr>
          <w:p>
            <w:pPr>
              <w:pStyle w:val="TableParagraph"/>
              <w:spacing w:line="226" w:lineRule="exact"/>
              <w:ind w:right="255"/>
              <w:jc w:val="right"/>
              <w:rPr>
                <w:rFonts w:ascii="Calibri" w:hAnsi="Calibri" w:cs="Calibri" w:eastAsia="Calibri" w:hint="default"/>
                <w:sz w:val="20"/>
                <w:szCs w:val="20"/>
              </w:rPr>
            </w:pPr>
            <w:r>
              <w:rPr>
                <w:rFonts w:ascii="Calibri"/>
                <w:w w:val="95"/>
                <w:sz w:val="20"/>
              </w:rPr>
              <w:t>3.50%</w:t>
            </w:r>
            <w:r>
              <w:rPr>
                <w:rFonts w:ascii="Calibri"/>
                <w:sz w:val="20"/>
              </w:rPr>
            </w:r>
          </w:p>
        </w:tc>
        <w:tc>
          <w:tcPr>
            <w:tcW w:w="1208" w:type="dxa"/>
            <w:tcBorders>
              <w:top w:val="nil" w:sz="6" w:space="0" w:color="auto"/>
              <w:left w:val="nil" w:sz="6" w:space="0" w:color="auto"/>
              <w:bottom w:val="nil" w:sz="6" w:space="0" w:color="auto"/>
              <w:right w:val="nil" w:sz="6" w:space="0" w:color="auto"/>
            </w:tcBorders>
          </w:tcPr>
          <w:p>
            <w:pPr>
              <w:pStyle w:val="TableParagraph"/>
              <w:spacing w:line="226" w:lineRule="exact"/>
              <w:ind w:right="35"/>
              <w:jc w:val="center"/>
              <w:rPr>
                <w:rFonts w:ascii="Calibri" w:hAnsi="Calibri" w:cs="Calibri" w:eastAsia="Calibri" w:hint="default"/>
                <w:sz w:val="20"/>
                <w:szCs w:val="20"/>
              </w:rPr>
            </w:pPr>
            <w:r>
              <w:rPr>
                <w:rFonts w:ascii="Calibri"/>
                <w:sz w:val="20"/>
              </w:rPr>
              <w:t>$119.61</w:t>
            </w:r>
          </w:p>
        </w:tc>
      </w:tr>
      <w:tr>
        <w:trPr>
          <w:trHeight w:val="245" w:hRule="exact"/>
        </w:trPr>
        <w:tc>
          <w:tcPr>
            <w:tcW w:w="1103" w:type="dxa"/>
            <w:tcBorders>
              <w:top w:val="nil" w:sz="6" w:space="0" w:color="auto"/>
              <w:left w:val="nil" w:sz="6" w:space="0" w:color="auto"/>
              <w:bottom w:val="nil" w:sz="6" w:space="0" w:color="auto"/>
              <w:right w:val="nil" w:sz="6" w:space="0" w:color="auto"/>
            </w:tcBorders>
          </w:tcPr>
          <w:p>
            <w:pPr>
              <w:pStyle w:val="TableParagraph"/>
              <w:spacing w:line="226" w:lineRule="exact"/>
              <w:ind w:right="303"/>
              <w:jc w:val="right"/>
              <w:rPr>
                <w:rFonts w:ascii="Calibri" w:hAnsi="Calibri" w:cs="Calibri" w:eastAsia="Calibri" w:hint="default"/>
                <w:sz w:val="20"/>
                <w:szCs w:val="20"/>
              </w:rPr>
            </w:pPr>
            <w:r>
              <w:rPr>
                <w:rFonts w:ascii="Calibri"/>
                <w:spacing w:val="-1"/>
                <w:w w:val="95"/>
                <w:sz w:val="20"/>
              </w:rPr>
              <w:t>2019</w:t>
            </w:r>
            <w:r>
              <w:rPr>
                <w:rFonts w:ascii="Calibri"/>
                <w:sz w:val="20"/>
              </w:rPr>
            </w:r>
          </w:p>
        </w:tc>
        <w:tc>
          <w:tcPr>
            <w:tcW w:w="1564" w:type="dxa"/>
            <w:tcBorders>
              <w:top w:val="nil" w:sz="6" w:space="0" w:color="auto"/>
              <w:left w:val="nil" w:sz="6" w:space="0" w:color="auto"/>
              <w:bottom w:val="nil" w:sz="6" w:space="0" w:color="auto"/>
              <w:right w:val="nil" w:sz="6" w:space="0" w:color="auto"/>
            </w:tcBorders>
          </w:tcPr>
          <w:p>
            <w:pPr>
              <w:pStyle w:val="TableParagraph"/>
              <w:spacing w:line="226" w:lineRule="exact"/>
              <w:ind w:left="19" w:right="0"/>
              <w:jc w:val="center"/>
              <w:rPr>
                <w:rFonts w:ascii="Calibri" w:hAnsi="Calibri" w:cs="Calibri" w:eastAsia="Calibri" w:hint="default"/>
                <w:sz w:val="20"/>
                <w:szCs w:val="20"/>
              </w:rPr>
            </w:pPr>
            <w:r>
              <w:rPr>
                <w:rFonts w:ascii="Calibri"/>
                <w:sz w:val="20"/>
              </w:rPr>
              <w:t>4,980</w:t>
            </w:r>
          </w:p>
        </w:tc>
        <w:tc>
          <w:tcPr>
            <w:tcW w:w="1482" w:type="dxa"/>
            <w:tcBorders>
              <w:top w:val="nil" w:sz="6" w:space="0" w:color="auto"/>
              <w:left w:val="nil" w:sz="6" w:space="0" w:color="auto"/>
              <w:bottom w:val="nil" w:sz="6" w:space="0" w:color="auto"/>
              <w:right w:val="nil" w:sz="6" w:space="0" w:color="auto"/>
            </w:tcBorders>
          </w:tcPr>
          <w:p>
            <w:pPr>
              <w:pStyle w:val="TableParagraph"/>
              <w:spacing w:line="226" w:lineRule="exact"/>
              <w:ind w:right="9"/>
              <w:jc w:val="center"/>
              <w:rPr>
                <w:rFonts w:ascii="Calibri" w:hAnsi="Calibri" w:cs="Calibri" w:eastAsia="Calibri" w:hint="default"/>
                <w:sz w:val="20"/>
                <w:szCs w:val="20"/>
              </w:rPr>
            </w:pPr>
            <w:r>
              <w:rPr>
                <w:rFonts w:ascii="Calibri"/>
                <w:sz w:val="20"/>
              </w:rPr>
              <w:t>83.0%</w:t>
            </w:r>
          </w:p>
        </w:tc>
        <w:tc>
          <w:tcPr>
            <w:tcW w:w="1477" w:type="dxa"/>
            <w:tcBorders>
              <w:top w:val="nil" w:sz="6" w:space="0" w:color="auto"/>
              <w:left w:val="nil" w:sz="6" w:space="0" w:color="auto"/>
              <w:bottom w:val="nil" w:sz="6" w:space="0" w:color="auto"/>
              <w:right w:val="nil" w:sz="6" w:space="0" w:color="auto"/>
            </w:tcBorders>
          </w:tcPr>
          <w:p>
            <w:pPr>
              <w:pStyle w:val="TableParagraph"/>
              <w:spacing w:line="226" w:lineRule="exact"/>
              <w:ind w:right="568"/>
              <w:jc w:val="right"/>
              <w:rPr>
                <w:rFonts w:ascii="Calibri" w:hAnsi="Calibri" w:cs="Calibri" w:eastAsia="Calibri" w:hint="default"/>
                <w:sz w:val="20"/>
                <w:szCs w:val="20"/>
              </w:rPr>
            </w:pPr>
            <w:r>
              <w:rPr>
                <w:rFonts w:ascii="Calibri"/>
                <w:spacing w:val="-1"/>
                <w:w w:val="95"/>
                <w:sz w:val="20"/>
              </w:rPr>
              <w:t>90</w:t>
            </w:r>
            <w:r>
              <w:rPr>
                <w:rFonts w:ascii="Calibri"/>
                <w:sz w:val="20"/>
              </w:rPr>
            </w:r>
          </w:p>
        </w:tc>
        <w:tc>
          <w:tcPr>
            <w:tcW w:w="1362" w:type="dxa"/>
            <w:tcBorders>
              <w:top w:val="nil" w:sz="6" w:space="0" w:color="auto"/>
              <w:left w:val="nil" w:sz="6" w:space="0" w:color="auto"/>
              <w:bottom w:val="nil" w:sz="6" w:space="0" w:color="auto"/>
              <w:right w:val="nil" w:sz="6" w:space="0" w:color="auto"/>
            </w:tcBorders>
          </w:tcPr>
          <w:p>
            <w:pPr>
              <w:pStyle w:val="TableParagraph"/>
              <w:spacing w:line="226" w:lineRule="exact"/>
              <w:ind w:left="67" w:right="0"/>
              <w:jc w:val="center"/>
              <w:rPr>
                <w:rFonts w:ascii="Calibri" w:hAnsi="Calibri" w:cs="Calibri" w:eastAsia="Calibri" w:hint="default"/>
                <w:sz w:val="20"/>
                <w:szCs w:val="20"/>
              </w:rPr>
            </w:pPr>
            <w:r>
              <w:rPr>
                <w:rFonts w:ascii="Calibri"/>
                <w:sz w:val="20"/>
              </w:rPr>
              <w:t>32,850</w:t>
            </w:r>
          </w:p>
        </w:tc>
        <w:tc>
          <w:tcPr>
            <w:tcW w:w="1050" w:type="dxa"/>
            <w:tcBorders>
              <w:top w:val="nil" w:sz="6" w:space="0" w:color="auto"/>
              <w:left w:val="nil" w:sz="6" w:space="0" w:color="auto"/>
              <w:bottom w:val="nil" w:sz="6" w:space="0" w:color="auto"/>
              <w:right w:val="nil" w:sz="6" w:space="0" w:color="auto"/>
            </w:tcBorders>
          </w:tcPr>
          <w:p>
            <w:pPr>
              <w:pStyle w:val="TableParagraph"/>
              <w:spacing w:line="226" w:lineRule="exact"/>
              <w:ind w:right="255"/>
              <w:jc w:val="right"/>
              <w:rPr>
                <w:rFonts w:ascii="Calibri" w:hAnsi="Calibri" w:cs="Calibri" w:eastAsia="Calibri" w:hint="default"/>
                <w:sz w:val="20"/>
                <w:szCs w:val="20"/>
              </w:rPr>
            </w:pPr>
            <w:r>
              <w:rPr>
                <w:rFonts w:ascii="Calibri"/>
                <w:w w:val="95"/>
                <w:sz w:val="20"/>
              </w:rPr>
              <w:t>3.50%</w:t>
            </w:r>
            <w:r>
              <w:rPr>
                <w:rFonts w:ascii="Calibri"/>
                <w:sz w:val="20"/>
              </w:rPr>
            </w:r>
          </w:p>
        </w:tc>
        <w:tc>
          <w:tcPr>
            <w:tcW w:w="1208" w:type="dxa"/>
            <w:tcBorders>
              <w:top w:val="nil" w:sz="6" w:space="0" w:color="auto"/>
              <w:left w:val="nil" w:sz="6" w:space="0" w:color="auto"/>
              <w:bottom w:val="nil" w:sz="6" w:space="0" w:color="auto"/>
              <w:right w:val="nil" w:sz="6" w:space="0" w:color="auto"/>
            </w:tcBorders>
          </w:tcPr>
          <w:p>
            <w:pPr>
              <w:pStyle w:val="TableParagraph"/>
              <w:spacing w:line="226" w:lineRule="exact"/>
              <w:ind w:right="35"/>
              <w:jc w:val="center"/>
              <w:rPr>
                <w:rFonts w:ascii="Calibri" w:hAnsi="Calibri" w:cs="Calibri" w:eastAsia="Calibri" w:hint="default"/>
                <w:sz w:val="20"/>
                <w:szCs w:val="20"/>
              </w:rPr>
            </w:pPr>
            <w:r>
              <w:rPr>
                <w:rFonts w:ascii="Calibri"/>
                <w:sz w:val="20"/>
              </w:rPr>
              <w:t>$123.79</w:t>
            </w:r>
          </w:p>
        </w:tc>
      </w:tr>
      <w:tr>
        <w:trPr>
          <w:trHeight w:val="232" w:hRule="exact"/>
        </w:trPr>
        <w:tc>
          <w:tcPr>
            <w:tcW w:w="1103" w:type="dxa"/>
            <w:tcBorders>
              <w:top w:val="nil" w:sz="6" w:space="0" w:color="auto"/>
              <w:left w:val="nil" w:sz="6" w:space="0" w:color="auto"/>
              <w:bottom w:val="single" w:sz="4" w:space="0" w:color="000000"/>
              <w:right w:val="nil" w:sz="6" w:space="0" w:color="auto"/>
            </w:tcBorders>
          </w:tcPr>
          <w:p>
            <w:pPr>
              <w:pStyle w:val="TableParagraph"/>
              <w:spacing w:line="226" w:lineRule="exact"/>
              <w:ind w:right="303"/>
              <w:jc w:val="right"/>
              <w:rPr>
                <w:rFonts w:ascii="Calibri" w:hAnsi="Calibri" w:cs="Calibri" w:eastAsia="Calibri" w:hint="default"/>
                <w:sz w:val="20"/>
                <w:szCs w:val="20"/>
              </w:rPr>
            </w:pPr>
            <w:r>
              <w:rPr>
                <w:rFonts w:ascii="Calibri"/>
                <w:spacing w:val="-1"/>
                <w:w w:val="95"/>
                <w:sz w:val="20"/>
              </w:rPr>
              <w:t>2020</w:t>
            </w:r>
            <w:r>
              <w:rPr>
                <w:rFonts w:ascii="Calibri"/>
                <w:sz w:val="20"/>
              </w:rPr>
            </w:r>
          </w:p>
        </w:tc>
        <w:tc>
          <w:tcPr>
            <w:tcW w:w="1564" w:type="dxa"/>
            <w:tcBorders>
              <w:top w:val="nil" w:sz="6" w:space="0" w:color="auto"/>
              <w:left w:val="nil" w:sz="6" w:space="0" w:color="auto"/>
              <w:bottom w:val="single" w:sz="4" w:space="0" w:color="000000"/>
              <w:right w:val="nil" w:sz="6" w:space="0" w:color="auto"/>
            </w:tcBorders>
          </w:tcPr>
          <w:p>
            <w:pPr>
              <w:pStyle w:val="TableParagraph"/>
              <w:spacing w:line="226" w:lineRule="exact"/>
              <w:ind w:left="19" w:right="0"/>
              <w:jc w:val="center"/>
              <w:rPr>
                <w:rFonts w:ascii="Calibri" w:hAnsi="Calibri" w:cs="Calibri" w:eastAsia="Calibri" w:hint="default"/>
                <w:sz w:val="20"/>
                <w:szCs w:val="20"/>
              </w:rPr>
            </w:pPr>
            <w:r>
              <w:rPr>
                <w:rFonts w:ascii="Calibri"/>
                <w:sz w:val="20"/>
              </w:rPr>
              <w:t>5,070</w:t>
            </w:r>
          </w:p>
        </w:tc>
        <w:tc>
          <w:tcPr>
            <w:tcW w:w="1482" w:type="dxa"/>
            <w:tcBorders>
              <w:top w:val="nil" w:sz="6" w:space="0" w:color="auto"/>
              <w:left w:val="nil" w:sz="6" w:space="0" w:color="auto"/>
              <w:bottom w:val="single" w:sz="4" w:space="0" w:color="000000"/>
              <w:right w:val="nil" w:sz="6" w:space="0" w:color="auto"/>
            </w:tcBorders>
          </w:tcPr>
          <w:p>
            <w:pPr>
              <w:pStyle w:val="TableParagraph"/>
              <w:spacing w:line="226" w:lineRule="exact"/>
              <w:ind w:right="9"/>
              <w:jc w:val="center"/>
              <w:rPr>
                <w:rFonts w:ascii="Calibri" w:hAnsi="Calibri" w:cs="Calibri" w:eastAsia="Calibri" w:hint="default"/>
                <w:sz w:val="20"/>
                <w:szCs w:val="20"/>
              </w:rPr>
            </w:pPr>
            <w:r>
              <w:rPr>
                <w:rFonts w:ascii="Calibri"/>
                <w:sz w:val="20"/>
              </w:rPr>
              <w:t>84.5%</w:t>
            </w:r>
          </w:p>
        </w:tc>
        <w:tc>
          <w:tcPr>
            <w:tcW w:w="1477" w:type="dxa"/>
            <w:tcBorders>
              <w:top w:val="nil" w:sz="6" w:space="0" w:color="auto"/>
              <w:left w:val="nil" w:sz="6" w:space="0" w:color="auto"/>
              <w:bottom w:val="single" w:sz="4" w:space="0" w:color="000000"/>
              <w:right w:val="nil" w:sz="6" w:space="0" w:color="auto"/>
            </w:tcBorders>
          </w:tcPr>
          <w:p>
            <w:pPr>
              <w:pStyle w:val="TableParagraph"/>
              <w:spacing w:line="226" w:lineRule="exact"/>
              <w:ind w:right="568"/>
              <w:jc w:val="right"/>
              <w:rPr>
                <w:rFonts w:ascii="Calibri" w:hAnsi="Calibri" w:cs="Calibri" w:eastAsia="Calibri" w:hint="default"/>
                <w:sz w:val="20"/>
                <w:szCs w:val="20"/>
              </w:rPr>
            </w:pPr>
            <w:r>
              <w:rPr>
                <w:rFonts w:ascii="Calibri"/>
                <w:spacing w:val="-1"/>
                <w:w w:val="95"/>
                <w:sz w:val="20"/>
              </w:rPr>
              <w:t>90</w:t>
            </w:r>
            <w:r>
              <w:rPr>
                <w:rFonts w:ascii="Calibri"/>
                <w:sz w:val="20"/>
              </w:rPr>
            </w:r>
          </w:p>
        </w:tc>
        <w:tc>
          <w:tcPr>
            <w:tcW w:w="1362" w:type="dxa"/>
            <w:tcBorders>
              <w:top w:val="nil" w:sz="6" w:space="0" w:color="auto"/>
              <w:left w:val="nil" w:sz="6" w:space="0" w:color="auto"/>
              <w:bottom w:val="single" w:sz="4" w:space="0" w:color="000000"/>
              <w:right w:val="nil" w:sz="6" w:space="0" w:color="auto"/>
            </w:tcBorders>
          </w:tcPr>
          <w:p>
            <w:pPr>
              <w:pStyle w:val="TableParagraph"/>
              <w:spacing w:line="226" w:lineRule="exact"/>
              <w:ind w:left="67" w:right="0"/>
              <w:jc w:val="center"/>
              <w:rPr>
                <w:rFonts w:ascii="Calibri" w:hAnsi="Calibri" w:cs="Calibri" w:eastAsia="Calibri" w:hint="default"/>
                <w:sz w:val="20"/>
                <w:szCs w:val="20"/>
              </w:rPr>
            </w:pPr>
            <w:r>
              <w:rPr>
                <w:rFonts w:ascii="Calibri"/>
                <w:sz w:val="20"/>
              </w:rPr>
              <w:t>32,850</w:t>
            </w:r>
          </w:p>
        </w:tc>
        <w:tc>
          <w:tcPr>
            <w:tcW w:w="1050" w:type="dxa"/>
            <w:tcBorders>
              <w:top w:val="nil" w:sz="6" w:space="0" w:color="auto"/>
              <w:left w:val="nil" w:sz="6" w:space="0" w:color="auto"/>
              <w:bottom w:val="single" w:sz="4" w:space="0" w:color="000000"/>
              <w:right w:val="nil" w:sz="6" w:space="0" w:color="auto"/>
            </w:tcBorders>
          </w:tcPr>
          <w:p>
            <w:pPr>
              <w:pStyle w:val="TableParagraph"/>
              <w:spacing w:line="226" w:lineRule="exact"/>
              <w:ind w:right="255"/>
              <w:jc w:val="right"/>
              <w:rPr>
                <w:rFonts w:ascii="Calibri" w:hAnsi="Calibri" w:cs="Calibri" w:eastAsia="Calibri" w:hint="default"/>
                <w:sz w:val="20"/>
                <w:szCs w:val="20"/>
              </w:rPr>
            </w:pPr>
            <w:r>
              <w:rPr>
                <w:rFonts w:ascii="Calibri"/>
                <w:w w:val="95"/>
                <w:sz w:val="20"/>
              </w:rPr>
              <w:t>3.50%</w:t>
            </w:r>
            <w:r>
              <w:rPr>
                <w:rFonts w:ascii="Calibri"/>
                <w:sz w:val="20"/>
              </w:rPr>
            </w:r>
          </w:p>
        </w:tc>
        <w:tc>
          <w:tcPr>
            <w:tcW w:w="1208" w:type="dxa"/>
            <w:tcBorders>
              <w:top w:val="nil" w:sz="6" w:space="0" w:color="auto"/>
              <w:left w:val="nil" w:sz="6" w:space="0" w:color="auto"/>
              <w:bottom w:val="single" w:sz="4" w:space="0" w:color="000000"/>
              <w:right w:val="nil" w:sz="6" w:space="0" w:color="auto"/>
            </w:tcBorders>
          </w:tcPr>
          <w:p>
            <w:pPr>
              <w:pStyle w:val="TableParagraph"/>
              <w:spacing w:line="226" w:lineRule="exact"/>
              <w:ind w:right="35"/>
              <w:jc w:val="center"/>
              <w:rPr>
                <w:rFonts w:ascii="Calibri" w:hAnsi="Calibri" w:cs="Calibri" w:eastAsia="Calibri" w:hint="default"/>
                <w:sz w:val="20"/>
                <w:szCs w:val="20"/>
              </w:rPr>
            </w:pPr>
            <w:r>
              <w:rPr>
                <w:rFonts w:ascii="Calibri"/>
                <w:sz w:val="20"/>
              </w:rPr>
              <w:t>$128.13</w:t>
            </w:r>
          </w:p>
        </w:tc>
      </w:tr>
    </w:tbl>
    <w:p>
      <w:pPr>
        <w:spacing w:line="240" w:lineRule="auto" w:before="9"/>
        <w:ind w:right="0"/>
        <w:rPr>
          <w:rFonts w:ascii="Calibri" w:hAnsi="Calibri" w:cs="Calibri" w:eastAsia="Calibri" w:hint="default"/>
          <w:b/>
          <w:bCs/>
          <w:sz w:val="29"/>
          <w:szCs w:val="29"/>
        </w:rPr>
      </w:pPr>
    </w:p>
    <w:p>
      <w:pPr>
        <w:pStyle w:val="BodyText"/>
        <w:spacing w:line="259" w:lineRule="auto" w:before="59"/>
        <w:ind w:right="1439"/>
        <w:jc w:val="both"/>
      </w:pPr>
      <w:r>
        <w:rPr/>
        <w:t>The goal is to increase RevPAR at the end of year 2 by US$15.00. This means a 7.5% increase per year on average, which is the same regional RevPAR increase from 2012 to 2013. By year 5, the goal is to reach at least the 2014 RevPAR level of the Caribbean region at US$133.</w:t>
      </w:r>
      <w:r>
        <w:rPr>
          <w:position w:val="5"/>
          <w:sz w:val="12"/>
          <w:szCs w:val="12"/>
        </w:rPr>
        <w:t>71 </w:t>
      </w:r>
      <w:r>
        <w:rPr/>
        <w:t>Achieving this objective implies significantly closing the RevPAR </w:t>
      </w:r>
      <w:r>
        <w:rPr/>
        <w:t>gap with the Caribbean region, thereby revealing a major stride </w:t>
      </w:r>
      <w:r>
        <w:rPr>
          <w:rFonts w:ascii="Calibri" w:hAnsi="Calibri" w:cs="Calibri" w:eastAsia="Calibri" w:hint="default"/>
        </w:rPr>
        <w:t>with regard to Curaçao’s competitive position. This </w:t>
      </w:r>
      <w:r>
        <w:rPr/>
        <w:t>means</w:t>
      </w:r>
      <w:r>
        <w:rPr>
          <w:spacing w:val="-6"/>
        </w:rPr>
        <w:t> </w:t>
      </w:r>
      <w:r>
        <w:rPr/>
        <w:t>that</w:t>
      </w:r>
      <w:r>
        <w:rPr>
          <w:spacing w:val="-6"/>
        </w:rPr>
        <w:t> </w:t>
      </w:r>
      <w:r>
        <w:rPr/>
        <w:t>Curaçao</w:t>
      </w:r>
      <w:r>
        <w:rPr>
          <w:spacing w:val="-4"/>
        </w:rPr>
        <w:t> </w:t>
      </w:r>
      <w:r>
        <w:rPr/>
        <w:t>must</w:t>
      </w:r>
      <w:r>
        <w:rPr>
          <w:spacing w:val="-6"/>
        </w:rPr>
        <w:t> </w:t>
      </w:r>
      <w:r>
        <w:rPr/>
        <w:t>accomplish,</w:t>
      </w:r>
      <w:r>
        <w:rPr>
          <w:spacing w:val="-6"/>
        </w:rPr>
        <w:t> </w:t>
      </w:r>
      <w:r>
        <w:rPr/>
        <w:t>from</w:t>
      </w:r>
      <w:r>
        <w:rPr>
          <w:spacing w:val="-8"/>
        </w:rPr>
        <w:t> </w:t>
      </w:r>
      <w:r>
        <w:rPr/>
        <w:t>year</w:t>
      </w:r>
      <w:r>
        <w:rPr>
          <w:spacing w:val="-4"/>
        </w:rPr>
        <w:t> </w:t>
      </w:r>
      <w:r>
        <w:rPr/>
        <w:t>3</w:t>
      </w:r>
      <w:r>
        <w:rPr>
          <w:spacing w:val="-7"/>
        </w:rPr>
        <w:t> </w:t>
      </w:r>
      <w:r>
        <w:rPr/>
        <w:t>to</w:t>
      </w:r>
      <w:r>
        <w:rPr>
          <w:spacing w:val="-4"/>
        </w:rPr>
        <w:t> </w:t>
      </w:r>
      <w:r>
        <w:rPr/>
        <w:t>5,</w:t>
      </w:r>
      <w:r>
        <w:rPr>
          <w:spacing w:val="-6"/>
        </w:rPr>
        <w:t> </w:t>
      </w:r>
      <w:r>
        <w:rPr/>
        <w:t>an</w:t>
      </w:r>
      <w:r>
        <w:rPr>
          <w:spacing w:val="-3"/>
        </w:rPr>
        <w:t> </w:t>
      </w:r>
      <w:r>
        <w:rPr/>
        <w:t>average</w:t>
      </w:r>
      <w:r>
        <w:rPr>
          <w:spacing w:val="-8"/>
        </w:rPr>
        <w:t> </w:t>
      </w:r>
      <w:r>
        <w:rPr/>
        <w:t>annual</w:t>
      </w:r>
      <w:r>
        <w:rPr>
          <w:spacing w:val="-6"/>
        </w:rPr>
        <w:t> </w:t>
      </w:r>
      <w:r>
        <w:rPr/>
        <w:t>increase</w:t>
      </w:r>
      <w:r>
        <w:rPr>
          <w:spacing w:val="-5"/>
        </w:rPr>
        <w:t> </w:t>
      </w:r>
      <w:r>
        <w:rPr/>
        <w:t>in</w:t>
      </w:r>
      <w:r>
        <w:rPr>
          <w:spacing w:val="-6"/>
        </w:rPr>
        <w:t> </w:t>
      </w:r>
      <w:r>
        <w:rPr/>
        <w:t>RevPAR</w:t>
      </w:r>
      <w:r>
        <w:rPr>
          <w:spacing w:val="-7"/>
        </w:rPr>
        <w:t> </w:t>
      </w:r>
      <w:r>
        <w:rPr/>
        <w:t>of</w:t>
      </w:r>
      <w:r>
        <w:rPr>
          <w:spacing w:val="-8"/>
        </w:rPr>
        <w:t> </w:t>
      </w:r>
      <w:r>
        <w:rPr/>
        <w:t>3.5%.</w:t>
      </w:r>
      <w:r>
        <w:rPr>
          <w:spacing w:val="35"/>
        </w:rPr>
        <w:t> </w:t>
      </w:r>
      <w:r>
        <w:rPr/>
        <w:t>The</w:t>
      </w:r>
      <w:r>
        <w:rPr>
          <w:spacing w:val="-8"/>
        </w:rPr>
        <w:t> </w:t>
      </w:r>
      <w:r>
        <w:rPr/>
        <w:t>increase </w:t>
      </w:r>
      <w:r>
        <w:rPr/>
        <w:t>in</w:t>
      </w:r>
      <w:r>
        <w:rPr>
          <w:spacing w:val="-6"/>
        </w:rPr>
        <w:t> </w:t>
      </w:r>
      <w:r>
        <w:rPr/>
        <w:t>RevPAR</w:t>
      </w:r>
      <w:r>
        <w:rPr>
          <w:spacing w:val="-7"/>
        </w:rPr>
        <w:t> </w:t>
      </w:r>
      <w:r>
        <w:rPr/>
        <w:t>by</w:t>
      </w:r>
      <w:r>
        <w:rPr>
          <w:spacing w:val="-6"/>
        </w:rPr>
        <w:t> </w:t>
      </w:r>
      <w:r>
        <w:rPr/>
        <w:t>year</w:t>
      </w:r>
      <w:r>
        <w:rPr>
          <w:spacing w:val="-6"/>
        </w:rPr>
        <w:t> </w:t>
      </w:r>
      <w:r>
        <w:rPr/>
        <w:t>2</w:t>
      </w:r>
      <w:r>
        <w:rPr>
          <w:spacing w:val="-7"/>
        </w:rPr>
        <w:t> </w:t>
      </w:r>
      <w:r>
        <w:rPr/>
        <w:t>will</w:t>
      </w:r>
      <w:r>
        <w:rPr>
          <w:spacing w:val="-7"/>
        </w:rPr>
        <w:t> </w:t>
      </w:r>
      <w:r>
        <w:rPr/>
        <w:t>generate</w:t>
      </w:r>
      <w:r>
        <w:rPr>
          <w:spacing w:val="-8"/>
        </w:rPr>
        <w:t> </w:t>
      </w:r>
      <w:r>
        <w:rPr/>
        <w:t>1.9%</w:t>
      </w:r>
      <w:r>
        <w:rPr>
          <w:spacing w:val="-8"/>
        </w:rPr>
        <w:t> </w:t>
      </w:r>
      <w:r>
        <w:rPr/>
        <w:t>real</w:t>
      </w:r>
      <w:r>
        <w:rPr>
          <w:spacing w:val="-6"/>
        </w:rPr>
        <w:t> </w:t>
      </w:r>
      <w:r>
        <w:rPr/>
        <w:t>economic</w:t>
      </w:r>
      <w:r>
        <w:rPr>
          <w:spacing w:val="-8"/>
        </w:rPr>
        <w:t> </w:t>
      </w:r>
      <w:r>
        <w:rPr/>
        <w:t>growth</w:t>
      </w:r>
      <w:r>
        <w:rPr>
          <w:spacing w:val="-6"/>
        </w:rPr>
        <w:t> </w:t>
      </w:r>
      <w:r>
        <w:rPr/>
        <w:t>and</w:t>
      </w:r>
      <w:r>
        <w:rPr>
          <w:spacing w:val="-6"/>
        </w:rPr>
        <w:t> </w:t>
      </w:r>
      <w:r>
        <w:rPr/>
        <w:t>will</w:t>
      </w:r>
      <w:r>
        <w:rPr>
          <w:spacing w:val="-7"/>
        </w:rPr>
        <w:t> </w:t>
      </w:r>
      <w:r>
        <w:rPr/>
        <w:t>generate</w:t>
      </w:r>
      <w:r>
        <w:rPr>
          <w:spacing w:val="-7"/>
        </w:rPr>
        <w:t> </w:t>
      </w:r>
      <w:r>
        <w:rPr/>
        <w:t>nearly</w:t>
      </w:r>
      <w:r>
        <w:rPr>
          <w:spacing w:val="-6"/>
        </w:rPr>
        <w:t> </w:t>
      </w:r>
      <w:r>
        <w:rPr/>
        <w:t>2,000</w:t>
      </w:r>
      <w:r>
        <w:rPr>
          <w:spacing w:val="-7"/>
        </w:rPr>
        <w:t> </w:t>
      </w:r>
      <w:r>
        <w:rPr/>
        <w:t>direct</w:t>
      </w:r>
      <w:r>
        <w:rPr>
          <w:spacing w:val="-7"/>
        </w:rPr>
        <w:t> </w:t>
      </w:r>
      <w:r>
        <w:rPr/>
        <w:t>and</w:t>
      </w:r>
      <w:r>
        <w:rPr>
          <w:spacing w:val="-6"/>
        </w:rPr>
        <w:t> </w:t>
      </w:r>
      <w:r>
        <w:rPr/>
        <w:t>indirect</w:t>
      </w:r>
      <w:r>
        <w:rPr>
          <w:spacing w:val="-7"/>
        </w:rPr>
        <w:t> </w:t>
      </w:r>
      <w:r>
        <w:rPr/>
        <w:t>jobs. </w:t>
      </w:r>
      <w:r>
        <w:rPr/>
        <w:t>By year 5, the expected increase in these domestic economic activities will result in an average increase of the Real GDP growth of 1.2 percentage points during the 2015-2020 span. This increase will spawn an estimated 3,700 jobs (direct and indirect</w:t>
      </w:r>
      <w:r>
        <w:rPr>
          <w:spacing w:val="-10"/>
        </w:rPr>
        <w:t> </w:t>
      </w:r>
      <w:r>
        <w:rPr/>
        <w:t>jobs).</w:t>
      </w:r>
    </w:p>
    <w:p>
      <w:pPr>
        <w:pStyle w:val="BodyText"/>
        <w:spacing w:line="259" w:lineRule="auto" w:before="161"/>
        <w:ind w:right="1438"/>
        <w:jc w:val="both"/>
        <w:rPr>
          <w:sz w:val="12"/>
          <w:szCs w:val="12"/>
        </w:rPr>
      </w:pPr>
      <w:r>
        <w:rPr>
          <w:rFonts w:ascii="Calibri" w:hAnsi="Calibri" w:cs="Calibri" w:eastAsia="Calibri" w:hint="default"/>
        </w:rPr>
        <w:t>The plan assumes that the closer Curaçao’s RevPAR v</w:t>
      </w:r>
      <w:r>
        <w:rPr/>
        <w:t>alue is to the regional RevPAR, the more competitive the destination</w:t>
      </w:r>
      <w:r>
        <w:rPr>
          <w:spacing w:val="-11"/>
        </w:rPr>
        <w:t> </w:t>
      </w:r>
      <w:r>
        <w:rPr/>
        <w:t>will</w:t>
      </w:r>
      <w:r>
        <w:rPr>
          <w:spacing w:val="-12"/>
        </w:rPr>
        <w:t> </w:t>
      </w:r>
      <w:r>
        <w:rPr/>
        <w:t>become.</w:t>
      </w:r>
      <w:r>
        <w:rPr>
          <w:spacing w:val="27"/>
        </w:rPr>
        <w:t> </w:t>
      </w:r>
      <w:r>
        <w:rPr/>
        <w:t>Also,</w:t>
      </w:r>
      <w:r>
        <w:rPr>
          <w:spacing w:val="-11"/>
        </w:rPr>
        <w:t> </w:t>
      </w:r>
      <w:r>
        <w:rPr/>
        <w:t>if,</w:t>
      </w:r>
      <w:r>
        <w:rPr>
          <w:spacing w:val="-11"/>
        </w:rPr>
        <w:t> </w:t>
      </w:r>
      <w:r>
        <w:rPr/>
        <w:t>Curaçao</w:t>
      </w:r>
      <w:r>
        <w:rPr>
          <w:spacing w:val="-11"/>
        </w:rPr>
        <w:t> </w:t>
      </w:r>
      <w:r>
        <w:rPr/>
        <w:t>is</w:t>
      </w:r>
      <w:r>
        <w:rPr>
          <w:spacing w:val="-13"/>
        </w:rPr>
        <w:t> </w:t>
      </w:r>
      <w:r>
        <w:rPr/>
        <w:t>able</w:t>
      </w:r>
      <w:r>
        <w:rPr>
          <w:spacing w:val="-10"/>
        </w:rPr>
        <w:t> </w:t>
      </w:r>
      <w:r>
        <w:rPr/>
        <w:t>to</w:t>
      </w:r>
      <w:r>
        <w:rPr>
          <w:spacing w:val="-11"/>
        </w:rPr>
        <w:t> </w:t>
      </w:r>
      <w:r>
        <w:rPr/>
        <w:t>achieve</w:t>
      </w:r>
      <w:r>
        <w:rPr>
          <w:spacing w:val="-10"/>
        </w:rPr>
        <w:t> </w:t>
      </w:r>
      <w:r>
        <w:rPr/>
        <w:t>a</w:t>
      </w:r>
      <w:r>
        <w:rPr>
          <w:spacing w:val="-11"/>
        </w:rPr>
        <w:t> </w:t>
      </w:r>
      <w:r>
        <w:rPr/>
        <w:t>higher</w:t>
      </w:r>
      <w:r>
        <w:rPr>
          <w:spacing w:val="-12"/>
        </w:rPr>
        <w:t> </w:t>
      </w:r>
      <w:r>
        <w:rPr/>
        <w:t>RevPAR</w:t>
      </w:r>
      <w:r>
        <w:rPr>
          <w:spacing w:val="-12"/>
        </w:rPr>
        <w:t> </w:t>
      </w:r>
      <w:r>
        <w:rPr/>
        <w:t>at</w:t>
      </w:r>
      <w:r>
        <w:rPr>
          <w:spacing w:val="-11"/>
        </w:rPr>
        <w:t> </w:t>
      </w:r>
      <w:r>
        <w:rPr/>
        <w:t>a</w:t>
      </w:r>
      <w:r>
        <w:rPr>
          <w:spacing w:val="-11"/>
        </w:rPr>
        <w:t> </w:t>
      </w:r>
      <w:r>
        <w:rPr/>
        <w:t>faster</w:t>
      </w:r>
      <w:r>
        <w:rPr>
          <w:spacing w:val="-9"/>
        </w:rPr>
        <w:t> </w:t>
      </w:r>
      <w:r>
        <w:rPr/>
        <w:t>speed</w:t>
      </w:r>
      <w:r>
        <w:rPr>
          <w:spacing w:val="-11"/>
        </w:rPr>
        <w:t> </w:t>
      </w:r>
      <w:r>
        <w:rPr/>
        <w:t>than</w:t>
      </w:r>
      <w:r>
        <w:rPr>
          <w:spacing w:val="-5"/>
        </w:rPr>
        <w:t> </w:t>
      </w:r>
      <w:r>
        <w:rPr/>
        <w:t>that</w:t>
      </w:r>
      <w:r>
        <w:rPr>
          <w:spacing w:val="-11"/>
        </w:rPr>
        <w:t> </w:t>
      </w:r>
      <w:r>
        <w:rPr/>
        <w:t>of</w:t>
      </w:r>
      <w:r>
        <w:rPr>
          <w:spacing w:val="-12"/>
        </w:rPr>
        <w:t> </w:t>
      </w:r>
      <w:r>
        <w:rPr/>
        <w:t>the</w:t>
      </w:r>
      <w:r>
        <w:rPr>
          <w:spacing w:val="-12"/>
        </w:rPr>
        <w:t> </w:t>
      </w:r>
      <w:r>
        <w:rPr/>
        <w:t>region, </w:t>
      </w:r>
      <w:r>
        <w:rPr/>
        <w:t>Curaçao will outperform its competitive set. The forecasted Caribbean RevPAR by 2020 is US$144. This means that the RevPAR would be moved from 35% to a little over</w:t>
      </w:r>
      <w:r>
        <w:rPr>
          <w:spacing w:val="-15"/>
        </w:rPr>
        <w:t> </w:t>
      </w:r>
      <w:r>
        <w:rPr/>
        <w:t>12%.</w:t>
      </w:r>
      <w:r>
        <w:rPr>
          <w:position w:val="5"/>
          <w:sz w:val="12"/>
          <w:szCs w:val="12"/>
        </w:rPr>
        <w:t>72</w:t>
      </w:r>
      <w:r>
        <w:rPr>
          <w:sz w:val="12"/>
          <w:szCs w:val="12"/>
        </w:rPr>
      </w:r>
    </w:p>
    <w:p>
      <w:pPr>
        <w:pStyle w:val="BodyText"/>
        <w:spacing w:line="259" w:lineRule="auto" w:before="158"/>
        <w:ind w:right="1436"/>
        <w:jc w:val="both"/>
      </w:pPr>
      <w:r>
        <w:rPr/>
        <w:t>In order to increase Curaçao</w:t>
      </w:r>
      <w:r>
        <w:rPr>
          <w:rFonts w:ascii="Calibri" w:hAnsi="Calibri" w:cs="Calibri" w:eastAsia="Calibri" w:hint="default"/>
        </w:rPr>
        <w:t>’s RevPAR</w:t>
      </w:r>
      <w:r>
        <w:rPr/>
        <w:t>, the current room inventory must be optimized before adding to the supply mix. The expectations are to increase hotel occupancy rates to 84.5% by year 5. In order to maximize the current room inventory and increase RevPAR by 28% in 5 years, Curaçao needs to increase arrivals by 145,000 tourists in 5 years.</w:t>
      </w:r>
      <w:r>
        <w:rPr>
          <w:spacing w:val="-11"/>
        </w:rPr>
        <w:t> </w:t>
      </w:r>
      <w:r>
        <w:rPr/>
        <w:t>Of</w:t>
      </w:r>
      <w:r>
        <w:rPr>
          <w:spacing w:val="-12"/>
        </w:rPr>
        <w:t> </w:t>
      </w:r>
      <w:r>
        <w:rPr/>
        <w:t>those</w:t>
      </w:r>
      <w:r>
        <w:rPr>
          <w:spacing w:val="-12"/>
        </w:rPr>
        <w:t> </w:t>
      </w:r>
      <w:r>
        <w:rPr/>
        <w:t>145,000,</w:t>
      </w:r>
      <w:r>
        <w:rPr>
          <w:spacing w:val="-11"/>
        </w:rPr>
        <w:t> </w:t>
      </w:r>
      <w:r>
        <w:rPr/>
        <w:t>100,000</w:t>
      </w:r>
      <w:r>
        <w:rPr>
          <w:spacing w:val="-12"/>
        </w:rPr>
        <w:t> </w:t>
      </w:r>
      <w:r>
        <w:rPr/>
        <w:t>should</w:t>
      </w:r>
      <w:r>
        <w:rPr>
          <w:spacing w:val="-11"/>
        </w:rPr>
        <w:t> </w:t>
      </w:r>
      <w:r>
        <w:rPr/>
        <w:t>stay</w:t>
      </w:r>
      <w:r>
        <w:rPr>
          <w:spacing w:val="-11"/>
        </w:rPr>
        <w:t> </w:t>
      </w:r>
      <w:r>
        <w:rPr/>
        <w:t>in</w:t>
      </w:r>
      <w:r>
        <w:rPr>
          <w:spacing w:val="-11"/>
        </w:rPr>
        <w:t> </w:t>
      </w:r>
      <w:r>
        <w:rPr/>
        <w:t>hotels.</w:t>
      </w:r>
      <w:r>
        <w:rPr>
          <w:spacing w:val="-10"/>
        </w:rPr>
        <w:t> </w:t>
      </w:r>
      <w:r>
        <w:rPr/>
        <w:t>The</w:t>
      </w:r>
      <w:r>
        <w:rPr>
          <w:spacing w:val="-12"/>
        </w:rPr>
        <w:t> </w:t>
      </w:r>
      <w:r>
        <w:rPr/>
        <w:t>number</w:t>
      </w:r>
      <w:r>
        <w:rPr>
          <w:spacing w:val="-12"/>
        </w:rPr>
        <w:t> </w:t>
      </w:r>
      <w:r>
        <w:rPr/>
        <w:t>of</w:t>
      </w:r>
      <w:r>
        <w:rPr>
          <w:spacing w:val="-12"/>
        </w:rPr>
        <w:t> </w:t>
      </w:r>
      <w:r>
        <w:rPr/>
        <w:t>tourists</w:t>
      </w:r>
      <w:r>
        <w:rPr>
          <w:spacing w:val="-11"/>
        </w:rPr>
        <w:t> </w:t>
      </w:r>
      <w:r>
        <w:rPr/>
        <w:t>is</w:t>
      </w:r>
      <w:r>
        <w:rPr>
          <w:spacing w:val="-13"/>
        </w:rPr>
        <w:t> </w:t>
      </w:r>
      <w:r>
        <w:rPr/>
        <w:t>estimated</w:t>
      </w:r>
      <w:r>
        <w:rPr>
          <w:spacing w:val="-11"/>
        </w:rPr>
        <w:t> </w:t>
      </w:r>
      <w:r>
        <w:rPr/>
        <w:t>by</w:t>
      </w:r>
      <w:r>
        <w:rPr>
          <w:spacing w:val="-11"/>
        </w:rPr>
        <w:t> </w:t>
      </w:r>
      <w:r>
        <w:rPr/>
        <w:t>allocating</w:t>
      </w:r>
      <w:r>
        <w:rPr>
          <w:spacing w:val="-12"/>
        </w:rPr>
        <w:t> </w:t>
      </w:r>
      <w:r>
        <w:rPr/>
        <w:t>the</w:t>
      </w:r>
      <w:r>
        <w:rPr>
          <w:spacing w:val="-12"/>
        </w:rPr>
        <w:t> </w:t>
      </w:r>
      <w:r>
        <w:rPr/>
        <w:t>available </w:t>
      </w:r>
      <w:r>
        <w:rPr/>
        <w:t>room inventory by market share based on </w:t>
      </w:r>
      <w:r>
        <w:rPr>
          <w:rFonts w:ascii="Calibri" w:hAnsi="Calibri" w:cs="Calibri" w:eastAsia="Calibri" w:hint="default"/>
        </w:rPr>
        <w:t>the tourists’ </w:t>
      </w:r>
      <w:r>
        <w:rPr/>
        <w:t>potential and travel profile (party size and length of stay). In addition, there is an opportunity to convert cruise visitors into stay-over tourists. In order for this to occur, the CTB and the Curaçao Port Authority (CPA) should collaborate on marketing efforts to target cruise visitors while there are in the</w:t>
      </w:r>
      <w:r>
        <w:rPr>
          <w:spacing w:val="-9"/>
        </w:rPr>
        <w:t> </w:t>
      </w:r>
      <w:r>
        <w:rPr/>
        <w:t>destination.</w:t>
      </w:r>
    </w:p>
    <w:p>
      <w:pPr>
        <w:pStyle w:val="BodyText"/>
        <w:spacing w:line="259" w:lineRule="auto" w:before="158"/>
        <w:ind w:right="1439"/>
        <w:jc w:val="both"/>
        <w:rPr>
          <w:sz w:val="12"/>
          <w:szCs w:val="12"/>
        </w:rPr>
      </w:pPr>
      <w:r>
        <w:rPr/>
        <w:t>It</w:t>
      </w:r>
      <w:r>
        <w:rPr>
          <w:spacing w:val="-7"/>
        </w:rPr>
        <w:t> </w:t>
      </w:r>
      <w:r>
        <w:rPr/>
        <w:t>is</w:t>
      </w:r>
      <w:r>
        <w:rPr>
          <w:spacing w:val="-9"/>
        </w:rPr>
        <w:t> </w:t>
      </w:r>
      <w:r>
        <w:rPr/>
        <w:t>also</w:t>
      </w:r>
      <w:r>
        <w:rPr>
          <w:spacing w:val="-8"/>
        </w:rPr>
        <w:t> </w:t>
      </w:r>
      <w:r>
        <w:rPr/>
        <w:t>of</w:t>
      </w:r>
      <w:r>
        <w:rPr>
          <w:spacing w:val="-9"/>
        </w:rPr>
        <w:t> </w:t>
      </w:r>
      <w:r>
        <w:rPr/>
        <w:t>utmost</w:t>
      </w:r>
      <w:r>
        <w:rPr>
          <w:spacing w:val="-7"/>
        </w:rPr>
        <w:t> </w:t>
      </w:r>
      <w:r>
        <w:rPr/>
        <w:t>importance</w:t>
      </w:r>
      <w:r>
        <w:rPr>
          <w:spacing w:val="-7"/>
        </w:rPr>
        <w:t> </w:t>
      </w:r>
      <w:r>
        <w:rPr/>
        <w:t>that</w:t>
      </w:r>
      <w:r>
        <w:rPr>
          <w:spacing w:val="-6"/>
        </w:rPr>
        <w:t> </w:t>
      </w:r>
      <w:r>
        <w:rPr/>
        <w:t>Curaçao</w:t>
      </w:r>
      <w:r>
        <w:rPr>
          <w:rFonts w:ascii="Calibri" w:hAnsi="Calibri" w:cs="Calibri" w:eastAsia="Calibri" w:hint="default"/>
        </w:rPr>
        <w:t>’s</w:t>
      </w:r>
      <w:r>
        <w:rPr>
          <w:rFonts w:ascii="Calibri" w:hAnsi="Calibri" w:cs="Calibri" w:eastAsia="Calibri" w:hint="default"/>
          <w:spacing w:val="-9"/>
        </w:rPr>
        <w:t> </w:t>
      </w:r>
      <w:r>
        <w:rPr>
          <w:rFonts w:ascii="Calibri" w:hAnsi="Calibri" w:cs="Calibri" w:eastAsia="Calibri" w:hint="default"/>
        </w:rPr>
        <w:t>tourism</w:t>
      </w:r>
      <w:r>
        <w:rPr>
          <w:rFonts w:ascii="Calibri" w:hAnsi="Calibri" w:cs="Calibri" w:eastAsia="Calibri" w:hint="default"/>
          <w:spacing w:val="-9"/>
        </w:rPr>
        <w:t> </w:t>
      </w:r>
      <w:r>
        <w:rPr>
          <w:rFonts w:ascii="Calibri" w:hAnsi="Calibri" w:cs="Calibri" w:eastAsia="Calibri" w:hint="default"/>
        </w:rPr>
        <w:t>officials</w:t>
      </w:r>
      <w:r>
        <w:rPr>
          <w:rFonts w:ascii="Calibri" w:hAnsi="Calibri" w:cs="Calibri" w:eastAsia="Calibri" w:hint="default"/>
          <w:spacing w:val="-9"/>
        </w:rPr>
        <w:t> </w:t>
      </w:r>
      <w:r>
        <w:rPr>
          <w:rFonts w:ascii="Calibri" w:hAnsi="Calibri" w:cs="Calibri" w:eastAsia="Calibri" w:hint="default"/>
        </w:rPr>
        <w:t>recognize</w:t>
      </w:r>
      <w:r>
        <w:rPr>
          <w:rFonts w:ascii="Calibri" w:hAnsi="Calibri" w:cs="Calibri" w:eastAsia="Calibri" w:hint="default"/>
          <w:spacing w:val="-8"/>
        </w:rPr>
        <w:t> </w:t>
      </w:r>
      <w:r>
        <w:rPr>
          <w:rFonts w:ascii="Calibri" w:hAnsi="Calibri" w:cs="Calibri" w:eastAsia="Calibri" w:hint="default"/>
        </w:rPr>
        <w:t>that</w:t>
      </w:r>
      <w:r>
        <w:rPr>
          <w:rFonts w:ascii="Calibri" w:hAnsi="Calibri" w:cs="Calibri" w:eastAsia="Calibri" w:hint="default"/>
          <w:spacing w:val="-7"/>
        </w:rPr>
        <w:t> </w:t>
      </w:r>
      <w:r>
        <w:rPr>
          <w:rFonts w:ascii="Calibri" w:hAnsi="Calibri" w:cs="Calibri" w:eastAsia="Calibri" w:hint="default"/>
        </w:rPr>
        <w:t>the</w:t>
      </w:r>
      <w:r>
        <w:rPr>
          <w:rFonts w:ascii="Calibri" w:hAnsi="Calibri" w:cs="Calibri" w:eastAsia="Calibri" w:hint="default"/>
          <w:spacing w:val="-9"/>
        </w:rPr>
        <w:t> </w:t>
      </w:r>
      <w:r>
        <w:rPr>
          <w:rFonts w:ascii="Calibri" w:hAnsi="Calibri" w:cs="Calibri" w:eastAsia="Calibri" w:hint="default"/>
        </w:rPr>
        <w:t>season</w:t>
      </w:r>
      <w:r>
        <w:rPr/>
        <w:t>ality</w:t>
      </w:r>
      <w:r>
        <w:rPr>
          <w:spacing w:val="-7"/>
        </w:rPr>
        <w:t> </w:t>
      </w:r>
      <w:r>
        <w:rPr/>
        <w:t>that</w:t>
      </w:r>
      <w:r>
        <w:rPr>
          <w:spacing w:val="-9"/>
        </w:rPr>
        <w:t> </w:t>
      </w:r>
      <w:r>
        <w:rPr/>
        <w:t>influences</w:t>
      </w:r>
      <w:r>
        <w:rPr>
          <w:spacing w:val="-9"/>
        </w:rPr>
        <w:t> </w:t>
      </w:r>
      <w:r>
        <w:rPr/>
        <w:t>tourism </w:t>
      </w:r>
      <w:r>
        <w:rPr/>
        <w:t>demand must be addressed. This means that the seasonal influx between low and high tourist arrivals must be distributed more evenly throughout the year. For example, the Curaçao North Sea Jazz Festival occurs within a relatively low demand month for Curaçao. </w:t>
      </w:r>
      <w:r>
        <w:rPr>
          <w:rFonts w:ascii="Calibri" w:hAnsi="Calibri" w:cs="Calibri" w:eastAsia="Calibri" w:hint="default"/>
        </w:rPr>
        <w:t>Due to the festival’s success</w:t>
      </w:r>
      <w:r>
        <w:rPr/>
        <w:t>, the hotel occupancy rates are increased during a normally low month. Curaçao must look for other creative opportunities like that of the festival to boost arrivals during low demand</w:t>
      </w:r>
      <w:r>
        <w:rPr>
          <w:spacing w:val="-11"/>
        </w:rPr>
        <w:t> </w:t>
      </w:r>
      <w:r>
        <w:rPr/>
        <w:t>seasons.</w:t>
      </w:r>
      <w:r>
        <w:rPr>
          <w:position w:val="5"/>
          <w:sz w:val="12"/>
          <w:szCs w:val="12"/>
        </w:rPr>
        <w:t>73</w:t>
      </w:r>
      <w:r>
        <w:rPr>
          <w:sz w:val="12"/>
          <w:szCs w:val="12"/>
        </w:rPr>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9" w:after="0"/>
        <w:ind w:right="0"/>
        <w:rPr>
          <w:rFonts w:ascii="Calibri" w:hAnsi="Calibri" w:cs="Calibri" w:eastAsia="Calibri" w:hint="default"/>
          <w:sz w:val="17"/>
          <w:szCs w:val="17"/>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4" w:lineRule="auto" w:before="91"/>
        <w:ind w:left="1440" w:right="1558" w:firstLine="0"/>
        <w:jc w:val="left"/>
        <w:rPr>
          <w:rFonts w:ascii="Calibri" w:hAnsi="Calibri" w:cs="Calibri" w:eastAsia="Calibri" w:hint="default"/>
          <w:sz w:val="16"/>
          <w:szCs w:val="16"/>
        </w:rPr>
      </w:pPr>
      <w:r>
        <w:rPr>
          <w:rFonts w:ascii="Calibri"/>
          <w:position w:val="5"/>
          <w:sz w:val="12"/>
        </w:rPr>
        <w:t>70 </w:t>
      </w:r>
      <w:r>
        <w:rPr>
          <w:rFonts w:ascii="Calibri"/>
          <w:sz w:val="16"/>
        </w:rPr>
        <w:t>By 2014 the regional RevPAR was nearly US$133. See Integra Realty Resources-Caribbean (2015). IRR Viewpoint, Caribbean Market Update- </w:t>
      </w:r>
      <w:r>
        <w:rPr>
          <w:rFonts w:ascii="Calibri"/>
          <w:sz w:val="16"/>
        </w:rPr>
        <w:t>2015 Annual</w:t>
      </w:r>
      <w:r>
        <w:rPr>
          <w:rFonts w:ascii="Calibri"/>
          <w:spacing w:val="-7"/>
          <w:sz w:val="16"/>
        </w:rPr>
        <w:t> </w:t>
      </w:r>
      <w:r>
        <w:rPr>
          <w:rFonts w:ascii="Calibri"/>
          <w:sz w:val="16"/>
        </w:rPr>
        <w:t>Report.</w:t>
      </w:r>
    </w:p>
    <w:p>
      <w:pPr>
        <w:spacing w:before="5"/>
        <w:ind w:left="1440" w:right="0" w:firstLine="0"/>
        <w:jc w:val="left"/>
        <w:rPr>
          <w:rFonts w:ascii="Calibri" w:hAnsi="Calibri" w:cs="Calibri" w:eastAsia="Calibri" w:hint="default"/>
          <w:sz w:val="16"/>
          <w:szCs w:val="16"/>
        </w:rPr>
      </w:pPr>
      <w:r>
        <w:rPr>
          <w:rFonts w:ascii="Calibri"/>
          <w:position w:val="5"/>
          <w:sz w:val="12"/>
        </w:rPr>
        <w:t>71</w:t>
      </w:r>
      <w:r>
        <w:rPr>
          <w:rFonts w:ascii="Calibri"/>
          <w:spacing w:val="5"/>
          <w:position w:val="5"/>
          <w:sz w:val="12"/>
        </w:rPr>
        <w:t> </w:t>
      </w:r>
      <w:r>
        <w:rPr>
          <w:rFonts w:ascii="Calibri"/>
          <w:sz w:val="16"/>
        </w:rPr>
        <w:t>See</w:t>
      </w:r>
      <w:r>
        <w:rPr>
          <w:rFonts w:ascii="Calibri"/>
          <w:spacing w:val="-4"/>
          <w:sz w:val="16"/>
        </w:rPr>
        <w:t> </w:t>
      </w:r>
      <w:r>
        <w:rPr>
          <w:rFonts w:ascii="Calibri"/>
          <w:sz w:val="16"/>
        </w:rPr>
        <w:t>Integra</w:t>
      </w:r>
      <w:r>
        <w:rPr>
          <w:rFonts w:ascii="Calibri"/>
          <w:spacing w:val="-4"/>
          <w:sz w:val="16"/>
        </w:rPr>
        <w:t> </w:t>
      </w:r>
      <w:r>
        <w:rPr>
          <w:rFonts w:ascii="Calibri"/>
          <w:sz w:val="16"/>
        </w:rPr>
        <w:t>Realty</w:t>
      </w:r>
      <w:r>
        <w:rPr>
          <w:rFonts w:ascii="Calibri"/>
          <w:spacing w:val="-4"/>
          <w:sz w:val="16"/>
        </w:rPr>
        <w:t> </w:t>
      </w:r>
      <w:r>
        <w:rPr>
          <w:rFonts w:ascii="Calibri"/>
          <w:sz w:val="16"/>
        </w:rPr>
        <w:t>Resources-Caribbean</w:t>
      </w:r>
      <w:r>
        <w:rPr>
          <w:rFonts w:ascii="Calibri"/>
          <w:spacing w:val="-4"/>
          <w:sz w:val="16"/>
        </w:rPr>
        <w:t> </w:t>
      </w:r>
      <w:r>
        <w:rPr>
          <w:rFonts w:ascii="Calibri"/>
          <w:sz w:val="16"/>
        </w:rPr>
        <w:t>(2015).</w:t>
      </w:r>
      <w:r>
        <w:rPr>
          <w:rFonts w:ascii="Calibri"/>
          <w:spacing w:val="-4"/>
          <w:sz w:val="16"/>
        </w:rPr>
        <w:t> </w:t>
      </w:r>
      <w:r>
        <w:rPr>
          <w:rFonts w:ascii="Calibri"/>
          <w:sz w:val="16"/>
        </w:rPr>
        <w:t>IRR</w:t>
      </w:r>
      <w:r>
        <w:rPr>
          <w:rFonts w:ascii="Calibri"/>
          <w:spacing w:val="-4"/>
          <w:sz w:val="16"/>
        </w:rPr>
        <w:t> </w:t>
      </w:r>
      <w:r>
        <w:rPr>
          <w:rFonts w:ascii="Calibri"/>
          <w:sz w:val="16"/>
        </w:rPr>
        <w:t>Viewpoint,</w:t>
      </w:r>
      <w:r>
        <w:rPr>
          <w:rFonts w:ascii="Calibri"/>
          <w:spacing w:val="-3"/>
          <w:sz w:val="16"/>
        </w:rPr>
        <w:t> </w:t>
      </w:r>
      <w:r>
        <w:rPr>
          <w:rFonts w:ascii="Calibri"/>
          <w:sz w:val="16"/>
        </w:rPr>
        <w:t>Caribbean</w:t>
      </w:r>
      <w:r>
        <w:rPr>
          <w:rFonts w:ascii="Calibri"/>
          <w:spacing w:val="-2"/>
          <w:sz w:val="16"/>
        </w:rPr>
        <w:t> </w:t>
      </w:r>
      <w:r>
        <w:rPr>
          <w:rFonts w:ascii="Calibri"/>
          <w:sz w:val="16"/>
        </w:rPr>
        <w:t>Market</w:t>
      </w:r>
      <w:r>
        <w:rPr>
          <w:rFonts w:ascii="Calibri"/>
          <w:spacing w:val="-4"/>
          <w:sz w:val="16"/>
        </w:rPr>
        <w:t> </w:t>
      </w:r>
      <w:r>
        <w:rPr>
          <w:rFonts w:ascii="Calibri"/>
          <w:sz w:val="16"/>
        </w:rPr>
        <w:t>Update-2015</w:t>
      </w:r>
      <w:r>
        <w:rPr>
          <w:rFonts w:ascii="Calibri"/>
          <w:spacing w:val="-3"/>
          <w:sz w:val="16"/>
        </w:rPr>
        <w:t> </w:t>
      </w:r>
      <w:r>
        <w:rPr>
          <w:rFonts w:ascii="Calibri"/>
          <w:sz w:val="16"/>
        </w:rPr>
        <w:t>Annual</w:t>
      </w:r>
      <w:r>
        <w:rPr>
          <w:rFonts w:ascii="Calibri"/>
          <w:spacing w:val="-5"/>
          <w:sz w:val="16"/>
        </w:rPr>
        <w:t> </w:t>
      </w:r>
      <w:r>
        <w:rPr>
          <w:rFonts w:ascii="Calibri"/>
          <w:sz w:val="16"/>
        </w:rPr>
        <w:t>Report.</w:t>
      </w:r>
    </w:p>
    <w:p>
      <w:pPr>
        <w:spacing w:before="11"/>
        <w:ind w:left="1440" w:right="0" w:firstLine="0"/>
        <w:jc w:val="left"/>
        <w:rPr>
          <w:rFonts w:ascii="Calibri" w:hAnsi="Calibri" w:cs="Calibri" w:eastAsia="Calibri" w:hint="default"/>
          <w:sz w:val="16"/>
          <w:szCs w:val="16"/>
        </w:rPr>
      </w:pPr>
      <w:r>
        <w:rPr>
          <w:rFonts w:ascii="Calibri"/>
          <w:position w:val="5"/>
          <w:sz w:val="12"/>
        </w:rPr>
        <w:t>72 </w:t>
      </w:r>
      <w:r>
        <w:rPr>
          <w:rFonts w:ascii="Calibri"/>
          <w:sz w:val="16"/>
        </w:rPr>
        <w:t>The forecast is based on STR time series from 1993-2014, employing a step-wise</w:t>
      </w:r>
      <w:r>
        <w:rPr>
          <w:rFonts w:ascii="Calibri"/>
          <w:spacing w:val="-20"/>
          <w:sz w:val="16"/>
        </w:rPr>
        <w:t> </w:t>
      </w:r>
      <w:r>
        <w:rPr>
          <w:rFonts w:ascii="Calibri"/>
          <w:sz w:val="16"/>
        </w:rPr>
        <w:t>regression.</w:t>
      </w:r>
    </w:p>
    <w:p>
      <w:pPr>
        <w:spacing w:line="242" w:lineRule="auto" w:before="13"/>
        <w:ind w:left="1440" w:right="1489" w:firstLine="0"/>
        <w:jc w:val="left"/>
        <w:rPr>
          <w:rFonts w:ascii="Calibri" w:hAnsi="Calibri" w:cs="Calibri" w:eastAsia="Calibri" w:hint="default"/>
          <w:sz w:val="16"/>
          <w:szCs w:val="16"/>
        </w:rPr>
      </w:pPr>
      <w:r>
        <w:rPr>
          <w:rFonts w:ascii="Calibri" w:hAnsi="Calibri" w:cs="Calibri" w:eastAsia="Calibri" w:hint="default"/>
          <w:position w:val="5"/>
          <w:sz w:val="12"/>
          <w:szCs w:val="12"/>
        </w:rPr>
        <w:t>73 </w:t>
      </w:r>
      <w:r>
        <w:rPr>
          <w:rFonts w:ascii="Calibri" w:hAnsi="Calibri" w:cs="Calibri" w:eastAsia="Calibri" w:hint="default"/>
          <w:sz w:val="16"/>
          <w:szCs w:val="16"/>
        </w:rPr>
        <w:t>According to the 2014 CNSJF’ report: ”The RevPar of August</w:t>
      </w:r>
      <w:r>
        <w:rPr>
          <w:rFonts w:ascii="Calibri" w:hAnsi="Calibri" w:cs="Calibri" w:eastAsia="Calibri" w:hint="default"/>
          <w:sz w:val="16"/>
          <w:szCs w:val="16"/>
        </w:rPr>
        <w:t>, 2013 was US$98.41 which exceeds the RevPar of all months, except the months from </w:t>
      </w:r>
      <w:r>
        <w:rPr>
          <w:rFonts w:ascii="Calibri" w:hAnsi="Calibri" w:cs="Calibri" w:eastAsia="Calibri" w:hint="default"/>
          <w:sz w:val="16"/>
          <w:szCs w:val="16"/>
        </w:rPr>
        <w:t>January to April with more than 40% of the revenues of the hotel industry stemming from the festival.” See </w:t>
      </w:r>
      <w:r>
        <w:rPr>
          <w:rFonts w:ascii="Calibri" w:hAnsi="Calibri" w:cs="Calibri" w:eastAsia="Calibri" w:hint="default"/>
          <w:sz w:val="16"/>
          <w:szCs w:val="16"/>
        </w:rPr>
        <w:t>Rivera et al. (2014). The Curaçao</w:t>
      </w:r>
      <w:r>
        <w:rPr>
          <w:rFonts w:ascii="Calibri" w:hAnsi="Calibri" w:cs="Calibri" w:eastAsia="Calibri" w:hint="default"/>
          <w:spacing w:val="-5"/>
          <w:sz w:val="16"/>
          <w:szCs w:val="16"/>
        </w:rPr>
        <w:t> </w:t>
      </w:r>
      <w:r>
        <w:rPr>
          <w:rFonts w:ascii="Calibri" w:hAnsi="Calibri" w:cs="Calibri" w:eastAsia="Calibri" w:hint="default"/>
          <w:sz w:val="16"/>
          <w:szCs w:val="16"/>
        </w:rPr>
        <w:t>North</w:t>
      </w:r>
      <w:r>
        <w:rPr>
          <w:rFonts w:ascii="Calibri" w:hAnsi="Calibri" w:cs="Calibri" w:eastAsia="Calibri" w:hint="default"/>
          <w:spacing w:val="-4"/>
          <w:sz w:val="16"/>
          <w:szCs w:val="16"/>
        </w:rPr>
        <w:t> </w:t>
      </w:r>
      <w:r>
        <w:rPr>
          <w:rFonts w:ascii="Calibri" w:hAnsi="Calibri" w:cs="Calibri" w:eastAsia="Calibri" w:hint="default"/>
          <w:sz w:val="16"/>
          <w:szCs w:val="16"/>
        </w:rPr>
        <w:t>Sea</w:t>
      </w:r>
      <w:r>
        <w:rPr>
          <w:rFonts w:ascii="Calibri" w:hAnsi="Calibri" w:cs="Calibri" w:eastAsia="Calibri" w:hint="default"/>
          <w:spacing w:val="-4"/>
          <w:sz w:val="16"/>
          <w:szCs w:val="16"/>
        </w:rPr>
        <w:t> </w:t>
      </w:r>
      <w:r>
        <w:rPr>
          <w:rFonts w:ascii="Calibri" w:hAnsi="Calibri" w:cs="Calibri" w:eastAsia="Calibri" w:hint="default"/>
          <w:sz w:val="16"/>
          <w:szCs w:val="16"/>
        </w:rPr>
        <w:t>Jazz</w:t>
      </w:r>
      <w:r>
        <w:rPr>
          <w:rFonts w:ascii="Calibri" w:hAnsi="Calibri" w:cs="Calibri" w:eastAsia="Calibri" w:hint="default"/>
          <w:spacing w:val="-4"/>
          <w:sz w:val="16"/>
          <w:szCs w:val="16"/>
        </w:rPr>
        <w:t> </w:t>
      </w:r>
      <w:r>
        <w:rPr>
          <w:rFonts w:ascii="Calibri" w:hAnsi="Calibri" w:cs="Calibri" w:eastAsia="Calibri" w:hint="default"/>
          <w:sz w:val="16"/>
          <w:szCs w:val="16"/>
        </w:rPr>
        <w:t>Festival:</w:t>
      </w:r>
      <w:r>
        <w:rPr>
          <w:rFonts w:ascii="Calibri" w:hAnsi="Calibri" w:cs="Calibri" w:eastAsia="Calibri" w:hint="default"/>
          <w:spacing w:val="-3"/>
          <w:sz w:val="16"/>
          <w:szCs w:val="16"/>
        </w:rPr>
        <w:t> </w:t>
      </w:r>
      <w:r>
        <w:rPr>
          <w:rFonts w:ascii="Calibri" w:hAnsi="Calibri" w:cs="Calibri" w:eastAsia="Calibri" w:hint="default"/>
          <w:sz w:val="16"/>
          <w:szCs w:val="16"/>
        </w:rPr>
        <w:t>A</w:t>
      </w:r>
      <w:r>
        <w:rPr>
          <w:rFonts w:ascii="Calibri" w:hAnsi="Calibri" w:cs="Calibri" w:eastAsia="Calibri" w:hint="default"/>
          <w:spacing w:val="-3"/>
          <w:sz w:val="16"/>
          <w:szCs w:val="16"/>
        </w:rPr>
        <w:t> </w:t>
      </w:r>
      <w:r>
        <w:rPr>
          <w:rFonts w:ascii="Calibri" w:hAnsi="Calibri" w:cs="Calibri" w:eastAsia="Calibri" w:hint="default"/>
          <w:sz w:val="16"/>
          <w:szCs w:val="16"/>
        </w:rPr>
        <w:t>lustrum</w:t>
      </w:r>
      <w:r>
        <w:rPr>
          <w:rFonts w:ascii="Calibri" w:hAnsi="Calibri" w:cs="Calibri" w:eastAsia="Calibri" w:hint="default"/>
          <w:spacing w:val="-3"/>
          <w:sz w:val="16"/>
          <w:szCs w:val="16"/>
        </w:rPr>
        <w:t> </w:t>
      </w:r>
      <w:r>
        <w:rPr>
          <w:rFonts w:ascii="Calibri" w:hAnsi="Calibri" w:cs="Calibri" w:eastAsia="Calibri" w:hint="default"/>
          <w:sz w:val="16"/>
          <w:szCs w:val="16"/>
        </w:rPr>
        <w:t>churning</w:t>
      </w:r>
      <w:r>
        <w:rPr>
          <w:rFonts w:ascii="Calibri" w:hAnsi="Calibri" w:cs="Calibri" w:eastAsia="Calibri" w:hint="default"/>
          <w:spacing w:val="-3"/>
          <w:sz w:val="16"/>
          <w:szCs w:val="16"/>
        </w:rPr>
        <w:t> </w:t>
      </w:r>
      <w:r>
        <w:rPr>
          <w:rFonts w:ascii="Calibri" w:hAnsi="Calibri" w:cs="Calibri" w:eastAsia="Calibri" w:hint="default"/>
          <w:sz w:val="16"/>
          <w:szCs w:val="16"/>
        </w:rPr>
        <w:t>economic</w:t>
      </w:r>
      <w:r>
        <w:rPr>
          <w:rFonts w:ascii="Calibri" w:hAnsi="Calibri" w:cs="Calibri" w:eastAsia="Calibri" w:hint="default"/>
          <w:spacing w:val="-4"/>
          <w:sz w:val="16"/>
          <w:szCs w:val="16"/>
        </w:rPr>
        <w:t> </w:t>
      </w:r>
      <w:r>
        <w:rPr>
          <w:rFonts w:ascii="Calibri" w:hAnsi="Calibri" w:cs="Calibri" w:eastAsia="Calibri" w:hint="default"/>
          <w:sz w:val="16"/>
          <w:szCs w:val="16"/>
        </w:rPr>
        <w:t>and</w:t>
      </w:r>
      <w:r>
        <w:rPr>
          <w:rFonts w:ascii="Calibri" w:hAnsi="Calibri" w:cs="Calibri" w:eastAsia="Calibri" w:hint="default"/>
          <w:spacing w:val="-4"/>
          <w:sz w:val="16"/>
          <w:szCs w:val="16"/>
        </w:rPr>
        <w:t> </w:t>
      </w:r>
      <w:r>
        <w:rPr>
          <w:rFonts w:ascii="Calibri" w:hAnsi="Calibri" w:cs="Calibri" w:eastAsia="Calibri" w:hint="default"/>
          <w:sz w:val="16"/>
          <w:szCs w:val="16"/>
        </w:rPr>
        <w:t>promotional</w:t>
      </w:r>
      <w:r>
        <w:rPr>
          <w:rFonts w:ascii="Calibri" w:hAnsi="Calibri" w:cs="Calibri" w:eastAsia="Calibri" w:hint="default"/>
          <w:spacing w:val="-4"/>
          <w:sz w:val="16"/>
          <w:szCs w:val="16"/>
        </w:rPr>
        <w:t> </w:t>
      </w:r>
      <w:r>
        <w:rPr>
          <w:rFonts w:ascii="Calibri" w:hAnsi="Calibri" w:cs="Calibri" w:eastAsia="Calibri" w:hint="default"/>
          <w:sz w:val="16"/>
          <w:szCs w:val="16"/>
        </w:rPr>
        <w:t>opportunities</w:t>
      </w:r>
      <w:r>
        <w:rPr>
          <w:rFonts w:ascii="Calibri" w:hAnsi="Calibri" w:cs="Calibri" w:eastAsia="Calibri" w:hint="default"/>
          <w:spacing w:val="-4"/>
          <w:sz w:val="16"/>
          <w:szCs w:val="16"/>
        </w:rPr>
        <w:t> </w:t>
      </w:r>
      <w:r>
        <w:rPr>
          <w:rFonts w:ascii="Calibri" w:hAnsi="Calibri" w:cs="Calibri" w:eastAsia="Calibri" w:hint="default"/>
          <w:sz w:val="16"/>
          <w:szCs w:val="16"/>
        </w:rPr>
        <w:t>for</w:t>
      </w:r>
      <w:r>
        <w:rPr>
          <w:rFonts w:ascii="Calibri" w:hAnsi="Calibri" w:cs="Calibri" w:eastAsia="Calibri" w:hint="default"/>
          <w:spacing w:val="-1"/>
          <w:sz w:val="16"/>
          <w:szCs w:val="16"/>
        </w:rPr>
        <w:t> </w:t>
      </w:r>
      <w:r>
        <w:rPr>
          <w:rFonts w:ascii="Calibri" w:hAnsi="Calibri" w:cs="Calibri" w:eastAsia="Calibri" w:hint="default"/>
          <w:sz w:val="16"/>
          <w:szCs w:val="16"/>
        </w:rPr>
        <w:t>Curaçao.</w:t>
      </w:r>
    </w:p>
    <w:p>
      <w:pPr>
        <w:spacing w:after="0" w:line="242"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24"/>
          <w:szCs w:val="24"/>
        </w:rPr>
      </w:pPr>
    </w:p>
    <w:p>
      <w:pPr>
        <w:pStyle w:val="Heading2"/>
        <w:spacing w:line="240" w:lineRule="auto"/>
        <w:ind w:right="0"/>
        <w:jc w:val="both"/>
        <w:rPr>
          <w:b w:val="0"/>
          <w:bCs w:val="0"/>
        </w:rPr>
      </w:pPr>
      <w:bookmarkStart w:name="_bookmark162" w:id="163"/>
      <w:bookmarkEnd w:id="163"/>
      <w:r>
        <w:rPr>
          <w:b w:val="0"/>
        </w:rPr>
      </w:r>
      <w:r>
        <w:rPr/>
        <w:t>Strategy #2:  Airlift and hotel</w:t>
      </w:r>
      <w:r>
        <w:rPr>
          <w:spacing w:val="-16"/>
        </w:rPr>
        <w:t> </w:t>
      </w:r>
      <w:r>
        <w:rPr/>
        <w:t>optimization</w:t>
      </w:r>
      <w:r>
        <w:rPr>
          <w:b w:val="0"/>
        </w:rPr>
      </w:r>
    </w:p>
    <w:p>
      <w:pPr>
        <w:pStyle w:val="BodyText"/>
        <w:spacing w:line="256" w:lineRule="auto" w:before="191"/>
        <w:ind w:right="1438"/>
        <w:jc w:val="both"/>
      </w:pPr>
      <w:r>
        <w:rPr/>
        <w:t>A</w:t>
      </w:r>
      <w:r>
        <w:rPr>
          <w:spacing w:val="-5"/>
        </w:rPr>
        <w:t> </w:t>
      </w:r>
      <w:r>
        <w:rPr/>
        <w:t>lack</w:t>
      </w:r>
      <w:r>
        <w:rPr>
          <w:spacing w:val="-4"/>
        </w:rPr>
        <w:t> </w:t>
      </w:r>
      <w:r>
        <w:rPr/>
        <w:t>of</w:t>
      </w:r>
      <w:r>
        <w:rPr>
          <w:spacing w:val="-5"/>
        </w:rPr>
        <w:t> </w:t>
      </w:r>
      <w:r>
        <w:rPr/>
        <w:t>accessibility</w:t>
      </w:r>
      <w:r>
        <w:rPr>
          <w:spacing w:val="-3"/>
        </w:rPr>
        <w:t> </w:t>
      </w:r>
      <w:r>
        <w:rPr/>
        <w:t>will</w:t>
      </w:r>
      <w:r>
        <w:rPr>
          <w:spacing w:val="-5"/>
        </w:rPr>
        <w:t> </w:t>
      </w:r>
      <w:r>
        <w:rPr/>
        <w:t>restrict</w:t>
      </w:r>
      <w:r>
        <w:rPr>
          <w:spacing w:val="-5"/>
        </w:rPr>
        <w:t> </w:t>
      </w:r>
      <w:r>
        <w:rPr/>
        <w:t>the</w:t>
      </w:r>
      <w:r>
        <w:rPr>
          <w:spacing w:val="-5"/>
        </w:rPr>
        <w:t> </w:t>
      </w:r>
      <w:r>
        <w:rPr/>
        <w:t>number</w:t>
      </w:r>
      <w:r>
        <w:rPr>
          <w:spacing w:val="-2"/>
        </w:rPr>
        <w:t> </w:t>
      </w:r>
      <w:r>
        <w:rPr/>
        <w:t>of</w:t>
      </w:r>
      <w:r>
        <w:rPr>
          <w:spacing w:val="-5"/>
        </w:rPr>
        <w:t> </w:t>
      </w:r>
      <w:r>
        <w:rPr/>
        <w:t>arrivals.</w:t>
      </w:r>
      <w:r>
        <w:rPr>
          <w:spacing w:val="-4"/>
        </w:rPr>
        <w:t> </w:t>
      </w:r>
      <w:r>
        <w:rPr/>
        <w:t>A</w:t>
      </w:r>
      <w:r>
        <w:rPr>
          <w:spacing w:val="-5"/>
        </w:rPr>
        <w:t> </w:t>
      </w:r>
      <w:r>
        <w:rPr/>
        <w:t>review</w:t>
      </w:r>
      <w:r>
        <w:rPr>
          <w:spacing w:val="-5"/>
        </w:rPr>
        <w:t> </w:t>
      </w:r>
      <w:r>
        <w:rPr/>
        <w:t>of successful</w:t>
      </w:r>
      <w:r>
        <w:rPr>
          <w:spacing w:val="-5"/>
        </w:rPr>
        <w:t> </w:t>
      </w:r>
      <w:r>
        <w:rPr/>
        <w:t>destinations</w:t>
      </w:r>
      <w:r>
        <w:rPr>
          <w:spacing w:val="-5"/>
        </w:rPr>
        <w:t> </w:t>
      </w:r>
      <w:r>
        <w:rPr/>
        <w:t>in</w:t>
      </w:r>
      <w:r>
        <w:rPr>
          <w:spacing w:val="-4"/>
        </w:rPr>
        <w:t> </w:t>
      </w:r>
      <w:r>
        <w:rPr/>
        <w:t>the</w:t>
      </w:r>
      <w:r>
        <w:rPr>
          <w:spacing w:val="-3"/>
        </w:rPr>
        <w:t> </w:t>
      </w:r>
      <w:r>
        <w:rPr/>
        <w:t>Caribbean</w:t>
      </w:r>
      <w:r>
        <w:rPr>
          <w:spacing w:val="-3"/>
        </w:rPr>
        <w:t> </w:t>
      </w:r>
      <w:r>
        <w:rPr/>
        <w:t>region </w:t>
      </w:r>
      <w:r>
        <w:rPr/>
        <w:t>suggests that, generally speaking, the islands that are more accessible have more visitors. Curaçao will need to increase its airlift to compete with other destinations in the</w:t>
      </w:r>
      <w:r>
        <w:rPr>
          <w:spacing w:val="-20"/>
        </w:rPr>
        <w:t> </w:t>
      </w:r>
      <w:r>
        <w:rPr/>
        <w:t>region.</w:t>
      </w:r>
    </w:p>
    <w:p>
      <w:pPr>
        <w:spacing w:line="240" w:lineRule="auto" w:before="3"/>
        <w:ind w:right="0"/>
        <w:rPr>
          <w:rFonts w:ascii="Calibri" w:hAnsi="Calibri" w:cs="Calibri" w:eastAsia="Calibri" w:hint="default"/>
          <w:sz w:val="21"/>
          <w:szCs w:val="21"/>
        </w:rPr>
      </w:pPr>
    </w:p>
    <w:p>
      <w:pPr>
        <w:pStyle w:val="BodyText"/>
        <w:spacing w:line="256" w:lineRule="auto"/>
        <w:ind w:right="1438"/>
        <w:jc w:val="both"/>
      </w:pPr>
      <w:r>
        <w:rPr/>
        <w:t>As</w:t>
      </w:r>
      <w:r>
        <w:rPr>
          <w:spacing w:val="-13"/>
        </w:rPr>
        <w:t> </w:t>
      </w:r>
      <w:r>
        <w:rPr/>
        <w:t>arrivals</w:t>
      </w:r>
      <w:r>
        <w:rPr>
          <w:spacing w:val="-12"/>
        </w:rPr>
        <w:t> </w:t>
      </w:r>
      <w:r>
        <w:rPr/>
        <w:t>increase</w:t>
      </w:r>
      <w:r>
        <w:rPr>
          <w:spacing w:val="-12"/>
        </w:rPr>
        <w:t> </w:t>
      </w:r>
      <w:r>
        <w:rPr/>
        <w:t>due</w:t>
      </w:r>
      <w:r>
        <w:rPr>
          <w:spacing w:val="-12"/>
        </w:rPr>
        <w:t> </w:t>
      </w:r>
      <w:r>
        <w:rPr/>
        <w:t>to</w:t>
      </w:r>
      <w:r>
        <w:rPr>
          <w:spacing w:val="-9"/>
        </w:rPr>
        <w:t> </w:t>
      </w:r>
      <w:r>
        <w:rPr/>
        <w:t>the</w:t>
      </w:r>
      <w:r>
        <w:rPr>
          <w:spacing w:val="-10"/>
        </w:rPr>
        <w:t> </w:t>
      </w:r>
      <w:r>
        <w:rPr/>
        <w:t>increased</w:t>
      </w:r>
      <w:r>
        <w:rPr>
          <w:spacing w:val="-10"/>
        </w:rPr>
        <w:t> </w:t>
      </w:r>
      <w:r>
        <w:rPr/>
        <w:t>accessibility</w:t>
      </w:r>
      <w:r>
        <w:rPr>
          <w:spacing w:val="-10"/>
        </w:rPr>
        <w:t> </w:t>
      </w:r>
      <w:r>
        <w:rPr/>
        <w:t>to</w:t>
      </w:r>
      <w:r>
        <w:rPr>
          <w:spacing w:val="-11"/>
        </w:rPr>
        <w:t> </w:t>
      </w:r>
      <w:r>
        <w:rPr/>
        <w:t>Curaçao,</w:t>
      </w:r>
      <w:r>
        <w:rPr>
          <w:spacing w:val="-11"/>
        </w:rPr>
        <w:t> </w:t>
      </w:r>
      <w:r>
        <w:rPr/>
        <w:t>and</w:t>
      </w:r>
      <w:r>
        <w:rPr>
          <w:spacing w:val="-11"/>
        </w:rPr>
        <w:t> </w:t>
      </w:r>
      <w:r>
        <w:rPr/>
        <w:t>assuming</w:t>
      </w:r>
      <w:r>
        <w:rPr>
          <w:spacing w:val="-12"/>
        </w:rPr>
        <w:t> </w:t>
      </w:r>
      <w:r>
        <w:rPr/>
        <w:t>that</w:t>
      </w:r>
      <w:r>
        <w:rPr>
          <w:spacing w:val="-10"/>
        </w:rPr>
        <w:t> </w:t>
      </w:r>
      <w:r>
        <w:rPr/>
        <w:t>the</w:t>
      </w:r>
      <w:r>
        <w:rPr>
          <w:spacing w:val="-12"/>
        </w:rPr>
        <w:t> </w:t>
      </w:r>
      <w:r>
        <w:rPr/>
        <w:t>hotel</w:t>
      </w:r>
      <w:r>
        <w:rPr>
          <w:spacing w:val="-12"/>
        </w:rPr>
        <w:t> </w:t>
      </w:r>
      <w:r>
        <w:rPr/>
        <w:t>room</w:t>
      </w:r>
      <w:r>
        <w:rPr>
          <w:spacing w:val="-10"/>
        </w:rPr>
        <w:t> </w:t>
      </w:r>
      <w:r>
        <w:rPr/>
        <w:t>supply</w:t>
      </w:r>
      <w:r>
        <w:rPr>
          <w:spacing w:val="-11"/>
        </w:rPr>
        <w:t> </w:t>
      </w:r>
      <w:r>
        <w:rPr/>
        <w:t>is</w:t>
      </w:r>
      <w:r>
        <w:rPr>
          <w:spacing w:val="-13"/>
        </w:rPr>
        <w:t> </w:t>
      </w:r>
      <w:r>
        <w:rPr/>
        <w:t>inelastic </w:t>
      </w:r>
      <w:r>
        <w:rPr/>
        <w:t>(number of rooms are fixed), hotel prices will increase. Small island destinations typically witness this phenomenon during the high season (November to April) in the Caribbean region. Based on this logic, the DPITS recommends aggressive outreach to American carriers to increase airlift to the</w:t>
      </w:r>
      <w:r>
        <w:rPr>
          <w:spacing w:val="-18"/>
        </w:rPr>
        <w:t> </w:t>
      </w:r>
      <w:r>
        <w:rPr/>
        <w:t>island.</w:t>
      </w:r>
    </w:p>
    <w:p>
      <w:pPr>
        <w:spacing w:line="240" w:lineRule="auto" w:before="3"/>
        <w:ind w:right="0"/>
        <w:rPr>
          <w:rFonts w:ascii="Calibri" w:hAnsi="Calibri" w:cs="Calibri" w:eastAsia="Calibri" w:hint="default"/>
          <w:sz w:val="21"/>
          <w:szCs w:val="21"/>
        </w:rPr>
      </w:pPr>
    </w:p>
    <w:p>
      <w:pPr>
        <w:pStyle w:val="BodyText"/>
        <w:spacing w:line="256" w:lineRule="auto"/>
        <w:ind w:right="1433"/>
        <w:jc w:val="both"/>
      </w:pPr>
      <w:r>
        <w:rPr/>
        <w:t>In order to meet the suggested demand increase from the US market, an increase in airlift will be required. The increase</w:t>
      </w:r>
      <w:r>
        <w:rPr>
          <w:spacing w:val="-11"/>
        </w:rPr>
        <w:t> </w:t>
      </w:r>
      <w:r>
        <w:rPr/>
        <w:t>in</w:t>
      </w:r>
      <w:r>
        <w:rPr>
          <w:spacing w:val="-10"/>
        </w:rPr>
        <w:t> </w:t>
      </w:r>
      <w:r>
        <w:rPr/>
        <w:t>airlift</w:t>
      </w:r>
      <w:r>
        <w:rPr>
          <w:spacing w:val="-10"/>
        </w:rPr>
        <w:t> </w:t>
      </w:r>
      <w:r>
        <w:rPr/>
        <w:t>from</w:t>
      </w:r>
      <w:r>
        <w:rPr>
          <w:spacing w:val="-11"/>
        </w:rPr>
        <w:t> </w:t>
      </w:r>
      <w:r>
        <w:rPr/>
        <w:t>the</w:t>
      </w:r>
      <w:r>
        <w:rPr>
          <w:spacing w:val="-10"/>
        </w:rPr>
        <w:t> </w:t>
      </w:r>
      <w:r>
        <w:rPr/>
        <w:t>US</w:t>
      </w:r>
      <w:r>
        <w:rPr>
          <w:spacing w:val="-10"/>
        </w:rPr>
        <w:t> </w:t>
      </w:r>
      <w:r>
        <w:rPr/>
        <w:t>is</w:t>
      </w:r>
      <w:r>
        <w:rPr>
          <w:spacing w:val="-12"/>
        </w:rPr>
        <w:t> </w:t>
      </w:r>
      <w:r>
        <w:rPr/>
        <w:t>vital</w:t>
      </w:r>
      <w:r>
        <w:rPr>
          <w:spacing w:val="-11"/>
        </w:rPr>
        <w:t> </w:t>
      </w:r>
      <w:r>
        <w:rPr/>
        <w:t>for</w:t>
      </w:r>
      <w:r>
        <w:rPr>
          <w:spacing w:val="-11"/>
        </w:rPr>
        <w:t> </w:t>
      </w:r>
      <w:r>
        <w:rPr/>
        <w:t>the</w:t>
      </w:r>
      <w:r>
        <w:rPr>
          <w:spacing w:val="-10"/>
        </w:rPr>
        <w:t> </w:t>
      </w:r>
      <w:r>
        <w:rPr/>
        <w:t>tourism</w:t>
      </w:r>
      <w:r>
        <w:rPr>
          <w:spacing w:val="-11"/>
        </w:rPr>
        <w:t> </w:t>
      </w:r>
      <w:r>
        <w:rPr/>
        <w:t>industry</w:t>
      </w:r>
      <w:r>
        <w:rPr>
          <w:spacing w:val="-8"/>
        </w:rPr>
        <w:t> </w:t>
      </w:r>
      <w:r>
        <w:rPr/>
        <w:t>in</w:t>
      </w:r>
      <w:r>
        <w:rPr>
          <w:spacing w:val="-10"/>
        </w:rPr>
        <w:t> </w:t>
      </w:r>
      <w:r>
        <w:rPr/>
        <w:t>Curaçao.</w:t>
      </w:r>
      <w:r>
        <w:rPr>
          <w:position w:val="5"/>
          <w:sz w:val="12"/>
        </w:rPr>
        <w:t>74</w:t>
      </w:r>
      <w:r>
        <w:rPr>
          <w:spacing w:val="14"/>
          <w:position w:val="5"/>
          <w:sz w:val="12"/>
        </w:rPr>
        <w:t> </w:t>
      </w:r>
      <w:r>
        <w:rPr/>
        <w:t>By</w:t>
      </w:r>
      <w:r>
        <w:rPr>
          <w:spacing w:val="-10"/>
        </w:rPr>
        <w:t> </w:t>
      </w:r>
      <w:r>
        <w:rPr/>
        <w:t>2017,</w:t>
      </w:r>
      <w:r>
        <w:rPr>
          <w:spacing w:val="-10"/>
        </w:rPr>
        <w:t> </w:t>
      </w:r>
      <w:r>
        <w:rPr/>
        <w:t>the</w:t>
      </w:r>
      <w:r>
        <w:rPr>
          <w:spacing w:val="-11"/>
        </w:rPr>
        <w:t> </w:t>
      </w:r>
      <w:r>
        <w:rPr/>
        <w:t>goal</w:t>
      </w:r>
      <w:r>
        <w:rPr>
          <w:spacing w:val="-9"/>
        </w:rPr>
        <w:t> </w:t>
      </w:r>
      <w:r>
        <w:rPr/>
        <w:t>is</w:t>
      </w:r>
      <w:r>
        <w:rPr>
          <w:spacing w:val="-12"/>
        </w:rPr>
        <w:t> </w:t>
      </w:r>
      <w:r>
        <w:rPr/>
        <w:t>to</w:t>
      </w:r>
      <w:r>
        <w:rPr>
          <w:spacing w:val="-10"/>
        </w:rPr>
        <w:t> </w:t>
      </w:r>
      <w:r>
        <w:rPr/>
        <w:t>increase</w:t>
      </w:r>
      <w:r>
        <w:rPr>
          <w:spacing w:val="-10"/>
        </w:rPr>
        <w:t> </w:t>
      </w:r>
      <w:r>
        <w:rPr/>
        <w:t>the</w:t>
      </w:r>
      <w:r>
        <w:rPr>
          <w:spacing w:val="-10"/>
        </w:rPr>
        <w:t> </w:t>
      </w:r>
      <w:r>
        <w:rPr/>
        <w:t>current </w:t>
      </w:r>
      <w:r>
        <w:rPr/>
        <w:t>level</w:t>
      </w:r>
      <w:r>
        <w:rPr>
          <w:spacing w:val="-12"/>
        </w:rPr>
        <w:t> </w:t>
      </w:r>
      <w:r>
        <w:rPr/>
        <w:t>of</w:t>
      </w:r>
      <w:r>
        <w:rPr>
          <w:spacing w:val="-12"/>
        </w:rPr>
        <w:t> </w:t>
      </w:r>
      <w:r>
        <w:rPr/>
        <w:t>airlift</w:t>
      </w:r>
      <w:r>
        <w:rPr>
          <w:spacing w:val="-11"/>
        </w:rPr>
        <w:t> </w:t>
      </w:r>
      <w:r>
        <w:rPr/>
        <w:t>by</w:t>
      </w:r>
      <w:r>
        <w:rPr>
          <w:spacing w:val="-10"/>
        </w:rPr>
        <w:t> </w:t>
      </w:r>
      <w:r>
        <w:rPr/>
        <w:t>ten</w:t>
      </w:r>
      <w:r>
        <w:rPr>
          <w:spacing w:val="-11"/>
        </w:rPr>
        <w:t> </w:t>
      </w:r>
      <w:r>
        <w:rPr/>
        <w:t>weekly</w:t>
      </w:r>
      <w:r>
        <w:rPr>
          <w:spacing w:val="-10"/>
        </w:rPr>
        <w:t> </w:t>
      </w:r>
      <w:r>
        <w:rPr/>
        <w:t>flights</w:t>
      </w:r>
      <w:r>
        <w:rPr>
          <w:spacing w:val="-11"/>
        </w:rPr>
        <w:t> </w:t>
      </w:r>
      <w:r>
        <w:rPr/>
        <w:t>from</w:t>
      </w:r>
      <w:r>
        <w:rPr>
          <w:spacing w:val="-12"/>
        </w:rPr>
        <w:t> </w:t>
      </w:r>
      <w:r>
        <w:rPr/>
        <w:t>the</w:t>
      </w:r>
      <w:r>
        <w:rPr>
          <w:spacing w:val="-12"/>
        </w:rPr>
        <w:t> </w:t>
      </w:r>
      <w:r>
        <w:rPr/>
        <w:t>2015</w:t>
      </w:r>
      <w:r>
        <w:rPr>
          <w:spacing w:val="-12"/>
        </w:rPr>
        <w:t> </w:t>
      </w:r>
      <w:r>
        <w:rPr/>
        <w:t>baseline.</w:t>
      </w:r>
      <w:r>
        <w:rPr>
          <w:spacing w:val="-12"/>
        </w:rPr>
        <w:t> </w:t>
      </w:r>
      <w:r>
        <w:rPr/>
        <w:t>The</w:t>
      </w:r>
      <w:r>
        <w:rPr>
          <w:spacing w:val="-12"/>
        </w:rPr>
        <w:t> </w:t>
      </w:r>
      <w:r>
        <w:rPr/>
        <w:t>main</w:t>
      </w:r>
      <w:r>
        <w:rPr>
          <w:spacing w:val="-10"/>
        </w:rPr>
        <w:t> </w:t>
      </w:r>
      <w:r>
        <w:rPr/>
        <w:t>priority</w:t>
      </w:r>
      <w:r>
        <w:rPr>
          <w:spacing w:val="-11"/>
        </w:rPr>
        <w:t> </w:t>
      </w:r>
      <w:r>
        <w:rPr/>
        <w:t>region</w:t>
      </w:r>
      <w:r>
        <w:rPr>
          <w:spacing w:val="-11"/>
        </w:rPr>
        <w:t> </w:t>
      </w:r>
      <w:r>
        <w:rPr/>
        <w:t>from</w:t>
      </w:r>
      <w:r>
        <w:rPr>
          <w:spacing w:val="-12"/>
        </w:rPr>
        <w:t> </w:t>
      </w:r>
      <w:r>
        <w:rPr/>
        <w:t>the</w:t>
      </w:r>
      <w:r>
        <w:rPr>
          <w:spacing w:val="-12"/>
        </w:rPr>
        <w:t> </w:t>
      </w:r>
      <w:r>
        <w:rPr/>
        <w:t>US</w:t>
      </w:r>
      <w:r>
        <w:rPr>
          <w:spacing w:val="-11"/>
        </w:rPr>
        <w:t> </w:t>
      </w:r>
      <w:r>
        <w:rPr/>
        <w:t>is</w:t>
      </w:r>
      <w:r>
        <w:rPr>
          <w:spacing w:val="-13"/>
        </w:rPr>
        <w:t> </w:t>
      </w:r>
      <w:r>
        <w:rPr/>
        <w:t>the</w:t>
      </w:r>
      <w:r>
        <w:rPr>
          <w:spacing w:val="-12"/>
        </w:rPr>
        <w:t> </w:t>
      </w:r>
      <w:r>
        <w:rPr/>
        <w:t>Middle</w:t>
      </w:r>
      <w:r>
        <w:rPr>
          <w:spacing w:val="-13"/>
        </w:rPr>
        <w:t> </w:t>
      </w:r>
      <w:r>
        <w:rPr/>
        <w:t>Atlantic </w:t>
      </w:r>
      <w:r>
        <w:rPr/>
        <w:t>region that covers New York, Pennsylvania, New Jersey, Maryland and Delaware (see Figure 32). By 2020, Curaçao will need twenty additional weekly flights from the USA (above the 2015 baseline) in order to airlift 100,000 additional arrivals. The additional flights should depart from the Middle Atlantic, the Mid-West and South priority areas within the USA</w:t>
      </w:r>
      <w:r>
        <w:rPr>
          <w:spacing w:val="-8"/>
        </w:rPr>
        <w:t> </w:t>
      </w:r>
      <w:r>
        <w:rPr/>
        <w:t>continent.</w:t>
      </w:r>
    </w:p>
    <w:p>
      <w:pPr>
        <w:spacing w:line="240" w:lineRule="auto" w:before="3"/>
        <w:ind w:right="0"/>
        <w:rPr>
          <w:rFonts w:ascii="Calibri" w:hAnsi="Calibri" w:cs="Calibri" w:eastAsia="Calibri" w:hint="default"/>
          <w:sz w:val="21"/>
          <w:szCs w:val="21"/>
        </w:rPr>
      </w:pPr>
    </w:p>
    <w:p>
      <w:pPr>
        <w:pStyle w:val="BodyText"/>
        <w:spacing w:line="256" w:lineRule="auto"/>
        <w:ind w:right="1437"/>
        <w:jc w:val="both"/>
      </w:pPr>
      <w:r>
        <w:rPr/>
        <w:t>It is clear from the data that the destinations that have the most airlifts will deliver the most returns. Therefore, because</w:t>
      </w:r>
      <w:r>
        <w:rPr>
          <w:spacing w:val="-4"/>
        </w:rPr>
        <w:t> </w:t>
      </w:r>
      <w:r>
        <w:rPr/>
        <w:t>Curaçao</w:t>
      </w:r>
      <w:r>
        <w:rPr>
          <w:spacing w:val="-3"/>
        </w:rPr>
        <w:t> </w:t>
      </w:r>
      <w:r>
        <w:rPr/>
        <w:t>needs</w:t>
      </w:r>
      <w:r>
        <w:rPr>
          <w:spacing w:val="-5"/>
        </w:rPr>
        <w:t> </w:t>
      </w:r>
      <w:r>
        <w:rPr/>
        <w:t>to</w:t>
      </w:r>
      <w:r>
        <w:rPr>
          <w:spacing w:val="-3"/>
        </w:rPr>
        <w:t> </w:t>
      </w:r>
      <w:r>
        <w:rPr/>
        <w:t>find</w:t>
      </w:r>
      <w:r>
        <w:rPr>
          <w:spacing w:val="-3"/>
        </w:rPr>
        <w:t> </w:t>
      </w:r>
      <w:r>
        <w:rPr/>
        <w:t>a</w:t>
      </w:r>
      <w:r>
        <w:rPr>
          <w:spacing w:val="-3"/>
        </w:rPr>
        <w:t> </w:t>
      </w:r>
      <w:r>
        <w:rPr/>
        <w:t>means</w:t>
      </w:r>
      <w:r>
        <w:rPr>
          <w:spacing w:val="-5"/>
        </w:rPr>
        <w:t> </w:t>
      </w:r>
      <w:r>
        <w:rPr/>
        <w:t>to</w:t>
      </w:r>
      <w:r>
        <w:rPr>
          <w:spacing w:val="-3"/>
        </w:rPr>
        <w:t> </w:t>
      </w:r>
      <w:r>
        <w:rPr/>
        <w:t>fill</w:t>
      </w:r>
      <w:r>
        <w:rPr>
          <w:spacing w:val="-4"/>
        </w:rPr>
        <w:t> </w:t>
      </w:r>
      <w:r>
        <w:rPr/>
        <w:t>the</w:t>
      </w:r>
      <w:r>
        <w:rPr>
          <w:spacing w:val="-7"/>
        </w:rPr>
        <w:t> </w:t>
      </w:r>
      <w:r>
        <w:rPr/>
        <w:t>current</w:t>
      </w:r>
      <w:r>
        <w:rPr>
          <w:spacing w:val="-3"/>
        </w:rPr>
        <w:t> </w:t>
      </w:r>
      <w:r>
        <w:rPr/>
        <w:t>inventory</w:t>
      </w:r>
      <w:r>
        <w:rPr>
          <w:spacing w:val="-3"/>
        </w:rPr>
        <w:t> </w:t>
      </w:r>
      <w:r>
        <w:rPr/>
        <w:t>of</w:t>
      </w:r>
      <w:r>
        <w:rPr>
          <w:spacing w:val="-5"/>
        </w:rPr>
        <w:t> </w:t>
      </w:r>
      <w:r>
        <w:rPr/>
        <w:t>rooms</w:t>
      </w:r>
      <w:r>
        <w:rPr>
          <w:spacing w:val="-5"/>
        </w:rPr>
        <w:t> </w:t>
      </w:r>
      <w:r>
        <w:rPr/>
        <w:t>(optimize),</w:t>
      </w:r>
      <w:r>
        <w:rPr>
          <w:spacing w:val="-3"/>
        </w:rPr>
        <w:t> </w:t>
      </w:r>
      <w:r>
        <w:rPr/>
        <w:t>it</w:t>
      </w:r>
      <w:r>
        <w:rPr>
          <w:spacing w:val="-3"/>
        </w:rPr>
        <w:t> </w:t>
      </w:r>
      <w:r>
        <w:rPr/>
        <w:t>will</w:t>
      </w:r>
      <w:r>
        <w:rPr>
          <w:spacing w:val="-4"/>
        </w:rPr>
        <w:t> </w:t>
      </w:r>
      <w:r>
        <w:rPr/>
        <w:t>need</w:t>
      </w:r>
      <w:r>
        <w:rPr>
          <w:spacing w:val="-3"/>
        </w:rPr>
        <w:t> </w:t>
      </w:r>
      <w:r>
        <w:rPr/>
        <w:t>to</w:t>
      </w:r>
      <w:r>
        <w:rPr>
          <w:spacing w:val="-3"/>
        </w:rPr>
        <w:t> </w:t>
      </w:r>
      <w:r>
        <w:rPr/>
        <w:t>partner</w:t>
      </w:r>
      <w:r>
        <w:rPr>
          <w:spacing w:val="-3"/>
        </w:rPr>
        <w:t> </w:t>
      </w:r>
      <w:r>
        <w:rPr/>
        <w:t>with </w:t>
      </w:r>
      <w:r>
        <w:rPr/>
        <w:t>airlines</w:t>
      </w:r>
      <w:r>
        <w:rPr>
          <w:spacing w:val="-14"/>
        </w:rPr>
        <w:t> </w:t>
      </w:r>
      <w:r>
        <w:rPr/>
        <w:t>to</w:t>
      </w:r>
      <w:r>
        <w:rPr>
          <w:spacing w:val="-12"/>
        </w:rPr>
        <w:t> </w:t>
      </w:r>
      <w:r>
        <w:rPr/>
        <w:t>ensure</w:t>
      </w:r>
      <w:r>
        <w:rPr>
          <w:spacing w:val="-13"/>
        </w:rPr>
        <w:t> </w:t>
      </w:r>
      <w:r>
        <w:rPr/>
        <w:t>affordable</w:t>
      </w:r>
      <w:r>
        <w:rPr>
          <w:spacing w:val="-14"/>
        </w:rPr>
        <w:t> </w:t>
      </w:r>
      <w:r>
        <w:rPr/>
        <w:t>airfares.</w:t>
      </w:r>
      <w:r>
        <w:rPr>
          <w:spacing w:val="-11"/>
        </w:rPr>
        <w:t> </w:t>
      </w:r>
      <w:r>
        <w:rPr/>
        <w:t>Also,</w:t>
      </w:r>
      <w:r>
        <w:rPr>
          <w:spacing w:val="-12"/>
        </w:rPr>
        <w:t> </w:t>
      </w:r>
      <w:r>
        <w:rPr/>
        <w:t>destination</w:t>
      </w:r>
      <w:r>
        <w:rPr>
          <w:spacing w:val="-12"/>
        </w:rPr>
        <w:t> </w:t>
      </w:r>
      <w:r>
        <w:rPr/>
        <w:t>officials</w:t>
      </w:r>
      <w:r>
        <w:rPr>
          <w:spacing w:val="-14"/>
        </w:rPr>
        <w:t> </w:t>
      </w:r>
      <w:r>
        <w:rPr/>
        <w:t>and</w:t>
      </w:r>
      <w:r>
        <w:rPr>
          <w:spacing w:val="-12"/>
        </w:rPr>
        <w:t> </w:t>
      </w:r>
      <w:r>
        <w:rPr/>
        <w:t>hotel</w:t>
      </w:r>
      <w:r>
        <w:rPr>
          <w:spacing w:val="-13"/>
        </w:rPr>
        <w:t> </w:t>
      </w:r>
      <w:r>
        <w:rPr/>
        <w:t>managers</w:t>
      </w:r>
      <w:r>
        <w:rPr>
          <w:spacing w:val="-14"/>
        </w:rPr>
        <w:t> </w:t>
      </w:r>
      <w:r>
        <w:rPr/>
        <w:t>should</w:t>
      </w:r>
      <w:r>
        <w:rPr>
          <w:spacing w:val="-15"/>
        </w:rPr>
        <w:t> </w:t>
      </w:r>
      <w:r>
        <w:rPr/>
        <w:t>work</w:t>
      </w:r>
      <w:r>
        <w:rPr>
          <w:spacing w:val="-12"/>
        </w:rPr>
        <w:t> </w:t>
      </w:r>
      <w:r>
        <w:rPr/>
        <w:t>together</w:t>
      </w:r>
      <w:r>
        <w:rPr>
          <w:spacing w:val="-13"/>
        </w:rPr>
        <w:t> </w:t>
      </w:r>
      <w:r>
        <w:rPr/>
        <w:t>to</w:t>
      </w:r>
      <w:r>
        <w:rPr>
          <w:spacing w:val="-12"/>
        </w:rPr>
        <w:t> </w:t>
      </w:r>
      <w:r>
        <w:rPr/>
        <w:t>embrace </w:t>
      </w:r>
      <w:r>
        <w:rPr/>
        <w:t>social media platforms. Findings suggest that the most profitable segment (the mavens) are information </w:t>
      </w:r>
      <w:r>
        <w:rPr>
          <w:rFonts w:ascii="Calibri" w:hAnsi="Calibri" w:cs="Calibri" w:eastAsia="Calibri" w:hint="default"/>
        </w:rPr>
        <w:t>“omnivores”</w:t>
      </w:r>
      <w:r>
        <w:rPr>
          <w:rFonts w:ascii="Calibri" w:hAnsi="Calibri" w:cs="Calibri" w:eastAsia="Calibri" w:hint="default"/>
          <w:spacing w:val="-5"/>
        </w:rPr>
        <w:t> </w:t>
      </w:r>
      <w:r>
        <w:rPr>
          <w:rFonts w:ascii="Calibri" w:hAnsi="Calibri" w:cs="Calibri" w:eastAsia="Calibri" w:hint="default"/>
        </w:rPr>
        <w:t>requiring</w:t>
      </w:r>
      <w:r>
        <w:rPr>
          <w:rFonts w:ascii="Calibri" w:hAnsi="Calibri" w:cs="Calibri" w:eastAsia="Calibri" w:hint="default"/>
          <w:spacing w:val="-6"/>
        </w:rPr>
        <w:t> </w:t>
      </w:r>
      <w:r>
        <w:rPr>
          <w:rFonts w:ascii="Calibri" w:hAnsi="Calibri" w:cs="Calibri" w:eastAsia="Calibri" w:hint="default"/>
        </w:rPr>
        <w:t>constant</w:t>
      </w:r>
      <w:r>
        <w:rPr>
          <w:rFonts w:ascii="Calibri" w:hAnsi="Calibri" w:cs="Calibri" w:eastAsia="Calibri" w:hint="default"/>
          <w:spacing w:val="-5"/>
        </w:rPr>
        <w:t> </w:t>
      </w:r>
      <w:r>
        <w:rPr>
          <w:rFonts w:ascii="Calibri" w:hAnsi="Calibri" w:cs="Calibri" w:eastAsia="Calibri" w:hint="default"/>
        </w:rPr>
        <w:t>interaction</w:t>
      </w:r>
      <w:r>
        <w:rPr>
          <w:rFonts w:ascii="Calibri" w:hAnsi="Calibri" w:cs="Calibri" w:eastAsia="Calibri" w:hint="default"/>
          <w:spacing w:val="-5"/>
        </w:rPr>
        <w:t> </w:t>
      </w:r>
      <w:r>
        <w:rPr>
          <w:rFonts w:ascii="Calibri" w:hAnsi="Calibri" w:cs="Calibri" w:eastAsia="Calibri" w:hint="default"/>
        </w:rPr>
        <w:t>on</w:t>
      </w:r>
      <w:r>
        <w:rPr>
          <w:rFonts w:ascii="Calibri" w:hAnsi="Calibri" w:cs="Calibri" w:eastAsia="Calibri" w:hint="default"/>
          <w:spacing w:val="-5"/>
        </w:rPr>
        <w:t> </w:t>
      </w:r>
      <w:r>
        <w:rPr>
          <w:rFonts w:ascii="Calibri" w:hAnsi="Calibri" w:cs="Calibri" w:eastAsia="Calibri" w:hint="default"/>
        </w:rPr>
        <w:t>social</w:t>
      </w:r>
      <w:r>
        <w:rPr>
          <w:rFonts w:ascii="Calibri" w:hAnsi="Calibri" w:cs="Calibri" w:eastAsia="Calibri" w:hint="default"/>
          <w:spacing w:val="-4"/>
        </w:rPr>
        <w:t> </w:t>
      </w:r>
      <w:r>
        <w:rPr>
          <w:rFonts w:ascii="Calibri" w:hAnsi="Calibri" w:cs="Calibri" w:eastAsia="Calibri" w:hint="default"/>
        </w:rPr>
        <w:t>media</w:t>
      </w:r>
      <w:r>
        <w:rPr>
          <w:rFonts w:ascii="Calibri" w:hAnsi="Calibri" w:cs="Calibri" w:eastAsia="Calibri" w:hint="default"/>
          <w:spacing w:val="1"/>
        </w:rPr>
        <w:t> </w:t>
      </w:r>
      <w:r>
        <w:rPr/>
        <w:t>platforms.</w:t>
      </w:r>
      <w:r>
        <w:rPr>
          <w:spacing w:val="-2"/>
        </w:rPr>
        <w:t> </w:t>
      </w:r>
      <w:r>
        <w:rPr/>
        <w:t>Effectively</w:t>
      </w:r>
      <w:r>
        <w:rPr>
          <w:spacing w:val="-3"/>
        </w:rPr>
        <w:t> </w:t>
      </w:r>
      <w:r>
        <w:rPr/>
        <w:t>managing</w:t>
      </w:r>
      <w:r>
        <w:rPr>
          <w:spacing w:val="-6"/>
        </w:rPr>
        <w:t> </w:t>
      </w:r>
      <w:r>
        <w:rPr/>
        <w:t>social</w:t>
      </w:r>
      <w:r>
        <w:rPr>
          <w:spacing w:val="-4"/>
        </w:rPr>
        <w:t> </w:t>
      </w:r>
      <w:r>
        <w:rPr/>
        <w:t>media</w:t>
      </w:r>
      <w:r>
        <w:rPr>
          <w:spacing w:val="-5"/>
        </w:rPr>
        <w:t> </w:t>
      </w:r>
      <w:r>
        <w:rPr/>
        <w:t>has</w:t>
      </w:r>
      <w:r>
        <w:rPr>
          <w:spacing w:val="-6"/>
        </w:rPr>
        <w:t> </w:t>
      </w:r>
      <w:r>
        <w:rPr/>
        <w:t>shown </w:t>
      </w:r>
      <w:r>
        <w:rPr/>
        <w:t>to be a critical pathway to increase RevPAR. Therefore, hotels and the destination should ensure that they are in good (great) standing with regards to reputation categories such as rating, thumbs up, and class, for example, in TripAdvsior.</w:t>
      </w:r>
    </w:p>
    <w:p>
      <w:pPr>
        <w:spacing w:line="240" w:lineRule="auto"/>
        <w:ind w:left="4828"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634634" cy="1680210"/>
            <wp:effectExtent l="0" t="0" r="0" b="0"/>
            <wp:docPr id="113" name="image41.jpeg" descr=""/>
            <wp:cNvGraphicFramePr>
              <a:graphicFrameLocks noChangeAspect="1"/>
            </wp:cNvGraphicFramePr>
            <a:graphic>
              <a:graphicData uri="http://schemas.openxmlformats.org/drawingml/2006/picture">
                <pic:pic>
                  <pic:nvPicPr>
                    <pic:cNvPr id="114" name="image41.jpeg"/>
                    <pic:cNvPicPr/>
                  </pic:nvPicPr>
                  <pic:blipFill>
                    <a:blip r:embed="rId73" cstate="print"/>
                    <a:stretch>
                      <a:fillRect/>
                    </a:stretch>
                  </pic:blipFill>
                  <pic:spPr>
                    <a:xfrm>
                      <a:off x="0" y="0"/>
                      <a:ext cx="1634634" cy="1680210"/>
                    </a:xfrm>
                    <a:prstGeom prst="rect">
                      <a:avLst/>
                    </a:prstGeom>
                  </pic:spPr>
                </pic:pic>
              </a:graphicData>
            </a:graphic>
          </wp:inline>
        </w:drawing>
      </w:r>
      <w:r>
        <w:rPr>
          <w:rFonts w:ascii="Calibri" w:hAnsi="Calibri" w:cs="Calibri" w:eastAsia="Calibri" w:hint="default"/>
          <w:sz w:val="20"/>
          <w:szCs w:val="20"/>
        </w:rPr>
      </w:r>
    </w:p>
    <w:p>
      <w:pPr>
        <w:spacing w:line="240" w:lineRule="auto" w:before="1"/>
        <w:ind w:right="0"/>
        <w:rPr>
          <w:rFonts w:ascii="Calibri" w:hAnsi="Calibri" w:cs="Calibri" w:eastAsia="Calibri" w:hint="default"/>
          <w:sz w:val="15"/>
          <w:szCs w:val="15"/>
        </w:rPr>
      </w:pPr>
    </w:p>
    <w:p>
      <w:pPr>
        <w:pStyle w:val="Heading9"/>
        <w:spacing w:line="240" w:lineRule="auto"/>
        <w:ind w:left="25" w:right="26"/>
        <w:jc w:val="center"/>
        <w:rPr>
          <w:b w:val="0"/>
          <w:bCs w:val="0"/>
        </w:rPr>
      </w:pPr>
      <w:bookmarkStart w:name="_bookmark163" w:id="164"/>
      <w:bookmarkEnd w:id="164"/>
      <w:r>
        <w:rPr>
          <w:b w:val="0"/>
        </w:rPr>
      </w:r>
      <w:r>
        <w:rPr/>
        <w:t>Figure 32: US potential</w:t>
      </w:r>
      <w:r>
        <w:rPr>
          <w:spacing w:val="-14"/>
        </w:rPr>
        <w:t> </w:t>
      </w:r>
      <w:r>
        <w:rPr/>
        <w:t>market</w:t>
      </w:r>
      <w:r>
        <w:rPr>
          <w:b w:val="0"/>
        </w:rPr>
      </w:r>
    </w:p>
    <w:p>
      <w:pPr>
        <w:spacing w:line="240" w:lineRule="auto" w:before="2"/>
        <w:ind w:right="0"/>
        <w:rPr>
          <w:rFonts w:ascii="Calibri" w:hAnsi="Calibri" w:cs="Calibri" w:eastAsia="Calibri" w:hint="default"/>
          <w:b/>
          <w:bCs/>
          <w:sz w:val="23"/>
          <w:szCs w:val="23"/>
        </w:rPr>
      </w:pPr>
    </w:p>
    <w:p>
      <w:pPr>
        <w:pStyle w:val="Heading2"/>
        <w:spacing w:line="240" w:lineRule="auto" w:before="0"/>
        <w:ind w:right="0"/>
        <w:jc w:val="both"/>
        <w:rPr>
          <w:b w:val="0"/>
          <w:bCs w:val="0"/>
        </w:rPr>
      </w:pPr>
      <w:bookmarkStart w:name="_bookmark164" w:id="165"/>
      <w:bookmarkEnd w:id="165"/>
      <w:r>
        <w:rPr>
          <w:b w:val="0"/>
        </w:rPr>
      </w:r>
      <w:r>
        <w:rPr/>
        <w:t>Strategy #3:  Human capital</w:t>
      </w:r>
      <w:r>
        <w:rPr>
          <w:spacing w:val="-12"/>
        </w:rPr>
        <w:t> </w:t>
      </w:r>
      <w:r>
        <w:rPr/>
        <w:t>investment</w:t>
      </w:r>
      <w:r>
        <w:rPr>
          <w:b w:val="0"/>
        </w:rPr>
      </w:r>
    </w:p>
    <w:p>
      <w:pPr>
        <w:pStyle w:val="BodyText"/>
        <w:spacing w:line="240" w:lineRule="auto" w:before="189"/>
        <w:ind w:right="1438"/>
        <w:jc w:val="both"/>
      </w:pPr>
      <w:r>
        <w:rPr/>
        <w:t>The plan suggests a sharp focus on the enhancement of Curaçao </w:t>
      </w:r>
      <w:r>
        <w:rPr>
          <w:rFonts w:ascii="Calibri" w:hAnsi="Calibri" w:cs="Calibri" w:eastAsia="Calibri" w:hint="default"/>
        </w:rPr>
        <w:t>’s </w:t>
      </w:r>
      <w:r>
        <w:rPr/>
        <w:t>human capital. Enhancing the quality of human capital</w:t>
      </w:r>
      <w:r>
        <w:rPr>
          <w:spacing w:val="-10"/>
        </w:rPr>
        <w:t> </w:t>
      </w:r>
      <w:r>
        <w:rPr/>
        <w:t>is</w:t>
      </w:r>
      <w:r>
        <w:rPr>
          <w:spacing w:val="-12"/>
        </w:rPr>
        <w:t> </w:t>
      </w:r>
      <w:r>
        <w:rPr/>
        <w:t>the</w:t>
      </w:r>
      <w:r>
        <w:rPr>
          <w:spacing w:val="-11"/>
        </w:rPr>
        <w:t> </w:t>
      </w:r>
      <w:r>
        <w:rPr>
          <w:rFonts w:ascii="Calibri" w:hAnsi="Calibri" w:cs="Calibri" w:eastAsia="Calibri" w:hint="default"/>
        </w:rPr>
        <w:t>core</w:t>
      </w:r>
      <w:r>
        <w:rPr>
          <w:rFonts w:ascii="Calibri" w:hAnsi="Calibri" w:cs="Calibri" w:eastAsia="Calibri" w:hint="default"/>
          <w:spacing w:val="-11"/>
        </w:rPr>
        <w:t> </w:t>
      </w:r>
      <w:r>
        <w:rPr>
          <w:rFonts w:ascii="Calibri" w:hAnsi="Calibri" w:cs="Calibri" w:eastAsia="Calibri" w:hint="default"/>
        </w:rPr>
        <w:t>necessity</w:t>
      </w:r>
      <w:r>
        <w:rPr>
          <w:rFonts w:ascii="Calibri" w:hAnsi="Calibri" w:cs="Calibri" w:eastAsia="Calibri" w:hint="default"/>
          <w:spacing w:val="-9"/>
        </w:rPr>
        <w:t> </w:t>
      </w:r>
      <w:r>
        <w:rPr>
          <w:rFonts w:ascii="Calibri" w:hAnsi="Calibri" w:cs="Calibri" w:eastAsia="Calibri" w:hint="default"/>
        </w:rPr>
        <w:t>of</w:t>
      </w:r>
      <w:r>
        <w:rPr>
          <w:rFonts w:ascii="Calibri" w:hAnsi="Calibri" w:cs="Calibri" w:eastAsia="Calibri" w:hint="default"/>
          <w:spacing w:val="-11"/>
        </w:rPr>
        <w:t> </w:t>
      </w:r>
      <w:r>
        <w:rPr>
          <w:rFonts w:ascii="Calibri" w:hAnsi="Calibri" w:cs="Calibri" w:eastAsia="Calibri" w:hint="default"/>
        </w:rPr>
        <w:t>tourism’s</w:t>
      </w:r>
      <w:r>
        <w:rPr>
          <w:rFonts w:ascii="Calibri" w:hAnsi="Calibri" w:cs="Calibri" w:eastAsia="Calibri" w:hint="default"/>
          <w:spacing w:val="-9"/>
        </w:rPr>
        <w:t> </w:t>
      </w:r>
      <w:r>
        <w:rPr>
          <w:rFonts w:ascii="Calibri" w:hAnsi="Calibri" w:cs="Calibri" w:eastAsia="Calibri" w:hint="default"/>
        </w:rPr>
        <w:t>soft</w:t>
      </w:r>
      <w:r>
        <w:rPr>
          <w:rFonts w:ascii="Calibri" w:hAnsi="Calibri" w:cs="Calibri" w:eastAsia="Calibri" w:hint="default"/>
          <w:spacing w:val="-10"/>
        </w:rPr>
        <w:t> </w:t>
      </w:r>
      <w:r>
        <w:rPr>
          <w:rFonts w:ascii="Calibri" w:hAnsi="Calibri" w:cs="Calibri" w:eastAsia="Calibri" w:hint="default"/>
        </w:rPr>
        <w:t>component.</w:t>
      </w:r>
      <w:r>
        <w:rPr>
          <w:rFonts w:ascii="Calibri" w:hAnsi="Calibri" w:cs="Calibri" w:eastAsia="Calibri" w:hint="default"/>
          <w:spacing w:val="20"/>
        </w:rPr>
        <w:t> </w:t>
      </w:r>
      <w:r>
        <w:rPr/>
        <w:t>Increasing</w:t>
      </w:r>
      <w:r>
        <w:rPr>
          <w:spacing w:val="-10"/>
        </w:rPr>
        <w:t> </w:t>
      </w:r>
      <w:r>
        <w:rPr/>
        <w:t>the</w:t>
      </w:r>
      <w:r>
        <w:rPr>
          <w:spacing w:val="-11"/>
        </w:rPr>
        <w:t> </w:t>
      </w:r>
      <w:r>
        <w:rPr/>
        <w:t>number</w:t>
      </w:r>
      <w:r>
        <w:rPr>
          <w:spacing w:val="-10"/>
        </w:rPr>
        <w:t> </w:t>
      </w:r>
      <w:r>
        <w:rPr/>
        <w:t>of</w:t>
      </w:r>
      <w:r>
        <w:rPr>
          <w:spacing w:val="-11"/>
        </w:rPr>
        <w:t> </w:t>
      </w:r>
      <w:r>
        <w:rPr/>
        <w:t>arrivals</w:t>
      </w:r>
      <w:r>
        <w:rPr>
          <w:spacing w:val="-9"/>
        </w:rPr>
        <w:t> </w:t>
      </w:r>
      <w:r>
        <w:rPr/>
        <w:t>to</w:t>
      </w:r>
      <w:r>
        <w:rPr>
          <w:spacing w:val="-10"/>
        </w:rPr>
        <w:t> </w:t>
      </w:r>
      <w:r>
        <w:rPr/>
        <w:t>Curaçao,</w:t>
      </w:r>
      <w:r>
        <w:rPr>
          <w:spacing w:val="-10"/>
        </w:rPr>
        <w:t> </w:t>
      </w:r>
      <w:r>
        <w:rPr/>
        <w:t>as</w:t>
      </w:r>
      <w:r>
        <w:rPr>
          <w:spacing w:val="-11"/>
        </w:rPr>
        <w:t> </w:t>
      </w:r>
      <w:r>
        <w:rPr/>
        <w:t>suggested </w:t>
      </w:r>
      <w:r>
        <w:rPr/>
        <w:t>in strategy #1, will impact economic growth and job creation. However, the continued success of strategy #1 is dependent upon the simultaneous increase in the quality of tourism experiences. One form of tourism experience that</w:t>
      </w:r>
      <w:r>
        <w:rPr>
          <w:spacing w:val="-11"/>
        </w:rPr>
        <w:t> </w:t>
      </w:r>
      <w:r>
        <w:rPr/>
        <w:t>is</w:t>
      </w:r>
      <w:r>
        <w:rPr>
          <w:spacing w:val="-14"/>
        </w:rPr>
        <w:t> </w:t>
      </w:r>
      <w:r>
        <w:rPr/>
        <w:t>a</w:t>
      </w:r>
      <w:r>
        <w:rPr>
          <w:spacing w:val="-12"/>
        </w:rPr>
        <w:t> </w:t>
      </w:r>
      <w:r>
        <w:rPr/>
        <w:t>low</w:t>
      </w:r>
      <w:r>
        <w:rPr>
          <w:spacing w:val="-13"/>
        </w:rPr>
        <w:t> </w:t>
      </w:r>
      <w:r>
        <w:rPr/>
        <w:t>risk</w:t>
      </w:r>
      <w:r>
        <w:rPr>
          <w:spacing w:val="-12"/>
        </w:rPr>
        <w:t> </w:t>
      </w:r>
      <w:r>
        <w:rPr/>
        <w:t>but</w:t>
      </w:r>
      <w:r>
        <w:rPr>
          <w:spacing w:val="-12"/>
        </w:rPr>
        <w:t> </w:t>
      </w:r>
      <w:r>
        <w:rPr/>
        <w:t>high</w:t>
      </w:r>
      <w:r>
        <w:rPr>
          <w:spacing w:val="-12"/>
        </w:rPr>
        <w:t> </w:t>
      </w:r>
      <w:r>
        <w:rPr/>
        <w:t>return</w:t>
      </w:r>
      <w:r>
        <w:rPr>
          <w:spacing w:val="-12"/>
        </w:rPr>
        <w:t> </w:t>
      </w:r>
      <w:r>
        <w:rPr/>
        <w:t>on</w:t>
      </w:r>
      <w:r>
        <w:rPr>
          <w:spacing w:val="-12"/>
        </w:rPr>
        <w:t> </w:t>
      </w:r>
      <w:r>
        <w:rPr/>
        <w:t>investment</w:t>
      </w:r>
      <w:r>
        <w:rPr>
          <w:spacing w:val="-12"/>
        </w:rPr>
        <w:t> </w:t>
      </w:r>
      <w:r>
        <w:rPr/>
        <w:t>is</w:t>
      </w:r>
      <w:r>
        <w:rPr>
          <w:spacing w:val="-14"/>
        </w:rPr>
        <w:t> </w:t>
      </w:r>
      <w:r>
        <w:rPr/>
        <w:t>the</w:t>
      </w:r>
      <w:r>
        <w:rPr>
          <w:spacing w:val="-11"/>
        </w:rPr>
        <w:t> </w:t>
      </w:r>
      <w:r>
        <w:rPr/>
        <w:t>drastic</w:t>
      </w:r>
      <w:r>
        <w:rPr>
          <w:spacing w:val="-13"/>
        </w:rPr>
        <w:t> </w:t>
      </w:r>
      <w:r>
        <w:rPr/>
        <w:t>improvement</w:t>
      </w:r>
      <w:r>
        <w:rPr>
          <w:spacing w:val="-12"/>
        </w:rPr>
        <w:t> </w:t>
      </w:r>
      <w:r>
        <w:rPr/>
        <w:t>in</w:t>
      </w:r>
      <w:r>
        <w:rPr>
          <w:spacing w:val="-12"/>
        </w:rPr>
        <w:t> </w:t>
      </w:r>
      <w:r>
        <w:rPr/>
        <w:t>the</w:t>
      </w:r>
      <w:r>
        <w:rPr>
          <w:spacing w:val="-13"/>
        </w:rPr>
        <w:t> </w:t>
      </w:r>
      <w:r>
        <w:rPr/>
        <w:t>soft</w:t>
      </w:r>
      <w:r>
        <w:rPr>
          <w:spacing w:val="-12"/>
        </w:rPr>
        <w:t> </w:t>
      </w:r>
      <w:r>
        <w:rPr/>
        <w:t>component.</w:t>
      </w:r>
      <w:r>
        <w:rPr>
          <w:spacing w:val="22"/>
        </w:rPr>
        <w:t> </w:t>
      </w:r>
      <w:r>
        <w:rPr/>
        <w:t>Empirical</w:t>
      </w:r>
      <w:r>
        <w:rPr>
          <w:spacing w:val="-12"/>
        </w:rPr>
        <w:t> </w:t>
      </w:r>
      <w:r>
        <w:rPr/>
        <w:t>evidence</w:t>
      </w:r>
    </w:p>
    <w:p>
      <w:pPr>
        <w:spacing w:line="240" w:lineRule="auto" w:before="10" w:after="0"/>
        <w:ind w:right="0"/>
        <w:rPr>
          <w:rFonts w:ascii="Calibri" w:hAnsi="Calibri" w:cs="Calibri" w:eastAsia="Calibri" w:hint="default"/>
          <w:sz w:val="15"/>
          <w:szCs w:val="15"/>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7" w:lineRule="auto" w:before="91"/>
        <w:ind w:left="1440" w:right="1706" w:firstLine="0"/>
        <w:jc w:val="left"/>
        <w:rPr>
          <w:rFonts w:ascii="Calibri" w:hAnsi="Calibri" w:cs="Calibri" w:eastAsia="Calibri" w:hint="default"/>
          <w:sz w:val="16"/>
          <w:szCs w:val="16"/>
        </w:rPr>
      </w:pPr>
      <w:r>
        <w:rPr>
          <w:rFonts w:ascii="Calibri"/>
          <w:position w:val="5"/>
          <w:sz w:val="12"/>
        </w:rPr>
        <w:t>74 </w:t>
      </w:r>
      <w:r>
        <w:rPr>
          <w:rFonts w:ascii="Calibri"/>
          <w:sz w:val="16"/>
        </w:rPr>
        <w:t>Airlift remains a significant hurdle to increase the number of arrivals and to fill hotel rooms in the Caribbean region, according to a survey </w:t>
      </w:r>
      <w:r>
        <w:rPr>
          <w:rFonts w:ascii="Calibri"/>
          <w:sz w:val="16"/>
        </w:rPr>
        <w:t>conducted</w:t>
      </w:r>
      <w:r>
        <w:rPr>
          <w:rFonts w:ascii="Calibri"/>
          <w:spacing w:val="-3"/>
          <w:sz w:val="16"/>
        </w:rPr>
        <w:t> </w:t>
      </w:r>
      <w:r>
        <w:rPr>
          <w:rFonts w:ascii="Calibri"/>
          <w:sz w:val="16"/>
        </w:rPr>
        <w:t>by</w:t>
      </w:r>
      <w:r>
        <w:rPr>
          <w:rFonts w:ascii="Calibri"/>
          <w:spacing w:val="-1"/>
          <w:sz w:val="16"/>
        </w:rPr>
        <w:t> </w:t>
      </w:r>
      <w:r>
        <w:rPr>
          <w:rFonts w:ascii="Calibri"/>
          <w:sz w:val="16"/>
        </w:rPr>
        <w:t>KPMG</w:t>
      </w:r>
      <w:r>
        <w:rPr>
          <w:rFonts w:ascii="Calibri"/>
          <w:spacing w:val="-3"/>
          <w:sz w:val="16"/>
        </w:rPr>
        <w:t> </w:t>
      </w:r>
      <w:r>
        <w:rPr>
          <w:rFonts w:ascii="Calibri"/>
          <w:sz w:val="16"/>
        </w:rPr>
        <w:t>in</w:t>
      </w:r>
      <w:r>
        <w:rPr>
          <w:rFonts w:ascii="Calibri"/>
          <w:spacing w:val="-3"/>
          <w:sz w:val="16"/>
        </w:rPr>
        <w:t> </w:t>
      </w:r>
      <w:r>
        <w:rPr>
          <w:rFonts w:ascii="Calibri"/>
          <w:sz w:val="16"/>
        </w:rPr>
        <w:t>2012</w:t>
      </w:r>
      <w:r>
        <w:rPr>
          <w:rFonts w:ascii="Calibri"/>
          <w:spacing w:val="-2"/>
          <w:sz w:val="16"/>
        </w:rPr>
        <w:t> </w:t>
      </w:r>
      <w:r>
        <w:rPr>
          <w:rFonts w:ascii="Calibri"/>
          <w:sz w:val="16"/>
        </w:rPr>
        <w:t>among</w:t>
      </w:r>
      <w:r>
        <w:rPr>
          <w:rFonts w:ascii="Calibri"/>
          <w:spacing w:val="-1"/>
          <w:sz w:val="16"/>
        </w:rPr>
        <w:t> </w:t>
      </w:r>
      <w:r>
        <w:rPr>
          <w:rFonts w:ascii="Calibri"/>
          <w:sz w:val="16"/>
        </w:rPr>
        <w:t>hotel</w:t>
      </w:r>
      <w:r>
        <w:rPr>
          <w:rFonts w:ascii="Calibri"/>
          <w:spacing w:val="-3"/>
          <w:sz w:val="16"/>
        </w:rPr>
        <w:t> </w:t>
      </w:r>
      <w:r>
        <w:rPr>
          <w:rFonts w:ascii="Calibri"/>
          <w:sz w:val="16"/>
        </w:rPr>
        <w:t>properties</w:t>
      </w:r>
      <w:r>
        <w:rPr>
          <w:rFonts w:ascii="Calibri"/>
          <w:spacing w:val="-3"/>
          <w:sz w:val="16"/>
        </w:rPr>
        <w:t> </w:t>
      </w:r>
      <w:r>
        <w:rPr>
          <w:rFonts w:ascii="Calibri"/>
          <w:sz w:val="16"/>
        </w:rPr>
        <w:t>in</w:t>
      </w:r>
      <w:r>
        <w:rPr>
          <w:rFonts w:ascii="Calibri"/>
          <w:spacing w:val="-1"/>
          <w:sz w:val="16"/>
        </w:rPr>
        <w:t> </w:t>
      </w:r>
      <w:r>
        <w:rPr>
          <w:rFonts w:ascii="Calibri"/>
          <w:sz w:val="16"/>
        </w:rPr>
        <w:t>the</w:t>
      </w:r>
      <w:r>
        <w:rPr>
          <w:rFonts w:ascii="Calibri"/>
          <w:spacing w:val="-4"/>
          <w:sz w:val="16"/>
        </w:rPr>
        <w:t> </w:t>
      </w:r>
      <w:r>
        <w:rPr>
          <w:rFonts w:ascii="Calibri"/>
          <w:sz w:val="16"/>
        </w:rPr>
        <w:t>region.</w:t>
      </w:r>
      <w:r>
        <w:rPr>
          <w:rFonts w:ascii="Calibri"/>
          <w:spacing w:val="-2"/>
          <w:sz w:val="16"/>
        </w:rPr>
        <w:t> </w:t>
      </w:r>
      <w:r>
        <w:rPr>
          <w:rFonts w:ascii="Calibri"/>
          <w:sz w:val="16"/>
        </w:rPr>
        <w:t>See</w:t>
      </w:r>
      <w:r>
        <w:rPr>
          <w:rFonts w:ascii="Calibri"/>
          <w:spacing w:val="-3"/>
          <w:sz w:val="16"/>
        </w:rPr>
        <w:t> </w:t>
      </w:r>
      <w:r>
        <w:rPr>
          <w:rFonts w:ascii="Calibri"/>
          <w:sz w:val="16"/>
        </w:rPr>
        <w:t>KPMG</w:t>
      </w:r>
      <w:r>
        <w:rPr>
          <w:rFonts w:ascii="Calibri"/>
          <w:spacing w:val="-3"/>
          <w:sz w:val="16"/>
        </w:rPr>
        <w:t> </w:t>
      </w:r>
      <w:r>
        <w:rPr>
          <w:rFonts w:ascii="Calibri"/>
          <w:sz w:val="16"/>
        </w:rPr>
        <w:t>(2014).</w:t>
      </w:r>
      <w:r>
        <w:rPr>
          <w:rFonts w:ascii="Calibri"/>
          <w:spacing w:val="-3"/>
          <w:sz w:val="16"/>
        </w:rPr>
        <w:t> </w:t>
      </w:r>
      <w:r>
        <w:rPr>
          <w:rFonts w:ascii="Calibri"/>
          <w:sz w:val="16"/>
        </w:rPr>
        <w:t>2013</w:t>
      </w:r>
      <w:r>
        <w:rPr>
          <w:rFonts w:ascii="Calibri"/>
          <w:spacing w:val="-5"/>
          <w:sz w:val="16"/>
        </w:rPr>
        <w:t> </w:t>
      </w:r>
      <w:r>
        <w:rPr>
          <w:rFonts w:ascii="Calibri"/>
          <w:sz w:val="16"/>
        </w:rPr>
        <w:t>Caribbean</w:t>
      </w:r>
      <w:r>
        <w:rPr>
          <w:rFonts w:ascii="Calibri"/>
          <w:spacing w:val="-3"/>
          <w:sz w:val="16"/>
        </w:rPr>
        <w:t> </w:t>
      </w:r>
      <w:r>
        <w:rPr>
          <w:rFonts w:ascii="Calibri"/>
          <w:sz w:val="16"/>
        </w:rPr>
        <w:t>Hotel</w:t>
      </w:r>
      <w:r>
        <w:rPr>
          <w:rFonts w:ascii="Calibri"/>
          <w:spacing w:val="-3"/>
          <w:sz w:val="16"/>
        </w:rPr>
        <w:t> </w:t>
      </w:r>
      <w:r>
        <w:rPr>
          <w:rFonts w:ascii="Calibri"/>
          <w:sz w:val="16"/>
        </w:rPr>
        <w:t>Benchmarking</w:t>
      </w:r>
      <w:r>
        <w:rPr>
          <w:rFonts w:ascii="Calibri"/>
          <w:spacing w:val="-2"/>
          <w:sz w:val="16"/>
        </w:rPr>
        <w:t> </w:t>
      </w:r>
      <w:r>
        <w:rPr>
          <w:rFonts w:ascii="Calibri"/>
          <w:sz w:val="16"/>
        </w:rPr>
        <w:t>Survey.</w:t>
      </w:r>
    </w:p>
    <w:p>
      <w:pPr>
        <w:spacing w:after="0" w:line="247"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9"/>
        <w:jc w:val="both"/>
        <w:rPr>
          <w:sz w:val="12"/>
          <w:szCs w:val="12"/>
        </w:rPr>
      </w:pPr>
      <w:r>
        <w:rPr/>
        <w:t>shows that overall quality perception has the largest impact on overall satisfaction of tourists visiting Curaçao (Beta=0.444,</w:t>
      </w:r>
      <w:r>
        <w:rPr>
          <w:spacing w:val="-10"/>
        </w:rPr>
        <w:t> </w:t>
      </w:r>
      <w:r>
        <w:rPr/>
        <w:t>p&lt;0.01).</w:t>
      </w:r>
      <w:r>
        <w:rPr>
          <w:position w:val="5"/>
          <w:sz w:val="12"/>
        </w:rPr>
        <w:t>75</w:t>
      </w:r>
      <w:r>
        <w:rPr>
          <w:sz w:val="12"/>
        </w:rPr>
      </w:r>
    </w:p>
    <w:p>
      <w:pPr>
        <w:spacing w:line="240" w:lineRule="auto" w:before="11"/>
        <w:ind w:right="0"/>
        <w:rPr>
          <w:rFonts w:ascii="Calibri" w:hAnsi="Calibri" w:cs="Calibri" w:eastAsia="Calibri" w:hint="default"/>
          <w:sz w:val="19"/>
          <w:szCs w:val="19"/>
        </w:rPr>
      </w:pPr>
    </w:p>
    <w:p>
      <w:pPr>
        <w:pStyle w:val="BodyText"/>
        <w:spacing w:line="240" w:lineRule="auto"/>
        <w:ind w:right="1437"/>
        <w:jc w:val="both"/>
      </w:pPr>
      <w:r>
        <w:rPr/>
        <w:t>In order to deliver high-quality tourism experiences, greater attention must be paid to the quality of products and services which includes: sustainable development, superior work in tourism, and highly qualified management that is</w:t>
      </w:r>
      <w:r>
        <w:rPr>
          <w:spacing w:val="-8"/>
        </w:rPr>
        <w:t> </w:t>
      </w:r>
      <w:r>
        <w:rPr/>
        <w:t>capable</w:t>
      </w:r>
      <w:r>
        <w:rPr>
          <w:spacing w:val="-8"/>
        </w:rPr>
        <w:t> </w:t>
      </w:r>
      <w:r>
        <w:rPr/>
        <w:t>of</w:t>
      </w:r>
      <w:r>
        <w:rPr>
          <w:spacing w:val="-8"/>
        </w:rPr>
        <w:t> </w:t>
      </w:r>
      <w:r>
        <w:rPr/>
        <w:t>developing</w:t>
      </w:r>
      <w:r>
        <w:rPr>
          <w:spacing w:val="-6"/>
        </w:rPr>
        <w:t> </w:t>
      </w:r>
      <w:r>
        <w:rPr/>
        <w:t>the</w:t>
      </w:r>
      <w:r>
        <w:rPr>
          <w:spacing w:val="-7"/>
        </w:rPr>
        <w:t> </w:t>
      </w:r>
      <w:r>
        <w:rPr/>
        <w:t>human</w:t>
      </w:r>
      <w:r>
        <w:rPr>
          <w:spacing w:val="-6"/>
        </w:rPr>
        <w:t> </w:t>
      </w:r>
      <w:r>
        <w:rPr/>
        <w:t>capital</w:t>
      </w:r>
      <w:r>
        <w:rPr>
          <w:spacing w:val="-7"/>
        </w:rPr>
        <w:t> </w:t>
      </w:r>
      <w:r>
        <w:rPr/>
        <w:t>skills</w:t>
      </w:r>
      <w:r>
        <w:rPr>
          <w:spacing w:val="-8"/>
        </w:rPr>
        <w:t> </w:t>
      </w:r>
      <w:r>
        <w:rPr/>
        <w:t>that</w:t>
      </w:r>
      <w:r>
        <w:rPr>
          <w:spacing w:val="-6"/>
        </w:rPr>
        <w:t> </w:t>
      </w:r>
      <w:r>
        <w:rPr/>
        <w:t>will</w:t>
      </w:r>
      <w:r>
        <w:rPr>
          <w:spacing w:val="-7"/>
        </w:rPr>
        <w:t> </w:t>
      </w:r>
      <w:r>
        <w:rPr/>
        <w:t>satisfy</w:t>
      </w:r>
      <w:r>
        <w:rPr>
          <w:spacing w:val="-6"/>
        </w:rPr>
        <w:t> </w:t>
      </w:r>
      <w:r>
        <w:rPr/>
        <w:t>tourists.</w:t>
      </w:r>
      <w:r>
        <w:rPr>
          <w:spacing w:val="-7"/>
        </w:rPr>
        <w:t> </w:t>
      </w:r>
      <w:r>
        <w:rPr/>
        <w:t>Curaçao</w:t>
      </w:r>
      <w:r>
        <w:rPr>
          <w:spacing w:val="-6"/>
        </w:rPr>
        <w:t> </w:t>
      </w:r>
      <w:r>
        <w:rPr/>
        <w:t>must</w:t>
      </w:r>
      <w:r>
        <w:rPr>
          <w:spacing w:val="-6"/>
        </w:rPr>
        <w:t> </w:t>
      </w:r>
      <w:r>
        <w:rPr/>
        <w:t>see</w:t>
      </w:r>
      <w:r>
        <w:rPr>
          <w:spacing w:val="-5"/>
        </w:rPr>
        <w:t> </w:t>
      </w:r>
      <w:r>
        <w:rPr/>
        <w:t>an</w:t>
      </w:r>
      <w:r>
        <w:rPr>
          <w:spacing w:val="-6"/>
        </w:rPr>
        <w:t> </w:t>
      </w:r>
      <w:r>
        <w:rPr/>
        <w:t>aggressive</w:t>
      </w:r>
      <w:r>
        <w:rPr>
          <w:spacing w:val="-8"/>
        </w:rPr>
        <w:t> </w:t>
      </w:r>
      <w:r>
        <w:rPr/>
        <w:t>conversion </w:t>
      </w:r>
      <w:r>
        <w:rPr/>
        <w:t>from</w:t>
      </w:r>
      <w:r>
        <w:rPr>
          <w:spacing w:val="-10"/>
        </w:rPr>
        <w:t> </w:t>
      </w:r>
      <w:r>
        <w:rPr/>
        <w:t>the</w:t>
      </w:r>
      <w:r>
        <w:rPr>
          <w:spacing w:val="-8"/>
        </w:rPr>
        <w:t> </w:t>
      </w:r>
      <w:r>
        <w:rPr/>
        <w:t>status</w:t>
      </w:r>
      <w:r>
        <w:rPr>
          <w:spacing w:val="-10"/>
        </w:rPr>
        <w:t> </w:t>
      </w:r>
      <w:r>
        <w:rPr/>
        <w:t>quo</w:t>
      </w:r>
      <w:r>
        <w:rPr>
          <w:spacing w:val="-9"/>
        </w:rPr>
        <w:t> </w:t>
      </w:r>
      <w:r>
        <w:rPr/>
        <w:t>service</w:t>
      </w:r>
      <w:r>
        <w:rPr>
          <w:spacing w:val="-6"/>
        </w:rPr>
        <w:t> </w:t>
      </w:r>
      <w:r>
        <w:rPr/>
        <w:t>skills</w:t>
      </w:r>
      <w:r>
        <w:rPr>
          <w:spacing w:val="-11"/>
        </w:rPr>
        <w:t> </w:t>
      </w:r>
      <w:r>
        <w:rPr/>
        <w:t>and</w:t>
      </w:r>
      <w:r>
        <w:rPr>
          <w:spacing w:val="-9"/>
        </w:rPr>
        <w:t> </w:t>
      </w:r>
      <w:r>
        <w:rPr/>
        <w:t>attitudes</w:t>
      </w:r>
      <w:r>
        <w:rPr>
          <w:spacing w:val="-10"/>
        </w:rPr>
        <w:t> </w:t>
      </w:r>
      <w:r>
        <w:rPr/>
        <w:t>to</w:t>
      </w:r>
      <w:r>
        <w:rPr>
          <w:spacing w:val="-9"/>
        </w:rPr>
        <w:t> </w:t>
      </w:r>
      <w:r>
        <w:rPr/>
        <w:t>a</w:t>
      </w:r>
      <w:r>
        <w:rPr>
          <w:spacing w:val="-9"/>
        </w:rPr>
        <w:t> </w:t>
      </w:r>
      <w:r>
        <w:rPr/>
        <w:t>service-</w:t>
      </w:r>
      <w:r>
        <w:rPr>
          <w:spacing w:val="-10"/>
        </w:rPr>
        <w:t> </w:t>
      </w:r>
      <w:r>
        <w:rPr/>
        <w:t>based</w:t>
      </w:r>
      <w:r>
        <w:rPr>
          <w:spacing w:val="-9"/>
        </w:rPr>
        <w:t> </w:t>
      </w:r>
      <w:r>
        <w:rPr/>
        <w:t>industry</w:t>
      </w:r>
      <w:r>
        <w:rPr>
          <w:spacing w:val="-8"/>
        </w:rPr>
        <w:t> </w:t>
      </w:r>
      <w:r>
        <w:rPr/>
        <w:t>mindset.</w:t>
      </w:r>
      <w:r>
        <w:rPr>
          <w:spacing w:val="30"/>
        </w:rPr>
        <w:t> </w:t>
      </w:r>
      <w:r>
        <w:rPr/>
        <w:t>This</w:t>
      </w:r>
      <w:r>
        <w:rPr>
          <w:spacing w:val="-11"/>
        </w:rPr>
        <w:t> </w:t>
      </w:r>
      <w:r>
        <w:rPr/>
        <w:t>conversion</w:t>
      </w:r>
      <w:r>
        <w:rPr>
          <w:spacing w:val="-8"/>
        </w:rPr>
        <w:t> </w:t>
      </w:r>
      <w:r>
        <w:rPr/>
        <w:t>requires</w:t>
      </w:r>
      <w:r>
        <w:rPr>
          <w:spacing w:val="-10"/>
        </w:rPr>
        <w:t> </w:t>
      </w:r>
      <w:r>
        <w:rPr/>
        <w:t>a</w:t>
      </w:r>
      <w:r>
        <w:rPr>
          <w:spacing w:val="-9"/>
        </w:rPr>
        <w:t> </w:t>
      </w:r>
      <w:r>
        <w:rPr/>
        <w:t>rapid </w:t>
      </w:r>
      <w:r>
        <w:rPr/>
        <w:t>increase</w:t>
      </w:r>
      <w:r>
        <w:rPr>
          <w:spacing w:val="-3"/>
        </w:rPr>
        <w:t> </w:t>
      </w:r>
      <w:r>
        <w:rPr/>
        <w:t>in</w:t>
      </w:r>
      <w:r>
        <w:rPr>
          <w:spacing w:val="-2"/>
        </w:rPr>
        <w:t> </w:t>
      </w:r>
      <w:r>
        <w:rPr/>
        <w:t>the</w:t>
      </w:r>
      <w:r>
        <w:rPr>
          <w:spacing w:val="-3"/>
        </w:rPr>
        <w:t> </w:t>
      </w:r>
      <w:r>
        <w:rPr/>
        <w:t>amount</w:t>
      </w:r>
      <w:r>
        <w:rPr>
          <w:spacing w:val="-3"/>
        </w:rPr>
        <w:t> </w:t>
      </w:r>
      <w:r>
        <w:rPr/>
        <w:t>of</w:t>
      </w:r>
      <w:r>
        <w:rPr>
          <w:spacing w:val="-4"/>
        </w:rPr>
        <w:t> </w:t>
      </w:r>
      <w:r>
        <w:rPr/>
        <w:t>available</w:t>
      </w:r>
      <w:r>
        <w:rPr>
          <w:spacing w:val="-4"/>
        </w:rPr>
        <w:t> </w:t>
      </w:r>
      <w:r>
        <w:rPr/>
        <w:t>human</w:t>
      </w:r>
      <w:r>
        <w:rPr>
          <w:spacing w:val="-2"/>
        </w:rPr>
        <w:t> </w:t>
      </w:r>
      <w:r>
        <w:rPr/>
        <w:t>capital</w:t>
      </w:r>
      <w:r>
        <w:rPr>
          <w:spacing w:val="-3"/>
        </w:rPr>
        <w:t> </w:t>
      </w:r>
      <w:r>
        <w:rPr/>
        <w:t>with</w:t>
      </w:r>
      <w:r>
        <w:rPr>
          <w:spacing w:val="-3"/>
        </w:rPr>
        <w:t> </w:t>
      </w:r>
      <w:r>
        <w:rPr/>
        <w:t>the</w:t>
      </w:r>
      <w:r>
        <w:rPr>
          <w:spacing w:val="-3"/>
        </w:rPr>
        <w:t> </w:t>
      </w:r>
      <w:r>
        <w:rPr/>
        <w:t>right</w:t>
      </w:r>
      <w:r>
        <w:rPr>
          <w:spacing w:val="-3"/>
        </w:rPr>
        <w:t> </w:t>
      </w:r>
      <w:r>
        <w:rPr/>
        <w:t>types</w:t>
      </w:r>
      <w:r>
        <w:rPr>
          <w:spacing w:val="-4"/>
        </w:rPr>
        <w:t> </w:t>
      </w:r>
      <w:r>
        <w:rPr/>
        <w:t>of</w:t>
      </w:r>
      <w:r>
        <w:rPr>
          <w:spacing w:val="-4"/>
        </w:rPr>
        <w:t> </w:t>
      </w:r>
      <w:r>
        <w:rPr/>
        <w:t>skills.</w:t>
      </w:r>
    </w:p>
    <w:p>
      <w:pPr>
        <w:spacing w:line="240" w:lineRule="auto" w:before="1"/>
        <w:ind w:right="0"/>
        <w:rPr>
          <w:rFonts w:ascii="Calibri" w:hAnsi="Calibri" w:cs="Calibri" w:eastAsia="Calibri" w:hint="default"/>
          <w:sz w:val="20"/>
          <w:szCs w:val="20"/>
        </w:rPr>
      </w:pPr>
    </w:p>
    <w:p>
      <w:pPr>
        <w:pStyle w:val="BodyText"/>
        <w:spacing w:line="240" w:lineRule="auto"/>
        <w:ind w:right="1436"/>
        <w:jc w:val="both"/>
      </w:pPr>
      <w:r>
        <w:rPr/>
        <w:t>Developing the readily available human capital is directly associated with configuring a positive attitude amongst tourism</w:t>
      </w:r>
      <w:r>
        <w:rPr>
          <w:spacing w:val="-11"/>
        </w:rPr>
        <w:t> </w:t>
      </w:r>
      <w:r>
        <w:rPr/>
        <w:t>employees,</w:t>
      </w:r>
      <w:r>
        <w:rPr>
          <w:spacing w:val="-9"/>
        </w:rPr>
        <w:t> </w:t>
      </w:r>
      <w:r>
        <w:rPr/>
        <w:t>increasing</w:t>
      </w:r>
      <w:r>
        <w:rPr>
          <w:spacing w:val="-13"/>
        </w:rPr>
        <w:t> </w:t>
      </w:r>
      <w:r>
        <w:rPr/>
        <w:t>the</w:t>
      </w:r>
      <w:r>
        <w:rPr>
          <w:spacing w:val="-13"/>
        </w:rPr>
        <w:t> </w:t>
      </w:r>
      <w:r>
        <w:rPr/>
        <w:t>manpower</w:t>
      </w:r>
      <w:r>
        <w:rPr>
          <w:spacing w:val="-13"/>
        </w:rPr>
        <w:t> </w:t>
      </w:r>
      <w:r>
        <w:rPr/>
        <w:t>in</w:t>
      </w:r>
      <w:r>
        <w:rPr>
          <w:spacing w:val="-12"/>
        </w:rPr>
        <w:t> </w:t>
      </w:r>
      <w:r>
        <w:rPr/>
        <w:t>the</w:t>
      </w:r>
      <w:r>
        <w:rPr>
          <w:spacing w:val="-13"/>
        </w:rPr>
        <w:t> </w:t>
      </w:r>
      <w:r>
        <w:rPr/>
        <w:t>industry,</w:t>
      </w:r>
      <w:r>
        <w:rPr>
          <w:spacing w:val="-12"/>
        </w:rPr>
        <w:t> </w:t>
      </w:r>
      <w:r>
        <w:rPr/>
        <w:t>improving</w:t>
      </w:r>
      <w:r>
        <w:rPr>
          <w:spacing w:val="-13"/>
        </w:rPr>
        <w:t> </w:t>
      </w:r>
      <w:r>
        <w:rPr/>
        <w:t>negotiation</w:t>
      </w:r>
      <w:r>
        <w:rPr>
          <w:spacing w:val="-12"/>
        </w:rPr>
        <w:t> </w:t>
      </w:r>
      <w:r>
        <w:rPr/>
        <w:t>skills,</w:t>
      </w:r>
      <w:r>
        <w:rPr>
          <w:spacing w:val="-10"/>
        </w:rPr>
        <w:t> </w:t>
      </w:r>
      <w:r>
        <w:rPr/>
        <w:t>enhancing</w:t>
      </w:r>
      <w:r>
        <w:rPr>
          <w:spacing w:val="-6"/>
        </w:rPr>
        <w:t> </w:t>
      </w:r>
      <w:r>
        <w:rPr/>
        <w:t>technical</w:t>
      </w:r>
      <w:r>
        <w:rPr>
          <w:spacing w:val="-11"/>
        </w:rPr>
        <w:t> </w:t>
      </w:r>
      <w:r>
        <w:rPr/>
        <w:t>skills, </w:t>
      </w:r>
      <w:r>
        <w:rPr/>
        <w:t>and</w:t>
      </w:r>
      <w:r>
        <w:rPr>
          <w:spacing w:val="-10"/>
        </w:rPr>
        <w:t> </w:t>
      </w:r>
      <w:r>
        <w:rPr/>
        <w:t>increasing</w:t>
      </w:r>
      <w:r>
        <w:rPr>
          <w:spacing w:val="-10"/>
        </w:rPr>
        <w:t> </w:t>
      </w:r>
      <w:r>
        <w:rPr/>
        <w:t>work</w:t>
      </w:r>
      <w:r>
        <w:rPr>
          <w:spacing w:val="-10"/>
        </w:rPr>
        <w:t> </w:t>
      </w:r>
      <w:r>
        <w:rPr/>
        <w:t>effectiveness.</w:t>
      </w:r>
      <w:r>
        <w:rPr>
          <w:spacing w:val="-8"/>
        </w:rPr>
        <w:t> </w:t>
      </w:r>
      <w:r>
        <w:rPr/>
        <w:t>Education</w:t>
      </w:r>
      <w:r>
        <w:rPr>
          <w:spacing w:val="-9"/>
        </w:rPr>
        <w:t> </w:t>
      </w:r>
      <w:r>
        <w:rPr/>
        <w:t>and</w:t>
      </w:r>
      <w:r>
        <w:rPr>
          <w:spacing w:val="-10"/>
        </w:rPr>
        <w:t> </w:t>
      </w:r>
      <w:r>
        <w:rPr/>
        <w:t>training</w:t>
      </w:r>
      <w:r>
        <w:rPr>
          <w:spacing w:val="-9"/>
        </w:rPr>
        <w:t> </w:t>
      </w:r>
      <w:r>
        <w:rPr/>
        <w:t>are</w:t>
      </w:r>
      <w:r>
        <w:rPr>
          <w:spacing w:val="-11"/>
        </w:rPr>
        <w:t> </w:t>
      </w:r>
      <w:r>
        <w:rPr/>
        <w:t>at</w:t>
      </w:r>
      <w:r>
        <w:rPr>
          <w:spacing w:val="-9"/>
        </w:rPr>
        <w:t> </w:t>
      </w:r>
      <w:r>
        <w:rPr/>
        <w:t>the</w:t>
      </w:r>
      <w:r>
        <w:rPr>
          <w:spacing w:val="-11"/>
        </w:rPr>
        <w:t> </w:t>
      </w:r>
      <w:r>
        <w:rPr/>
        <w:t>core</w:t>
      </w:r>
      <w:r>
        <w:rPr>
          <w:spacing w:val="-11"/>
        </w:rPr>
        <w:t> </w:t>
      </w:r>
      <w:r>
        <w:rPr/>
        <w:t>of</w:t>
      </w:r>
      <w:r>
        <w:rPr>
          <w:spacing w:val="-11"/>
        </w:rPr>
        <w:t> </w:t>
      </w:r>
      <w:r>
        <w:rPr/>
        <w:t>accomplishing</w:t>
      </w:r>
      <w:r>
        <w:rPr>
          <w:spacing w:val="-8"/>
        </w:rPr>
        <w:t> </w:t>
      </w:r>
      <w:r>
        <w:rPr/>
        <w:t>these</w:t>
      </w:r>
      <w:r>
        <w:rPr>
          <w:spacing w:val="-11"/>
        </w:rPr>
        <w:t> </w:t>
      </w:r>
      <w:r>
        <w:rPr/>
        <w:t>objectives.</w:t>
      </w:r>
      <w:r>
        <w:rPr>
          <w:spacing w:val="27"/>
        </w:rPr>
        <w:t> </w:t>
      </w:r>
      <w:r>
        <w:rPr/>
        <w:t>In</w:t>
      </w:r>
      <w:r>
        <w:rPr>
          <w:spacing w:val="-9"/>
        </w:rPr>
        <w:t> </w:t>
      </w:r>
      <w:r>
        <w:rPr/>
        <w:t>order </w:t>
      </w:r>
      <w:r>
        <w:rPr/>
        <w:t>for Curaçao to create real value, businesses are advised to leverage human capital by developing large numbers of employees into better-educated workers who will be able to create more high-value-added products and services at low costs. However, it is important for managers to realize that it may be difficult to recruit and retain qualified staff in Curaçao, thus resulting in high search costs for employers and</w:t>
      </w:r>
      <w:r>
        <w:rPr>
          <w:spacing w:val="-28"/>
        </w:rPr>
        <w:t> </w:t>
      </w:r>
      <w:r>
        <w:rPr/>
        <w:t>employees.</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t>In order to achieve the quality and quantity of human resources needed, it is imperative that the Human Resources Infrastructure</w:t>
      </w:r>
      <w:r>
        <w:rPr>
          <w:spacing w:val="-8"/>
        </w:rPr>
        <w:t> </w:t>
      </w:r>
      <w:r>
        <w:rPr/>
        <w:t>System</w:t>
      </w:r>
      <w:r>
        <w:rPr>
          <w:spacing w:val="-8"/>
        </w:rPr>
        <w:t> </w:t>
      </w:r>
      <w:r>
        <w:rPr/>
        <w:t>be</w:t>
      </w:r>
      <w:r>
        <w:rPr>
          <w:spacing w:val="-8"/>
        </w:rPr>
        <w:t> </w:t>
      </w:r>
      <w:r>
        <w:rPr/>
        <w:t>reinstated.</w:t>
      </w:r>
      <w:r>
        <w:rPr>
          <w:spacing w:val="32"/>
        </w:rPr>
        <w:t> </w:t>
      </w:r>
      <w:r>
        <w:rPr/>
        <w:t>This</w:t>
      </w:r>
      <w:r>
        <w:rPr>
          <w:spacing w:val="-8"/>
        </w:rPr>
        <w:t> </w:t>
      </w:r>
      <w:r>
        <w:rPr/>
        <w:t>system</w:t>
      </w:r>
      <w:r>
        <w:rPr>
          <w:spacing w:val="-6"/>
        </w:rPr>
        <w:t> </w:t>
      </w:r>
      <w:r>
        <w:rPr/>
        <w:t>was</w:t>
      </w:r>
      <w:r>
        <w:rPr>
          <w:spacing w:val="-7"/>
        </w:rPr>
        <w:t> </w:t>
      </w:r>
      <w:r>
        <w:rPr/>
        <w:t>intended</w:t>
      </w:r>
      <w:r>
        <w:rPr>
          <w:spacing w:val="-7"/>
        </w:rPr>
        <w:t> </w:t>
      </w:r>
      <w:r>
        <w:rPr/>
        <w:t>to</w:t>
      </w:r>
      <w:r>
        <w:rPr>
          <w:spacing w:val="-7"/>
        </w:rPr>
        <w:t> </w:t>
      </w:r>
      <w:r>
        <w:rPr/>
        <w:t>list</w:t>
      </w:r>
      <w:r>
        <w:rPr>
          <w:spacing w:val="-7"/>
        </w:rPr>
        <w:t> </w:t>
      </w:r>
      <w:r>
        <w:rPr/>
        <w:t>job</w:t>
      </w:r>
      <w:r>
        <w:rPr>
          <w:spacing w:val="-7"/>
        </w:rPr>
        <w:t> </w:t>
      </w:r>
      <w:r>
        <w:rPr/>
        <w:t>openings</w:t>
      </w:r>
      <w:r>
        <w:rPr>
          <w:spacing w:val="-8"/>
        </w:rPr>
        <w:t> </w:t>
      </w:r>
      <w:r>
        <w:rPr/>
        <w:t>that</w:t>
      </w:r>
      <w:r>
        <w:rPr>
          <w:spacing w:val="-7"/>
        </w:rPr>
        <w:t> </w:t>
      </w:r>
      <w:r>
        <w:rPr/>
        <w:t>were</w:t>
      </w:r>
      <w:r>
        <w:rPr>
          <w:spacing w:val="-8"/>
        </w:rPr>
        <w:t> </w:t>
      </w:r>
      <w:r>
        <w:rPr/>
        <w:t>available</w:t>
      </w:r>
      <w:r>
        <w:rPr>
          <w:spacing w:val="-8"/>
        </w:rPr>
        <w:t> </w:t>
      </w:r>
      <w:r>
        <w:rPr/>
        <w:t>on</w:t>
      </w:r>
      <w:r>
        <w:rPr>
          <w:spacing w:val="-7"/>
        </w:rPr>
        <w:t> </w:t>
      </w:r>
      <w:r>
        <w:rPr/>
        <w:t>the</w:t>
      </w:r>
      <w:r>
        <w:rPr>
          <w:spacing w:val="-8"/>
        </w:rPr>
        <w:t> </w:t>
      </w:r>
      <w:r>
        <w:rPr/>
        <w:t>island. </w:t>
      </w:r>
      <w:r>
        <w:rPr/>
        <w:t>However, to the best of knowledge, the system has failed. In order for tourism and hospitality businesses to reduce the costs involved in recruiting qualified individuals, and for potential employees to locate viable job opportunities, a databank that includes all available tourism jobs on the island must be</w:t>
      </w:r>
      <w:r>
        <w:rPr>
          <w:spacing w:val="-25"/>
        </w:rPr>
        <w:t> </w:t>
      </w:r>
      <w:r>
        <w:rPr/>
        <w:t>created.</w:t>
      </w:r>
    </w:p>
    <w:p>
      <w:pPr>
        <w:spacing w:line="240" w:lineRule="auto" w:before="1"/>
        <w:ind w:right="0"/>
        <w:rPr>
          <w:rFonts w:ascii="Calibri" w:hAnsi="Calibri" w:cs="Calibri" w:eastAsia="Calibri" w:hint="default"/>
          <w:sz w:val="20"/>
          <w:szCs w:val="20"/>
        </w:rPr>
      </w:pPr>
    </w:p>
    <w:p>
      <w:pPr>
        <w:pStyle w:val="BodyText"/>
        <w:spacing w:line="240" w:lineRule="auto"/>
        <w:ind w:right="1436"/>
        <w:jc w:val="both"/>
      </w:pPr>
      <w:r>
        <w:rPr/>
        <w:t>One of the primary challenges related to human resource development in </w:t>
      </w:r>
      <w:r>
        <w:rPr>
          <w:spacing w:val="2"/>
        </w:rPr>
        <w:t>the </w:t>
      </w:r>
      <w:r>
        <w:rPr/>
        <w:t>hospitality and tourism industry is </w:t>
      </w:r>
      <w:r>
        <w:rPr/>
        <w:t>how to forecast the future skills required to meet the changing needs and preferences of tourists and the sector. In order to meet these changing needs, it is necessary for Curaçao to embrace a human resource manpower program that</w:t>
      </w:r>
      <w:r>
        <w:rPr>
          <w:spacing w:val="-14"/>
        </w:rPr>
        <w:t> </w:t>
      </w:r>
      <w:r>
        <w:rPr/>
        <w:t>is</w:t>
      </w:r>
      <w:r>
        <w:rPr>
          <w:spacing w:val="-16"/>
        </w:rPr>
        <w:t> </w:t>
      </w:r>
      <w:r>
        <w:rPr/>
        <w:t>specifically</w:t>
      </w:r>
      <w:r>
        <w:rPr>
          <w:spacing w:val="-14"/>
        </w:rPr>
        <w:t> </w:t>
      </w:r>
      <w:r>
        <w:rPr/>
        <w:t>designed</w:t>
      </w:r>
      <w:r>
        <w:rPr>
          <w:spacing w:val="-13"/>
        </w:rPr>
        <w:t> </w:t>
      </w:r>
      <w:r>
        <w:rPr/>
        <w:t>for</w:t>
      </w:r>
      <w:r>
        <w:rPr>
          <w:spacing w:val="-13"/>
        </w:rPr>
        <w:t> </w:t>
      </w:r>
      <w:r>
        <w:rPr/>
        <w:t>the</w:t>
      </w:r>
      <w:r>
        <w:rPr>
          <w:spacing w:val="-14"/>
        </w:rPr>
        <w:t> </w:t>
      </w:r>
      <w:r>
        <w:rPr/>
        <w:t>tourism</w:t>
      </w:r>
      <w:r>
        <w:rPr>
          <w:spacing w:val="-14"/>
        </w:rPr>
        <w:t> </w:t>
      </w:r>
      <w:r>
        <w:rPr/>
        <w:t>sector.</w:t>
      </w:r>
      <w:r>
        <w:rPr>
          <w:spacing w:val="19"/>
        </w:rPr>
        <w:t> </w:t>
      </w:r>
      <w:r>
        <w:rPr/>
        <w:t>This</w:t>
      </w:r>
      <w:r>
        <w:rPr>
          <w:spacing w:val="-16"/>
        </w:rPr>
        <w:t> </w:t>
      </w:r>
      <w:r>
        <w:rPr/>
        <w:t>program</w:t>
      </w:r>
      <w:r>
        <w:rPr>
          <w:spacing w:val="-15"/>
        </w:rPr>
        <w:t> </w:t>
      </w:r>
      <w:r>
        <w:rPr/>
        <w:t>should</w:t>
      </w:r>
      <w:r>
        <w:rPr>
          <w:spacing w:val="-13"/>
        </w:rPr>
        <w:t> </w:t>
      </w:r>
      <w:r>
        <w:rPr/>
        <w:t>identify</w:t>
      </w:r>
      <w:r>
        <w:rPr>
          <w:spacing w:val="-12"/>
        </w:rPr>
        <w:t> </w:t>
      </w:r>
      <w:r>
        <w:rPr/>
        <w:t>employment</w:t>
      </w:r>
      <w:r>
        <w:rPr>
          <w:spacing w:val="-15"/>
        </w:rPr>
        <w:t> </w:t>
      </w:r>
      <w:r>
        <w:rPr/>
        <w:t>opportunities,</w:t>
      </w:r>
      <w:r>
        <w:rPr>
          <w:spacing w:val="-15"/>
        </w:rPr>
        <w:t> </w:t>
      </w:r>
      <w:r>
        <w:rPr/>
        <w:t>required </w:t>
      </w:r>
      <w:r>
        <w:rPr/>
        <w:t>skills, and the talents necessary to move the industry forward. It is important to incorporate within this program a creative detection mechanism that would match the needs of the industry with the skillset of the employees. Collaboration between academia (university), the industry, and the government are all necessary to support this program.</w:t>
      </w:r>
    </w:p>
    <w:p>
      <w:pPr>
        <w:spacing w:line="240" w:lineRule="auto" w:before="11"/>
        <w:ind w:right="0"/>
        <w:rPr>
          <w:rFonts w:ascii="Calibri" w:hAnsi="Calibri" w:cs="Calibri" w:eastAsia="Calibri" w:hint="default"/>
          <w:sz w:val="19"/>
          <w:szCs w:val="19"/>
        </w:rPr>
      </w:pPr>
    </w:p>
    <w:p>
      <w:pPr>
        <w:pStyle w:val="BodyText"/>
        <w:spacing w:line="240" w:lineRule="auto"/>
        <w:ind w:right="1436"/>
        <w:jc w:val="both"/>
      </w:pPr>
      <w:r>
        <w:rPr/>
        <w:t>The DPITS recommends that the CTB implement an investigation on the career opportunities available in the industry, as well as tourism </w:t>
      </w:r>
      <w:r>
        <w:rPr>
          <w:rFonts w:ascii="Calibri" w:hAnsi="Calibri" w:cs="Calibri" w:eastAsia="Calibri" w:hint="default"/>
        </w:rPr>
        <w:t>employees’ compensation and benefits</w:t>
      </w:r>
      <w:r>
        <w:rPr/>
        <w:t>. The information should then be shared with the</w:t>
      </w:r>
      <w:r>
        <w:rPr>
          <w:spacing w:val="-12"/>
        </w:rPr>
        <w:t> </w:t>
      </w:r>
      <w:r>
        <w:rPr/>
        <w:t>public</w:t>
      </w:r>
      <w:r>
        <w:rPr>
          <w:spacing w:val="-12"/>
        </w:rPr>
        <w:t> </w:t>
      </w:r>
      <w:r>
        <w:rPr/>
        <w:t>at</w:t>
      </w:r>
      <w:r>
        <w:rPr>
          <w:spacing w:val="-11"/>
        </w:rPr>
        <w:t> </w:t>
      </w:r>
      <w:r>
        <w:rPr/>
        <w:t>large.</w:t>
      </w:r>
      <w:r>
        <w:rPr>
          <w:spacing w:val="22"/>
        </w:rPr>
        <w:t> </w:t>
      </w:r>
      <w:r>
        <w:rPr/>
        <w:t>If</w:t>
      </w:r>
      <w:r>
        <w:rPr>
          <w:spacing w:val="-12"/>
        </w:rPr>
        <w:t> </w:t>
      </w:r>
      <w:r>
        <w:rPr/>
        <w:t>the</w:t>
      </w:r>
      <w:r>
        <w:rPr>
          <w:spacing w:val="-12"/>
        </w:rPr>
        <w:t> </w:t>
      </w:r>
      <w:r>
        <w:rPr/>
        <w:t>data</w:t>
      </w:r>
      <w:r>
        <w:rPr>
          <w:spacing w:val="-13"/>
        </w:rPr>
        <w:t> </w:t>
      </w:r>
      <w:r>
        <w:rPr/>
        <w:t>reveals</w:t>
      </w:r>
      <w:r>
        <w:rPr>
          <w:spacing w:val="-12"/>
        </w:rPr>
        <w:t> </w:t>
      </w:r>
      <w:r>
        <w:rPr/>
        <w:t>that</w:t>
      </w:r>
      <w:r>
        <w:rPr>
          <w:spacing w:val="-11"/>
        </w:rPr>
        <w:t> </w:t>
      </w:r>
      <w:r>
        <w:rPr/>
        <w:t>the</w:t>
      </w:r>
      <w:r>
        <w:rPr>
          <w:spacing w:val="-12"/>
        </w:rPr>
        <w:t> </w:t>
      </w:r>
      <w:r>
        <w:rPr/>
        <w:t>industry</w:t>
      </w:r>
      <w:r>
        <w:rPr>
          <w:spacing w:val="-10"/>
        </w:rPr>
        <w:t> </w:t>
      </w:r>
      <w:r>
        <w:rPr/>
        <w:t>does</w:t>
      </w:r>
      <w:r>
        <w:rPr>
          <w:spacing w:val="-15"/>
        </w:rPr>
        <w:t> </w:t>
      </w:r>
      <w:r>
        <w:rPr/>
        <w:t>not</w:t>
      </w:r>
      <w:r>
        <w:rPr>
          <w:spacing w:val="-11"/>
        </w:rPr>
        <w:t> </w:t>
      </w:r>
      <w:r>
        <w:rPr/>
        <w:t>bolster</w:t>
      </w:r>
      <w:r>
        <w:rPr>
          <w:spacing w:val="-12"/>
        </w:rPr>
        <w:t> </w:t>
      </w:r>
      <w:r>
        <w:rPr/>
        <w:t>adequate</w:t>
      </w:r>
      <w:r>
        <w:rPr>
          <w:spacing w:val="-12"/>
        </w:rPr>
        <w:t> </w:t>
      </w:r>
      <w:r>
        <w:rPr/>
        <w:t>compensation</w:t>
      </w:r>
      <w:r>
        <w:rPr>
          <w:spacing w:val="-11"/>
        </w:rPr>
        <w:t> </w:t>
      </w:r>
      <w:r>
        <w:rPr/>
        <w:t>and</w:t>
      </w:r>
      <w:r>
        <w:rPr>
          <w:spacing w:val="-11"/>
        </w:rPr>
        <w:t> </w:t>
      </w:r>
      <w:r>
        <w:rPr/>
        <w:t>benefits</w:t>
      </w:r>
      <w:r>
        <w:rPr>
          <w:spacing w:val="-13"/>
        </w:rPr>
        <w:t> </w:t>
      </w:r>
      <w:r>
        <w:rPr/>
        <w:t>worthy </w:t>
      </w:r>
      <w:r>
        <w:rPr/>
        <w:t>of talented individuals, the industry will not prevail. A survey on compensation, benefits, and employment opportunities</w:t>
      </w:r>
      <w:r>
        <w:rPr>
          <w:spacing w:val="-4"/>
        </w:rPr>
        <w:t> </w:t>
      </w:r>
      <w:r>
        <w:rPr/>
        <w:t>should</w:t>
      </w:r>
      <w:r>
        <w:rPr>
          <w:spacing w:val="-4"/>
        </w:rPr>
        <w:t> </w:t>
      </w:r>
      <w:r>
        <w:rPr/>
        <w:t>be</w:t>
      </w:r>
      <w:r>
        <w:rPr>
          <w:spacing w:val="-5"/>
        </w:rPr>
        <w:t> </w:t>
      </w:r>
      <w:r>
        <w:rPr/>
        <w:t>done</w:t>
      </w:r>
      <w:r>
        <w:rPr>
          <w:spacing w:val="-4"/>
        </w:rPr>
        <w:t> </w:t>
      </w:r>
      <w:r>
        <w:rPr/>
        <w:t>annually</w:t>
      </w:r>
      <w:r>
        <w:rPr>
          <w:spacing w:val="-2"/>
        </w:rPr>
        <w:t> </w:t>
      </w:r>
      <w:r>
        <w:rPr/>
        <w:t>in</w:t>
      </w:r>
      <w:r>
        <w:rPr>
          <w:spacing w:val="-4"/>
        </w:rPr>
        <w:t> </w:t>
      </w:r>
      <w:r>
        <w:rPr/>
        <w:t>order</w:t>
      </w:r>
      <w:r>
        <w:rPr>
          <w:spacing w:val="-4"/>
        </w:rPr>
        <w:t> </w:t>
      </w:r>
      <w:r>
        <w:rPr/>
        <w:t>to</w:t>
      </w:r>
      <w:r>
        <w:rPr>
          <w:spacing w:val="-4"/>
        </w:rPr>
        <w:t> </w:t>
      </w:r>
      <w:r>
        <w:rPr/>
        <w:t>create</w:t>
      </w:r>
      <w:r>
        <w:rPr>
          <w:spacing w:val="-5"/>
        </w:rPr>
        <w:t> </w:t>
      </w:r>
      <w:r>
        <w:rPr/>
        <w:t>a</w:t>
      </w:r>
      <w:r>
        <w:rPr>
          <w:spacing w:val="-4"/>
        </w:rPr>
        <w:t> </w:t>
      </w:r>
      <w:r>
        <w:rPr/>
        <w:t>strong</w:t>
      </w:r>
      <w:r>
        <w:rPr>
          <w:spacing w:val="-5"/>
        </w:rPr>
        <w:t> </w:t>
      </w:r>
      <w:r>
        <w:rPr/>
        <w:t>data</w:t>
      </w:r>
      <w:r>
        <w:rPr>
          <w:spacing w:val="-4"/>
        </w:rPr>
        <w:t> </w:t>
      </w:r>
      <w:r>
        <w:rPr/>
        <w:t>bank</w:t>
      </w:r>
      <w:r>
        <w:rPr>
          <w:spacing w:val="-6"/>
        </w:rPr>
        <w:t> </w:t>
      </w:r>
      <w:r>
        <w:rPr/>
        <w:t>that</w:t>
      </w:r>
      <w:r>
        <w:rPr>
          <w:spacing w:val="-4"/>
        </w:rPr>
        <w:t> </w:t>
      </w:r>
      <w:r>
        <w:rPr/>
        <w:t>can</w:t>
      </w:r>
      <w:r>
        <w:rPr>
          <w:spacing w:val="-3"/>
        </w:rPr>
        <w:t> </w:t>
      </w:r>
      <w:r>
        <w:rPr/>
        <w:t>guide</w:t>
      </w:r>
      <w:r>
        <w:rPr>
          <w:spacing w:val="-5"/>
        </w:rPr>
        <w:t> </w:t>
      </w:r>
      <w:r>
        <w:rPr/>
        <w:t>employers</w:t>
      </w:r>
      <w:r>
        <w:rPr>
          <w:spacing w:val="-5"/>
        </w:rPr>
        <w:t> </w:t>
      </w:r>
      <w:r>
        <w:rPr/>
        <w:t>and</w:t>
      </w:r>
      <w:r>
        <w:rPr>
          <w:spacing w:val="-4"/>
        </w:rPr>
        <w:t> </w:t>
      </w:r>
      <w:r>
        <w:rPr/>
        <w:t>potential </w:t>
      </w:r>
      <w:r>
        <w:rPr/>
        <w:t>employees in the hospitality industry. The annual survey can shed light on </w:t>
      </w:r>
      <w:r>
        <w:rPr>
          <w:rFonts w:ascii="Calibri" w:hAnsi="Calibri" w:cs="Calibri" w:eastAsia="Calibri" w:hint="default"/>
        </w:rPr>
        <w:t>the industry’s </w:t>
      </w:r>
      <w:r>
        <w:rPr/>
        <w:t>wages and salaries, employee benefits packages, pay increases, and merit and incentive plans, as well as corresponding performance measures, and recruiting</w:t>
      </w:r>
      <w:r>
        <w:rPr>
          <w:spacing w:val="-14"/>
        </w:rPr>
        <w:t> </w:t>
      </w:r>
      <w:r>
        <w:rPr/>
        <w:t>sources.</w:t>
      </w:r>
    </w:p>
    <w:p>
      <w:pPr>
        <w:spacing w:line="240" w:lineRule="auto" w:before="1"/>
        <w:ind w:right="0"/>
        <w:rPr>
          <w:rFonts w:ascii="Calibri" w:hAnsi="Calibri" w:cs="Calibri" w:eastAsia="Calibri" w:hint="default"/>
          <w:sz w:val="20"/>
          <w:szCs w:val="20"/>
        </w:rPr>
      </w:pPr>
    </w:p>
    <w:p>
      <w:pPr>
        <w:pStyle w:val="BodyText"/>
        <w:spacing w:line="240" w:lineRule="auto"/>
        <w:ind w:right="1437"/>
        <w:jc w:val="both"/>
      </w:pPr>
      <w:r>
        <w:rPr/>
        <w:t>The</w:t>
      </w:r>
      <w:r>
        <w:rPr>
          <w:spacing w:val="-9"/>
        </w:rPr>
        <w:t> </w:t>
      </w:r>
      <w:r>
        <w:rPr/>
        <w:t>degree</w:t>
      </w:r>
      <w:r>
        <w:rPr>
          <w:spacing w:val="-9"/>
        </w:rPr>
        <w:t> </w:t>
      </w:r>
      <w:r>
        <w:rPr/>
        <w:t>to</w:t>
      </w:r>
      <w:r>
        <w:rPr>
          <w:spacing w:val="-7"/>
        </w:rPr>
        <w:t> </w:t>
      </w:r>
      <w:r>
        <w:rPr/>
        <w:t>which</w:t>
      </w:r>
      <w:r>
        <w:rPr>
          <w:spacing w:val="-7"/>
        </w:rPr>
        <w:t> </w:t>
      </w:r>
      <w:r>
        <w:rPr/>
        <w:t>tourism</w:t>
      </w:r>
      <w:r>
        <w:rPr>
          <w:spacing w:val="-8"/>
        </w:rPr>
        <w:t> </w:t>
      </w:r>
      <w:r>
        <w:rPr/>
        <w:t>businesses</w:t>
      </w:r>
      <w:r>
        <w:rPr>
          <w:spacing w:val="-9"/>
        </w:rPr>
        <w:t> </w:t>
      </w:r>
      <w:r>
        <w:rPr/>
        <w:t>invest</w:t>
      </w:r>
      <w:r>
        <w:rPr>
          <w:spacing w:val="-7"/>
        </w:rPr>
        <w:t> </w:t>
      </w:r>
      <w:r>
        <w:rPr/>
        <w:t>in</w:t>
      </w:r>
      <w:r>
        <w:rPr>
          <w:spacing w:val="-7"/>
        </w:rPr>
        <w:t> </w:t>
      </w:r>
      <w:r>
        <w:rPr/>
        <w:t>employee</w:t>
      </w:r>
      <w:r>
        <w:rPr>
          <w:spacing w:val="-5"/>
        </w:rPr>
        <w:t> </w:t>
      </w:r>
      <w:r>
        <w:rPr/>
        <w:t>training</w:t>
      </w:r>
      <w:r>
        <w:rPr>
          <w:spacing w:val="-8"/>
        </w:rPr>
        <w:t> </w:t>
      </w:r>
      <w:r>
        <w:rPr/>
        <w:t>and</w:t>
      </w:r>
      <w:r>
        <w:rPr>
          <w:spacing w:val="-10"/>
        </w:rPr>
        <w:t> </w:t>
      </w:r>
      <w:r>
        <w:rPr/>
        <w:t>development</w:t>
      </w:r>
      <w:r>
        <w:rPr>
          <w:spacing w:val="-5"/>
        </w:rPr>
        <w:t> </w:t>
      </w:r>
      <w:r>
        <w:rPr/>
        <w:t>will</w:t>
      </w:r>
      <w:r>
        <w:rPr>
          <w:spacing w:val="-8"/>
        </w:rPr>
        <w:t> </w:t>
      </w:r>
      <w:r>
        <w:rPr/>
        <w:t>significantly</w:t>
      </w:r>
      <w:r>
        <w:rPr>
          <w:spacing w:val="-7"/>
        </w:rPr>
        <w:t> </w:t>
      </w:r>
      <w:r>
        <w:rPr/>
        <w:t>influence</w:t>
      </w:r>
      <w:r>
        <w:rPr>
          <w:spacing w:val="-7"/>
        </w:rPr>
        <w:t> </w:t>
      </w:r>
      <w:r>
        <w:rPr/>
        <w:t>the </w:t>
      </w:r>
      <w:r>
        <w:rPr/>
      </w:r>
      <w:r>
        <w:rPr>
          <w:rFonts w:ascii="Calibri" w:hAnsi="Calibri" w:cs="Calibri" w:eastAsia="Calibri" w:hint="default"/>
        </w:rPr>
        <w:t>businesses’ long</w:t>
      </w:r>
      <w:r>
        <w:rPr/>
        <w:t>-term economic impact. Because the hospitality industry in Curaçao consists of multiple small businesses,</w:t>
      </w:r>
      <w:r>
        <w:rPr>
          <w:spacing w:val="-10"/>
        </w:rPr>
        <w:t> </w:t>
      </w:r>
      <w:r>
        <w:rPr/>
        <w:t>and</w:t>
      </w:r>
      <w:r>
        <w:rPr>
          <w:spacing w:val="-9"/>
        </w:rPr>
        <w:t> </w:t>
      </w:r>
      <w:r>
        <w:rPr/>
        <w:t>in</w:t>
      </w:r>
      <w:r>
        <w:rPr>
          <w:spacing w:val="-10"/>
        </w:rPr>
        <w:t> </w:t>
      </w:r>
      <w:r>
        <w:rPr/>
        <w:t>order</w:t>
      </w:r>
      <w:r>
        <w:rPr>
          <w:spacing w:val="-10"/>
        </w:rPr>
        <w:t> </w:t>
      </w:r>
      <w:r>
        <w:rPr/>
        <w:t>to</w:t>
      </w:r>
      <w:r>
        <w:rPr>
          <w:spacing w:val="-10"/>
        </w:rPr>
        <w:t> </w:t>
      </w:r>
      <w:r>
        <w:rPr/>
        <w:t>make</w:t>
      </w:r>
      <w:r>
        <w:rPr>
          <w:spacing w:val="-11"/>
        </w:rPr>
        <w:t> </w:t>
      </w:r>
      <w:r>
        <w:rPr/>
        <w:t>training</w:t>
      </w:r>
      <w:r>
        <w:rPr>
          <w:spacing w:val="-10"/>
        </w:rPr>
        <w:t> </w:t>
      </w:r>
      <w:r>
        <w:rPr/>
        <w:t>costs</w:t>
      </w:r>
      <w:r>
        <w:rPr>
          <w:spacing w:val="-8"/>
        </w:rPr>
        <w:t> </w:t>
      </w:r>
      <w:r>
        <w:rPr/>
        <w:t>more</w:t>
      </w:r>
      <w:r>
        <w:rPr>
          <w:spacing w:val="-11"/>
        </w:rPr>
        <w:t> </w:t>
      </w:r>
      <w:r>
        <w:rPr/>
        <w:t>affordable,</w:t>
      </w:r>
      <w:r>
        <w:rPr>
          <w:spacing w:val="-10"/>
        </w:rPr>
        <w:t> </w:t>
      </w:r>
      <w:r>
        <w:rPr/>
        <w:t>the</w:t>
      </w:r>
      <w:r>
        <w:rPr>
          <w:spacing w:val="-11"/>
        </w:rPr>
        <w:t> </w:t>
      </w:r>
      <w:r>
        <w:rPr/>
        <w:t>private</w:t>
      </w:r>
      <w:r>
        <w:rPr>
          <w:spacing w:val="-11"/>
        </w:rPr>
        <w:t> </w:t>
      </w:r>
      <w:r>
        <w:rPr/>
        <w:t>sector</w:t>
      </w:r>
      <w:r>
        <w:rPr>
          <w:spacing w:val="-10"/>
        </w:rPr>
        <w:t> </w:t>
      </w:r>
      <w:r>
        <w:rPr/>
        <w:t>can</w:t>
      </w:r>
      <w:r>
        <w:rPr>
          <w:spacing w:val="-4"/>
        </w:rPr>
        <w:t> </w:t>
      </w:r>
      <w:r>
        <w:rPr/>
        <w:t>support</w:t>
      </w:r>
      <w:r>
        <w:rPr>
          <w:spacing w:val="-10"/>
        </w:rPr>
        <w:t> </w:t>
      </w:r>
      <w:r>
        <w:rPr/>
        <w:t>industry-wide</w:t>
      </w:r>
      <w:r>
        <w:rPr>
          <w:spacing w:val="-11"/>
        </w:rPr>
        <w:t> </w:t>
      </w:r>
      <w:r>
        <w:rPr/>
        <w:t>efforts </w:t>
      </w:r>
      <w:r>
        <w:rPr/>
        <w:t>to train young people and support schools and universities. For example, the private sector can contribute their knowledge or scholarship money to college courses and training centers so that training is provided for large numbers of people, thus strengthening the talent pool and saving themselves the direct cost of training. A model, such as the Ensenanza pa Empleo in Aruba, that has successfully facilitated the transition from an industrial to a service/hospitality mindset, could serve as a</w:t>
      </w:r>
      <w:r>
        <w:rPr>
          <w:spacing w:val="-15"/>
        </w:rPr>
        <w:t> </w:t>
      </w:r>
      <w:r>
        <w:rPr/>
        <w:t>model.</w:t>
      </w:r>
    </w:p>
    <w:p>
      <w:pPr>
        <w:spacing w:line="240" w:lineRule="auto" w:before="0"/>
        <w:ind w:right="0"/>
        <w:rPr>
          <w:rFonts w:ascii="Calibri" w:hAnsi="Calibri" w:cs="Calibri" w:eastAsia="Calibri" w:hint="default"/>
          <w:sz w:val="20"/>
          <w:szCs w:val="20"/>
        </w:rPr>
      </w:pPr>
    </w:p>
    <w:p>
      <w:pPr>
        <w:spacing w:line="240" w:lineRule="auto" w:before="3" w:after="0"/>
        <w:ind w:right="0"/>
        <w:rPr>
          <w:rFonts w:ascii="Calibri" w:hAnsi="Calibri" w:cs="Calibri" w:eastAsia="Calibri" w:hint="default"/>
          <w:sz w:val="21"/>
          <w:szCs w:val="21"/>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before="82"/>
        <w:ind w:left="1440" w:right="0" w:firstLine="0"/>
        <w:jc w:val="left"/>
        <w:rPr>
          <w:rFonts w:ascii="Calibri" w:hAnsi="Calibri" w:cs="Calibri" w:eastAsia="Calibri" w:hint="default"/>
          <w:sz w:val="16"/>
          <w:szCs w:val="16"/>
        </w:rPr>
      </w:pPr>
      <w:r>
        <w:rPr>
          <w:rFonts w:ascii="Calibri"/>
          <w:position w:val="5"/>
          <w:sz w:val="10"/>
        </w:rPr>
        <w:t>75 </w:t>
      </w:r>
      <w:r>
        <w:rPr>
          <w:rFonts w:ascii="Calibri"/>
          <w:sz w:val="16"/>
        </w:rPr>
        <w:t>Quality is defined in terms of service delivery and product</w:t>
      </w:r>
      <w:r>
        <w:rPr>
          <w:rFonts w:ascii="Calibri"/>
          <w:spacing w:val="-12"/>
          <w:sz w:val="16"/>
        </w:rPr>
        <w:t> </w:t>
      </w:r>
      <w:r>
        <w:rPr>
          <w:rFonts w:ascii="Calibri"/>
          <w:sz w:val="16"/>
        </w:rPr>
        <w:t>offerings.</w:t>
      </w:r>
    </w:p>
    <w:p>
      <w:pPr>
        <w:spacing w:after="0"/>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6"/>
        <w:jc w:val="both"/>
      </w:pPr>
      <w:r>
        <w:rPr/>
        <w:t>Several different approaches can be adopted to shift the collective mindset in the tourism industry toward high- quality</w:t>
      </w:r>
      <w:r>
        <w:rPr>
          <w:spacing w:val="-5"/>
        </w:rPr>
        <w:t> </w:t>
      </w:r>
      <w:r>
        <w:rPr/>
        <w:t>service</w:t>
      </w:r>
      <w:r>
        <w:rPr>
          <w:spacing w:val="-6"/>
        </w:rPr>
        <w:t> </w:t>
      </w:r>
      <w:r>
        <w:rPr/>
        <w:t>standards.</w:t>
      </w:r>
      <w:r>
        <w:rPr>
          <w:spacing w:val="36"/>
        </w:rPr>
        <w:t> </w:t>
      </w:r>
      <w:r>
        <w:rPr/>
        <w:t>This</w:t>
      </w:r>
      <w:r>
        <w:rPr>
          <w:spacing w:val="-7"/>
        </w:rPr>
        <w:t> </w:t>
      </w:r>
      <w:r>
        <w:rPr/>
        <w:t>shift</w:t>
      </w:r>
      <w:r>
        <w:rPr>
          <w:spacing w:val="-5"/>
        </w:rPr>
        <w:t> </w:t>
      </w:r>
      <w:r>
        <w:rPr/>
        <w:t>is</w:t>
      </w:r>
      <w:r>
        <w:rPr>
          <w:spacing w:val="-7"/>
        </w:rPr>
        <w:t> </w:t>
      </w:r>
      <w:r>
        <w:rPr/>
        <w:t>necessary</w:t>
      </w:r>
      <w:r>
        <w:rPr>
          <w:spacing w:val="-5"/>
        </w:rPr>
        <w:t> </w:t>
      </w:r>
      <w:r>
        <w:rPr/>
        <w:t>in</w:t>
      </w:r>
      <w:r>
        <w:rPr>
          <w:spacing w:val="-5"/>
        </w:rPr>
        <w:t> </w:t>
      </w:r>
      <w:r>
        <w:rPr/>
        <w:t>order</w:t>
      </w:r>
      <w:r>
        <w:rPr>
          <w:spacing w:val="-5"/>
        </w:rPr>
        <w:t> </w:t>
      </w:r>
      <w:r>
        <w:rPr/>
        <w:t>to</w:t>
      </w:r>
      <w:r>
        <w:rPr>
          <w:spacing w:val="-7"/>
        </w:rPr>
        <w:t> </w:t>
      </w:r>
      <w:r>
        <w:rPr/>
        <w:t>achieve</w:t>
      </w:r>
      <w:r>
        <w:rPr>
          <w:spacing w:val="-6"/>
        </w:rPr>
        <w:t> </w:t>
      </w:r>
      <w:r>
        <w:rPr/>
        <w:t>the</w:t>
      </w:r>
      <w:r>
        <w:rPr>
          <w:spacing w:val="-6"/>
        </w:rPr>
        <w:t> </w:t>
      </w:r>
      <w:r>
        <w:rPr/>
        <w:t>desired</w:t>
      </w:r>
      <w:r>
        <w:rPr>
          <w:spacing w:val="-5"/>
        </w:rPr>
        <w:t> </w:t>
      </w:r>
      <w:r>
        <w:rPr/>
        <w:t>end</w:t>
      </w:r>
      <w:r>
        <w:rPr>
          <w:spacing w:val="-5"/>
        </w:rPr>
        <w:t> </w:t>
      </w:r>
      <w:r>
        <w:rPr/>
        <w:t>goal</w:t>
      </w:r>
      <w:r>
        <w:rPr>
          <w:spacing w:val="-6"/>
        </w:rPr>
        <w:t> </w:t>
      </w:r>
      <w:r>
        <w:rPr/>
        <w:t>of</w:t>
      </w:r>
      <w:r>
        <w:rPr>
          <w:spacing w:val="-6"/>
        </w:rPr>
        <w:t> </w:t>
      </w:r>
      <w:r>
        <w:rPr/>
        <w:t>a</w:t>
      </w:r>
      <w:r>
        <w:rPr>
          <w:spacing w:val="-5"/>
        </w:rPr>
        <w:t> </w:t>
      </w:r>
      <w:r>
        <w:rPr/>
        <w:t>high-quality</w:t>
      </w:r>
      <w:r>
        <w:rPr>
          <w:spacing w:val="-5"/>
        </w:rPr>
        <w:t> </w:t>
      </w:r>
      <w:r>
        <w:rPr/>
        <w:t>workforce </w:t>
      </w:r>
      <w:r>
        <w:rPr/>
        <w:t>capable of providing excellent</w:t>
      </w:r>
      <w:r>
        <w:rPr>
          <w:spacing w:val="-20"/>
        </w:rPr>
        <w:t> </w:t>
      </w:r>
      <w:r>
        <w:rPr/>
        <w:t>service.</w:t>
      </w:r>
    </w:p>
    <w:p>
      <w:pPr>
        <w:spacing w:line="240" w:lineRule="auto" w:before="1"/>
        <w:ind w:right="0"/>
        <w:rPr>
          <w:rFonts w:ascii="Calibri" w:hAnsi="Calibri" w:cs="Calibri" w:eastAsia="Calibri" w:hint="default"/>
          <w:sz w:val="20"/>
          <w:szCs w:val="20"/>
        </w:rPr>
      </w:pPr>
    </w:p>
    <w:p>
      <w:pPr>
        <w:pStyle w:val="BodyText"/>
        <w:spacing w:line="240" w:lineRule="auto"/>
        <w:ind w:right="0"/>
        <w:jc w:val="both"/>
      </w:pPr>
      <w:r>
        <w:rPr/>
        <w:t>These approaches</w:t>
      </w:r>
      <w:r>
        <w:rPr>
          <w:spacing w:val="-10"/>
        </w:rPr>
        <w:t> </w:t>
      </w:r>
      <w:r>
        <w:rPr/>
        <w:t>include:</w:t>
      </w:r>
    </w:p>
    <w:p>
      <w:pPr>
        <w:pStyle w:val="ListParagraph"/>
        <w:numPr>
          <w:ilvl w:val="1"/>
          <w:numId w:val="16"/>
        </w:numPr>
        <w:tabs>
          <w:tab w:pos="2432" w:val="left" w:leader="none"/>
        </w:tabs>
        <w:spacing w:line="240" w:lineRule="auto" w:before="2" w:after="0"/>
        <w:ind w:left="2431" w:right="1517" w:hanging="271"/>
        <w:jc w:val="left"/>
        <w:rPr>
          <w:rFonts w:ascii="Calibri" w:hAnsi="Calibri" w:cs="Calibri" w:eastAsia="Calibri" w:hint="default"/>
          <w:sz w:val="20"/>
          <w:szCs w:val="20"/>
        </w:rPr>
      </w:pPr>
      <w:r>
        <w:rPr>
          <w:rFonts w:ascii="Calibri"/>
          <w:sz w:val="20"/>
        </w:rPr>
        <w:t>Large hotels may be required to have a significant share of their employees in training, incentivized by tax</w:t>
      </w:r>
      <w:r>
        <w:rPr>
          <w:rFonts w:ascii="Calibri"/>
          <w:spacing w:val="-5"/>
          <w:sz w:val="20"/>
        </w:rPr>
        <w:t> </w:t>
      </w:r>
      <w:r>
        <w:rPr>
          <w:rFonts w:ascii="Calibri"/>
          <w:sz w:val="20"/>
        </w:rPr>
        <w:t>reductions</w:t>
      </w:r>
    </w:p>
    <w:p>
      <w:pPr>
        <w:pStyle w:val="ListParagraph"/>
        <w:numPr>
          <w:ilvl w:val="0"/>
          <w:numId w:val="17"/>
        </w:numPr>
        <w:tabs>
          <w:tab w:pos="2432" w:val="left" w:leader="none"/>
        </w:tabs>
        <w:spacing w:line="240" w:lineRule="auto" w:before="0" w:after="0"/>
        <w:ind w:left="2431" w:right="1436" w:hanging="271"/>
        <w:jc w:val="left"/>
        <w:rPr>
          <w:rFonts w:ascii="Calibri" w:hAnsi="Calibri" w:cs="Calibri" w:eastAsia="Calibri" w:hint="default"/>
          <w:sz w:val="20"/>
          <w:szCs w:val="20"/>
        </w:rPr>
      </w:pPr>
      <w:r>
        <w:rPr>
          <w:rFonts w:ascii="Calibri"/>
          <w:sz w:val="20"/>
        </w:rPr>
        <w:t>Advocacy for the benefits and career opportunities available within the hospitality industry at a young age (e.g. middle school and early high</w:t>
      </w:r>
      <w:r>
        <w:rPr>
          <w:rFonts w:ascii="Calibri"/>
          <w:spacing w:val="-18"/>
          <w:sz w:val="20"/>
        </w:rPr>
        <w:t> </w:t>
      </w:r>
      <w:r>
        <w:rPr>
          <w:rFonts w:ascii="Calibri"/>
          <w:sz w:val="20"/>
        </w:rPr>
        <w:t>school)</w:t>
      </w:r>
    </w:p>
    <w:p>
      <w:pPr>
        <w:pStyle w:val="ListParagraph"/>
        <w:numPr>
          <w:ilvl w:val="0"/>
          <w:numId w:val="17"/>
        </w:numPr>
        <w:tabs>
          <w:tab w:pos="2432" w:val="left" w:leader="none"/>
        </w:tabs>
        <w:spacing w:line="240" w:lineRule="auto" w:before="0" w:after="0"/>
        <w:ind w:left="2431" w:right="1437" w:hanging="271"/>
        <w:jc w:val="left"/>
        <w:rPr>
          <w:rFonts w:ascii="Calibri" w:hAnsi="Calibri" w:cs="Calibri" w:eastAsia="Calibri" w:hint="default"/>
          <w:sz w:val="20"/>
          <w:szCs w:val="20"/>
        </w:rPr>
      </w:pPr>
      <w:r>
        <w:rPr>
          <w:rFonts w:ascii="Calibri" w:hAnsi="Calibri" w:cs="Calibri" w:eastAsia="Calibri" w:hint="default"/>
          <w:sz w:val="20"/>
          <w:szCs w:val="20"/>
        </w:rPr>
        <w:t>Incorporation of </w:t>
      </w:r>
      <w:r>
        <w:rPr>
          <w:rFonts w:ascii="Calibri" w:hAnsi="Calibri" w:cs="Calibri" w:eastAsia="Calibri" w:hint="default"/>
          <w:sz w:val="20"/>
          <w:szCs w:val="20"/>
        </w:rPr>
        <w:t>an “industry overview” into hospitality and training programs that includes </w:t>
      </w:r>
      <w:r>
        <w:rPr>
          <w:rFonts w:ascii="Calibri" w:hAnsi="Calibri" w:cs="Calibri" w:eastAsia="Calibri" w:hint="default"/>
          <w:sz w:val="20"/>
          <w:szCs w:val="20"/>
        </w:rPr>
        <w:t>discussion of job demands, typical working hours, and service</w:t>
      </w:r>
      <w:r>
        <w:rPr>
          <w:rFonts w:ascii="Calibri" w:hAnsi="Calibri" w:cs="Calibri" w:eastAsia="Calibri" w:hint="default"/>
          <w:spacing w:val="-26"/>
          <w:sz w:val="20"/>
          <w:szCs w:val="20"/>
        </w:rPr>
        <w:t> </w:t>
      </w:r>
      <w:r>
        <w:rPr>
          <w:rFonts w:ascii="Calibri" w:hAnsi="Calibri" w:cs="Calibri" w:eastAsia="Calibri" w:hint="default"/>
          <w:sz w:val="20"/>
          <w:szCs w:val="20"/>
        </w:rPr>
        <w:t>expectations</w:t>
      </w:r>
    </w:p>
    <w:p>
      <w:pPr>
        <w:pStyle w:val="ListParagraph"/>
        <w:numPr>
          <w:ilvl w:val="0"/>
          <w:numId w:val="17"/>
        </w:numPr>
        <w:tabs>
          <w:tab w:pos="2432" w:val="left" w:leader="none"/>
        </w:tabs>
        <w:spacing w:line="240" w:lineRule="auto" w:before="0" w:after="0"/>
        <w:ind w:left="2431" w:right="1447" w:hanging="271"/>
        <w:jc w:val="left"/>
        <w:rPr>
          <w:rFonts w:ascii="Calibri" w:hAnsi="Calibri" w:cs="Calibri" w:eastAsia="Calibri" w:hint="default"/>
          <w:sz w:val="20"/>
          <w:szCs w:val="20"/>
        </w:rPr>
      </w:pPr>
      <w:r>
        <w:rPr>
          <w:rFonts w:ascii="Calibri" w:hAnsi="Calibri" w:cs="Calibri" w:eastAsia="Calibri" w:hint="default"/>
          <w:sz w:val="20"/>
          <w:szCs w:val="20"/>
        </w:rPr>
        <w:t>Incorporation of </w:t>
      </w:r>
      <w:r>
        <w:rPr>
          <w:rFonts w:ascii="Calibri" w:hAnsi="Calibri" w:cs="Calibri" w:eastAsia="Calibri" w:hint="default"/>
          <w:sz w:val="20"/>
          <w:szCs w:val="20"/>
        </w:rPr>
        <w:t>“interview readiness” into hospitality and training programs to discover the right job </w:t>
      </w:r>
      <w:r>
        <w:rPr>
          <w:rFonts w:ascii="Calibri" w:hAnsi="Calibri" w:cs="Calibri" w:eastAsia="Calibri" w:hint="default"/>
          <w:sz w:val="20"/>
          <w:szCs w:val="20"/>
        </w:rPr>
        <w:t>attitudes</w:t>
      </w:r>
    </w:p>
    <w:p>
      <w:pPr>
        <w:pStyle w:val="ListParagraph"/>
        <w:numPr>
          <w:ilvl w:val="1"/>
          <w:numId w:val="16"/>
        </w:numPr>
        <w:tabs>
          <w:tab w:pos="2432" w:val="left" w:leader="none"/>
        </w:tabs>
        <w:spacing w:line="240" w:lineRule="auto" w:before="2" w:after="0"/>
        <w:ind w:left="2431" w:right="1439" w:hanging="271"/>
        <w:jc w:val="left"/>
        <w:rPr>
          <w:rFonts w:ascii="Calibri" w:hAnsi="Calibri" w:cs="Calibri" w:eastAsia="Calibri" w:hint="default"/>
          <w:sz w:val="20"/>
          <w:szCs w:val="20"/>
        </w:rPr>
      </w:pPr>
      <w:r>
        <w:rPr>
          <w:rFonts w:ascii="Calibri"/>
          <w:sz w:val="20"/>
        </w:rPr>
        <w:t>Expansion</w:t>
      </w:r>
      <w:r>
        <w:rPr>
          <w:rFonts w:ascii="Calibri"/>
          <w:spacing w:val="-14"/>
          <w:sz w:val="20"/>
        </w:rPr>
        <w:t> </w:t>
      </w:r>
      <w:r>
        <w:rPr>
          <w:rFonts w:ascii="Calibri"/>
          <w:sz w:val="20"/>
        </w:rPr>
        <w:t>of</w:t>
      </w:r>
      <w:r>
        <w:rPr>
          <w:rFonts w:ascii="Calibri"/>
          <w:spacing w:val="-15"/>
          <w:sz w:val="20"/>
        </w:rPr>
        <w:t> </w:t>
      </w:r>
      <w:r>
        <w:rPr>
          <w:rFonts w:ascii="Calibri"/>
          <w:sz w:val="20"/>
        </w:rPr>
        <w:t>current</w:t>
      </w:r>
      <w:r>
        <w:rPr>
          <w:rFonts w:ascii="Calibri"/>
          <w:spacing w:val="-15"/>
          <w:sz w:val="20"/>
        </w:rPr>
        <w:t> </w:t>
      </w:r>
      <w:r>
        <w:rPr>
          <w:rFonts w:ascii="Calibri"/>
          <w:sz w:val="20"/>
        </w:rPr>
        <w:t>education</w:t>
      </w:r>
      <w:r>
        <w:rPr>
          <w:rFonts w:ascii="Calibri"/>
          <w:spacing w:val="-14"/>
          <w:sz w:val="20"/>
        </w:rPr>
        <w:t> </w:t>
      </w:r>
      <w:r>
        <w:rPr>
          <w:rFonts w:ascii="Calibri"/>
          <w:sz w:val="20"/>
        </w:rPr>
        <w:t>and</w:t>
      </w:r>
      <w:r>
        <w:rPr>
          <w:rFonts w:ascii="Calibri"/>
          <w:spacing w:val="-14"/>
          <w:sz w:val="20"/>
        </w:rPr>
        <w:t> </w:t>
      </w:r>
      <w:r>
        <w:rPr>
          <w:rFonts w:ascii="Calibri"/>
          <w:sz w:val="20"/>
        </w:rPr>
        <w:t>training</w:t>
      </w:r>
      <w:r>
        <w:rPr>
          <w:rFonts w:ascii="Calibri"/>
          <w:spacing w:val="-15"/>
          <w:sz w:val="20"/>
        </w:rPr>
        <w:t> </w:t>
      </w:r>
      <w:r>
        <w:rPr>
          <w:rFonts w:ascii="Calibri"/>
          <w:sz w:val="20"/>
        </w:rPr>
        <w:t>programs</w:t>
      </w:r>
      <w:r>
        <w:rPr>
          <w:rFonts w:ascii="Calibri"/>
          <w:spacing w:val="-16"/>
          <w:sz w:val="20"/>
        </w:rPr>
        <w:t> </w:t>
      </w:r>
      <w:r>
        <w:rPr>
          <w:rFonts w:ascii="Calibri"/>
          <w:sz w:val="20"/>
        </w:rPr>
        <w:t>to</w:t>
      </w:r>
      <w:r>
        <w:rPr>
          <w:rFonts w:ascii="Calibri"/>
          <w:spacing w:val="-14"/>
          <w:sz w:val="20"/>
        </w:rPr>
        <w:t> </w:t>
      </w:r>
      <w:r>
        <w:rPr>
          <w:rFonts w:ascii="Calibri"/>
          <w:sz w:val="20"/>
        </w:rPr>
        <w:t>include</w:t>
      </w:r>
      <w:r>
        <w:rPr>
          <w:rFonts w:ascii="Calibri"/>
          <w:spacing w:val="-11"/>
          <w:sz w:val="20"/>
        </w:rPr>
        <w:t> </w:t>
      </w:r>
      <w:r>
        <w:rPr>
          <w:rFonts w:ascii="Calibri"/>
          <w:sz w:val="20"/>
        </w:rPr>
        <w:t>competency</w:t>
      </w:r>
      <w:r>
        <w:rPr>
          <w:rFonts w:ascii="Calibri"/>
          <w:spacing w:val="-14"/>
          <w:sz w:val="20"/>
        </w:rPr>
        <w:t> </w:t>
      </w:r>
      <w:r>
        <w:rPr>
          <w:rFonts w:ascii="Calibri"/>
          <w:sz w:val="20"/>
        </w:rPr>
        <w:t>development</w:t>
      </w:r>
      <w:r>
        <w:rPr>
          <w:rFonts w:ascii="Calibri"/>
          <w:spacing w:val="-15"/>
          <w:sz w:val="20"/>
        </w:rPr>
        <w:t> </w:t>
      </w:r>
      <w:r>
        <w:rPr>
          <w:rFonts w:ascii="Calibri"/>
          <w:sz w:val="20"/>
        </w:rPr>
        <w:t>in</w:t>
      </w:r>
      <w:r>
        <w:rPr>
          <w:rFonts w:ascii="Calibri"/>
          <w:spacing w:val="-15"/>
          <w:sz w:val="20"/>
        </w:rPr>
        <w:t> </w:t>
      </w:r>
      <w:r>
        <w:rPr>
          <w:rFonts w:ascii="Calibri"/>
          <w:sz w:val="20"/>
        </w:rPr>
        <w:t>areas</w:t>
      </w:r>
      <w:r>
        <w:rPr>
          <w:rFonts w:ascii="Calibri"/>
          <w:spacing w:val="-13"/>
          <w:sz w:val="20"/>
        </w:rPr>
        <w:t> </w:t>
      </w:r>
      <w:r>
        <w:rPr>
          <w:rFonts w:ascii="Calibri"/>
          <w:sz w:val="20"/>
        </w:rPr>
        <w:t>such </w:t>
      </w:r>
      <w:r>
        <w:rPr>
          <w:rFonts w:ascii="Calibri"/>
          <w:sz w:val="20"/>
        </w:rPr>
        <w:t>as</w:t>
      </w:r>
      <w:r>
        <w:rPr>
          <w:rFonts w:ascii="Calibri"/>
          <w:spacing w:val="-5"/>
          <w:sz w:val="20"/>
        </w:rPr>
        <w:t> </w:t>
      </w:r>
      <w:r>
        <w:rPr>
          <w:rFonts w:ascii="Calibri"/>
          <w:sz w:val="20"/>
        </w:rPr>
        <w:t>professionalism,</w:t>
      </w:r>
      <w:r>
        <w:rPr>
          <w:rFonts w:ascii="Calibri"/>
          <w:spacing w:val="-4"/>
          <w:sz w:val="20"/>
        </w:rPr>
        <w:t> </w:t>
      </w:r>
      <w:r>
        <w:rPr>
          <w:rFonts w:ascii="Calibri"/>
          <w:sz w:val="20"/>
        </w:rPr>
        <w:t>communication,</w:t>
      </w:r>
      <w:r>
        <w:rPr>
          <w:rFonts w:ascii="Calibri"/>
          <w:spacing w:val="-4"/>
          <w:sz w:val="20"/>
        </w:rPr>
        <w:t> </w:t>
      </w:r>
      <w:r>
        <w:rPr>
          <w:rFonts w:ascii="Calibri"/>
          <w:sz w:val="20"/>
        </w:rPr>
        <w:t>language,</w:t>
      </w:r>
      <w:r>
        <w:rPr>
          <w:rFonts w:ascii="Calibri"/>
          <w:spacing w:val="-4"/>
          <w:sz w:val="20"/>
        </w:rPr>
        <w:t> </w:t>
      </w:r>
      <w:r>
        <w:rPr>
          <w:rFonts w:ascii="Calibri"/>
          <w:sz w:val="20"/>
        </w:rPr>
        <w:t>relationship</w:t>
      </w:r>
      <w:r>
        <w:rPr>
          <w:rFonts w:ascii="Calibri"/>
          <w:spacing w:val="-4"/>
          <w:sz w:val="20"/>
        </w:rPr>
        <w:t> </w:t>
      </w:r>
      <w:r>
        <w:rPr>
          <w:rFonts w:ascii="Calibri"/>
          <w:sz w:val="20"/>
        </w:rPr>
        <w:t>building,</w:t>
      </w:r>
      <w:r>
        <w:rPr>
          <w:rFonts w:ascii="Calibri"/>
          <w:spacing w:val="-4"/>
          <w:sz w:val="20"/>
        </w:rPr>
        <w:t> </w:t>
      </w:r>
      <w:r>
        <w:rPr>
          <w:rFonts w:ascii="Calibri"/>
          <w:sz w:val="20"/>
        </w:rPr>
        <w:t>service,</w:t>
      </w:r>
      <w:r>
        <w:rPr>
          <w:rFonts w:ascii="Calibri"/>
          <w:spacing w:val="-4"/>
          <w:sz w:val="20"/>
        </w:rPr>
        <w:t> </w:t>
      </w:r>
      <w:r>
        <w:rPr>
          <w:rFonts w:ascii="Calibri"/>
          <w:sz w:val="20"/>
        </w:rPr>
        <w:t>and</w:t>
      </w:r>
      <w:r>
        <w:rPr>
          <w:rFonts w:ascii="Calibri"/>
          <w:spacing w:val="-4"/>
          <w:sz w:val="20"/>
        </w:rPr>
        <w:t> </w:t>
      </w:r>
      <w:r>
        <w:rPr>
          <w:rFonts w:ascii="Calibri"/>
          <w:sz w:val="20"/>
        </w:rPr>
        <w:t>teamwork</w:t>
      </w:r>
    </w:p>
    <w:p>
      <w:pPr>
        <w:pStyle w:val="ListParagraph"/>
        <w:numPr>
          <w:ilvl w:val="1"/>
          <w:numId w:val="16"/>
        </w:numPr>
        <w:tabs>
          <w:tab w:pos="2432" w:val="left" w:leader="none"/>
        </w:tabs>
        <w:spacing w:line="240" w:lineRule="auto" w:before="2" w:after="0"/>
        <w:ind w:left="2431" w:right="1435" w:hanging="271"/>
        <w:jc w:val="left"/>
        <w:rPr>
          <w:rFonts w:ascii="Calibri" w:hAnsi="Calibri" w:cs="Calibri" w:eastAsia="Calibri" w:hint="default"/>
          <w:sz w:val="20"/>
          <w:szCs w:val="20"/>
        </w:rPr>
      </w:pPr>
      <w:r>
        <w:rPr>
          <w:rFonts w:ascii="Calibri"/>
          <w:sz w:val="20"/>
        </w:rPr>
        <w:t>Holding employees accountable to service standards, and documenting positive and constructive feedback/coaching</w:t>
      </w:r>
    </w:p>
    <w:p>
      <w:pPr>
        <w:spacing w:line="240" w:lineRule="auto" w:before="4"/>
        <w:ind w:right="0"/>
        <w:rPr>
          <w:rFonts w:ascii="Calibri" w:hAnsi="Calibri" w:cs="Calibri" w:eastAsia="Calibri" w:hint="default"/>
          <w:sz w:val="21"/>
          <w:szCs w:val="21"/>
        </w:rPr>
      </w:pPr>
    </w:p>
    <w:p>
      <w:pPr>
        <w:pStyle w:val="BodyText"/>
        <w:spacing w:line="240" w:lineRule="auto"/>
        <w:ind w:right="1441"/>
        <w:jc w:val="both"/>
      </w:pPr>
      <w:r>
        <w:rPr/>
        <w:t>Training programs and their execution should go together with a national awareness campaign that promotes tourism development as a key vehicle for the enhancement of the </w:t>
      </w:r>
      <w:r>
        <w:rPr>
          <w:rFonts w:ascii="Calibri" w:hAnsi="Calibri" w:cs="Calibri" w:eastAsia="Calibri" w:hint="default"/>
        </w:rPr>
        <w:t>residents’ </w:t>
      </w:r>
      <w:r>
        <w:rPr/>
        <w:t>quality of life. The report already documented</w:t>
      </w:r>
      <w:r>
        <w:rPr>
          <w:spacing w:val="-3"/>
        </w:rPr>
        <w:t> </w:t>
      </w:r>
      <w:r>
        <w:rPr/>
        <w:t>that</w:t>
      </w:r>
      <w:r>
        <w:rPr>
          <w:spacing w:val="-3"/>
        </w:rPr>
        <w:t> </w:t>
      </w:r>
      <w:r>
        <w:rPr/>
        <w:t>a</w:t>
      </w:r>
      <w:r>
        <w:rPr>
          <w:spacing w:val="-3"/>
        </w:rPr>
        <w:t> </w:t>
      </w:r>
      <w:r>
        <w:rPr/>
        <w:t>large</w:t>
      </w:r>
      <w:r>
        <w:rPr>
          <w:spacing w:val="-5"/>
        </w:rPr>
        <w:t> </w:t>
      </w:r>
      <w:r>
        <w:rPr/>
        <w:t>portion</w:t>
      </w:r>
      <w:r>
        <w:rPr>
          <w:spacing w:val="-3"/>
        </w:rPr>
        <w:t> </w:t>
      </w:r>
      <w:r>
        <w:rPr/>
        <w:t>of</w:t>
      </w:r>
      <w:r>
        <w:rPr>
          <w:spacing w:val="-5"/>
        </w:rPr>
        <w:t> </w:t>
      </w:r>
      <w:r>
        <w:rPr/>
        <w:t>the</w:t>
      </w:r>
      <w:r>
        <w:rPr>
          <w:spacing w:val="-4"/>
        </w:rPr>
        <w:t> </w:t>
      </w:r>
      <w:r>
        <w:rPr/>
        <w:t>local</w:t>
      </w:r>
      <w:r>
        <w:rPr>
          <w:spacing w:val="-3"/>
        </w:rPr>
        <w:t> </w:t>
      </w:r>
      <w:r>
        <w:rPr/>
        <w:t>population</w:t>
      </w:r>
      <w:r>
        <w:rPr>
          <w:spacing w:val="4"/>
        </w:rPr>
        <w:t> </w:t>
      </w:r>
      <w:r>
        <w:rPr/>
        <w:t>does</w:t>
      </w:r>
      <w:r>
        <w:rPr>
          <w:spacing w:val="-5"/>
        </w:rPr>
        <w:t> </w:t>
      </w:r>
      <w:r>
        <w:rPr/>
        <w:t>not</w:t>
      </w:r>
      <w:r>
        <w:rPr>
          <w:spacing w:val="-3"/>
        </w:rPr>
        <w:t> </w:t>
      </w:r>
      <w:r>
        <w:rPr/>
        <w:t>understand</w:t>
      </w:r>
      <w:r>
        <w:rPr>
          <w:spacing w:val="-3"/>
        </w:rPr>
        <w:t> </w:t>
      </w:r>
      <w:r>
        <w:rPr/>
        <w:t>tourism</w:t>
      </w:r>
      <w:r>
        <w:rPr>
          <w:spacing w:val="-4"/>
        </w:rPr>
        <w:t> </w:t>
      </w:r>
      <w:r>
        <w:rPr/>
        <w:t>and</w:t>
      </w:r>
      <w:r>
        <w:rPr>
          <w:spacing w:val="-3"/>
        </w:rPr>
        <w:t> </w:t>
      </w:r>
      <w:r>
        <w:rPr/>
        <w:t>its</w:t>
      </w:r>
      <w:r>
        <w:rPr>
          <w:spacing w:val="-5"/>
        </w:rPr>
        <w:t> </w:t>
      </w:r>
      <w:r>
        <w:rPr/>
        <w:t>potential</w:t>
      </w:r>
      <w:r>
        <w:rPr>
          <w:spacing w:val="-4"/>
        </w:rPr>
        <w:t> </w:t>
      </w:r>
      <w:r>
        <w:rPr/>
        <w:t>to</w:t>
      </w:r>
      <w:r>
        <w:rPr>
          <w:spacing w:val="-3"/>
        </w:rPr>
        <w:t> </w:t>
      </w:r>
      <w:r>
        <w:rPr/>
        <w:t>positively </w:t>
      </w:r>
      <w:r>
        <w:rPr/>
        <w:t>affect their daily lives. Local residents have a huge influence on how the ultimate tourist experience is defined and felt. This role should be clearly understood in order to spawn memorable expe</w:t>
      </w:r>
      <w:r>
        <w:rPr>
          <w:rFonts w:ascii="Calibri" w:hAnsi="Calibri" w:cs="Calibri" w:eastAsia="Calibri" w:hint="default"/>
        </w:rPr>
        <w:t>riences. The program “Beautiful People” is a good start to reach this goal in the short</w:t>
      </w:r>
      <w:r>
        <w:rPr/>
        <w:t>/medium</w:t>
      </w:r>
      <w:r>
        <w:rPr>
          <w:spacing w:val="-22"/>
        </w:rPr>
        <w:t> </w:t>
      </w:r>
      <w:r>
        <w:rPr/>
        <w:t>term.</w:t>
      </w:r>
    </w:p>
    <w:p>
      <w:pPr>
        <w:spacing w:line="240" w:lineRule="auto" w:before="11"/>
        <w:ind w:right="0"/>
        <w:rPr>
          <w:rFonts w:ascii="Calibri" w:hAnsi="Calibri" w:cs="Calibri" w:eastAsia="Calibri" w:hint="default"/>
          <w:sz w:val="22"/>
          <w:szCs w:val="22"/>
        </w:rPr>
      </w:pPr>
    </w:p>
    <w:p>
      <w:pPr>
        <w:pStyle w:val="Heading2"/>
        <w:spacing w:line="240" w:lineRule="auto" w:before="0"/>
        <w:ind w:right="0"/>
        <w:jc w:val="both"/>
        <w:rPr>
          <w:b w:val="0"/>
          <w:bCs w:val="0"/>
        </w:rPr>
      </w:pPr>
      <w:bookmarkStart w:name="_bookmark165" w:id="166"/>
      <w:bookmarkEnd w:id="166"/>
      <w:r>
        <w:rPr>
          <w:b w:val="0"/>
        </w:rPr>
      </w:r>
      <w:r>
        <w:rPr/>
        <w:t>Strategy #4: Investing in the future: Sustainable financial</w:t>
      </w:r>
      <w:r>
        <w:rPr>
          <w:spacing w:val="-32"/>
        </w:rPr>
        <w:t> </w:t>
      </w:r>
      <w:r>
        <w:rPr/>
        <w:t>resources</w:t>
      </w:r>
      <w:r>
        <w:rPr>
          <w:b w:val="0"/>
        </w:rPr>
      </w:r>
    </w:p>
    <w:p>
      <w:pPr>
        <w:pStyle w:val="BodyText"/>
        <w:spacing w:line="256" w:lineRule="auto" w:before="191"/>
        <w:ind w:right="1433"/>
        <w:jc w:val="both"/>
      </w:pPr>
      <w:r>
        <w:rPr/>
        <w:t>In order to infiltrate the necessary amount of arrivals that is required to increase the RevPAR value to the level of the</w:t>
      </w:r>
      <w:r>
        <w:rPr>
          <w:spacing w:val="-6"/>
        </w:rPr>
        <w:t> </w:t>
      </w:r>
      <w:r>
        <w:rPr/>
        <w:t>Caribbean</w:t>
      </w:r>
      <w:r>
        <w:rPr>
          <w:spacing w:val="-4"/>
        </w:rPr>
        <w:t> </w:t>
      </w:r>
      <w:r>
        <w:rPr/>
        <w:t>region</w:t>
      </w:r>
      <w:r>
        <w:rPr>
          <w:spacing w:val="-5"/>
        </w:rPr>
        <w:t> </w:t>
      </w:r>
      <w:r>
        <w:rPr/>
        <w:t>by</w:t>
      </w:r>
      <w:r>
        <w:rPr>
          <w:spacing w:val="-5"/>
        </w:rPr>
        <w:t> </w:t>
      </w:r>
      <w:r>
        <w:rPr/>
        <w:t>2020</w:t>
      </w:r>
      <w:r>
        <w:rPr>
          <w:spacing w:val="-6"/>
        </w:rPr>
        <w:t> </w:t>
      </w:r>
      <w:r>
        <w:rPr/>
        <w:t>(US$128/US$130),</w:t>
      </w:r>
      <w:r>
        <w:rPr>
          <w:spacing w:val="-5"/>
        </w:rPr>
        <w:t> </w:t>
      </w:r>
      <w:r>
        <w:rPr/>
        <w:t>a</w:t>
      </w:r>
      <w:r>
        <w:rPr>
          <w:spacing w:val="-5"/>
        </w:rPr>
        <w:t> </w:t>
      </w:r>
      <w:r>
        <w:rPr/>
        <w:t>sustainable</w:t>
      </w:r>
      <w:r>
        <w:rPr>
          <w:spacing w:val="-6"/>
        </w:rPr>
        <w:t> </w:t>
      </w:r>
      <w:r>
        <w:rPr/>
        <w:t>fund</w:t>
      </w:r>
      <w:r>
        <w:rPr>
          <w:spacing w:val="-5"/>
        </w:rPr>
        <w:t> </w:t>
      </w:r>
      <w:r>
        <w:rPr/>
        <w:t>should</w:t>
      </w:r>
      <w:r>
        <w:rPr>
          <w:spacing w:val="-5"/>
        </w:rPr>
        <w:t> </w:t>
      </w:r>
      <w:r>
        <w:rPr/>
        <w:t>be</w:t>
      </w:r>
      <w:r>
        <w:rPr>
          <w:spacing w:val="-6"/>
        </w:rPr>
        <w:t> </w:t>
      </w:r>
      <w:r>
        <w:rPr/>
        <w:t>available.</w:t>
      </w:r>
      <w:r>
        <w:rPr>
          <w:spacing w:val="-5"/>
        </w:rPr>
        <w:t> </w:t>
      </w:r>
      <w:r>
        <w:rPr/>
        <w:t>The</w:t>
      </w:r>
      <w:r>
        <w:rPr>
          <w:spacing w:val="-6"/>
        </w:rPr>
        <w:t> </w:t>
      </w:r>
      <w:r>
        <w:rPr/>
        <w:t>fund</w:t>
      </w:r>
      <w:r>
        <w:rPr>
          <w:spacing w:val="-5"/>
        </w:rPr>
        <w:t> </w:t>
      </w:r>
      <w:r>
        <w:rPr/>
        <w:t>is</w:t>
      </w:r>
      <w:r>
        <w:rPr>
          <w:spacing w:val="-7"/>
        </w:rPr>
        <w:t> </w:t>
      </w:r>
      <w:r>
        <w:rPr/>
        <w:t>suggested</w:t>
      </w:r>
      <w:r>
        <w:rPr>
          <w:spacing w:val="-5"/>
        </w:rPr>
        <w:t> </w:t>
      </w:r>
      <w:r>
        <w:rPr/>
        <w:t>to</w:t>
      </w:r>
      <w:r>
        <w:rPr>
          <w:spacing w:val="-5"/>
        </w:rPr>
        <w:t> </w:t>
      </w:r>
      <w:r>
        <w:rPr/>
        <w:t>be </w:t>
      </w:r>
      <w:r>
        <w:rPr/>
        <w:t>in the amount of US$40 million over five years. A substantial amount of this fund will be allocated to </w:t>
      </w:r>
      <w:r>
        <w:rPr>
          <w:spacing w:val="2"/>
        </w:rPr>
        <w:t>bring </w:t>
      </w:r>
      <w:r>
        <w:rPr/>
        <w:t>the </w:t>
      </w:r>
      <w:r>
        <w:rPr/>
        <w:t>American</w:t>
      </w:r>
      <w:r>
        <w:rPr>
          <w:spacing w:val="-2"/>
        </w:rPr>
        <w:t> </w:t>
      </w:r>
      <w:r>
        <w:rPr/>
        <w:t>market</w:t>
      </w:r>
      <w:r>
        <w:rPr>
          <w:spacing w:val="-2"/>
        </w:rPr>
        <w:t> </w:t>
      </w:r>
      <w:r>
        <w:rPr/>
        <w:t>up</w:t>
      </w:r>
      <w:r>
        <w:rPr>
          <w:spacing w:val="-2"/>
        </w:rPr>
        <w:t> </w:t>
      </w:r>
      <w:r>
        <w:rPr/>
        <w:t>to</w:t>
      </w:r>
      <w:r>
        <w:rPr>
          <w:spacing w:val="-2"/>
        </w:rPr>
        <w:t> </w:t>
      </w:r>
      <w:r>
        <w:rPr/>
        <w:t>nearly</w:t>
      </w:r>
      <w:r>
        <w:rPr>
          <w:spacing w:val="-2"/>
        </w:rPr>
        <w:t> </w:t>
      </w:r>
      <w:r>
        <w:rPr/>
        <w:t>an</w:t>
      </w:r>
      <w:r>
        <w:rPr>
          <w:spacing w:val="-2"/>
        </w:rPr>
        <w:t> </w:t>
      </w:r>
      <w:r>
        <w:rPr/>
        <w:t>equal</w:t>
      </w:r>
      <w:r>
        <w:rPr>
          <w:spacing w:val="-2"/>
        </w:rPr>
        <w:t> </w:t>
      </w:r>
      <w:r>
        <w:rPr/>
        <w:t>level</w:t>
      </w:r>
      <w:r>
        <w:rPr>
          <w:spacing w:val="-1"/>
        </w:rPr>
        <w:t> </w:t>
      </w:r>
      <w:r>
        <w:rPr/>
        <w:t>with</w:t>
      </w:r>
      <w:r>
        <w:rPr>
          <w:spacing w:val="-2"/>
        </w:rPr>
        <w:t> </w:t>
      </w:r>
      <w:r>
        <w:rPr/>
        <w:t>that</w:t>
      </w:r>
      <w:r>
        <w:rPr>
          <w:spacing w:val="-2"/>
        </w:rPr>
        <w:t> </w:t>
      </w:r>
      <w:r>
        <w:rPr/>
        <w:t>of</w:t>
      </w:r>
      <w:r>
        <w:rPr>
          <w:spacing w:val="-4"/>
        </w:rPr>
        <w:t> </w:t>
      </w:r>
      <w:r>
        <w:rPr/>
        <w:t>the</w:t>
      </w:r>
      <w:r>
        <w:rPr>
          <w:spacing w:val="-3"/>
        </w:rPr>
        <w:t> </w:t>
      </w:r>
      <w:r>
        <w:rPr/>
        <w:t>Dutch</w:t>
      </w:r>
      <w:r>
        <w:rPr>
          <w:spacing w:val="-2"/>
        </w:rPr>
        <w:t> </w:t>
      </w:r>
      <w:r>
        <w:rPr/>
        <w:t>and</w:t>
      </w:r>
      <w:r>
        <w:rPr>
          <w:spacing w:val="-2"/>
        </w:rPr>
        <w:t> </w:t>
      </w:r>
      <w:r>
        <w:rPr/>
        <w:t>Venezuelan</w:t>
      </w:r>
      <w:r>
        <w:rPr>
          <w:spacing w:val="-2"/>
        </w:rPr>
        <w:t> </w:t>
      </w:r>
      <w:r>
        <w:rPr/>
        <w:t>markets</w:t>
      </w:r>
      <w:r>
        <w:rPr>
          <w:spacing w:val="-3"/>
        </w:rPr>
        <w:t> </w:t>
      </w:r>
      <w:r>
        <w:rPr/>
        <w:t>by</w:t>
      </w:r>
      <w:r>
        <w:rPr>
          <w:spacing w:val="-2"/>
        </w:rPr>
        <w:t> </w:t>
      </w:r>
      <w:r>
        <w:rPr/>
        <w:t>2020.</w:t>
      </w:r>
    </w:p>
    <w:p>
      <w:pPr>
        <w:spacing w:line="240" w:lineRule="auto" w:before="3"/>
        <w:ind w:right="0"/>
        <w:rPr>
          <w:rFonts w:ascii="Calibri" w:hAnsi="Calibri" w:cs="Calibri" w:eastAsia="Calibri" w:hint="default"/>
          <w:sz w:val="21"/>
          <w:szCs w:val="21"/>
        </w:rPr>
      </w:pPr>
    </w:p>
    <w:p>
      <w:pPr>
        <w:pStyle w:val="BodyText"/>
        <w:spacing w:line="256" w:lineRule="auto"/>
        <w:ind w:right="1435"/>
        <w:jc w:val="both"/>
      </w:pPr>
      <w:r>
        <w:rPr/>
        <w:t>A significant portion of the fund will be allocated for marketing and airlift, especially in the first two years of this plan. Luckily for Curaçao, the data demonstrates that the destination does not require significant investment in its hard components of tourism (infrastructure) within the lifespan of the 2015-2020 Strategic Tourism Master Plan. The data actually reveals the contrary, which is that Curaçao should invest financial capital mainly in marketing, airlift, and aggressively improving the soft component (human capital). The luck of the draw for Curaçao is that the </w:t>
      </w:r>
      <w:r>
        <w:rPr>
          <w:rFonts w:ascii="Calibri" w:hAnsi="Calibri" w:cs="Calibri" w:eastAsia="Calibri" w:hint="default"/>
        </w:rPr>
        <w:t>investment required to dramatically improve tourism’s soft components is m</w:t>
      </w:r>
      <w:r>
        <w:rPr/>
        <w:t>uch less expensive than sinking investments into infrastructural design and</w:t>
      </w:r>
      <w:r>
        <w:rPr>
          <w:spacing w:val="-21"/>
        </w:rPr>
        <w:t> </w:t>
      </w:r>
      <w:r>
        <w:rPr/>
        <w:t>development.</w:t>
      </w:r>
    </w:p>
    <w:p>
      <w:pPr>
        <w:spacing w:line="240" w:lineRule="auto" w:before="3"/>
        <w:ind w:right="0"/>
        <w:rPr>
          <w:rFonts w:ascii="Calibri" w:hAnsi="Calibri" w:cs="Calibri" w:eastAsia="Calibri" w:hint="default"/>
          <w:sz w:val="21"/>
          <w:szCs w:val="21"/>
        </w:rPr>
      </w:pPr>
    </w:p>
    <w:p>
      <w:pPr>
        <w:pStyle w:val="BodyText"/>
        <w:spacing w:line="256" w:lineRule="auto"/>
        <w:ind w:right="1439"/>
        <w:jc w:val="both"/>
      </w:pPr>
      <w:r>
        <w:rPr/>
        <w:t>The goal is to raise the money for the fund via a loan in year 1. The sources to finance the loan will stem from additional</w:t>
      </w:r>
      <w:r>
        <w:rPr>
          <w:spacing w:val="-3"/>
        </w:rPr>
        <w:t> </w:t>
      </w:r>
      <w:r>
        <w:rPr/>
        <w:t>room</w:t>
      </w:r>
      <w:r>
        <w:rPr>
          <w:spacing w:val="-3"/>
        </w:rPr>
        <w:t> </w:t>
      </w:r>
      <w:r>
        <w:rPr/>
        <w:t>tax,</w:t>
      </w:r>
      <w:r>
        <w:rPr>
          <w:spacing w:val="-3"/>
        </w:rPr>
        <w:t> </w:t>
      </w:r>
      <w:r>
        <w:rPr/>
        <w:t>more</w:t>
      </w:r>
      <w:r>
        <w:rPr>
          <w:spacing w:val="-3"/>
        </w:rPr>
        <w:t> </w:t>
      </w:r>
      <w:r>
        <w:rPr/>
        <w:t>effective</w:t>
      </w:r>
      <w:r>
        <w:rPr>
          <w:spacing w:val="-3"/>
        </w:rPr>
        <w:t> </w:t>
      </w:r>
      <w:r>
        <w:rPr/>
        <w:t>room</w:t>
      </w:r>
      <w:r>
        <w:rPr>
          <w:spacing w:val="-3"/>
        </w:rPr>
        <w:t> </w:t>
      </w:r>
      <w:r>
        <w:rPr/>
        <w:t>tax</w:t>
      </w:r>
      <w:r>
        <w:rPr>
          <w:spacing w:val="-3"/>
        </w:rPr>
        <w:t> </w:t>
      </w:r>
      <w:r>
        <w:rPr/>
        <w:t>collection,</w:t>
      </w:r>
      <w:r>
        <w:rPr>
          <w:spacing w:val="-3"/>
        </w:rPr>
        <w:t> </w:t>
      </w:r>
      <w:r>
        <w:rPr/>
        <w:t>and</w:t>
      </w:r>
      <w:r>
        <w:rPr>
          <w:spacing w:val="-3"/>
        </w:rPr>
        <w:t> </w:t>
      </w:r>
      <w:r>
        <w:rPr/>
        <w:t>from</w:t>
      </w:r>
      <w:r>
        <w:rPr>
          <w:spacing w:val="-3"/>
        </w:rPr>
        <w:t> </w:t>
      </w:r>
      <w:r>
        <w:rPr/>
        <w:t>other</w:t>
      </w:r>
      <w:r>
        <w:rPr>
          <w:spacing w:val="-3"/>
        </w:rPr>
        <w:t> </w:t>
      </w:r>
      <w:r>
        <w:rPr/>
        <w:t>non-conventional</w:t>
      </w:r>
      <w:r>
        <w:rPr>
          <w:spacing w:val="-3"/>
        </w:rPr>
        <w:t> </w:t>
      </w:r>
      <w:r>
        <w:rPr/>
        <w:t>sources</w:t>
      </w:r>
      <w:r>
        <w:rPr>
          <w:spacing w:val="-4"/>
        </w:rPr>
        <w:t> </w:t>
      </w:r>
      <w:r>
        <w:rPr/>
        <w:t>(other</w:t>
      </w:r>
      <w:r>
        <w:rPr>
          <w:spacing w:val="-3"/>
        </w:rPr>
        <w:t> </w:t>
      </w:r>
      <w:r>
        <w:rPr/>
        <w:t>economic </w:t>
      </w:r>
      <w:r>
        <w:rPr/>
        <w:t>sectors) that benefit from the increase in tourism revenues. It is expected that the additional tourists visiting the destination will have a positive effect on the foreign reserves of US$83.2 million in 5 years, and will completely exceeds </w:t>
      </w:r>
      <w:r>
        <w:rPr>
          <w:rFonts w:ascii="Calibri" w:hAnsi="Calibri" w:cs="Calibri" w:eastAsia="Calibri" w:hint="default"/>
        </w:rPr>
        <w:t>the reserves’ outflow </w:t>
      </w:r>
      <w:r>
        <w:rPr/>
        <w:t>that is used for the required imports of goods.</w:t>
      </w:r>
      <w:r>
        <w:rPr>
          <w:position w:val="5"/>
          <w:sz w:val="12"/>
          <w:szCs w:val="12"/>
        </w:rPr>
        <w:t>76 </w:t>
      </w:r>
      <w:r>
        <w:rPr/>
        <w:t>The additional forecasted tourism </w:t>
      </w:r>
      <w:r>
        <w:rPr/>
        <w:t>demand will generate an estimated 3,700 jobs as</w:t>
      </w:r>
      <w:r>
        <w:rPr>
          <w:spacing w:val="-20"/>
        </w:rPr>
        <w:t> </w:t>
      </w:r>
      <w:r>
        <w:rPr/>
        <w:t>well.</w:t>
      </w:r>
    </w:p>
    <w:p>
      <w:pPr>
        <w:spacing w:line="240" w:lineRule="auto" w:before="3" w:after="0"/>
        <w:ind w:right="0"/>
        <w:rPr>
          <w:rFonts w:ascii="Calibri" w:hAnsi="Calibri" w:cs="Calibri" w:eastAsia="Calibri" w:hint="default"/>
          <w:sz w:val="27"/>
          <w:szCs w:val="27"/>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2" w:lineRule="auto" w:before="89"/>
        <w:ind w:left="1440" w:right="1435" w:firstLine="0"/>
        <w:jc w:val="left"/>
        <w:rPr>
          <w:rFonts w:ascii="Calibri" w:hAnsi="Calibri" w:cs="Calibri" w:eastAsia="Calibri" w:hint="default"/>
          <w:sz w:val="16"/>
          <w:szCs w:val="16"/>
        </w:rPr>
      </w:pPr>
      <w:r>
        <w:rPr>
          <w:rFonts w:ascii="Calibri"/>
          <w:position w:val="5"/>
          <w:sz w:val="12"/>
        </w:rPr>
        <w:t>76 </w:t>
      </w:r>
      <w:r>
        <w:rPr>
          <w:rFonts w:ascii="Calibri"/>
          <w:sz w:val="16"/>
        </w:rPr>
        <w:t>The demand forecasting model is based on a decomposed trend and cycle data using the Hodrick Prescot filter. Prior to decomposition, the </w:t>
      </w:r>
      <w:r>
        <w:rPr>
          <w:rFonts w:ascii="Calibri"/>
          <w:sz w:val="16"/>
        </w:rPr>
        <w:t>variable was first transformed into logarithm. Subsequently, both the trend and cycle components were estimated backwards and forwards using their lagged values (up to 12 years), applying a combinatorial regression technique. The latter determines combinations of lagged trend and</w:t>
      </w:r>
      <w:r>
        <w:rPr>
          <w:rFonts w:ascii="Calibri"/>
          <w:spacing w:val="-3"/>
          <w:sz w:val="16"/>
        </w:rPr>
        <w:t> </w:t>
      </w:r>
      <w:r>
        <w:rPr>
          <w:rFonts w:ascii="Calibri"/>
          <w:sz w:val="16"/>
        </w:rPr>
        <w:t>cycle</w:t>
      </w:r>
      <w:r>
        <w:rPr>
          <w:rFonts w:ascii="Calibri"/>
          <w:spacing w:val="-3"/>
          <w:sz w:val="16"/>
        </w:rPr>
        <w:t> </w:t>
      </w:r>
      <w:r>
        <w:rPr>
          <w:rFonts w:ascii="Calibri"/>
          <w:sz w:val="16"/>
        </w:rPr>
        <w:t>variables</w:t>
      </w:r>
      <w:r>
        <w:rPr>
          <w:rFonts w:ascii="Calibri"/>
          <w:spacing w:val="-1"/>
          <w:sz w:val="16"/>
        </w:rPr>
        <w:t> </w:t>
      </w:r>
      <w:r>
        <w:rPr>
          <w:rFonts w:ascii="Calibri"/>
          <w:sz w:val="16"/>
        </w:rPr>
        <w:t>that</w:t>
      </w:r>
      <w:r>
        <w:rPr>
          <w:rFonts w:ascii="Calibri"/>
          <w:spacing w:val="-3"/>
          <w:sz w:val="16"/>
        </w:rPr>
        <w:t> </w:t>
      </w:r>
      <w:r>
        <w:rPr>
          <w:rFonts w:ascii="Calibri"/>
          <w:sz w:val="16"/>
        </w:rPr>
        <w:t>are</w:t>
      </w:r>
      <w:r>
        <w:rPr>
          <w:rFonts w:ascii="Calibri"/>
          <w:spacing w:val="-1"/>
          <w:sz w:val="16"/>
        </w:rPr>
        <w:t> </w:t>
      </w:r>
      <w:r>
        <w:rPr>
          <w:rFonts w:ascii="Calibri"/>
          <w:sz w:val="16"/>
        </w:rPr>
        <w:t>significant</w:t>
      </w:r>
      <w:r>
        <w:rPr>
          <w:rFonts w:ascii="Calibri"/>
          <w:spacing w:val="-3"/>
          <w:sz w:val="16"/>
        </w:rPr>
        <w:t> </w:t>
      </w:r>
      <w:r>
        <w:rPr>
          <w:rFonts w:ascii="Calibri"/>
          <w:sz w:val="16"/>
        </w:rPr>
        <w:t>to</w:t>
      </w:r>
      <w:r>
        <w:rPr>
          <w:rFonts w:ascii="Calibri"/>
          <w:spacing w:val="-3"/>
          <w:sz w:val="16"/>
        </w:rPr>
        <w:t> </w:t>
      </w:r>
      <w:r>
        <w:rPr>
          <w:rFonts w:ascii="Calibri"/>
          <w:sz w:val="16"/>
        </w:rPr>
        <w:t>the</w:t>
      </w:r>
      <w:r>
        <w:rPr>
          <w:rFonts w:ascii="Calibri"/>
          <w:spacing w:val="-3"/>
          <w:sz w:val="16"/>
        </w:rPr>
        <w:t> </w:t>
      </w:r>
      <w:r>
        <w:rPr>
          <w:rFonts w:ascii="Calibri"/>
          <w:sz w:val="16"/>
        </w:rPr>
        <w:t>regression.</w:t>
      </w:r>
      <w:r>
        <w:rPr>
          <w:rFonts w:ascii="Calibri"/>
          <w:spacing w:val="-2"/>
          <w:sz w:val="16"/>
        </w:rPr>
        <w:t> </w:t>
      </w:r>
      <w:r>
        <w:rPr>
          <w:rFonts w:ascii="Calibri"/>
          <w:sz w:val="16"/>
        </w:rPr>
        <w:t>The</w:t>
      </w:r>
      <w:r>
        <w:rPr>
          <w:rFonts w:ascii="Calibri"/>
          <w:spacing w:val="-3"/>
          <w:sz w:val="16"/>
        </w:rPr>
        <w:t> </w:t>
      </w:r>
      <w:r>
        <w:rPr>
          <w:rFonts w:ascii="Calibri"/>
          <w:sz w:val="16"/>
        </w:rPr>
        <w:t>forecasts</w:t>
      </w:r>
      <w:r>
        <w:rPr>
          <w:rFonts w:ascii="Calibri"/>
          <w:spacing w:val="-3"/>
          <w:sz w:val="16"/>
        </w:rPr>
        <w:t> </w:t>
      </w:r>
      <w:r>
        <w:rPr>
          <w:rFonts w:ascii="Calibri"/>
          <w:sz w:val="16"/>
        </w:rPr>
        <w:t>are</w:t>
      </w:r>
      <w:r>
        <w:rPr>
          <w:rFonts w:ascii="Calibri"/>
          <w:spacing w:val="-1"/>
          <w:sz w:val="16"/>
        </w:rPr>
        <w:t> </w:t>
      </w:r>
      <w:r>
        <w:rPr>
          <w:rFonts w:ascii="Calibri"/>
          <w:sz w:val="16"/>
        </w:rPr>
        <w:t>adjusted</w:t>
      </w:r>
      <w:r>
        <w:rPr>
          <w:rFonts w:ascii="Calibri"/>
          <w:spacing w:val="-3"/>
          <w:sz w:val="16"/>
        </w:rPr>
        <w:t> </w:t>
      </w:r>
      <w:r>
        <w:rPr>
          <w:rFonts w:ascii="Calibri"/>
          <w:sz w:val="16"/>
        </w:rPr>
        <w:t>with</w:t>
      </w:r>
      <w:r>
        <w:rPr>
          <w:rFonts w:ascii="Calibri"/>
          <w:spacing w:val="-3"/>
          <w:sz w:val="16"/>
        </w:rPr>
        <w:t> </w:t>
      </w:r>
      <w:r>
        <w:rPr>
          <w:rFonts w:ascii="Calibri"/>
          <w:sz w:val="16"/>
        </w:rPr>
        <w:t>part</w:t>
      </w:r>
      <w:r>
        <w:rPr>
          <w:rFonts w:ascii="Calibri"/>
          <w:spacing w:val="-3"/>
          <w:sz w:val="16"/>
        </w:rPr>
        <w:t> </w:t>
      </w:r>
      <w:r>
        <w:rPr>
          <w:rFonts w:ascii="Calibri"/>
          <w:sz w:val="16"/>
        </w:rPr>
        <w:t>of</w:t>
      </w:r>
      <w:r>
        <w:rPr>
          <w:rFonts w:ascii="Calibri"/>
          <w:spacing w:val="-1"/>
          <w:sz w:val="16"/>
        </w:rPr>
        <w:t> </w:t>
      </w:r>
      <w:r>
        <w:rPr>
          <w:rFonts w:ascii="Calibri"/>
          <w:sz w:val="16"/>
        </w:rPr>
        <w:t>the</w:t>
      </w:r>
      <w:r>
        <w:rPr>
          <w:rFonts w:ascii="Calibri"/>
          <w:spacing w:val="-4"/>
          <w:sz w:val="16"/>
        </w:rPr>
        <w:t> </w:t>
      </w:r>
      <w:r>
        <w:rPr>
          <w:rFonts w:ascii="Calibri"/>
          <w:sz w:val="16"/>
        </w:rPr>
        <w:t>errors</w:t>
      </w:r>
      <w:r>
        <w:rPr>
          <w:rFonts w:ascii="Calibri"/>
          <w:spacing w:val="-3"/>
          <w:sz w:val="16"/>
        </w:rPr>
        <w:t> </w:t>
      </w:r>
      <w:r>
        <w:rPr>
          <w:rFonts w:ascii="Calibri"/>
          <w:sz w:val="16"/>
        </w:rPr>
        <w:t>found</w:t>
      </w:r>
      <w:r>
        <w:rPr>
          <w:rFonts w:ascii="Calibri"/>
          <w:spacing w:val="-3"/>
          <w:sz w:val="16"/>
        </w:rPr>
        <w:t> </w:t>
      </w:r>
      <w:r>
        <w:rPr>
          <w:rFonts w:ascii="Calibri"/>
          <w:sz w:val="16"/>
        </w:rPr>
        <w:t>in</w:t>
      </w:r>
      <w:r>
        <w:rPr>
          <w:rFonts w:ascii="Calibri"/>
          <w:spacing w:val="-3"/>
          <w:sz w:val="16"/>
        </w:rPr>
        <w:t> </w:t>
      </w:r>
      <w:r>
        <w:rPr>
          <w:rFonts w:ascii="Calibri"/>
          <w:sz w:val="16"/>
        </w:rPr>
        <w:t>the</w:t>
      </w:r>
      <w:r>
        <w:rPr>
          <w:rFonts w:ascii="Calibri"/>
          <w:spacing w:val="-4"/>
          <w:sz w:val="16"/>
        </w:rPr>
        <w:t> </w:t>
      </w:r>
      <w:r>
        <w:rPr>
          <w:rFonts w:ascii="Calibri"/>
          <w:sz w:val="16"/>
        </w:rPr>
        <w:t>backcast</w:t>
      </w:r>
      <w:r>
        <w:rPr>
          <w:rFonts w:ascii="Calibri"/>
          <w:spacing w:val="-3"/>
          <w:sz w:val="16"/>
        </w:rPr>
        <w:t> </w:t>
      </w:r>
      <w:r>
        <w:rPr>
          <w:rFonts w:ascii="Calibri"/>
          <w:sz w:val="16"/>
        </w:rPr>
        <w:t>of</w:t>
      </w:r>
      <w:r>
        <w:rPr>
          <w:rFonts w:ascii="Calibri"/>
          <w:spacing w:val="-3"/>
          <w:sz w:val="16"/>
        </w:rPr>
        <w:t> </w:t>
      </w:r>
      <w:r>
        <w:rPr>
          <w:rFonts w:ascii="Calibri"/>
          <w:sz w:val="16"/>
        </w:rPr>
        <w:t>the</w:t>
      </w:r>
      <w:r>
        <w:rPr>
          <w:rFonts w:ascii="Calibri"/>
          <w:spacing w:val="-4"/>
          <w:sz w:val="16"/>
        </w:rPr>
        <w:t> </w:t>
      </w:r>
      <w:r>
        <w:rPr>
          <w:rFonts w:ascii="Calibri"/>
          <w:sz w:val="16"/>
        </w:rPr>
        <w:t>period</w:t>
      </w:r>
    </w:p>
    <w:p>
      <w:pPr>
        <w:spacing w:after="0" w:line="242" w:lineRule="auto"/>
        <w:jc w:val="left"/>
        <w:rPr>
          <w:rFonts w:ascii="Calibri" w:hAnsi="Calibri" w:cs="Calibri" w:eastAsia="Calibri" w:hint="default"/>
          <w:sz w:val="16"/>
          <w:szCs w:val="16"/>
        </w:rPr>
        <w:sectPr>
          <w:footerReference w:type="default" r:id="rId74"/>
          <w:pgSz w:w="12240" w:h="15840"/>
          <w:pgMar w:footer="533" w:header="0" w:top="840" w:bottom="720" w:left="0" w:right="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17"/>
          <w:szCs w:val="17"/>
        </w:rPr>
      </w:pPr>
    </w:p>
    <w:p>
      <w:pPr>
        <w:pStyle w:val="BodyText"/>
        <w:spacing w:line="259" w:lineRule="auto" w:before="59"/>
        <w:ind w:right="1435"/>
        <w:jc w:val="both"/>
      </w:pPr>
      <w:r>
        <w:rPr/>
        <w:t>Another aspect that needs to be addressed is the cost of doing business in Curaçao. Currently, that cost is not an attractive proposition for investors. The efficiency with which the investment process is handled in Curaçao is time consuming,</w:t>
      </w:r>
      <w:r>
        <w:rPr>
          <w:spacing w:val="-12"/>
        </w:rPr>
        <w:t> </w:t>
      </w:r>
      <w:r>
        <w:rPr/>
        <w:t>frustrating,</w:t>
      </w:r>
      <w:r>
        <w:rPr>
          <w:spacing w:val="-12"/>
        </w:rPr>
        <w:t> </w:t>
      </w:r>
      <w:r>
        <w:rPr/>
        <w:t>and</w:t>
      </w:r>
      <w:r>
        <w:rPr>
          <w:spacing w:val="-12"/>
        </w:rPr>
        <w:t> </w:t>
      </w:r>
      <w:r>
        <w:rPr/>
        <w:t>risky</w:t>
      </w:r>
      <w:r>
        <w:rPr>
          <w:spacing w:val="-11"/>
        </w:rPr>
        <w:t> </w:t>
      </w:r>
      <w:r>
        <w:rPr/>
        <w:t>for</w:t>
      </w:r>
      <w:r>
        <w:rPr>
          <w:spacing w:val="-13"/>
        </w:rPr>
        <w:t> </w:t>
      </w:r>
      <w:r>
        <w:rPr/>
        <w:t>investors.</w:t>
      </w:r>
      <w:r>
        <w:rPr>
          <w:spacing w:val="20"/>
        </w:rPr>
        <w:t> </w:t>
      </w:r>
      <w:r>
        <w:rPr/>
        <w:t>Therefore,</w:t>
      </w:r>
      <w:r>
        <w:rPr>
          <w:spacing w:val="-12"/>
        </w:rPr>
        <w:t> </w:t>
      </w:r>
      <w:r>
        <w:rPr/>
        <w:t>the</w:t>
      </w:r>
      <w:r>
        <w:rPr>
          <w:spacing w:val="-13"/>
        </w:rPr>
        <w:t> </w:t>
      </w:r>
      <w:r>
        <w:rPr/>
        <w:t>process</w:t>
      </w:r>
      <w:r>
        <w:rPr>
          <w:spacing w:val="-14"/>
        </w:rPr>
        <w:t> </w:t>
      </w:r>
      <w:r>
        <w:rPr/>
        <w:t>must</w:t>
      </w:r>
      <w:r>
        <w:rPr>
          <w:spacing w:val="-12"/>
        </w:rPr>
        <w:t> </w:t>
      </w:r>
      <w:r>
        <w:rPr/>
        <w:t>be</w:t>
      </w:r>
      <w:r>
        <w:rPr>
          <w:spacing w:val="-13"/>
        </w:rPr>
        <w:t> </w:t>
      </w:r>
      <w:r>
        <w:rPr/>
        <w:t>improved</w:t>
      </w:r>
      <w:r>
        <w:rPr>
          <w:spacing w:val="-11"/>
        </w:rPr>
        <w:t> </w:t>
      </w:r>
      <w:r>
        <w:rPr/>
        <w:t>if</w:t>
      </w:r>
      <w:r>
        <w:rPr>
          <w:spacing w:val="-14"/>
        </w:rPr>
        <w:t> </w:t>
      </w:r>
      <w:r>
        <w:rPr/>
        <w:t>investment</w:t>
      </w:r>
      <w:r>
        <w:rPr>
          <w:spacing w:val="-12"/>
        </w:rPr>
        <w:t> </w:t>
      </w:r>
      <w:r>
        <w:rPr/>
        <w:t>in</w:t>
      </w:r>
      <w:r>
        <w:rPr>
          <w:spacing w:val="-12"/>
        </w:rPr>
        <w:t> </w:t>
      </w:r>
      <w:r>
        <w:rPr/>
        <w:t>the</w:t>
      </w:r>
      <w:r>
        <w:rPr>
          <w:spacing w:val="-13"/>
        </w:rPr>
        <w:t> </w:t>
      </w:r>
      <w:r>
        <w:rPr/>
        <w:t>tourism </w:t>
      </w:r>
      <w:r>
        <w:rPr/>
        <w:t>industry is to increase.  The following steps should be accomplished in years 1 and</w:t>
      </w:r>
      <w:r>
        <w:rPr>
          <w:spacing w:val="-25"/>
        </w:rPr>
        <w:t> </w:t>
      </w:r>
      <w:r>
        <w:rPr/>
        <w:t>2:</w:t>
      </w:r>
    </w:p>
    <w:p>
      <w:pPr>
        <w:pStyle w:val="ListParagraph"/>
        <w:numPr>
          <w:ilvl w:val="1"/>
          <w:numId w:val="10"/>
        </w:numPr>
        <w:tabs>
          <w:tab w:pos="2206" w:val="left" w:leader="none"/>
        </w:tabs>
        <w:spacing w:line="240" w:lineRule="auto" w:before="160" w:after="0"/>
        <w:ind w:left="2206" w:right="0" w:hanging="360"/>
        <w:jc w:val="left"/>
        <w:rPr>
          <w:rFonts w:ascii="Calibri" w:hAnsi="Calibri" w:cs="Calibri" w:eastAsia="Calibri" w:hint="default"/>
          <w:sz w:val="20"/>
          <w:szCs w:val="20"/>
        </w:rPr>
      </w:pPr>
      <w:r>
        <w:rPr>
          <w:rFonts w:ascii="Calibri"/>
          <w:sz w:val="20"/>
        </w:rPr>
        <w:t>Streamline</w:t>
      </w:r>
      <w:r>
        <w:rPr>
          <w:rFonts w:ascii="Calibri"/>
          <w:spacing w:val="-10"/>
          <w:sz w:val="20"/>
        </w:rPr>
        <w:t> </w:t>
      </w:r>
      <w:r>
        <w:rPr>
          <w:rFonts w:ascii="Calibri"/>
          <w:sz w:val="20"/>
        </w:rPr>
        <w:t>permitting</w:t>
      </w:r>
    </w:p>
    <w:p>
      <w:pPr>
        <w:pStyle w:val="ListParagraph"/>
        <w:numPr>
          <w:ilvl w:val="1"/>
          <w:numId w:val="10"/>
        </w:numPr>
        <w:tabs>
          <w:tab w:pos="2206" w:val="left" w:leader="none"/>
        </w:tabs>
        <w:spacing w:line="256" w:lineRule="auto" w:before="21" w:after="0"/>
        <w:ind w:left="2206" w:right="1436" w:hanging="360"/>
        <w:jc w:val="left"/>
        <w:rPr>
          <w:rFonts w:ascii="Calibri" w:hAnsi="Calibri" w:cs="Calibri" w:eastAsia="Calibri" w:hint="default"/>
          <w:sz w:val="20"/>
          <w:szCs w:val="20"/>
        </w:rPr>
      </w:pPr>
      <w:r>
        <w:rPr>
          <w:rFonts w:ascii="Calibri"/>
          <w:sz w:val="20"/>
        </w:rPr>
        <w:t>Increase efficiency in utilities in order to lower utility costs, thereby lowering direct costs to production (especially in</w:t>
      </w:r>
      <w:r>
        <w:rPr>
          <w:rFonts w:ascii="Calibri"/>
          <w:spacing w:val="-8"/>
          <w:sz w:val="20"/>
        </w:rPr>
        <w:t> </w:t>
      </w:r>
      <w:r>
        <w:rPr>
          <w:rFonts w:ascii="Calibri"/>
          <w:sz w:val="20"/>
        </w:rPr>
        <w:t>hotels)</w:t>
      </w:r>
    </w:p>
    <w:p>
      <w:pPr>
        <w:pStyle w:val="ListParagraph"/>
        <w:numPr>
          <w:ilvl w:val="1"/>
          <w:numId w:val="10"/>
        </w:numPr>
        <w:tabs>
          <w:tab w:pos="2206" w:val="left" w:leader="none"/>
        </w:tabs>
        <w:spacing w:line="256" w:lineRule="auto" w:before="4" w:after="0"/>
        <w:ind w:left="2206" w:right="1437" w:hanging="360"/>
        <w:jc w:val="left"/>
        <w:rPr>
          <w:rFonts w:ascii="Calibri" w:hAnsi="Calibri" w:cs="Calibri" w:eastAsia="Calibri" w:hint="default"/>
          <w:sz w:val="20"/>
          <w:szCs w:val="20"/>
        </w:rPr>
      </w:pPr>
      <w:r>
        <w:rPr>
          <w:rFonts w:ascii="Calibri"/>
          <w:sz w:val="20"/>
        </w:rPr>
        <w:t>Reduce</w:t>
      </w:r>
      <w:r>
        <w:rPr>
          <w:rFonts w:ascii="Calibri"/>
          <w:spacing w:val="-8"/>
          <w:sz w:val="20"/>
        </w:rPr>
        <w:t> </w:t>
      </w:r>
      <w:r>
        <w:rPr>
          <w:rFonts w:ascii="Calibri"/>
          <w:sz w:val="20"/>
        </w:rPr>
        <w:t>market</w:t>
      </w:r>
      <w:r>
        <w:rPr>
          <w:rFonts w:ascii="Calibri"/>
          <w:spacing w:val="-9"/>
          <w:sz w:val="20"/>
        </w:rPr>
        <w:t> </w:t>
      </w:r>
      <w:r>
        <w:rPr>
          <w:rFonts w:ascii="Calibri"/>
          <w:sz w:val="20"/>
        </w:rPr>
        <w:t>distortions</w:t>
      </w:r>
      <w:r>
        <w:rPr>
          <w:rFonts w:ascii="Calibri"/>
          <w:spacing w:val="-10"/>
          <w:sz w:val="20"/>
        </w:rPr>
        <w:t> </w:t>
      </w:r>
      <w:r>
        <w:rPr>
          <w:rFonts w:ascii="Calibri"/>
          <w:sz w:val="20"/>
        </w:rPr>
        <w:t>by</w:t>
      </w:r>
      <w:r>
        <w:rPr>
          <w:rFonts w:ascii="Calibri"/>
          <w:spacing w:val="-6"/>
          <w:sz w:val="20"/>
        </w:rPr>
        <w:t> </w:t>
      </w:r>
      <w:r>
        <w:rPr>
          <w:rFonts w:ascii="Calibri"/>
          <w:sz w:val="20"/>
        </w:rPr>
        <w:t>easing</w:t>
      </w:r>
      <w:r>
        <w:rPr>
          <w:rFonts w:ascii="Calibri"/>
          <w:spacing w:val="-9"/>
          <w:sz w:val="20"/>
        </w:rPr>
        <w:t> </w:t>
      </w:r>
      <w:r>
        <w:rPr>
          <w:rFonts w:ascii="Calibri"/>
          <w:sz w:val="20"/>
        </w:rPr>
        <w:t>or</w:t>
      </w:r>
      <w:r>
        <w:rPr>
          <w:rFonts w:ascii="Calibri"/>
          <w:spacing w:val="-9"/>
          <w:sz w:val="20"/>
        </w:rPr>
        <w:t> </w:t>
      </w:r>
      <w:r>
        <w:rPr>
          <w:rFonts w:ascii="Calibri"/>
          <w:sz w:val="20"/>
        </w:rPr>
        <w:t>liberalizing</w:t>
      </w:r>
      <w:r>
        <w:rPr>
          <w:rFonts w:ascii="Calibri"/>
          <w:spacing w:val="-9"/>
          <w:sz w:val="20"/>
        </w:rPr>
        <w:t> </w:t>
      </w:r>
      <w:r>
        <w:rPr>
          <w:rFonts w:ascii="Calibri"/>
          <w:sz w:val="20"/>
        </w:rPr>
        <w:t>the</w:t>
      </w:r>
      <w:r>
        <w:rPr>
          <w:rFonts w:ascii="Calibri"/>
          <w:spacing w:val="-8"/>
          <w:sz w:val="20"/>
        </w:rPr>
        <w:t> </w:t>
      </w:r>
      <w:r>
        <w:rPr>
          <w:rFonts w:ascii="Calibri"/>
          <w:sz w:val="20"/>
        </w:rPr>
        <w:t>hiring</w:t>
      </w:r>
      <w:r>
        <w:rPr>
          <w:rFonts w:ascii="Calibri"/>
          <w:spacing w:val="-9"/>
          <w:sz w:val="20"/>
        </w:rPr>
        <w:t> </w:t>
      </w:r>
      <w:r>
        <w:rPr>
          <w:rFonts w:ascii="Calibri"/>
          <w:sz w:val="20"/>
        </w:rPr>
        <w:t>of</w:t>
      </w:r>
      <w:r>
        <w:rPr>
          <w:rFonts w:ascii="Calibri"/>
          <w:spacing w:val="-10"/>
          <w:sz w:val="20"/>
        </w:rPr>
        <w:t> </w:t>
      </w:r>
      <w:r>
        <w:rPr>
          <w:rFonts w:ascii="Calibri"/>
          <w:sz w:val="20"/>
        </w:rPr>
        <w:t>expatriates</w:t>
      </w:r>
      <w:r>
        <w:rPr>
          <w:rFonts w:ascii="Calibri"/>
          <w:spacing w:val="-10"/>
          <w:sz w:val="20"/>
        </w:rPr>
        <w:t> </w:t>
      </w:r>
      <w:r>
        <w:rPr>
          <w:rFonts w:ascii="Calibri"/>
          <w:sz w:val="20"/>
        </w:rPr>
        <w:t>to</w:t>
      </w:r>
      <w:r>
        <w:rPr>
          <w:rFonts w:ascii="Calibri"/>
          <w:spacing w:val="-9"/>
          <w:sz w:val="20"/>
        </w:rPr>
        <w:t> </w:t>
      </w:r>
      <w:r>
        <w:rPr>
          <w:rFonts w:ascii="Calibri"/>
          <w:sz w:val="20"/>
        </w:rPr>
        <w:t>provide</w:t>
      </w:r>
      <w:r>
        <w:rPr>
          <w:rFonts w:ascii="Calibri"/>
          <w:spacing w:val="-10"/>
          <w:sz w:val="20"/>
        </w:rPr>
        <w:t> </w:t>
      </w:r>
      <w:r>
        <w:rPr>
          <w:rFonts w:ascii="Calibri"/>
          <w:sz w:val="20"/>
        </w:rPr>
        <w:t>quick</w:t>
      </w:r>
      <w:r>
        <w:rPr>
          <w:rFonts w:ascii="Calibri"/>
          <w:spacing w:val="-9"/>
          <w:sz w:val="20"/>
        </w:rPr>
        <w:t> </w:t>
      </w:r>
      <w:r>
        <w:rPr>
          <w:rFonts w:ascii="Calibri"/>
          <w:sz w:val="20"/>
        </w:rPr>
        <w:t>and</w:t>
      </w:r>
      <w:r>
        <w:rPr>
          <w:rFonts w:ascii="Calibri"/>
          <w:spacing w:val="-9"/>
          <w:sz w:val="20"/>
        </w:rPr>
        <w:t> </w:t>
      </w:r>
      <w:r>
        <w:rPr>
          <w:rFonts w:ascii="Calibri"/>
          <w:sz w:val="20"/>
        </w:rPr>
        <w:t>affordable </w:t>
      </w:r>
      <w:r>
        <w:rPr>
          <w:rFonts w:ascii="Calibri"/>
          <w:sz w:val="20"/>
        </w:rPr>
        <w:t>skills that are missing on the</w:t>
      </w:r>
      <w:r>
        <w:rPr>
          <w:rFonts w:ascii="Calibri"/>
          <w:spacing w:val="-14"/>
          <w:sz w:val="20"/>
        </w:rPr>
        <w:t> </w:t>
      </w:r>
      <w:r>
        <w:rPr>
          <w:rFonts w:ascii="Calibri"/>
          <w:sz w:val="20"/>
        </w:rPr>
        <w:t>island.</w:t>
      </w:r>
    </w:p>
    <w:p>
      <w:pPr>
        <w:pStyle w:val="ListParagraph"/>
        <w:numPr>
          <w:ilvl w:val="1"/>
          <w:numId w:val="10"/>
        </w:numPr>
        <w:tabs>
          <w:tab w:pos="2206" w:val="left" w:leader="none"/>
        </w:tabs>
        <w:spacing w:line="240" w:lineRule="auto" w:before="4" w:after="0"/>
        <w:ind w:left="2206" w:right="0" w:hanging="360"/>
        <w:jc w:val="left"/>
        <w:rPr>
          <w:rFonts w:ascii="Calibri" w:hAnsi="Calibri" w:cs="Calibri" w:eastAsia="Calibri" w:hint="default"/>
          <w:sz w:val="20"/>
          <w:szCs w:val="20"/>
        </w:rPr>
      </w:pPr>
      <w:r>
        <w:rPr>
          <w:rFonts w:ascii="Calibri"/>
          <w:sz w:val="20"/>
        </w:rPr>
        <w:t>Accelerate knowledge transfer in order to increase the quality of the service</w:t>
      </w:r>
      <w:r>
        <w:rPr>
          <w:rFonts w:ascii="Calibri"/>
          <w:spacing w:val="-29"/>
          <w:sz w:val="20"/>
        </w:rPr>
        <w:t> </w:t>
      </w:r>
      <w:r>
        <w:rPr>
          <w:rFonts w:ascii="Calibri"/>
          <w:sz w:val="20"/>
        </w:rPr>
        <w:t>delivery</w:t>
      </w:r>
    </w:p>
    <w:p>
      <w:pPr>
        <w:spacing w:line="240" w:lineRule="auto" w:before="0"/>
        <w:ind w:right="0"/>
        <w:rPr>
          <w:rFonts w:ascii="Calibri" w:hAnsi="Calibri" w:cs="Calibri" w:eastAsia="Calibri" w:hint="default"/>
          <w:sz w:val="20"/>
          <w:szCs w:val="20"/>
        </w:rPr>
      </w:pPr>
    </w:p>
    <w:p>
      <w:pPr>
        <w:spacing w:line="240" w:lineRule="auto" w:before="7"/>
        <w:ind w:right="0"/>
        <w:rPr>
          <w:rFonts w:ascii="Calibri" w:hAnsi="Calibri" w:cs="Calibri" w:eastAsia="Calibri" w:hint="default"/>
          <w:sz w:val="15"/>
          <w:szCs w:val="15"/>
        </w:rPr>
      </w:pPr>
    </w:p>
    <w:p>
      <w:pPr>
        <w:pStyle w:val="Heading2"/>
        <w:spacing w:line="240" w:lineRule="auto" w:before="0"/>
        <w:ind w:right="0"/>
        <w:jc w:val="both"/>
        <w:rPr>
          <w:rFonts w:ascii="Calibri" w:hAnsi="Calibri" w:cs="Calibri" w:eastAsia="Calibri" w:hint="default"/>
          <w:b w:val="0"/>
          <w:bCs w:val="0"/>
        </w:rPr>
      </w:pPr>
      <w:bookmarkStart w:name="_bookmark166" w:id="167"/>
      <w:bookmarkEnd w:id="167"/>
      <w:r>
        <w:rPr>
          <w:b w:val="0"/>
          <w:bCs w:val="0"/>
        </w:rPr>
      </w:r>
      <w:r>
        <w:rPr/>
        <w:t>Strategy #5: </w:t>
      </w:r>
      <w:r>
        <w:rPr>
          <w:rFonts w:ascii="Calibri" w:hAnsi="Calibri" w:cs="Calibri" w:eastAsia="Calibri" w:hint="default"/>
        </w:rPr>
        <w:t>Punda/Otrabanda as Curaçao’s tourist</w:t>
      </w:r>
      <w:r>
        <w:rPr>
          <w:rFonts w:ascii="Calibri" w:hAnsi="Calibri" w:cs="Calibri" w:eastAsia="Calibri" w:hint="default"/>
          <w:spacing w:val="-18"/>
        </w:rPr>
        <w:t> </w:t>
      </w:r>
      <w:r>
        <w:rPr>
          <w:rFonts w:ascii="Calibri" w:hAnsi="Calibri" w:cs="Calibri" w:eastAsia="Calibri" w:hint="default"/>
        </w:rPr>
        <w:t>rendezvous</w:t>
      </w:r>
      <w:r>
        <w:rPr>
          <w:rFonts w:ascii="Calibri" w:hAnsi="Calibri" w:cs="Calibri" w:eastAsia="Calibri" w:hint="default"/>
          <w:b w:val="0"/>
          <w:bCs w:val="0"/>
        </w:rPr>
      </w:r>
    </w:p>
    <w:p>
      <w:pPr>
        <w:pStyle w:val="BodyText"/>
        <w:spacing w:line="256" w:lineRule="auto" w:before="191"/>
        <w:ind w:right="1436"/>
        <w:jc w:val="both"/>
      </w:pPr>
      <w:r>
        <w:rPr/>
        <w:t>The DPITS findings indicate that Punda/Otrabanda have become important attractions for the stay-over tourists as well as the cruise visitors. The mid-term goal (years 3 and 4) is to transform the UNESCO World Heritage site, Punda/Otrabanda, into a vibrant rendezvous area for tourists (see Figure 33). The largest component required to </w:t>
      </w:r>
      <w:r>
        <w:rPr>
          <w:rFonts w:ascii="Calibri" w:hAnsi="Calibri" w:cs="Calibri" w:eastAsia="Calibri" w:hint="default"/>
        </w:rPr>
        <w:t>sustain</w:t>
      </w:r>
      <w:r>
        <w:rPr>
          <w:rFonts w:ascii="Calibri" w:hAnsi="Calibri" w:cs="Calibri" w:eastAsia="Calibri" w:hint="default"/>
          <w:spacing w:val="-8"/>
        </w:rPr>
        <w:t> </w:t>
      </w:r>
      <w:r>
        <w:rPr>
          <w:rFonts w:ascii="Calibri" w:hAnsi="Calibri" w:cs="Calibri" w:eastAsia="Calibri" w:hint="default"/>
        </w:rPr>
        <w:t>tourist</w:t>
      </w:r>
      <w:r>
        <w:rPr>
          <w:rFonts w:ascii="Calibri" w:hAnsi="Calibri" w:cs="Calibri" w:eastAsia="Calibri" w:hint="default"/>
          <w:spacing w:val="-8"/>
        </w:rPr>
        <w:t> </w:t>
      </w:r>
      <w:r>
        <w:rPr>
          <w:rFonts w:ascii="Calibri" w:hAnsi="Calibri" w:cs="Calibri" w:eastAsia="Calibri" w:hint="default"/>
        </w:rPr>
        <w:t>demand</w:t>
      </w:r>
      <w:r>
        <w:rPr>
          <w:rFonts w:ascii="Calibri" w:hAnsi="Calibri" w:cs="Calibri" w:eastAsia="Calibri" w:hint="default"/>
          <w:spacing w:val="-8"/>
        </w:rPr>
        <w:t> </w:t>
      </w:r>
      <w:r>
        <w:rPr>
          <w:rFonts w:ascii="Calibri" w:hAnsi="Calibri" w:cs="Calibri" w:eastAsia="Calibri" w:hint="default"/>
        </w:rPr>
        <w:t>in</w:t>
      </w:r>
      <w:r>
        <w:rPr>
          <w:rFonts w:ascii="Calibri" w:hAnsi="Calibri" w:cs="Calibri" w:eastAsia="Calibri" w:hint="default"/>
          <w:spacing w:val="-8"/>
        </w:rPr>
        <w:t> </w:t>
      </w:r>
      <w:r>
        <w:rPr>
          <w:rFonts w:ascii="Calibri" w:hAnsi="Calibri" w:cs="Calibri" w:eastAsia="Calibri" w:hint="default"/>
        </w:rPr>
        <w:t>today’s</w:t>
      </w:r>
      <w:r>
        <w:rPr>
          <w:rFonts w:ascii="Calibri" w:hAnsi="Calibri" w:cs="Calibri" w:eastAsia="Calibri" w:hint="default"/>
          <w:spacing w:val="-9"/>
        </w:rPr>
        <w:t> </w:t>
      </w:r>
      <w:r>
        <w:rPr>
          <w:rFonts w:ascii="Calibri" w:hAnsi="Calibri" w:cs="Calibri" w:eastAsia="Calibri" w:hint="default"/>
        </w:rPr>
        <w:t>market</w:t>
      </w:r>
      <w:r>
        <w:rPr>
          <w:rFonts w:ascii="Calibri" w:hAnsi="Calibri" w:cs="Calibri" w:eastAsia="Calibri" w:hint="default"/>
          <w:spacing w:val="-9"/>
        </w:rPr>
        <w:t> </w:t>
      </w:r>
      <w:r>
        <w:rPr>
          <w:rFonts w:ascii="Calibri" w:hAnsi="Calibri" w:cs="Calibri" w:eastAsia="Calibri" w:hint="default"/>
        </w:rPr>
        <w:t>is</w:t>
      </w:r>
      <w:r>
        <w:rPr>
          <w:rFonts w:ascii="Calibri" w:hAnsi="Calibri" w:cs="Calibri" w:eastAsia="Calibri" w:hint="default"/>
          <w:spacing w:val="-9"/>
        </w:rPr>
        <w:t> </w:t>
      </w:r>
      <w:r>
        <w:rPr>
          <w:rFonts w:ascii="Calibri" w:hAnsi="Calibri" w:cs="Calibri" w:eastAsia="Calibri" w:hint="default"/>
        </w:rPr>
        <w:t>to</w:t>
      </w:r>
      <w:r>
        <w:rPr>
          <w:rFonts w:ascii="Calibri" w:hAnsi="Calibri" w:cs="Calibri" w:eastAsia="Calibri" w:hint="default"/>
          <w:spacing w:val="-8"/>
        </w:rPr>
        <w:t> </w:t>
      </w:r>
      <w:r>
        <w:rPr>
          <w:rFonts w:ascii="Calibri" w:hAnsi="Calibri" w:cs="Calibri" w:eastAsia="Calibri" w:hint="default"/>
        </w:rPr>
        <w:t>provide</w:t>
      </w:r>
      <w:r>
        <w:rPr>
          <w:rFonts w:ascii="Calibri" w:hAnsi="Calibri" w:cs="Calibri" w:eastAsia="Calibri" w:hint="default"/>
          <w:spacing w:val="-9"/>
        </w:rPr>
        <w:t> </w:t>
      </w:r>
      <w:r>
        <w:rPr>
          <w:rFonts w:ascii="Calibri" w:hAnsi="Calibri" w:cs="Calibri" w:eastAsia="Calibri" w:hint="default"/>
        </w:rPr>
        <w:t>destination</w:t>
      </w:r>
      <w:r>
        <w:rPr>
          <w:rFonts w:ascii="Calibri" w:hAnsi="Calibri" w:cs="Calibri" w:eastAsia="Calibri" w:hint="default"/>
          <w:spacing w:val="-8"/>
        </w:rPr>
        <w:t> </w:t>
      </w:r>
      <w:r>
        <w:rPr>
          <w:rFonts w:ascii="Calibri" w:hAnsi="Calibri" w:cs="Calibri" w:eastAsia="Calibri" w:hint="default"/>
        </w:rPr>
        <w:t>product</w:t>
      </w:r>
      <w:r>
        <w:rPr>
          <w:rFonts w:ascii="Calibri" w:hAnsi="Calibri" w:cs="Calibri" w:eastAsia="Calibri" w:hint="default"/>
          <w:spacing w:val="-9"/>
        </w:rPr>
        <w:t> </w:t>
      </w:r>
      <w:r>
        <w:rPr>
          <w:rFonts w:ascii="Calibri" w:hAnsi="Calibri" w:cs="Calibri" w:eastAsia="Calibri" w:hint="default"/>
        </w:rPr>
        <w:t>platforms</w:t>
      </w:r>
      <w:r>
        <w:rPr>
          <w:rFonts w:ascii="Calibri" w:hAnsi="Calibri" w:cs="Calibri" w:eastAsia="Calibri" w:hint="default"/>
          <w:spacing w:val="-9"/>
        </w:rPr>
        <w:t> </w:t>
      </w:r>
      <w:r>
        <w:rPr>
          <w:rFonts w:ascii="Calibri" w:hAnsi="Calibri" w:cs="Calibri" w:eastAsia="Calibri" w:hint="default"/>
        </w:rPr>
        <w:t>that</w:t>
      </w:r>
      <w:r>
        <w:rPr>
          <w:rFonts w:ascii="Calibri" w:hAnsi="Calibri" w:cs="Calibri" w:eastAsia="Calibri" w:hint="default"/>
          <w:spacing w:val="-12"/>
        </w:rPr>
        <w:t> </w:t>
      </w:r>
      <w:r>
        <w:rPr>
          <w:rFonts w:ascii="Calibri" w:hAnsi="Calibri" w:cs="Calibri" w:eastAsia="Calibri" w:hint="default"/>
        </w:rPr>
        <w:t>display a</w:t>
      </w:r>
      <w:r>
        <w:rPr>
          <w:rFonts w:ascii="Calibri" w:hAnsi="Calibri" w:cs="Calibri" w:eastAsia="Calibri" w:hint="default"/>
          <w:spacing w:val="-8"/>
        </w:rPr>
        <w:t> </w:t>
      </w:r>
      <w:r>
        <w:rPr>
          <w:rFonts w:ascii="Calibri" w:hAnsi="Calibri" w:cs="Calibri" w:eastAsia="Calibri" w:hint="default"/>
        </w:rPr>
        <w:t>destination’s</w:t>
      </w:r>
      <w:r>
        <w:rPr>
          <w:rFonts w:ascii="Calibri" w:hAnsi="Calibri" w:cs="Calibri" w:eastAsia="Calibri" w:hint="default"/>
          <w:spacing w:val="-9"/>
        </w:rPr>
        <w:t> </w:t>
      </w:r>
      <w:r>
        <w:rPr>
          <w:rFonts w:ascii="Calibri" w:hAnsi="Calibri" w:cs="Calibri" w:eastAsia="Calibri" w:hint="default"/>
        </w:rPr>
        <w:t>raw </w:t>
      </w:r>
      <w:r>
        <w:rPr>
          <w:rFonts w:ascii="Calibri" w:hAnsi="Calibri" w:cs="Calibri" w:eastAsia="Calibri" w:hint="default"/>
        </w:rPr>
      </w:r>
      <w:r>
        <w:rPr/>
        <w:t>and untouched cultural authenticity. These platforms should make locals proud. The history and the heritage represented should give reason and cause for locals to celebrate. And, if the locals are willing to create a platform that</w:t>
      </w:r>
      <w:r>
        <w:rPr>
          <w:spacing w:val="-2"/>
        </w:rPr>
        <w:t> </w:t>
      </w:r>
      <w:r>
        <w:rPr/>
        <w:t>invites</w:t>
      </w:r>
      <w:r>
        <w:rPr>
          <w:spacing w:val="-5"/>
        </w:rPr>
        <w:t> </w:t>
      </w:r>
      <w:r>
        <w:rPr/>
        <w:t>tourists</w:t>
      </w:r>
      <w:r>
        <w:rPr>
          <w:spacing w:val="-5"/>
        </w:rPr>
        <w:t> </w:t>
      </w:r>
      <w:r>
        <w:rPr/>
        <w:t>to</w:t>
      </w:r>
      <w:r>
        <w:rPr>
          <w:spacing w:val="-3"/>
        </w:rPr>
        <w:t> </w:t>
      </w:r>
      <w:r>
        <w:rPr/>
        <w:t>share</w:t>
      </w:r>
      <w:r>
        <w:rPr>
          <w:spacing w:val="-4"/>
        </w:rPr>
        <w:t> </w:t>
      </w:r>
      <w:r>
        <w:rPr/>
        <w:t>and</w:t>
      </w:r>
      <w:r>
        <w:rPr>
          <w:spacing w:val="-3"/>
        </w:rPr>
        <w:t> </w:t>
      </w:r>
      <w:r>
        <w:rPr/>
        <w:t>feel</w:t>
      </w:r>
      <w:r>
        <w:rPr>
          <w:spacing w:val="-4"/>
        </w:rPr>
        <w:t> </w:t>
      </w:r>
      <w:r>
        <w:rPr/>
        <w:t>the</w:t>
      </w:r>
      <w:r>
        <w:rPr>
          <w:spacing w:val="-4"/>
        </w:rPr>
        <w:t> </w:t>
      </w:r>
      <w:r>
        <w:rPr/>
        <w:t>local Curaçao</w:t>
      </w:r>
      <w:r>
        <w:rPr>
          <w:spacing w:val="-2"/>
        </w:rPr>
        <w:t> </w:t>
      </w:r>
      <w:r>
        <w:rPr/>
        <w:t>culture,</w:t>
      </w:r>
      <w:r>
        <w:rPr>
          <w:spacing w:val="-1"/>
        </w:rPr>
        <w:t> </w:t>
      </w:r>
      <w:r>
        <w:rPr/>
        <w:t>the</w:t>
      </w:r>
      <w:r>
        <w:rPr>
          <w:spacing w:val="-4"/>
        </w:rPr>
        <w:t> </w:t>
      </w:r>
      <w:r>
        <w:rPr/>
        <w:t>experiences</w:t>
      </w:r>
      <w:r>
        <w:rPr>
          <w:spacing w:val="-5"/>
        </w:rPr>
        <w:t> </w:t>
      </w:r>
      <w:r>
        <w:rPr/>
        <w:t>will</w:t>
      </w:r>
      <w:r>
        <w:rPr>
          <w:spacing w:val="-4"/>
        </w:rPr>
        <w:t> </w:t>
      </w:r>
      <w:r>
        <w:rPr/>
        <w:t>be</w:t>
      </w:r>
      <w:r>
        <w:rPr>
          <w:spacing w:val="-2"/>
        </w:rPr>
        <w:t> </w:t>
      </w:r>
      <w:r>
        <w:rPr/>
        <w:t>memorable</w:t>
      </w:r>
      <w:r>
        <w:rPr>
          <w:spacing w:val="-2"/>
        </w:rPr>
        <w:t> </w:t>
      </w:r>
      <w:r>
        <w:rPr/>
        <w:t>for</w:t>
      </w:r>
      <w:r>
        <w:rPr>
          <w:spacing w:val="-3"/>
        </w:rPr>
        <w:t> </w:t>
      </w:r>
      <w:r>
        <w:rPr/>
        <w:t>all</w:t>
      </w:r>
      <w:r>
        <w:rPr>
          <w:spacing w:val="-3"/>
        </w:rPr>
        <w:t> </w:t>
      </w:r>
      <w:r>
        <w:rPr/>
        <w:t>involved.</w:t>
      </w:r>
    </w:p>
    <w:p>
      <w:pPr>
        <w:spacing w:line="240" w:lineRule="auto" w:before="3" w:after="0"/>
        <w:ind w:right="0"/>
        <w:rPr>
          <w:rFonts w:ascii="Calibri" w:hAnsi="Calibri" w:cs="Calibri" w:eastAsia="Calibri" w:hint="default"/>
          <w:sz w:val="21"/>
          <w:szCs w:val="21"/>
        </w:rPr>
      </w:pPr>
    </w:p>
    <w:p>
      <w:pPr>
        <w:spacing w:line="240" w:lineRule="auto"/>
        <w:ind w:left="3585"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181711" cy="1785747"/>
            <wp:effectExtent l="0" t="0" r="0" b="0"/>
            <wp:docPr id="115" name="image42.png" descr=""/>
            <wp:cNvGraphicFramePr>
              <a:graphicFrameLocks noChangeAspect="1"/>
            </wp:cNvGraphicFramePr>
            <a:graphic>
              <a:graphicData uri="http://schemas.openxmlformats.org/drawingml/2006/picture">
                <pic:pic>
                  <pic:nvPicPr>
                    <pic:cNvPr id="116" name="image42.png"/>
                    <pic:cNvPicPr/>
                  </pic:nvPicPr>
                  <pic:blipFill>
                    <a:blip r:embed="rId76" cstate="print"/>
                    <a:stretch>
                      <a:fillRect/>
                    </a:stretch>
                  </pic:blipFill>
                  <pic:spPr>
                    <a:xfrm>
                      <a:off x="0" y="0"/>
                      <a:ext cx="3181711" cy="1785747"/>
                    </a:xfrm>
                    <a:prstGeom prst="rect">
                      <a:avLst/>
                    </a:prstGeom>
                  </pic:spPr>
                </pic:pic>
              </a:graphicData>
            </a:graphic>
          </wp:inline>
        </w:drawing>
      </w:r>
      <w:r>
        <w:rPr>
          <w:rFonts w:ascii="Calibri" w:hAnsi="Calibri" w:cs="Calibri" w:eastAsia="Calibri" w:hint="default"/>
          <w:sz w:val="20"/>
          <w:szCs w:val="20"/>
        </w:rPr>
      </w:r>
    </w:p>
    <w:p>
      <w:pPr>
        <w:spacing w:line="240" w:lineRule="auto" w:before="7"/>
        <w:ind w:right="0"/>
        <w:rPr>
          <w:rFonts w:ascii="Calibri" w:hAnsi="Calibri" w:cs="Calibri" w:eastAsia="Calibri" w:hint="default"/>
          <w:sz w:val="17"/>
          <w:szCs w:val="17"/>
        </w:rPr>
      </w:pPr>
    </w:p>
    <w:p>
      <w:pPr>
        <w:pStyle w:val="Heading9"/>
        <w:spacing w:line="240" w:lineRule="auto"/>
        <w:ind w:left="25" w:right="26"/>
        <w:jc w:val="center"/>
        <w:rPr>
          <w:b w:val="0"/>
          <w:bCs w:val="0"/>
        </w:rPr>
      </w:pPr>
      <w:bookmarkStart w:name="_bookmark167" w:id="168"/>
      <w:bookmarkEnd w:id="168"/>
      <w:r>
        <w:rPr>
          <w:b w:val="0"/>
        </w:rPr>
      </w:r>
      <w:r>
        <w:rPr/>
        <w:t>Figure 33: Punda/Otrabanda</w:t>
      </w:r>
      <w:r>
        <w:rPr>
          <w:spacing w:val="-18"/>
        </w:rPr>
        <w:t> </w:t>
      </w:r>
      <w:r>
        <w:rPr/>
        <w:t>Map</w:t>
      </w:r>
      <w:r>
        <w:rPr>
          <w:b w:val="0"/>
        </w:rPr>
      </w:r>
    </w:p>
    <w:p>
      <w:pPr>
        <w:spacing w:line="240" w:lineRule="auto" w:before="4"/>
        <w:ind w:right="0"/>
        <w:rPr>
          <w:rFonts w:ascii="Calibri" w:hAnsi="Calibri" w:cs="Calibri" w:eastAsia="Calibri" w:hint="default"/>
          <w:b/>
          <w:bCs/>
          <w:sz w:val="21"/>
          <w:szCs w:val="21"/>
        </w:rPr>
      </w:pPr>
    </w:p>
    <w:p>
      <w:pPr>
        <w:pStyle w:val="BodyText"/>
        <w:spacing w:line="256" w:lineRule="auto"/>
        <w:ind w:right="1437"/>
        <w:jc w:val="both"/>
      </w:pPr>
      <w:r>
        <w:rPr/>
        <w:t>Many island destinations have created tourist districts that intentionally separ</w:t>
      </w:r>
      <w:r>
        <w:rPr>
          <w:rFonts w:ascii="Calibri" w:hAnsi="Calibri" w:cs="Calibri" w:eastAsia="Calibri" w:hint="default"/>
        </w:rPr>
        <w:t>ate the island people’s everyday life </w:t>
      </w:r>
      <w:r>
        <w:rPr/>
        <w:t>from the historic monuments that the tourists would like to see. This practice, more or less, degrades the cultural authenticity of a destination. It becomes difficult to infiltrate tourists into areas away from tourist districts since island</w:t>
      </w:r>
      <w:r>
        <w:rPr>
          <w:spacing w:val="-10"/>
        </w:rPr>
        <w:t> </w:t>
      </w:r>
      <w:r>
        <w:rPr/>
        <w:t>destinations</w:t>
      </w:r>
      <w:r>
        <w:rPr>
          <w:spacing w:val="-11"/>
        </w:rPr>
        <w:t> </w:t>
      </w:r>
      <w:r>
        <w:rPr/>
        <w:t>have</w:t>
      </w:r>
      <w:r>
        <w:rPr>
          <w:spacing w:val="-11"/>
        </w:rPr>
        <w:t> </w:t>
      </w:r>
      <w:r>
        <w:rPr/>
        <w:t>already</w:t>
      </w:r>
      <w:r>
        <w:rPr>
          <w:spacing w:val="-9"/>
        </w:rPr>
        <w:t> </w:t>
      </w:r>
      <w:r>
        <w:rPr/>
        <w:t>sunk</w:t>
      </w:r>
      <w:r>
        <w:rPr>
          <w:spacing w:val="-10"/>
        </w:rPr>
        <w:t> </w:t>
      </w:r>
      <w:r>
        <w:rPr/>
        <w:t>cost</w:t>
      </w:r>
      <w:r>
        <w:rPr>
          <w:spacing w:val="-10"/>
        </w:rPr>
        <w:t> </w:t>
      </w:r>
      <w:r>
        <w:rPr/>
        <w:t>into</w:t>
      </w:r>
      <w:r>
        <w:rPr>
          <w:spacing w:val="-12"/>
        </w:rPr>
        <w:t> </w:t>
      </w:r>
      <w:r>
        <w:rPr/>
        <w:t>the</w:t>
      </w:r>
      <w:r>
        <w:rPr>
          <w:spacing w:val="-11"/>
        </w:rPr>
        <w:t> </w:t>
      </w:r>
      <w:r>
        <w:rPr/>
        <w:t>tourist</w:t>
      </w:r>
      <w:r>
        <w:rPr>
          <w:spacing w:val="-10"/>
        </w:rPr>
        <w:t> </w:t>
      </w:r>
      <w:r>
        <w:rPr/>
        <w:t>districts</w:t>
      </w:r>
      <w:r>
        <w:rPr>
          <w:spacing w:val="-11"/>
        </w:rPr>
        <w:t> </w:t>
      </w:r>
      <w:r>
        <w:rPr/>
        <w:t>that</w:t>
      </w:r>
      <w:r>
        <w:rPr>
          <w:spacing w:val="-6"/>
        </w:rPr>
        <w:t> </w:t>
      </w:r>
      <w:r>
        <w:rPr/>
        <w:t>had</w:t>
      </w:r>
      <w:r>
        <w:rPr>
          <w:spacing w:val="-9"/>
        </w:rPr>
        <w:t> </w:t>
      </w:r>
      <w:r>
        <w:rPr/>
        <w:t>separated</w:t>
      </w:r>
      <w:r>
        <w:rPr>
          <w:spacing w:val="-10"/>
        </w:rPr>
        <w:t> </w:t>
      </w:r>
      <w:r>
        <w:rPr/>
        <w:t>authentic</w:t>
      </w:r>
      <w:r>
        <w:rPr>
          <w:spacing w:val="-10"/>
        </w:rPr>
        <w:t> </w:t>
      </w:r>
      <w:r>
        <w:rPr/>
        <w:t>culture</w:t>
      </w:r>
      <w:r>
        <w:rPr>
          <w:spacing w:val="-11"/>
        </w:rPr>
        <w:t> </w:t>
      </w:r>
      <w:r>
        <w:rPr/>
        <w:t>from</w:t>
      </w:r>
      <w:r>
        <w:rPr>
          <w:spacing w:val="-11"/>
        </w:rPr>
        <w:t> </w:t>
      </w:r>
      <w:r>
        <w:rPr/>
        <w:t>historic </w:t>
      </w:r>
      <w:r>
        <w:rPr/>
        <w:t>attractions.</w:t>
      </w:r>
      <w:r>
        <w:rPr>
          <w:spacing w:val="31"/>
        </w:rPr>
        <w:t> </w:t>
      </w:r>
      <w:r>
        <w:rPr/>
        <w:t>Curaçao</w:t>
      </w:r>
      <w:r>
        <w:rPr>
          <w:spacing w:val="-7"/>
        </w:rPr>
        <w:t> </w:t>
      </w:r>
      <w:r>
        <w:rPr/>
        <w:t>is</w:t>
      </w:r>
      <w:r>
        <w:rPr>
          <w:spacing w:val="-9"/>
        </w:rPr>
        <w:t> </w:t>
      </w:r>
      <w:r>
        <w:rPr/>
        <w:t>not</w:t>
      </w:r>
      <w:r>
        <w:rPr>
          <w:spacing w:val="-7"/>
        </w:rPr>
        <w:t> </w:t>
      </w:r>
      <w:r>
        <w:rPr/>
        <w:t>in</w:t>
      </w:r>
      <w:r>
        <w:rPr>
          <w:spacing w:val="-7"/>
        </w:rPr>
        <w:t> </w:t>
      </w:r>
      <w:r>
        <w:rPr/>
        <w:t>this</w:t>
      </w:r>
      <w:r>
        <w:rPr>
          <w:spacing w:val="-9"/>
        </w:rPr>
        <w:t> </w:t>
      </w:r>
      <w:r>
        <w:rPr/>
        <w:t>position.</w:t>
      </w:r>
      <w:r>
        <w:rPr>
          <w:spacing w:val="33"/>
        </w:rPr>
        <w:t> </w:t>
      </w:r>
      <w:r>
        <w:rPr/>
        <w:t>Curaçao</w:t>
      </w:r>
      <w:r>
        <w:rPr>
          <w:spacing w:val="-7"/>
        </w:rPr>
        <w:t> </w:t>
      </w:r>
      <w:r>
        <w:rPr/>
        <w:t>has</w:t>
      </w:r>
      <w:r>
        <w:rPr>
          <w:spacing w:val="-8"/>
        </w:rPr>
        <w:t> </w:t>
      </w:r>
      <w:r>
        <w:rPr/>
        <w:t>the</w:t>
      </w:r>
      <w:r>
        <w:rPr>
          <w:spacing w:val="-11"/>
        </w:rPr>
        <w:t> </w:t>
      </w:r>
      <w:r>
        <w:rPr/>
        <w:t>opportunity</w:t>
      </w:r>
      <w:r>
        <w:rPr>
          <w:spacing w:val="-9"/>
        </w:rPr>
        <w:t> </w:t>
      </w:r>
      <w:r>
        <w:rPr/>
        <w:t>to</w:t>
      </w:r>
      <w:r>
        <w:rPr>
          <w:spacing w:val="-7"/>
        </w:rPr>
        <w:t> </w:t>
      </w:r>
      <w:r>
        <w:rPr/>
        <w:t>create</w:t>
      </w:r>
      <w:r>
        <w:rPr>
          <w:spacing w:val="-9"/>
        </w:rPr>
        <w:t> </w:t>
      </w:r>
      <w:r>
        <w:rPr/>
        <w:t>experiential</w:t>
      </w:r>
      <w:r>
        <w:rPr>
          <w:spacing w:val="-8"/>
        </w:rPr>
        <w:t> </w:t>
      </w:r>
      <w:r>
        <w:rPr/>
        <w:t>tourist</w:t>
      </w:r>
      <w:r>
        <w:rPr>
          <w:spacing w:val="-7"/>
        </w:rPr>
        <w:t> </w:t>
      </w:r>
      <w:r>
        <w:rPr/>
        <w:t>clusters</w:t>
      </w:r>
      <w:r>
        <w:rPr>
          <w:spacing w:val="-4"/>
        </w:rPr>
        <w:t> </w:t>
      </w:r>
      <w:r>
        <w:rPr/>
        <w:t>which </w:t>
      </w:r>
      <w:r>
        <w:rPr/>
        <w:t>include heritage sites that locals enjoy alongside the tourists every</w:t>
      </w:r>
      <w:r>
        <w:rPr>
          <w:spacing w:val="-30"/>
        </w:rPr>
        <w:t> </w:t>
      </w:r>
      <w:r>
        <w:rPr/>
        <w:t>day.</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5"/>
        <w:ind w:right="0"/>
        <w:rPr>
          <w:rFonts w:ascii="Calibri" w:hAnsi="Calibri" w:cs="Calibri" w:eastAsia="Calibri" w:hint="default"/>
          <w:sz w:val="12"/>
          <w:szCs w:val="12"/>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before="82"/>
        <w:ind w:left="1440" w:right="1569" w:firstLine="0"/>
        <w:jc w:val="left"/>
        <w:rPr>
          <w:rFonts w:ascii="Calibri" w:hAnsi="Calibri" w:cs="Calibri" w:eastAsia="Calibri" w:hint="default"/>
          <w:sz w:val="16"/>
          <w:szCs w:val="16"/>
        </w:rPr>
      </w:pPr>
      <w:r>
        <w:rPr>
          <w:rFonts w:ascii="Calibri"/>
          <w:sz w:val="16"/>
        </w:rPr>
        <w:t>2004-2013. The forecasts are based on the assumption of unchanged policy. The economic impact is derived from the Turistika and Curalyse models. We are indebted to the team within the Ministry of Economic Development of Curacao for their assistance regarding the sectorial economic impact analysis done with the application of the Turistika model and the macro economic impact analysis done with the application of the Curalyse</w:t>
      </w:r>
      <w:r>
        <w:rPr>
          <w:rFonts w:ascii="Calibri"/>
          <w:spacing w:val="-12"/>
          <w:sz w:val="16"/>
        </w:rPr>
        <w:t> </w:t>
      </w:r>
      <w:r>
        <w:rPr>
          <w:rFonts w:ascii="Calibri"/>
          <w:sz w:val="16"/>
        </w:rPr>
        <w:t>model.</w:t>
      </w:r>
    </w:p>
    <w:p>
      <w:pPr>
        <w:spacing w:after="0"/>
        <w:jc w:val="left"/>
        <w:rPr>
          <w:rFonts w:ascii="Calibri" w:hAnsi="Calibri" w:cs="Calibri" w:eastAsia="Calibri" w:hint="default"/>
          <w:sz w:val="16"/>
          <w:szCs w:val="16"/>
        </w:rPr>
        <w:sectPr>
          <w:footerReference w:type="default" r:id="rId75"/>
          <w:pgSz w:w="12240" w:h="15840"/>
          <w:pgMar w:footer="533" w:header="0" w:top="840" w:bottom="720" w:left="0" w:right="0"/>
          <w:pgNumType w:start="91"/>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56" w:lineRule="auto" w:before="59"/>
        <w:ind w:right="1435"/>
        <w:jc w:val="both"/>
      </w:pPr>
      <w:r>
        <w:rPr/>
        <w:t>Tourism offers opportunities for continuation, rejuvenation, and enhancement of traditions and a way of life.</w:t>
      </w:r>
      <w:r>
        <w:rPr>
          <w:position w:val="5"/>
          <w:sz w:val="12"/>
        </w:rPr>
        <w:t>77 </w:t>
      </w:r>
      <w:r>
        <w:rPr/>
        <w:t>The </w:t>
      </w:r>
      <w:r>
        <w:rPr/>
        <w:t>investment in heritage for livability, job creation, and local economic development is beneficial to Curaçao. The attraction of the Punda/Otrabanda area is that the historic core differentiates this location from other locations in Curaçao, branding it nationally and</w:t>
      </w:r>
      <w:r>
        <w:rPr>
          <w:spacing w:val="-16"/>
        </w:rPr>
        <w:t> </w:t>
      </w:r>
      <w:r>
        <w:rPr/>
        <w:t>internationally.</w:t>
      </w:r>
    </w:p>
    <w:p>
      <w:pPr>
        <w:spacing w:line="240" w:lineRule="auto" w:before="3"/>
        <w:ind w:right="0"/>
        <w:rPr>
          <w:rFonts w:ascii="Calibri" w:hAnsi="Calibri" w:cs="Calibri" w:eastAsia="Calibri" w:hint="default"/>
          <w:sz w:val="21"/>
          <w:szCs w:val="21"/>
        </w:rPr>
      </w:pPr>
    </w:p>
    <w:p>
      <w:pPr>
        <w:pStyle w:val="BodyText"/>
        <w:spacing w:line="256" w:lineRule="auto"/>
        <w:ind w:right="1434"/>
        <w:jc w:val="both"/>
      </w:pPr>
      <w:r>
        <w:rPr/>
        <w:t>In order to convert the Punda/Otrabanda site into a vibrant experiential cluster that highlights its clear historic identity, there should be a balance between rules, regulations, and incentives. Rules and regulations compel all businesses to implement similar practices that do not take into account the cost of doing business. Designating a venue as a UNESCO heritage site is accompanied by a set of regulations that limit what an owner can do with the property. For example, these regulations prohibit the demolition of the building, require specific materials for building upkeep, and require a special approval process for building permits. However, these regulations may stifle investment and commercially viable activities, thereby hampering job creation and the generation of income. Therefore, the introduction of incentives for business owners may balance or reward those people willing to invest in the heritage</w:t>
      </w:r>
      <w:r>
        <w:rPr>
          <w:spacing w:val="-10"/>
        </w:rPr>
        <w:t> </w:t>
      </w:r>
      <w:r>
        <w:rPr/>
        <w:t>site.</w:t>
      </w:r>
    </w:p>
    <w:p>
      <w:pPr>
        <w:spacing w:line="240" w:lineRule="auto" w:before="4"/>
        <w:ind w:right="0"/>
        <w:rPr>
          <w:rFonts w:ascii="Calibri" w:hAnsi="Calibri" w:cs="Calibri" w:eastAsia="Calibri" w:hint="default"/>
          <w:sz w:val="21"/>
          <w:szCs w:val="21"/>
        </w:rPr>
      </w:pPr>
    </w:p>
    <w:p>
      <w:pPr>
        <w:pStyle w:val="BodyText"/>
        <w:spacing w:line="256" w:lineRule="auto"/>
        <w:ind w:right="1440"/>
        <w:jc w:val="both"/>
      </w:pPr>
      <w:r>
        <w:rPr/>
        <w:t>It costs money and the </w:t>
      </w:r>
      <w:r>
        <w:rPr>
          <w:rFonts w:ascii="Calibri" w:hAnsi="Calibri" w:cs="Calibri" w:eastAsia="Calibri" w:hint="default"/>
        </w:rPr>
        <w:t>government’s institutional capacity to cope with preservation management activities while </w:t>
      </w:r>
      <w:r>
        <w:rPr/>
        <w:t>simultaneously addressing multiple social and economic challenges of a small island destination. Our conversations with local stakeholders suggest that the local government lacks funds and institutional capacity to keep Punda/Otrabanda on the UNESCO heritage list.</w:t>
      </w:r>
      <w:r>
        <w:rPr>
          <w:position w:val="5"/>
          <w:sz w:val="12"/>
          <w:szCs w:val="12"/>
        </w:rPr>
        <w:t>78 </w:t>
      </w:r>
      <w:r>
        <w:rPr/>
        <w:t>Therefore, regulations should go hand in hand with incentives (tax </w:t>
      </w:r>
      <w:r>
        <w:rPr/>
        <w:t>reduction,</w:t>
      </w:r>
      <w:r>
        <w:rPr>
          <w:spacing w:val="-3"/>
        </w:rPr>
        <w:t> </w:t>
      </w:r>
      <w:r>
        <w:rPr/>
        <w:t>grants,</w:t>
      </w:r>
      <w:r>
        <w:rPr>
          <w:spacing w:val="-3"/>
        </w:rPr>
        <w:t> </w:t>
      </w:r>
      <w:r>
        <w:rPr/>
        <w:t>designation</w:t>
      </w:r>
      <w:r>
        <w:rPr>
          <w:spacing w:val="-1"/>
        </w:rPr>
        <w:t> </w:t>
      </w:r>
      <w:r>
        <w:rPr/>
        <w:t>of</w:t>
      </w:r>
      <w:r>
        <w:rPr>
          <w:spacing w:val="-5"/>
        </w:rPr>
        <w:t> </w:t>
      </w:r>
      <w:r>
        <w:rPr/>
        <w:t>duty-free</w:t>
      </w:r>
      <w:r>
        <w:rPr>
          <w:spacing w:val="-4"/>
        </w:rPr>
        <w:t> </w:t>
      </w:r>
      <w:r>
        <w:rPr/>
        <w:t>area)</w:t>
      </w:r>
      <w:r>
        <w:rPr>
          <w:spacing w:val="-4"/>
        </w:rPr>
        <w:t> </w:t>
      </w:r>
      <w:r>
        <w:rPr/>
        <w:t>in</w:t>
      </w:r>
      <w:r>
        <w:rPr>
          <w:spacing w:val="-3"/>
        </w:rPr>
        <w:t> </w:t>
      </w:r>
      <w:r>
        <w:rPr/>
        <w:t>order</w:t>
      </w:r>
      <w:r>
        <w:rPr>
          <w:spacing w:val="-3"/>
        </w:rPr>
        <w:t> </w:t>
      </w:r>
      <w:r>
        <w:rPr/>
        <w:t>to</w:t>
      </w:r>
      <w:r>
        <w:rPr>
          <w:spacing w:val="-3"/>
        </w:rPr>
        <w:t> </w:t>
      </w:r>
      <w:r>
        <w:rPr/>
        <w:t>convert</w:t>
      </w:r>
      <w:r>
        <w:rPr>
          <w:spacing w:val="-3"/>
        </w:rPr>
        <w:t> </w:t>
      </w:r>
      <w:r>
        <w:rPr/>
        <w:t>this</w:t>
      </w:r>
      <w:r>
        <w:rPr>
          <w:spacing w:val="-5"/>
        </w:rPr>
        <w:t> </w:t>
      </w:r>
      <w:r>
        <w:rPr/>
        <w:t>asset</w:t>
      </w:r>
      <w:r>
        <w:rPr>
          <w:spacing w:val="-3"/>
        </w:rPr>
        <w:t> </w:t>
      </w:r>
      <w:r>
        <w:rPr/>
        <w:t>into</w:t>
      </w:r>
      <w:r>
        <w:rPr>
          <w:spacing w:val="-3"/>
        </w:rPr>
        <w:t> </w:t>
      </w:r>
      <w:r>
        <w:rPr/>
        <w:t>an</w:t>
      </w:r>
      <w:r>
        <w:rPr>
          <w:spacing w:val="-3"/>
        </w:rPr>
        <w:t> </w:t>
      </w:r>
      <w:r>
        <w:rPr/>
        <w:t>economic</w:t>
      </w:r>
      <w:r>
        <w:rPr>
          <w:spacing w:val="-4"/>
        </w:rPr>
        <w:t> </w:t>
      </w:r>
      <w:r>
        <w:rPr/>
        <w:t>powerhouse.</w:t>
      </w:r>
    </w:p>
    <w:p>
      <w:pPr>
        <w:spacing w:line="240" w:lineRule="auto" w:before="3"/>
        <w:ind w:right="0"/>
        <w:rPr>
          <w:rFonts w:ascii="Calibri" w:hAnsi="Calibri" w:cs="Calibri" w:eastAsia="Calibri" w:hint="default"/>
          <w:sz w:val="21"/>
          <w:szCs w:val="21"/>
        </w:rPr>
      </w:pPr>
    </w:p>
    <w:p>
      <w:pPr>
        <w:pStyle w:val="BodyText"/>
        <w:spacing w:line="256" w:lineRule="auto"/>
        <w:ind w:right="1436"/>
        <w:jc w:val="both"/>
      </w:pPr>
      <w:r>
        <w:rPr/>
        <w:t>If</w:t>
      </w:r>
      <w:r>
        <w:rPr>
          <w:spacing w:val="-12"/>
        </w:rPr>
        <w:t> </w:t>
      </w:r>
      <w:r>
        <w:rPr/>
        <w:t>Curaçao</w:t>
      </w:r>
      <w:r>
        <w:rPr>
          <w:spacing w:val="-11"/>
        </w:rPr>
        <w:t> </w:t>
      </w:r>
      <w:r>
        <w:rPr/>
        <w:t>is</w:t>
      </w:r>
      <w:r>
        <w:rPr>
          <w:spacing w:val="-13"/>
        </w:rPr>
        <w:t> </w:t>
      </w:r>
      <w:r>
        <w:rPr/>
        <w:t>to</w:t>
      </w:r>
      <w:r>
        <w:rPr>
          <w:spacing w:val="-11"/>
        </w:rPr>
        <w:t> </w:t>
      </w:r>
      <w:r>
        <w:rPr/>
        <w:t>maintain</w:t>
      </w:r>
      <w:r>
        <w:rPr>
          <w:spacing w:val="-11"/>
        </w:rPr>
        <w:t> </w:t>
      </w:r>
      <w:r>
        <w:rPr/>
        <w:t>a</w:t>
      </w:r>
      <w:r>
        <w:rPr>
          <w:spacing w:val="-11"/>
        </w:rPr>
        <w:t> </w:t>
      </w:r>
      <w:r>
        <w:rPr/>
        <w:t>UNESCO</w:t>
      </w:r>
      <w:r>
        <w:rPr>
          <w:spacing w:val="-11"/>
        </w:rPr>
        <w:t> </w:t>
      </w:r>
      <w:r>
        <w:rPr/>
        <w:t>World</w:t>
      </w:r>
      <w:r>
        <w:rPr>
          <w:spacing w:val="-11"/>
        </w:rPr>
        <w:t> </w:t>
      </w:r>
      <w:r>
        <w:rPr/>
        <w:t>Heritage</w:t>
      </w:r>
      <w:r>
        <w:rPr>
          <w:spacing w:val="-12"/>
        </w:rPr>
        <w:t> </w:t>
      </w:r>
      <w:r>
        <w:rPr/>
        <w:t>site,</w:t>
      </w:r>
      <w:r>
        <w:rPr>
          <w:spacing w:val="-11"/>
        </w:rPr>
        <w:t> </w:t>
      </w:r>
      <w:r>
        <w:rPr/>
        <w:t>then</w:t>
      </w:r>
      <w:r>
        <w:rPr>
          <w:spacing w:val="-11"/>
        </w:rPr>
        <w:t> </w:t>
      </w:r>
      <w:r>
        <w:rPr/>
        <w:t>Punda/Otrabanda</w:t>
      </w:r>
      <w:r>
        <w:rPr>
          <w:spacing w:val="-11"/>
        </w:rPr>
        <w:t> </w:t>
      </w:r>
      <w:r>
        <w:rPr/>
        <w:t>should</w:t>
      </w:r>
      <w:r>
        <w:rPr>
          <w:spacing w:val="-13"/>
        </w:rPr>
        <w:t> </w:t>
      </w:r>
      <w:r>
        <w:rPr/>
        <w:t>become</w:t>
      </w:r>
      <w:r>
        <w:rPr>
          <w:spacing w:val="-13"/>
        </w:rPr>
        <w:t> </w:t>
      </w:r>
      <w:r>
        <w:rPr/>
        <w:t>a</w:t>
      </w:r>
      <w:r>
        <w:rPr>
          <w:spacing w:val="-11"/>
        </w:rPr>
        <w:t> </w:t>
      </w:r>
      <w:r>
        <w:rPr/>
        <w:t>place</w:t>
      </w:r>
      <w:r>
        <w:rPr>
          <w:spacing w:val="-12"/>
        </w:rPr>
        <w:t> </w:t>
      </w:r>
      <w:r>
        <w:rPr/>
        <w:t>where</w:t>
      </w:r>
      <w:r>
        <w:rPr>
          <w:spacing w:val="-12"/>
        </w:rPr>
        <w:t> </w:t>
      </w:r>
      <w:r>
        <w:rPr/>
        <w:t>people </w:t>
      </w:r>
      <w:r>
        <w:rPr/>
        <w:t>like to go, meet, live, work, and invest in, thereby linking heritage conservation and local economic development. This site should become a lifestyle site, which is defined as energetic public spaces that encourage lounging via free Wi-Fi, creative food and beverage outlets that are easily accessed, excellent shopping opportunities, innovative entertainment products, and engaged </w:t>
      </w:r>
      <w:r>
        <w:rPr>
          <w:rFonts w:ascii="Calibri" w:hAnsi="Calibri" w:cs="Calibri" w:eastAsia="Calibri" w:hint="default"/>
        </w:rPr>
        <w:t>exposure of the island’s </w:t>
      </w:r>
      <w:r>
        <w:rPr/>
        <w:t>history and</w:t>
      </w:r>
      <w:r>
        <w:rPr>
          <w:spacing w:val="-22"/>
        </w:rPr>
        <w:t> </w:t>
      </w:r>
      <w:r>
        <w:rPr/>
        <w:t>culture.</w:t>
      </w:r>
    </w:p>
    <w:p>
      <w:pPr>
        <w:spacing w:line="240" w:lineRule="auto" w:before="4"/>
        <w:ind w:right="0"/>
        <w:rPr>
          <w:rFonts w:ascii="Calibri" w:hAnsi="Calibri" w:cs="Calibri" w:eastAsia="Calibri" w:hint="default"/>
          <w:sz w:val="21"/>
          <w:szCs w:val="21"/>
        </w:rPr>
      </w:pPr>
    </w:p>
    <w:p>
      <w:pPr>
        <w:pStyle w:val="BodyText"/>
        <w:spacing w:line="256" w:lineRule="auto"/>
        <w:ind w:right="1436"/>
        <w:jc w:val="both"/>
      </w:pPr>
      <w:r>
        <w:rPr/>
        <w:t>Ideas that may be considered to encapsulate a lifestyle site may include location-specific technologies and data communication systems. A tourist could benefit from information about the heritage site, including audio and printed maps/directions, listings of restaurants and shops, and even recommendations and reviews from other users. Another idea is to allow a two-minute, free telephone conversation with friends/family around the world during the day for cruise passengers, and in the early evening for tourists. These conversations would be viewed on large</w:t>
      </w:r>
      <w:r>
        <w:rPr>
          <w:spacing w:val="-12"/>
        </w:rPr>
        <w:t> </w:t>
      </w:r>
      <w:r>
        <w:rPr/>
        <w:t>screens</w:t>
      </w:r>
      <w:r>
        <w:rPr>
          <w:spacing w:val="-12"/>
        </w:rPr>
        <w:t> </w:t>
      </w:r>
      <w:r>
        <w:rPr/>
        <w:t>in</w:t>
      </w:r>
      <w:r>
        <w:rPr>
          <w:spacing w:val="-9"/>
        </w:rPr>
        <w:t> </w:t>
      </w:r>
      <w:r>
        <w:rPr/>
        <w:t>strategic</w:t>
      </w:r>
      <w:r>
        <w:rPr>
          <w:spacing w:val="-12"/>
        </w:rPr>
        <w:t> </w:t>
      </w:r>
      <w:r>
        <w:rPr/>
        <w:t>locations</w:t>
      </w:r>
      <w:r>
        <w:rPr>
          <w:spacing w:val="-12"/>
        </w:rPr>
        <w:t> </w:t>
      </w:r>
      <w:r>
        <w:rPr/>
        <w:t>in</w:t>
      </w:r>
      <w:r>
        <w:rPr>
          <w:spacing w:val="-11"/>
        </w:rPr>
        <w:t> </w:t>
      </w:r>
      <w:r>
        <w:rPr/>
        <w:t>the</w:t>
      </w:r>
      <w:r>
        <w:rPr>
          <w:spacing w:val="-12"/>
        </w:rPr>
        <w:t> </w:t>
      </w:r>
      <w:r>
        <w:rPr/>
        <w:t>heritage</w:t>
      </w:r>
      <w:r>
        <w:rPr>
          <w:spacing w:val="-12"/>
        </w:rPr>
        <w:t> </w:t>
      </w:r>
      <w:r>
        <w:rPr/>
        <w:t>site.</w:t>
      </w:r>
      <w:r>
        <w:rPr>
          <w:spacing w:val="-10"/>
        </w:rPr>
        <w:t> </w:t>
      </w:r>
      <w:r>
        <w:rPr/>
        <w:t>This</w:t>
      </w:r>
      <w:r>
        <w:rPr>
          <w:spacing w:val="-12"/>
        </w:rPr>
        <w:t> </w:t>
      </w:r>
      <w:r>
        <w:rPr/>
        <w:t>is</w:t>
      </w:r>
      <w:r>
        <w:rPr>
          <w:spacing w:val="-10"/>
        </w:rPr>
        <w:t> </w:t>
      </w:r>
      <w:r>
        <w:rPr/>
        <w:t>a</w:t>
      </w:r>
      <w:r>
        <w:rPr>
          <w:spacing w:val="-11"/>
        </w:rPr>
        <w:t> </w:t>
      </w:r>
      <w:r>
        <w:rPr/>
        <w:t>way</w:t>
      </w:r>
      <w:r>
        <w:rPr>
          <w:spacing w:val="-10"/>
        </w:rPr>
        <w:t> </w:t>
      </w:r>
      <w:r>
        <w:rPr/>
        <w:t>to</w:t>
      </w:r>
      <w:r>
        <w:rPr>
          <w:spacing w:val="-11"/>
        </w:rPr>
        <w:t> </w:t>
      </w:r>
      <w:r>
        <w:rPr/>
        <w:t>ensure</w:t>
      </w:r>
      <w:r>
        <w:rPr>
          <w:spacing w:val="-12"/>
        </w:rPr>
        <w:t> </w:t>
      </w:r>
      <w:r>
        <w:rPr/>
        <w:t>a</w:t>
      </w:r>
      <w:r>
        <w:rPr>
          <w:spacing w:val="-11"/>
        </w:rPr>
        <w:t> </w:t>
      </w:r>
      <w:r>
        <w:rPr/>
        <w:t>constant</w:t>
      </w:r>
      <w:r>
        <w:rPr>
          <w:spacing w:val="-11"/>
        </w:rPr>
        <w:t> </w:t>
      </w:r>
      <w:r>
        <w:rPr/>
        <w:t>flow</w:t>
      </w:r>
      <w:r>
        <w:rPr>
          <w:spacing w:val="-12"/>
        </w:rPr>
        <w:t> </w:t>
      </w:r>
      <w:r>
        <w:rPr/>
        <w:t>of</w:t>
      </w:r>
      <w:r>
        <w:rPr>
          <w:spacing w:val="-12"/>
        </w:rPr>
        <w:t> </w:t>
      </w:r>
      <w:r>
        <w:rPr/>
        <w:t>people</w:t>
      </w:r>
      <w:r>
        <w:rPr>
          <w:spacing w:val="-12"/>
        </w:rPr>
        <w:t> </w:t>
      </w:r>
      <w:r>
        <w:rPr/>
        <w:t>in</w:t>
      </w:r>
      <w:r>
        <w:rPr>
          <w:spacing w:val="-11"/>
        </w:rPr>
        <w:t> </w:t>
      </w:r>
      <w:r>
        <w:rPr/>
        <w:t>the</w:t>
      </w:r>
      <w:r>
        <w:rPr>
          <w:spacing w:val="-5"/>
        </w:rPr>
        <w:t> </w:t>
      </w:r>
      <w:r>
        <w:rPr/>
        <w:t>historic </w:t>
      </w:r>
      <w:r>
        <w:rPr/>
        <w:t>city</w:t>
      </w:r>
      <w:r>
        <w:rPr>
          <w:spacing w:val="-4"/>
        </w:rPr>
        <w:t> </w:t>
      </w:r>
      <w:r>
        <w:rPr/>
        <w:t>core.</w:t>
      </w:r>
    </w:p>
    <w:p>
      <w:pPr>
        <w:spacing w:line="240" w:lineRule="auto" w:before="3"/>
        <w:ind w:right="0"/>
        <w:rPr>
          <w:rFonts w:ascii="Calibri" w:hAnsi="Calibri" w:cs="Calibri" w:eastAsia="Calibri" w:hint="default"/>
          <w:sz w:val="21"/>
          <w:szCs w:val="21"/>
        </w:rPr>
      </w:pPr>
    </w:p>
    <w:p>
      <w:pPr>
        <w:pStyle w:val="BodyText"/>
        <w:spacing w:line="256" w:lineRule="auto"/>
        <w:ind w:right="1434"/>
        <w:jc w:val="both"/>
      </w:pPr>
      <w:r>
        <w:rPr/>
        <w:t>In order to achieve this, </w:t>
      </w:r>
      <w:r>
        <w:rPr>
          <w:rFonts w:ascii="Calibri" w:hAnsi="Calibri" w:cs="Calibri" w:eastAsia="Calibri" w:hint="default"/>
        </w:rPr>
        <w:t>the use of incentives should be based on market instruments rather than “command </w:t>
      </w:r>
      <w:r>
        <w:rPr/>
        <w:t>and </w:t>
      </w:r>
      <w:r>
        <w:rPr>
          <w:rFonts w:ascii="Calibri" w:hAnsi="Calibri" w:cs="Calibri" w:eastAsia="Calibri" w:hint="default"/>
        </w:rPr>
        <w:t>control”</w:t>
      </w:r>
      <w:r>
        <w:rPr>
          <w:rFonts w:ascii="Calibri" w:hAnsi="Calibri" w:cs="Calibri" w:eastAsia="Calibri" w:hint="default"/>
          <w:spacing w:val="-4"/>
        </w:rPr>
        <w:t> </w:t>
      </w:r>
      <w:r>
        <w:rPr>
          <w:rFonts w:ascii="Calibri" w:hAnsi="Calibri" w:cs="Calibri" w:eastAsia="Calibri" w:hint="default"/>
        </w:rPr>
        <w:t>measures.</w:t>
      </w:r>
      <w:r>
        <w:rPr>
          <w:rFonts w:ascii="Calibri" w:hAnsi="Calibri" w:cs="Calibri" w:eastAsia="Calibri" w:hint="default"/>
          <w:spacing w:val="-2"/>
        </w:rPr>
        <w:t> </w:t>
      </w:r>
      <w:r>
        <w:rPr>
          <w:rFonts w:ascii="Calibri" w:hAnsi="Calibri" w:cs="Calibri" w:eastAsia="Calibri" w:hint="default"/>
        </w:rPr>
        <w:t>This</w:t>
      </w:r>
      <w:r>
        <w:rPr>
          <w:rFonts w:ascii="Calibri" w:hAnsi="Calibri" w:cs="Calibri" w:eastAsia="Calibri" w:hint="default"/>
          <w:spacing w:val="-5"/>
        </w:rPr>
        <w:t> </w:t>
      </w:r>
      <w:r>
        <w:rPr>
          <w:rFonts w:ascii="Calibri" w:hAnsi="Calibri" w:cs="Calibri" w:eastAsia="Calibri" w:hint="default"/>
        </w:rPr>
        <w:t>means</w:t>
      </w:r>
      <w:r>
        <w:rPr>
          <w:rFonts w:ascii="Calibri" w:hAnsi="Calibri" w:cs="Calibri" w:eastAsia="Calibri" w:hint="default"/>
          <w:spacing w:val="-5"/>
        </w:rPr>
        <w:t> </w:t>
      </w:r>
      <w:r>
        <w:rPr>
          <w:rFonts w:ascii="Calibri" w:hAnsi="Calibri" w:cs="Calibri" w:eastAsia="Calibri" w:hint="default"/>
        </w:rPr>
        <w:t>that</w:t>
      </w:r>
      <w:r>
        <w:rPr>
          <w:rFonts w:ascii="Calibri" w:hAnsi="Calibri" w:cs="Calibri" w:eastAsia="Calibri" w:hint="default"/>
          <w:spacing w:val="-4"/>
        </w:rPr>
        <w:t> </w:t>
      </w:r>
      <w:r>
        <w:rPr>
          <w:rFonts w:ascii="Calibri" w:hAnsi="Calibri" w:cs="Calibri" w:eastAsia="Calibri" w:hint="default"/>
        </w:rPr>
        <w:t>mandated</w:t>
      </w:r>
      <w:r>
        <w:rPr>
          <w:rFonts w:ascii="Calibri" w:hAnsi="Calibri" w:cs="Calibri" w:eastAsia="Calibri" w:hint="default"/>
          <w:spacing w:val="-4"/>
        </w:rPr>
        <w:t> </w:t>
      </w:r>
      <w:r>
        <w:rPr>
          <w:rFonts w:ascii="Calibri" w:hAnsi="Calibri" w:cs="Calibri" w:eastAsia="Calibri" w:hint="default"/>
        </w:rPr>
        <w:t>rules</w:t>
      </w:r>
      <w:r>
        <w:rPr>
          <w:rFonts w:ascii="Calibri" w:hAnsi="Calibri" w:cs="Calibri" w:eastAsia="Calibri" w:hint="default"/>
          <w:spacing w:val="-5"/>
        </w:rPr>
        <w:t> </w:t>
      </w:r>
      <w:r>
        <w:rPr>
          <w:rFonts w:ascii="Calibri" w:hAnsi="Calibri" w:cs="Calibri" w:eastAsia="Calibri" w:hint="default"/>
        </w:rPr>
        <w:t>and</w:t>
      </w:r>
      <w:r>
        <w:rPr>
          <w:rFonts w:ascii="Calibri" w:hAnsi="Calibri" w:cs="Calibri" w:eastAsia="Calibri" w:hint="default"/>
          <w:spacing w:val="-4"/>
        </w:rPr>
        <w:t> </w:t>
      </w:r>
      <w:r>
        <w:rPr>
          <w:rFonts w:ascii="Calibri" w:hAnsi="Calibri" w:cs="Calibri" w:eastAsia="Calibri" w:hint="default"/>
        </w:rPr>
        <w:t>regulations</w:t>
      </w:r>
      <w:r>
        <w:rPr>
          <w:rFonts w:ascii="Calibri" w:hAnsi="Calibri" w:cs="Calibri" w:eastAsia="Calibri" w:hint="default"/>
          <w:spacing w:val="-5"/>
        </w:rPr>
        <w:t> </w:t>
      </w:r>
      <w:r>
        <w:rPr>
          <w:rFonts w:ascii="Calibri" w:hAnsi="Calibri" w:cs="Calibri" w:eastAsia="Calibri" w:hint="default"/>
        </w:rPr>
        <w:t>that</w:t>
      </w:r>
      <w:r>
        <w:rPr>
          <w:rFonts w:ascii="Calibri" w:hAnsi="Calibri" w:cs="Calibri" w:eastAsia="Calibri" w:hint="default"/>
          <w:spacing w:val="-4"/>
        </w:rPr>
        <w:t> </w:t>
      </w:r>
      <w:r>
        <w:rPr>
          <w:rFonts w:ascii="Calibri" w:hAnsi="Calibri" w:cs="Calibri" w:eastAsia="Calibri" w:hint="default"/>
        </w:rPr>
        <w:t>monitor</w:t>
      </w:r>
      <w:r>
        <w:rPr>
          <w:rFonts w:ascii="Calibri" w:hAnsi="Calibri" w:cs="Calibri" w:eastAsia="Calibri" w:hint="default"/>
          <w:spacing w:val="-4"/>
        </w:rPr>
        <w:t> </w:t>
      </w:r>
      <w:r>
        <w:rPr>
          <w:rFonts w:ascii="Calibri" w:hAnsi="Calibri" w:cs="Calibri" w:eastAsia="Calibri" w:hint="default"/>
        </w:rPr>
        <w:t>business</w:t>
      </w:r>
      <w:r>
        <w:rPr>
          <w:rFonts w:ascii="Calibri" w:hAnsi="Calibri" w:cs="Calibri" w:eastAsia="Calibri" w:hint="default"/>
          <w:spacing w:val="-5"/>
        </w:rPr>
        <w:t> </w:t>
      </w:r>
      <w:r>
        <w:rPr>
          <w:rFonts w:ascii="Calibri" w:hAnsi="Calibri" w:cs="Calibri" w:eastAsia="Calibri" w:hint="default"/>
        </w:rPr>
        <w:t>practices</w:t>
      </w:r>
      <w:r>
        <w:rPr>
          <w:rFonts w:ascii="Calibri" w:hAnsi="Calibri" w:cs="Calibri" w:eastAsia="Calibri" w:hint="default"/>
          <w:spacing w:val="-5"/>
        </w:rPr>
        <w:t> </w:t>
      </w:r>
      <w:r>
        <w:rPr>
          <w:rFonts w:ascii="Calibri" w:hAnsi="Calibri" w:cs="Calibri" w:eastAsia="Calibri" w:hint="default"/>
        </w:rPr>
        <w:t>and</w:t>
      </w:r>
      <w:r>
        <w:rPr>
          <w:rFonts w:ascii="Calibri" w:hAnsi="Calibri" w:cs="Calibri" w:eastAsia="Calibri" w:hint="default"/>
          <w:spacing w:val="-4"/>
        </w:rPr>
        <w:t> </w:t>
      </w:r>
      <w:r>
        <w:rPr>
          <w:rFonts w:ascii="Calibri" w:hAnsi="Calibri" w:cs="Calibri" w:eastAsia="Calibri" w:hint="default"/>
        </w:rPr>
        <w:t>operations </w:t>
      </w:r>
      <w:r>
        <w:rPr>
          <w:rFonts w:ascii="Calibri" w:hAnsi="Calibri" w:cs="Calibri" w:eastAsia="Calibri" w:hint="default"/>
        </w:rPr>
      </w:r>
      <w:r>
        <w:rPr/>
        <w:t>are costly endeavors. In other words, the laws that protect the UNESCO World Heritage site are necessary from a cultural perspective, but a cultural perspective does not propel the necessary investment in the area that would maintain and keep the site on the UNESCO list. The DPITS suggests that incentives must be put </w:t>
      </w:r>
      <w:r>
        <w:rPr>
          <w:spacing w:val="2"/>
        </w:rPr>
        <w:t>into </w:t>
      </w:r>
      <w:r>
        <w:rPr/>
        <w:t>place in order </w:t>
      </w:r>
      <w:r>
        <w:rPr/>
        <w:t>to</w:t>
      </w:r>
      <w:r>
        <w:rPr>
          <w:spacing w:val="-3"/>
        </w:rPr>
        <w:t> </w:t>
      </w:r>
      <w:r>
        <w:rPr/>
        <w:t>leverage</w:t>
      </w:r>
      <w:r>
        <w:rPr>
          <w:spacing w:val="-5"/>
        </w:rPr>
        <w:t> </w:t>
      </w:r>
      <w:r>
        <w:rPr/>
        <w:t>heritage</w:t>
      </w:r>
      <w:r>
        <w:rPr>
          <w:spacing w:val="-4"/>
        </w:rPr>
        <w:t> </w:t>
      </w:r>
      <w:r>
        <w:rPr/>
        <w:t>for</w:t>
      </w:r>
      <w:r>
        <w:rPr>
          <w:spacing w:val="-3"/>
        </w:rPr>
        <w:t> </w:t>
      </w:r>
      <w:r>
        <w:rPr/>
        <w:t>jobs</w:t>
      </w:r>
      <w:r>
        <w:rPr>
          <w:spacing w:val="-5"/>
        </w:rPr>
        <w:t> </w:t>
      </w:r>
      <w:r>
        <w:rPr/>
        <w:t>by</w:t>
      </w:r>
      <w:r>
        <w:rPr>
          <w:spacing w:val="-3"/>
        </w:rPr>
        <w:t> </w:t>
      </w:r>
      <w:r>
        <w:rPr/>
        <w:t>incorporating</w:t>
      </w:r>
      <w:r>
        <w:rPr>
          <w:spacing w:val="-4"/>
        </w:rPr>
        <w:t> </w:t>
      </w:r>
      <w:r>
        <w:rPr/>
        <w:t>a</w:t>
      </w:r>
      <w:r>
        <w:rPr>
          <w:spacing w:val="-3"/>
        </w:rPr>
        <w:t> </w:t>
      </w:r>
      <w:r>
        <w:rPr/>
        <w:t>cultural</w:t>
      </w:r>
      <w:r>
        <w:rPr>
          <w:spacing w:val="-4"/>
        </w:rPr>
        <w:t> </w:t>
      </w:r>
      <w:r>
        <w:rPr/>
        <w:t>dimension</w:t>
      </w:r>
      <w:r>
        <w:rPr>
          <w:spacing w:val="-3"/>
        </w:rPr>
        <w:t> </w:t>
      </w:r>
      <w:r>
        <w:rPr/>
        <w:t>into</w:t>
      </w:r>
      <w:r>
        <w:rPr>
          <w:spacing w:val="-3"/>
        </w:rPr>
        <w:t> </w:t>
      </w:r>
      <w:r>
        <w:rPr/>
        <w:t>the</w:t>
      </w:r>
      <w:r>
        <w:rPr>
          <w:spacing w:val="-4"/>
        </w:rPr>
        <w:t> </w:t>
      </w:r>
      <w:r>
        <w:rPr/>
        <w:t>development framework.</w:t>
      </w:r>
    </w:p>
    <w:p>
      <w:pPr>
        <w:spacing w:line="240" w:lineRule="auto" w:before="3"/>
        <w:ind w:right="0"/>
        <w:rPr>
          <w:rFonts w:ascii="Calibri" w:hAnsi="Calibri" w:cs="Calibri" w:eastAsia="Calibri" w:hint="default"/>
          <w:sz w:val="21"/>
          <w:szCs w:val="21"/>
        </w:rPr>
      </w:pPr>
    </w:p>
    <w:p>
      <w:pPr>
        <w:pStyle w:val="BodyText"/>
        <w:spacing w:line="256" w:lineRule="auto"/>
        <w:ind w:right="1437"/>
        <w:jc w:val="both"/>
      </w:pPr>
      <w:r>
        <w:rPr/>
        <w:t>Data suggest that this Punda/Otrabanda area has a unique opportunity for combining cruise tourism and stay-over tourism in terms of opening hours, shopping mix, and food and beverage, as well as entertainment in general. As the</w:t>
      </w:r>
      <w:r>
        <w:rPr>
          <w:spacing w:val="-5"/>
        </w:rPr>
        <w:t> </w:t>
      </w:r>
      <w:r>
        <w:rPr/>
        <w:t>American</w:t>
      </w:r>
      <w:r>
        <w:rPr>
          <w:spacing w:val="-4"/>
        </w:rPr>
        <w:t> </w:t>
      </w:r>
      <w:r>
        <w:rPr/>
        <w:t>tourists</w:t>
      </w:r>
      <w:r>
        <w:rPr>
          <w:spacing w:val="-5"/>
        </w:rPr>
        <w:t> </w:t>
      </w:r>
      <w:r>
        <w:rPr/>
        <w:t>prefer</w:t>
      </w:r>
      <w:r>
        <w:rPr>
          <w:spacing w:val="-4"/>
        </w:rPr>
        <w:t> </w:t>
      </w:r>
      <w:r>
        <w:rPr/>
        <w:t>beach</w:t>
      </w:r>
      <w:r>
        <w:rPr>
          <w:spacing w:val="-4"/>
        </w:rPr>
        <w:t> </w:t>
      </w:r>
      <w:r>
        <w:rPr/>
        <w:t>consumption,</w:t>
      </w:r>
      <w:r>
        <w:rPr>
          <w:spacing w:val="-4"/>
        </w:rPr>
        <w:t> </w:t>
      </w:r>
      <w:r>
        <w:rPr/>
        <w:t>entertainment,</w:t>
      </w:r>
      <w:r>
        <w:rPr>
          <w:spacing w:val="-4"/>
        </w:rPr>
        <w:t> </w:t>
      </w:r>
      <w:r>
        <w:rPr/>
        <w:t>and</w:t>
      </w:r>
      <w:r>
        <w:rPr>
          <w:spacing w:val="-4"/>
        </w:rPr>
        <w:t> </w:t>
      </w:r>
      <w:r>
        <w:rPr/>
        <w:t>socializing</w:t>
      </w:r>
      <w:r>
        <w:rPr>
          <w:spacing w:val="-5"/>
        </w:rPr>
        <w:t> </w:t>
      </w:r>
      <w:r>
        <w:rPr/>
        <w:t>opportunities,</w:t>
      </w:r>
      <w:r>
        <w:rPr>
          <w:spacing w:val="-4"/>
        </w:rPr>
        <w:t> </w:t>
      </w:r>
      <w:r>
        <w:rPr/>
        <w:t>the</w:t>
      </w:r>
      <w:r>
        <w:rPr>
          <w:spacing w:val="-5"/>
        </w:rPr>
        <w:t> </w:t>
      </w:r>
      <w:r>
        <w:rPr/>
        <w:t>development</w:t>
      </w:r>
      <w:r>
        <w:rPr>
          <w:spacing w:val="-4"/>
        </w:rPr>
        <w:t> </w:t>
      </w:r>
      <w:r>
        <w:rPr/>
        <w:t>of</w:t>
      </w:r>
    </w:p>
    <w:p>
      <w:pPr>
        <w:spacing w:line="240" w:lineRule="auto" w:before="1" w:after="0"/>
        <w:ind w:right="0"/>
        <w:rPr>
          <w:rFonts w:ascii="Calibri" w:hAnsi="Calibri" w:cs="Calibri" w:eastAsia="Calibri" w:hint="default"/>
          <w:sz w:val="25"/>
          <w:szCs w:val="25"/>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before="91"/>
        <w:ind w:left="1440" w:right="0" w:firstLine="0"/>
        <w:jc w:val="left"/>
        <w:rPr>
          <w:rFonts w:ascii="Calibri" w:hAnsi="Calibri" w:cs="Calibri" w:eastAsia="Calibri" w:hint="default"/>
          <w:sz w:val="16"/>
          <w:szCs w:val="16"/>
        </w:rPr>
      </w:pPr>
      <w:r>
        <w:rPr>
          <w:rFonts w:ascii="Calibri"/>
          <w:position w:val="5"/>
          <w:sz w:val="12"/>
        </w:rPr>
        <w:t>77</w:t>
      </w:r>
      <w:r>
        <w:rPr>
          <w:rFonts w:ascii="Calibri"/>
          <w:spacing w:val="6"/>
          <w:position w:val="5"/>
          <w:sz w:val="12"/>
        </w:rPr>
        <w:t> </w:t>
      </w:r>
      <w:r>
        <w:rPr>
          <w:rFonts w:ascii="Calibri"/>
          <w:sz w:val="16"/>
        </w:rPr>
        <w:t>See</w:t>
      </w:r>
      <w:r>
        <w:rPr>
          <w:rFonts w:ascii="Calibri"/>
          <w:spacing w:val="-3"/>
          <w:sz w:val="16"/>
        </w:rPr>
        <w:t> </w:t>
      </w:r>
      <w:r>
        <w:rPr>
          <w:rFonts w:ascii="Calibri"/>
          <w:sz w:val="16"/>
        </w:rPr>
        <w:t>Licciardi,</w:t>
      </w:r>
      <w:r>
        <w:rPr>
          <w:rFonts w:ascii="Calibri"/>
          <w:spacing w:val="-2"/>
          <w:sz w:val="16"/>
        </w:rPr>
        <w:t> </w:t>
      </w:r>
      <w:r>
        <w:rPr>
          <w:rFonts w:ascii="Calibri"/>
          <w:sz w:val="16"/>
        </w:rPr>
        <w:t>G.</w:t>
      </w:r>
      <w:r>
        <w:rPr>
          <w:rFonts w:ascii="Calibri"/>
          <w:spacing w:val="-2"/>
          <w:sz w:val="16"/>
        </w:rPr>
        <w:t> </w:t>
      </w:r>
      <w:r>
        <w:rPr>
          <w:rFonts w:ascii="Calibri"/>
          <w:sz w:val="16"/>
        </w:rPr>
        <w:t>and</w:t>
      </w:r>
      <w:r>
        <w:rPr>
          <w:rFonts w:ascii="Calibri"/>
          <w:spacing w:val="-3"/>
          <w:sz w:val="16"/>
        </w:rPr>
        <w:t> </w:t>
      </w:r>
      <w:r>
        <w:rPr>
          <w:rFonts w:ascii="Calibri"/>
          <w:sz w:val="16"/>
        </w:rPr>
        <w:t>Amirtahmasebi</w:t>
      </w:r>
      <w:r>
        <w:rPr>
          <w:rFonts w:ascii="Calibri"/>
          <w:spacing w:val="-4"/>
          <w:sz w:val="16"/>
        </w:rPr>
        <w:t> </w:t>
      </w:r>
      <w:r>
        <w:rPr>
          <w:rFonts w:ascii="Calibri"/>
          <w:sz w:val="16"/>
        </w:rPr>
        <w:t>(eds.)</w:t>
      </w:r>
      <w:r>
        <w:rPr>
          <w:rFonts w:ascii="Calibri"/>
          <w:spacing w:val="-3"/>
          <w:sz w:val="16"/>
        </w:rPr>
        <w:t> </w:t>
      </w:r>
      <w:r>
        <w:rPr>
          <w:rFonts w:ascii="Calibri"/>
          <w:sz w:val="16"/>
        </w:rPr>
        <w:t>(2012).</w:t>
      </w:r>
      <w:r>
        <w:rPr>
          <w:rFonts w:ascii="Calibri"/>
          <w:spacing w:val="-3"/>
          <w:sz w:val="16"/>
        </w:rPr>
        <w:t> </w:t>
      </w:r>
      <w:r>
        <w:rPr>
          <w:rFonts w:ascii="Calibri"/>
          <w:sz w:val="16"/>
        </w:rPr>
        <w:t>The</w:t>
      </w:r>
      <w:r>
        <w:rPr>
          <w:rFonts w:ascii="Calibri"/>
          <w:spacing w:val="-4"/>
          <w:sz w:val="16"/>
        </w:rPr>
        <w:t> </w:t>
      </w:r>
      <w:r>
        <w:rPr>
          <w:rFonts w:ascii="Calibri"/>
          <w:sz w:val="16"/>
        </w:rPr>
        <w:t>Economics</w:t>
      </w:r>
      <w:r>
        <w:rPr>
          <w:rFonts w:ascii="Calibri"/>
          <w:spacing w:val="-3"/>
          <w:sz w:val="16"/>
        </w:rPr>
        <w:t> </w:t>
      </w:r>
      <w:r>
        <w:rPr>
          <w:rFonts w:ascii="Calibri"/>
          <w:sz w:val="16"/>
        </w:rPr>
        <w:t>of</w:t>
      </w:r>
      <w:r>
        <w:rPr>
          <w:rFonts w:ascii="Calibri"/>
          <w:spacing w:val="-3"/>
          <w:sz w:val="16"/>
        </w:rPr>
        <w:t> </w:t>
      </w:r>
      <w:r>
        <w:rPr>
          <w:rFonts w:ascii="Calibri"/>
          <w:sz w:val="16"/>
        </w:rPr>
        <w:t>Uniqueness.</w:t>
      </w:r>
      <w:r>
        <w:rPr>
          <w:rFonts w:ascii="Calibri"/>
          <w:spacing w:val="-2"/>
          <w:sz w:val="16"/>
        </w:rPr>
        <w:t> </w:t>
      </w:r>
      <w:r>
        <w:rPr>
          <w:rFonts w:ascii="Calibri"/>
          <w:sz w:val="16"/>
        </w:rPr>
        <w:t>World</w:t>
      </w:r>
      <w:r>
        <w:rPr>
          <w:rFonts w:ascii="Calibri"/>
          <w:spacing w:val="-3"/>
          <w:sz w:val="16"/>
        </w:rPr>
        <w:t> </w:t>
      </w:r>
      <w:r>
        <w:rPr>
          <w:rFonts w:ascii="Calibri"/>
          <w:sz w:val="16"/>
        </w:rPr>
        <w:t>Bank,</w:t>
      </w:r>
      <w:r>
        <w:rPr>
          <w:rFonts w:ascii="Calibri"/>
          <w:spacing w:val="-2"/>
          <w:sz w:val="16"/>
        </w:rPr>
        <w:t> </w:t>
      </w:r>
      <w:r>
        <w:rPr>
          <w:rFonts w:ascii="Calibri"/>
          <w:sz w:val="16"/>
        </w:rPr>
        <w:t>Washington</w:t>
      </w:r>
      <w:r>
        <w:rPr>
          <w:rFonts w:ascii="Calibri"/>
          <w:spacing w:val="-3"/>
          <w:sz w:val="16"/>
        </w:rPr>
        <w:t> </w:t>
      </w:r>
      <w:r>
        <w:rPr>
          <w:rFonts w:ascii="Calibri"/>
          <w:sz w:val="16"/>
        </w:rPr>
        <w:t>DC.</w:t>
      </w:r>
    </w:p>
    <w:p>
      <w:pPr>
        <w:spacing w:line="242" w:lineRule="auto" w:before="13"/>
        <w:ind w:left="1440" w:right="1570" w:firstLine="0"/>
        <w:jc w:val="left"/>
        <w:rPr>
          <w:rFonts w:ascii="Calibri" w:hAnsi="Calibri" w:cs="Calibri" w:eastAsia="Calibri" w:hint="default"/>
          <w:sz w:val="16"/>
          <w:szCs w:val="16"/>
        </w:rPr>
      </w:pPr>
      <w:r>
        <w:rPr>
          <w:rFonts w:ascii="Calibri"/>
          <w:position w:val="5"/>
          <w:sz w:val="12"/>
        </w:rPr>
        <w:t>78 </w:t>
      </w:r>
      <w:r>
        <w:rPr>
          <w:rFonts w:ascii="Calibri"/>
          <w:sz w:val="16"/>
        </w:rPr>
        <w:t>This view also resonated in our encounters with Parliament in December, 2014 and May 2015. For a discussion on the relevance of heritage </w:t>
      </w:r>
      <w:r>
        <w:rPr>
          <w:rFonts w:ascii="Calibri"/>
          <w:sz w:val="16"/>
        </w:rPr>
        <w:t>sites as assets for economic development in small island destinations, see UNESCO (2014). Culture &amp; Development, World Heritage in the Caribbean. Regional Office for Culture in Latin America and the Caribbean. Havana,</w:t>
      </w:r>
      <w:r>
        <w:rPr>
          <w:rFonts w:ascii="Calibri"/>
          <w:spacing w:val="-24"/>
          <w:sz w:val="16"/>
        </w:rPr>
        <w:t> </w:t>
      </w:r>
      <w:r>
        <w:rPr>
          <w:rFonts w:ascii="Calibri"/>
          <w:sz w:val="16"/>
        </w:rPr>
        <w:t>Cuba.</w:t>
      </w:r>
    </w:p>
    <w:p>
      <w:pPr>
        <w:spacing w:after="0" w:line="242"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56" w:lineRule="auto" w:before="59"/>
        <w:ind w:right="1437"/>
        <w:jc w:val="both"/>
      </w:pPr>
      <w:r>
        <w:rPr/>
        <w:t>the</w:t>
      </w:r>
      <w:r>
        <w:rPr>
          <w:spacing w:val="-12"/>
        </w:rPr>
        <w:t> </w:t>
      </w:r>
      <w:r>
        <w:rPr/>
        <w:t>area</w:t>
      </w:r>
      <w:r>
        <w:rPr>
          <w:spacing w:val="-11"/>
        </w:rPr>
        <w:t> </w:t>
      </w:r>
      <w:r>
        <w:rPr/>
        <w:t>would</w:t>
      </w:r>
      <w:r>
        <w:rPr>
          <w:spacing w:val="-11"/>
        </w:rPr>
        <w:t> </w:t>
      </w:r>
      <w:r>
        <w:rPr/>
        <w:t>increase</w:t>
      </w:r>
      <w:r>
        <w:rPr>
          <w:spacing w:val="-12"/>
        </w:rPr>
        <w:t> </w:t>
      </w:r>
      <w:r>
        <w:rPr/>
        <w:t>the</w:t>
      </w:r>
      <w:r>
        <w:rPr>
          <w:spacing w:val="-12"/>
        </w:rPr>
        <w:t> </w:t>
      </w:r>
      <w:r>
        <w:rPr/>
        <w:t>likelihood</w:t>
      </w:r>
      <w:r>
        <w:rPr>
          <w:spacing w:val="-11"/>
        </w:rPr>
        <w:t> </w:t>
      </w:r>
      <w:r>
        <w:rPr/>
        <w:t>of</w:t>
      </w:r>
      <w:r>
        <w:rPr>
          <w:spacing w:val="-12"/>
        </w:rPr>
        <w:t> </w:t>
      </w:r>
      <w:r>
        <w:rPr/>
        <w:t>drawing</w:t>
      </w:r>
      <w:r>
        <w:rPr>
          <w:spacing w:val="-12"/>
        </w:rPr>
        <w:t> </w:t>
      </w:r>
      <w:r>
        <w:rPr/>
        <w:t>this</w:t>
      </w:r>
      <w:r>
        <w:rPr>
          <w:spacing w:val="-11"/>
        </w:rPr>
        <w:t> </w:t>
      </w:r>
      <w:r>
        <w:rPr/>
        <w:t>segment.</w:t>
      </w:r>
      <w:r>
        <w:rPr>
          <w:spacing w:val="23"/>
        </w:rPr>
        <w:t> </w:t>
      </w:r>
      <w:r>
        <w:rPr/>
        <w:t>Moreover,</w:t>
      </w:r>
      <w:r>
        <w:rPr>
          <w:spacing w:val="-11"/>
        </w:rPr>
        <w:t> </w:t>
      </w:r>
      <w:r>
        <w:rPr/>
        <w:t>the</w:t>
      </w:r>
      <w:r>
        <w:rPr>
          <w:spacing w:val="-12"/>
        </w:rPr>
        <w:t> </w:t>
      </w:r>
      <w:r>
        <w:rPr/>
        <w:t>American</w:t>
      </w:r>
      <w:r>
        <w:rPr>
          <w:spacing w:val="-11"/>
        </w:rPr>
        <w:t> </w:t>
      </w:r>
      <w:r>
        <w:rPr/>
        <w:t>consumption</w:t>
      </w:r>
      <w:r>
        <w:rPr>
          <w:spacing w:val="-11"/>
        </w:rPr>
        <w:t> </w:t>
      </w:r>
      <w:r>
        <w:rPr/>
        <w:t>pattern</w:t>
      </w:r>
      <w:r>
        <w:rPr>
          <w:spacing w:val="-11"/>
        </w:rPr>
        <w:t> </w:t>
      </w:r>
      <w:r>
        <w:rPr/>
        <w:t>could </w:t>
      </w:r>
      <w:r>
        <w:rPr/>
        <w:t>fit well with what Curacao has to offer in terms of its present everyday life mosaic, which is prevalent in the culture of the island. Additionally, this area will provide the residents with a district in which they may like to seek employment, as well as frequent during their leisure</w:t>
      </w:r>
      <w:r>
        <w:rPr>
          <w:spacing w:val="-24"/>
        </w:rPr>
        <w:t> </w:t>
      </w:r>
      <w:r>
        <w:rPr/>
        <w:t>time.</w:t>
      </w:r>
    </w:p>
    <w:p>
      <w:pPr>
        <w:spacing w:line="240" w:lineRule="auto" w:before="0"/>
        <w:ind w:right="0"/>
        <w:rPr>
          <w:rFonts w:ascii="Calibri" w:hAnsi="Calibri" w:cs="Calibri" w:eastAsia="Calibri" w:hint="default"/>
          <w:sz w:val="20"/>
          <w:szCs w:val="20"/>
        </w:rPr>
      </w:pPr>
    </w:p>
    <w:p>
      <w:pPr>
        <w:pStyle w:val="Heading2"/>
        <w:spacing w:line="240" w:lineRule="auto" w:before="172"/>
        <w:ind w:right="0"/>
        <w:jc w:val="both"/>
        <w:rPr>
          <w:b w:val="0"/>
          <w:bCs w:val="0"/>
        </w:rPr>
      </w:pPr>
      <w:bookmarkStart w:name="_bookmark168" w:id="169"/>
      <w:bookmarkEnd w:id="169"/>
      <w:r>
        <w:rPr>
          <w:b w:val="0"/>
          <w:bCs w:val="0"/>
        </w:rPr>
      </w:r>
      <w:r>
        <w:rPr/>
        <w:t>Strategy #6:  Oospunt as Curaçao</w:t>
      </w:r>
      <w:r>
        <w:rPr>
          <w:rFonts w:ascii="Calibri" w:hAnsi="Calibri" w:cs="Calibri" w:eastAsia="Calibri" w:hint="default"/>
        </w:rPr>
        <w:t>’s</w:t>
      </w:r>
      <w:r>
        <w:rPr>
          <w:rFonts w:ascii="Calibri" w:hAnsi="Calibri" w:cs="Calibri" w:eastAsia="Calibri" w:hint="default"/>
          <w:spacing w:val="-12"/>
        </w:rPr>
        <w:t> </w:t>
      </w:r>
      <w:r>
        <w:rPr>
          <w:rFonts w:ascii="Calibri" w:hAnsi="Calibri" w:cs="Calibri" w:eastAsia="Calibri" w:hint="default"/>
        </w:rPr>
        <w:t>w</w:t>
      </w:r>
      <w:r>
        <w:rPr/>
        <w:t>ildcard</w:t>
      </w:r>
      <w:r>
        <w:rPr>
          <w:b w:val="0"/>
          <w:bCs w:val="0"/>
        </w:rPr>
      </w:r>
    </w:p>
    <w:p>
      <w:pPr>
        <w:pStyle w:val="BodyText"/>
        <w:spacing w:line="240" w:lineRule="auto" w:before="191"/>
        <w:ind w:right="1434"/>
        <w:jc w:val="both"/>
      </w:pPr>
      <w:r>
        <w:rPr/>
        <w:t>Ultimately, Curaçao should consider the quality and size of its hotel inventory. By year 4, it is assumed that, should </w:t>
      </w:r>
      <w:r>
        <w:rPr>
          <w:rFonts w:ascii="Calibri" w:hAnsi="Calibri" w:cs="Calibri" w:eastAsia="Calibri" w:hint="default"/>
        </w:rPr>
        <w:t>the plan work, hotels’ occupancy levels should reach </w:t>
      </w:r>
      <w:r>
        <w:rPr/>
        <w:t>their optimal use (around 85%). At this point, destination managers should have brought quality brand hotels to the island in preparation for their 2020 inauguration date. Moreover,</w:t>
      </w:r>
      <w:r>
        <w:rPr>
          <w:spacing w:val="-2"/>
        </w:rPr>
        <w:t> </w:t>
      </w:r>
      <w:r>
        <w:rPr/>
        <w:t>at</w:t>
      </w:r>
      <w:r>
        <w:rPr>
          <w:spacing w:val="-1"/>
        </w:rPr>
        <w:t> </w:t>
      </w:r>
      <w:r>
        <w:rPr/>
        <w:t>the</w:t>
      </w:r>
      <w:r>
        <w:rPr>
          <w:spacing w:val="-3"/>
        </w:rPr>
        <w:t> </w:t>
      </w:r>
      <w:r>
        <w:rPr/>
        <w:t>conclusion</w:t>
      </w:r>
      <w:r>
        <w:rPr>
          <w:spacing w:val="-2"/>
        </w:rPr>
        <w:t> </w:t>
      </w:r>
      <w:r>
        <w:rPr/>
        <w:t>of</w:t>
      </w:r>
      <w:r>
        <w:rPr>
          <w:spacing w:val="-4"/>
        </w:rPr>
        <w:t> </w:t>
      </w:r>
      <w:r>
        <w:rPr/>
        <w:t>the</w:t>
      </w:r>
      <w:r>
        <w:rPr>
          <w:spacing w:val="-3"/>
        </w:rPr>
        <w:t> </w:t>
      </w:r>
      <w:r>
        <w:rPr/>
        <w:t>2015-2020</w:t>
      </w:r>
      <w:r>
        <w:rPr>
          <w:spacing w:val="-2"/>
        </w:rPr>
        <w:t> </w:t>
      </w:r>
      <w:r>
        <w:rPr/>
        <w:t>Strategic</w:t>
      </w:r>
      <w:r>
        <w:rPr>
          <w:spacing w:val="-3"/>
        </w:rPr>
        <w:t> </w:t>
      </w:r>
      <w:r>
        <w:rPr/>
        <w:t>T</w:t>
      </w:r>
      <w:r>
        <w:rPr>
          <w:rFonts w:ascii="Calibri" w:hAnsi="Calibri" w:cs="Calibri" w:eastAsia="Calibri" w:hint="default"/>
        </w:rPr>
        <w:t>ourism</w:t>
      </w:r>
      <w:r>
        <w:rPr>
          <w:rFonts w:ascii="Calibri" w:hAnsi="Calibri" w:cs="Calibri" w:eastAsia="Calibri" w:hint="default"/>
          <w:spacing w:val="-3"/>
        </w:rPr>
        <w:t> </w:t>
      </w:r>
      <w:r>
        <w:rPr>
          <w:rFonts w:ascii="Calibri" w:hAnsi="Calibri" w:cs="Calibri" w:eastAsia="Calibri" w:hint="default"/>
        </w:rPr>
        <w:t>Master</w:t>
      </w:r>
      <w:r>
        <w:rPr>
          <w:rFonts w:ascii="Calibri" w:hAnsi="Calibri" w:cs="Calibri" w:eastAsia="Calibri" w:hint="default"/>
          <w:spacing w:val="-3"/>
        </w:rPr>
        <w:t> </w:t>
      </w:r>
      <w:r>
        <w:rPr>
          <w:rFonts w:ascii="Calibri" w:hAnsi="Calibri" w:cs="Calibri" w:eastAsia="Calibri" w:hint="default"/>
        </w:rPr>
        <w:t>Plan’s</w:t>
      </w:r>
      <w:r>
        <w:rPr>
          <w:rFonts w:ascii="Calibri" w:hAnsi="Calibri" w:cs="Calibri" w:eastAsia="Calibri" w:hint="default"/>
          <w:spacing w:val="-4"/>
        </w:rPr>
        <w:t> </w:t>
      </w:r>
      <w:r>
        <w:rPr>
          <w:rFonts w:ascii="Calibri" w:hAnsi="Calibri" w:cs="Calibri" w:eastAsia="Calibri" w:hint="default"/>
        </w:rPr>
        <w:t>lifespan,</w:t>
      </w:r>
      <w:r>
        <w:rPr>
          <w:rFonts w:ascii="Calibri" w:hAnsi="Calibri" w:cs="Calibri" w:eastAsia="Calibri" w:hint="default"/>
          <w:spacing w:val="-2"/>
        </w:rPr>
        <w:t> </w:t>
      </w:r>
      <w:r>
        <w:rPr>
          <w:rFonts w:ascii="Calibri" w:hAnsi="Calibri" w:cs="Calibri" w:eastAsia="Calibri" w:hint="default"/>
        </w:rPr>
        <w:t>curren</w:t>
      </w:r>
      <w:r>
        <w:rPr/>
        <w:t>t</w:t>
      </w:r>
      <w:r>
        <w:rPr>
          <w:spacing w:val="-2"/>
        </w:rPr>
        <w:t> </w:t>
      </w:r>
      <w:r>
        <w:rPr/>
        <w:t>room</w:t>
      </w:r>
      <w:r>
        <w:rPr>
          <w:spacing w:val="-3"/>
        </w:rPr>
        <w:t> </w:t>
      </w:r>
      <w:r>
        <w:rPr/>
        <w:t>supply</w:t>
      </w:r>
      <w:r>
        <w:rPr>
          <w:spacing w:val="-2"/>
        </w:rPr>
        <w:t> </w:t>
      </w:r>
      <w:r>
        <w:rPr/>
        <w:t>will</w:t>
      </w:r>
      <w:r>
        <w:rPr>
          <w:spacing w:val="-3"/>
        </w:rPr>
        <w:t> </w:t>
      </w:r>
      <w:r>
        <w:rPr/>
        <w:t>be </w:t>
      </w:r>
      <w:r>
        <w:rPr/>
        <w:t>optimized and revenue earnings maximized. Therefore, additional high-quality room inventory, as well as tourism offerings, will be required to sustain the path of</w:t>
      </w:r>
      <w:r>
        <w:rPr>
          <w:spacing w:val="-24"/>
        </w:rPr>
        <w:t> </w:t>
      </w:r>
      <w:r>
        <w:rPr/>
        <w:t>prosperity.</w:t>
      </w:r>
    </w:p>
    <w:p>
      <w:pPr>
        <w:spacing w:line="240" w:lineRule="auto" w:before="2"/>
        <w:ind w:right="0"/>
        <w:rPr>
          <w:rFonts w:ascii="Calibri" w:hAnsi="Calibri" w:cs="Calibri" w:eastAsia="Calibri" w:hint="default"/>
          <w:sz w:val="20"/>
          <w:szCs w:val="20"/>
        </w:rPr>
      </w:pPr>
    </w:p>
    <w:p>
      <w:pPr>
        <w:pStyle w:val="BodyText"/>
        <w:spacing w:line="240" w:lineRule="auto"/>
        <w:ind w:right="1436"/>
        <w:jc w:val="both"/>
      </w:pPr>
      <w:r>
        <w:rPr/>
        <w:t>In order for tourists to pay premium hotel prices, assurance of quality and reduction of perceived risk in consuming an intangible good must be present. Therefore, recognizable or strong brand equity reduces the perceived monetary, social, or safety risk in buying services: or in visiting destinations that are difficult to assess prior to purchase. As potential tourists spend significant amounts of time in searches for information related to their vacation, a distinct destination brand awareness reduces the search cost, thus facilitating the selection of the destination. Therefore, Curaçao should evolve steadily toward a reliable and quality brand</w:t>
      </w:r>
      <w:r>
        <w:rPr>
          <w:spacing w:val="11"/>
        </w:rPr>
        <w:t> </w:t>
      </w:r>
      <w:r>
        <w:rPr/>
        <w:t>destination.</w:t>
      </w:r>
    </w:p>
    <w:p>
      <w:pPr>
        <w:spacing w:line="240" w:lineRule="auto" w:before="1"/>
        <w:ind w:right="0"/>
        <w:rPr>
          <w:rFonts w:ascii="Calibri" w:hAnsi="Calibri" w:cs="Calibri" w:eastAsia="Calibri" w:hint="default"/>
          <w:sz w:val="20"/>
          <w:szCs w:val="20"/>
        </w:rPr>
      </w:pPr>
    </w:p>
    <w:p>
      <w:pPr>
        <w:pStyle w:val="BodyText"/>
        <w:spacing w:line="240" w:lineRule="auto"/>
        <w:ind w:right="1434"/>
        <w:jc w:val="both"/>
      </w:pPr>
      <w:r>
        <w:rPr/>
        <w:t>While the anchor toward the path of prosperity is premised on enhancing and nurturing human capital and its consequential externalities (soft component) in the short and mid-term, the distinguishing element in the </w:t>
      </w:r>
      <w:r>
        <w:rPr>
          <w:rFonts w:ascii="Calibri" w:hAnsi="Calibri" w:cs="Calibri" w:eastAsia="Calibri" w:hint="default"/>
        </w:rPr>
        <w:t>destination’s</w:t>
      </w:r>
      <w:r>
        <w:rPr>
          <w:rFonts w:ascii="Calibri" w:hAnsi="Calibri" w:cs="Calibri" w:eastAsia="Calibri" w:hint="default"/>
          <w:spacing w:val="-9"/>
        </w:rPr>
        <w:t> </w:t>
      </w:r>
      <w:r>
        <w:rPr>
          <w:rFonts w:ascii="Calibri" w:hAnsi="Calibri" w:cs="Calibri" w:eastAsia="Calibri" w:hint="default"/>
        </w:rPr>
        <w:t>long</w:t>
      </w:r>
      <w:r>
        <w:rPr/>
        <w:t>-term</w:t>
      </w:r>
      <w:r>
        <w:rPr>
          <w:spacing w:val="-6"/>
        </w:rPr>
        <w:t> </w:t>
      </w:r>
      <w:r>
        <w:rPr/>
        <w:t>viability</w:t>
      </w:r>
      <w:r>
        <w:rPr>
          <w:spacing w:val="-5"/>
        </w:rPr>
        <w:t> </w:t>
      </w:r>
      <w:r>
        <w:rPr/>
        <w:t>as</w:t>
      </w:r>
      <w:r>
        <w:rPr>
          <w:spacing w:val="-8"/>
        </w:rPr>
        <w:t> </w:t>
      </w:r>
      <w:r>
        <w:rPr/>
        <w:t>a</w:t>
      </w:r>
      <w:r>
        <w:rPr>
          <w:spacing w:val="-7"/>
        </w:rPr>
        <w:t> </w:t>
      </w:r>
      <w:r>
        <w:rPr/>
        <w:t>superior</w:t>
      </w:r>
      <w:r>
        <w:rPr>
          <w:spacing w:val="-8"/>
        </w:rPr>
        <w:t> </w:t>
      </w:r>
      <w:r>
        <w:rPr/>
        <w:t>brand</w:t>
      </w:r>
      <w:r>
        <w:rPr>
          <w:spacing w:val="-7"/>
        </w:rPr>
        <w:t> </w:t>
      </w:r>
      <w:r>
        <w:rPr/>
        <w:t>destination</w:t>
      </w:r>
      <w:r>
        <w:rPr>
          <w:spacing w:val="-4"/>
        </w:rPr>
        <w:t> </w:t>
      </w:r>
      <w:r>
        <w:rPr/>
        <w:t>is</w:t>
      </w:r>
      <w:r>
        <w:rPr>
          <w:spacing w:val="-9"/>
        </w:rPr>
        <w:t> </w:t>
      </w:r>
      <w:r>
        <w:rPr/>
        <w:t>the</w:t>
      </w:r>
      <w:r>
        <w:rPr>
          <w:spacing w:val="-9"/>
        </w:rPr>
        <w:t> </w:t>
      </w:r>
      <w:r>
        <w:rPr/>
        <w:t>development</w:t>
      </w:r>
      <w:r>
        <w:rPr>
          <w:spacing w:val="-7"/>
        </w:rPr>
        <w:t> </w:t>
      </w:r>
      <w:r>
        <w:rPr/>
        <w:t>of</w:t>
      </w:r>
      <w:r>
        <w:rPr>
          <w:spacing w:val="-9"/>
        </w:rPr>
        <w:t> </w:t>
      </w:r>
      <w:r>
        <w:rPr/>
        <w:t>Oostpunt.</w:t>
      </w:r>
      <w:r>
        <w:rPr>
          <w:spacing w:val="34"/>
        </w:rPr>
        <w:t> </w:t>
      </w:r>
      <w:r>
        <w:rPr/>
        <w:t>Oostpunt</w:t>
      </w:r>
      <w:r>
        <w:rPr>
          <w:spacing w:val="-7"/>
        </w:rPr>
        <w:t> </w:t>
      </w:r>
      <w:r>
        <w:rPr/>
        <w:t>could</w:t>
      </w:r>
      <w:r>
        <w:rPr>
          <w:spacing w:val="-9"/>
        </w:rPr>
        <w:t> </w:t>
      </w:r>
      <w:r>
        <w:rPr/>
        <w:t>be </w:t>
      </w:r>
      <w:r>
        <w:rPr/>
        <w:t>the</w:t>
      </w:r>
      <w:r>
        <w:rPr>
          <w:spacing w:val="-9"/>
        </w:rPr>
        <w:t> </w:t>
      </w:r>
      <w:r>
        <w:rPr/>
        <w:t>final</w:t>
      </w:r>
      <w:r>
        <w:rPr>
          <w:spacing w:val="-7"/>
        </w:rPr>
        <w:t> </w:t>
      </w:r>
      <w:r>
        <w:rPr/>
        <w:t>distinguishing</w:t>
      </w:r>
      <w:r>
        <w:rPr>
          <w:spacing w:val="-8"/>
        </w:rPr>
        <w:t> </w:t>
      </w:r>
      <w:r>
        <w:rPr/>
        <w:t>signature</w:t>
      </w:r>
      <w:r>
        <w:rPr>
          <w:spacing w:val="-9"/>
        </w:rPr>
        <w:t> </w:t>
      </w:r>
      <w:r>
        <w:rPr/>
        <w:t>of</w:t>
      </w:r>
      <w:r>
        <w:rPr>
          <w:spacing w:val="-9"/>
        </w:rPr>
        <w:t> </w:t>
      </w:r>
      <w:r>
        <w:rPr/>
        <w:t>the</w:t>
      </w:r>
      <w:r>
        <w:rPr>
          <w:spacing w:val="-9"/>
        </w:rPr>
        <w:t> </w:t>
      </w:r>
      <w:r>
        <w:rPr/>
        <w:t>future</w:t>
      </w:r>
      <w:r>
        <w:rPr>
          <w:spacing w:val="-9"/>
        </w:rPr>
        <w:t> </w:t>
      </w:r>
      <w:r>
        <w:rPr/>
        <w:t>Curaçao</w:t>
      </w:r>
      <w:r>
        <w:rPr>
          <w:spacing w:val="-7"/>
        </w:rPr>
        <w:t> </w:t>
      </w:r>
      <w:r>
        <w:rPr/>
        <w:t>product.</w:t>
      </w:r>
      <w:r>
        <w:rPr>
          <w:spacing w:val="-8"/>
        </w:rPr>
        <w:t> </w:t>
      </w:r>
      <w:r>
        <w:rPr/>
        <w:t>The</w:t>
      </w:r>
      <w:r>
        <w:rPr>
          <w:spacing w:val="-9"/>
        </w:rPr>
        <w:t> </w:t>
      </w:r>
      <w:r>
        <w:rPr/>
        <w:t>region,</w:t>
      </w:r>
      <w:r>
        <w:rPr>
          <w:spacing w:val="-7"/>
        </w:rPr>
        <w:t> </w:t>
      </w:r>
      <w:r>
        <w:rPr/>
        <w:t>due</w:t>
      </w:r>
      <w:r>
        <w:rPr>
          <w:spacing w:val="-9"/>
        </w:rPr>
        <w:t> </w:t>
      </w:r>
      <w:r>
        <w:rPr/>
        <w:t>to</w:t>
      </w:r>
      <w:r>
        <w:rPr>
          <w:spacing w:val="-7"/>
        </w:rPr>
        <w:t> </w:t>
      </w:r>
      <w:r>
        <w:rPr/>
        <w:t>its</w:t>
      </w:r>
      <w:r>
        <w:rPr>
          <w:spacing w:val="-9"/>
        </w:rPr>
        <w:t> </w:t>
      </w:r>
      <w:r>
        <w:rPr/>
        <w:t>unspoiled</w:t>
      </w:r>
      <w:r>
        <w:rPr>
          <w:spacing w:val="-7"/>
        </w:rPr>
        <w:t> </w:t>
      </w:r>
      <w:r>
        <w:rPr/>
        <w:t>nature</w:t>
      </w:r>
      <w:r>
        <w:rPr>
          <w:spacing w:val="-9"/>
        </w:rPr>
        <w:t> </w:t>
      </w:r>
      <w:r>
        <w:rPr/>
        <w:t>and</w:t>
      </w:r>
      <w:r>
        <w:rPr>
          <w:spacing w:val="-7"/>
        </w:rPr>
        <w:t> </w:t>
      </w:r>
      <w:r>
        <w:rPr/>
        <w:t>its</w:t>
      </w:r>
      <w:r>
        <w:rPr>
          <w:spacing w:val="-9"/>
        </w:rPr>
        <w:t> </w:t>
      </w:r>
      <w:r>
        <w:rPr/>
        <w:t>sheer </w:t>
      </w:r>
      <w:r>
        <w:rPr/>
        <w:t>size (the size of St. Maarten), is poised to become the hallmark of sustainability through the most pristine form of green tourism (see Figure</w:t>
      </w:r>
      <w:r>
        <w:rPr>
          <w:spacing w:val="-14"/>
        </w:rPr>
        <w:t> </w:t>
      </w:r>
      <w:r>
        <w:rPr/>
        <w:t>34).</w:t>
      </w:r>
    </w:p>
    <w:p>
      <w:pPr>
        <w:spacing w:line="240" w:lineRule="auto" w:before="1" w:after="0"/>
        <w:ind w:right="0"/>
        <w:rPr>
          <w:rFonts w:ascii="Calibri" w:hAnsi="Calibri" w:cs="Calibri" w:eastAsia="Calibri" w:hint="default"/>
          <w:sz w:val="20"/>
          <w:szCs w:val="20"/>
        </w:rPr>
      </w:pPr>
    </w:p>
    <w:p>
      <w:pPr>
        <w:spacing w:line="240" w:lineRule="auto"/>
        <w:ind w:left="324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646309" cy="1706880"/>
            <wp:effectExtent l="0" t="0" r="0" b="0"/>
            <wp:docPr id="117" name="image43.jpeg" descr=""/>
            <wp:cNvGraphicFramePr>
              <a:graphicFrameLocks noChangeAspect="1"/>
            </wp:cNvGraphicFramePr>
            <a:graphic>
              <a:graphicData uri="http://schemas.openxmlformats.org/drawingml/2006/picture">
                <pic:pic>
                  <pic:nvPicPr>
                    <pic:cNvPr id="118" name="image43.jpeg"/>
                    <pic:cNvPicPr/>
                  </pic:nvPicPr>
                  <pic:blipFill>
                    <a:blip r:embed="rId77" cstate="print"/>
                    <a:stretch>
                      <a:fillRect/>
                    </a:stretch>
                  </pic:blipFill>
                  <pic:spPr>
                    <a:xfrm>
                      <a:off x="0" y="0"/>
                      <a:ext cx="3646309" cy="1706880"/>
                    </a:xfrm>
                    <a:prstGeom prst="rect">
                      <a:avLst/>
                    </a:prstGeom>
                  </pic:spPr>
                </pic:pic>
              </a:graphicData>
            </a:graphic>
          </wp:inline>
        </w:drawing>
      </w:r>
      <w:r>
        <w:rPr>
          <w:rFonts w:ascii="Calibri" w:hAnsi="Calibri" w:cs="Calibri" w:eastAsia="Calibri" w:hint="default"/>
          <w:sz w:val="20"/>
          <w:szCs w:val="20"/>
        </w:rPr>
      </w:r>
    </w:p>
    <w:p>
      <w:pPr>
        <w:pStyle w:val="Heading9"/>
        <w:spacing w:line="240" w:lineRule="auto" w:before="12"/>
        <w:ind w:left="25" w:right="26"/>
        <w:jc w:val="center"/>
        <w:rPr>
          <w:b w:val="0"/>
          <w:bCs w:val="0"/>
        </w:rPr>
      </w:pPr>
      <w:bookmarkStart w:name="_bookmark169" w:id="170"/>
      <w:bookmarkEnd w:id="170"/>
      <w:r>
        <w:rPr>
          <w:b w:val="0"/>
        </w:rPr>
      </w:r>
      <w:r>
        <w:rPr/>
        <w:t>Figure 34:</w:t>
      </w:r>
      <w:r>
        <w:rPr>
          <w:spacing w:val="33"/>
        </w:rPr>
        <w:t> </w:t>
      </w:r>
      <w:r>
        <w:rPr/>
        <w:t>Oostpunt</w:t>
      </w:r>
      <w:r>
        <w:rPr>
          <w:b w:val="0"/>
        </w:rPr>
      </w:r>
    </w:p>
    <w:p>
      <w:pPr>
        <w:spacing w:line="240" w:lineRule="auto" w:before="11"/>
        <w:ind w:right="0"/>
        <w:rPr>
          <w:rFonts w:ascii="Calibri" w:hAnsi="Calibri" w:cs="Calibri" w:eastAsia="Calibri" w:hint="default"/>
          <w:b/>
          <w:bCs/>
          <w:sz w:val="19"/>
          <w:szCs w:val="19"/>
        </w:rPr>
      </w:pPr>
    </w:p>
    <w:p>
      <w:pPr>
        <w:pStyle w:val="BodyText"/>
        <w:spacing w:line="240" w:lineRule="auto"/>
        <w:ind w:right="1438"/>
        <w:jc w:val="both"/>
        <w:rPr>
          <w:sz w:val="12"/>
          <w:szCs w:val="12"/>
        </w:rPr>
      </w:pPr>
      <w:r>
        <w:rPr/>
        <w:t>As more tourist organizations view sustainability not only as </w:t>
      </w:r>
      <w:r>
        <w:rPr>
          <w:rFonts w:ascii="Calibri" w:hAnsi="Calibri" w:cs="Calibri" w:eastAsia="Calibri" w:hint="default"/>
        </w:rPr>
        <w:t>“the right thing to do” </w:t>
      </w:r>
      <w:r>
        <w:rPr/>
        <w:t>but as a prominent marketing strategy, Curaçao could create a </w:t>
      </w:r>
      <w:r>
        <w:rPr>
          <w:rFonts w:ascii="Calibri" w:hAnsi="Calibri" w:cs="Calibri" w:eastAsia="Calibri" w:hint="default"/>
          <w:i/>
        </w:rPr>
        <w:t>creative sustainability program</w:t>
      </w:r>
      <w:r>
        <w:rPr/>
        <w:t>. That program design and development could be the apex standard of green wise management. Indeed, Oostpunt provides a unique opportunity for generating a story line about Curaçao</w:t>
      </w:r>
      <w:r>
        <w:rPr>
          <w:rFonts w:ascii="Calibri" w:hAnsi="Calibri" w:cs="Calibri" w:eastAsia="Calibri" w:hint="default"/>
        </w:rPr>
        <w:t>’s efforts to become a champion of green practice among small island destinations in the </w:t>
      </w:r>
      <w:r>
        <w:rPr/>
        <w:t>world. Again, a strict balance between rules, regulations, and incentives has to be created in order not to stifle development and restrict activities. The plan recommends that the development of Oostpunt follow the guidelines expressed in the UNEP document of 2011.</w:t>
      </w:r>
      <w:r>
        <w:rPr>
          <w:spacing w:val="-16"/>
        </w:rPr>
        <w:t> </w:t>
      </w:r>
      <w:r>
        <w:rPr>
          <w:position w:val="5"/>
          <w:sz w:val="12"/>
          <w:szCs w:val="12"/>
        </w:rPr>
        <w:t>79</w:t>
      </w:r>
      <w:r>
        <w:rPr>
          <w:sz w:val="12"/>
          <w:szCs w:val="12"/>
        </w:rPr>
      </w:r>
    </w:p>
    <w:p>
      <w:pPr>
        <w:spacing w:line="240" w:lineRule="auto" w:before="0"/>
        <w:ind w:right="0"/>
        <w:rPr>
          <w:rFonts w:ascii="Calibri" w:hAnsi="Calibri" w:cs="Calibri" w:eastAsia="Calibri" w:hint="default"/>
          <w:sz w:val="20"/>
          <w:szCs w:val="20"/>
        </w:rPr>
      </w:pPr>
    </w:p>
    <w:p>
      <w:pPr>
        <w:spacing w:line="240" w:lineRule="auto" w:before="9" w:after="0"/>
        <w:ind w:right="0"/>
        <w:rPr>
          <w:rFonts w:ascii="Calibri" w:hAnsi="Calibri" w:cs="Calibri" w:eastAsia="Calibri" w:hint="default"/>
          <w:sz w:val="26"/>
          <w:szCs w:val="26"/>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before="89"/>
        <w:ind w:left="1440" w:right="0" w:firstLine="0"/>
        <w:jc w:val="left"/>
        <w:rPr>
          <w:rFonts w:ascii="Calibri" w:hAnsi="Calibri" w:cs="Calibri" w:eastAsia="Calibri" w:hint="default"/>
          <w:sz w:val="16"/>
          <w:szCs w:val="16"/>
        </w:rPr>
      </w:pPr>
      <w:r>
        <w:rPr>
          <w:rFonts w:ascii="Calibri"/>
          <w:position w:val="5"/>
          <w:sz w:val="12"/>
        </w:rPr>
        <w:t>79 </w:t>
      </w:r>
      <w:r>
        <w:rPr>
          <w:rFonts w:ascii="Calibri"/>
          <w:sz w:val="16"/>
        </w:rPr>
        <w:t>See UNEP (2011). Tourism: Investing in energy and resource</w:t>
      </w:r>
      <w:r>
        <w:rPr>
          <w:rFonts w:ascii="Calibri"/>
          <w:spacing w:val="-21"/>
          <w:sz w:val="16"/>
        </w:rPr>
        <w:t> </w:t>
      </w:r>
      <w:r>
        <w:rPr>
          <w:rFonts w:ascii="Calibri"/>
          <w:sz w:val="16"/>
        </w:rPr>
        <w:t>efficiency.</w:t>
      </w:r>
    </w:p>
    <w:p>
      <w:pPr>
        <w:spacing w:after="0"/>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7"/>
        <w:jc w:val="both"/>
      </w:pPr>
      <w:r>
        <w:rPr/>
        <w:t>Surely, for Curaçao to be branded as a sustainable destination, the CTB together with stakeholders should establish a rating system that encourages hotels, attractions, and restaurants to optimize environmental performance and reduce</w:t>
      </w:r>
      <w:r>
        <w:rPr>
          <w:spacing w:val="-11"/>
        </w:rPr>
        <w:t> </w:t>
      </w:r>
      <w:r>
        <w:rPr/>
        <w:t>environmental</w:t>
      </w:r>
      <w:r>
        <w:rPr>
          <w:spacing w:val="-10"/>
        </w:rPr>
        <w:t> </w:t>
      </w:r>
      <w:r>
        <w:rPr/>
        <w:t>impact.</w:t>
      </w:r>
      <w:r>
        <w:rPr>
          <w:spacing w:val="30"/>
        </w:rPr>
        <w:t> </w:t>
      </w:r>
      <w:r>
        <w:rPr/>
        <w:t>This</w:t>
      </w:r>
      <w:r>
        <w:rPr>
          <w:spacing w:val="-11"/>
        </w:rPr>
        <w:t> </w:t>
      </w:r>
      <w:r>
        <w:rPr/>
        <w:t>rating</w:t>
      </w:r>
      <w:r>
        <w:rPr>
          <w:spacing w:val="-8"/>
        </w:rPr>
        <w:t> </w:t>
      </w:r>
      <w:r>
        <w:rPr/>
        <w:t>system,</w:t>
      </w:r>
      <w:r>
        <w:rPr>
          <w:spacing w:val="-10"/>
        </w:rPr>
        <w:t> </w:t>
      </w:r>
      <w:r>
        <w:rPr/>
        <w:t>according</w:t>
      </w:r>
      <w:r>
        <w:rPr>
          <w:spacing w:val="-8"/>
        </w:rPr>
        <w:t> </w:t>
      </w:r>
      <w:r>
        <w:rPr/>
        <w:t>to</w:t>
      </w:r>
      <w:r>
        <w:rPr>
          <w:spacing w:val="-10"/>
        </w:rPr>
        <w:t> </w:t>
      </w:r>
      <w:r>
        <w:rPr/>
        <w:t>international</w:t>
      </w:r>
      <w:r>
        <w:rPr>
          <w:spacing w:val="-10"/>
        </w:rPr>
        <w:t> </w:t>
      </w:r>
      <w:r>
        <w:rPr/>
        <w:t>standards,</w:t>
      </w:r>
      <w:r>
        <w:rPr>
          <w:spacing w:val="-5"/>
        </w:rPr>
        <w:t> </w:t>
      </w:r>
      <w:r>
        <w:rPr/>
        <w:t>should</w:t>
      </w:r>
      <w:r>
        <w:rPr>
          <w:spacing w:val="-10"/>
        </w:rPr>
        <w:t> </w:t>
      </w:r>
      <w:r>
        <w:rPr/>
        <w:t>encompass</w:t>
      </w:r>
      <w:r>
        <w:rPr>
          <w:spacing w:val="-10"/>
        </w:rPr>
        <w:t> </w:t>
      </w:r>
      <w:r>
        <w:rPr/>
        <w:t>five</w:t>
      </w:r>
      <w:r>
        <w:rPr>
          <w:spacing w:val="-9"/>
        </w:rPr>
        <w:t> </w:t>
      </w:r>
      <w:r>
        <w:rPr/>
        <w:t>main </w:t>
      </w:r>
      <w:r>
        <w:rPr/>
        <w:t>categories: energy, water efficiency, sustainable purchasing, waste management, and occupant health/comfort. However, if Curaçao meets and exceeds international green standards, then it befits the destination to develop a rating system that is unparalleled to those of any other existing green standards</w:t>
      </w:r>
      <w:r>
        <w:rPr>
          <w:rFonts w:ascii="Calibri" w:hAnsi="Calibri" w:cs="Calibri" w:eastAsia="Calibri" w:hint="default"/>
        </w:rPr>
        <w:t>’</w:t>
      </w:r>
      <w:r>
        <w:rPr>
          <w:rFonts w:ascii="Calibri" w:hAnsi="Calibri" w:cs="Calibri" w:eastAsia="Calibri" w:hint="default"/>
          <w:spacing w:val="-31"/>
        </w:rPr>
        <w:t> </w:t>
      </w:r>
      <w:r>
        <w:rPr>
          <w:rFonts w:ascii="Calibri" w:hAnsi="Calibri" w:cs="Calibri" w:eastAsia="Calibri" w:hint="default"/>
        </w:rPr>
        <w:t>pursuits</w:t>
      </w:r>
      <w:r>
        <w:rPr/>
        <w:t>.</w:t>
      </w:r>
    </w:p>
    <w:p>
      <w:pPr>
        <w:pStyle w:val="Heading2"/>
        <w:spacing w:line="240" w:lineRule="auto" w:before="35"/>
        <w:ind w:right="0"/>
        <w:jc w:val="both"/>
        <w:rPr>
          <w:b w:val="0"/>
          <w:bCs w:val="0"/>
        </w:rPr>
      </w:pPr>
      <w:bookmarkStart w:name="_bookmark170" w:id="171"/>
      <w:bookmarkEnd w:id="171"/>
      <w:r>
        <w:rPr>
          <w:b w:val="0"/>
        </w:rPr>
      </w:r>
      <w:r>
        <w:rPr/>
        <w:t>Strategic supporting</w:t>
      </w:r>
      <w:r>
        <w:rPr>
          <w:spacing w:val="-9"/>
        </w:rPr>
        <w:t> </w:t>
      </w:r>
      <w:r>
        <w:rPr/>
        <w:t>actions</w:t>
      </w:r>
      <w:r>
        <w:rPr>
          <w:b w:val="0"/>
        </w:rPr>
      </w:r>
    </w:p>
    <w:p>
      <w:pPr>
        <w:pStyle w:val="Heading3"/>
        <w:spacing w:line="341" w:lineRule="exact" w:before="192"/>
        <w:ind w:right="0"/>
        <w:jc w:val="both"/>
        <w:rPr>
          <w:i w:val="0"/>
        </w:rPr>
      </w:pPr>
      <w:bookmarkStart w:name="_bookmark171" w:id="172"/>
      <w:bookmarkEnd w:id="172"/>
      <w:r>
        <w:rPr>
          <w:i w:val="0"/>
        </w:rPr>
      </w:r>
      <w:r>
        <w:rPr>
          <w:i/>
        </w:rPr>
        <w:t>Actions to improve hotel</w:t>
      </w:r>
      <w:r>
        <w:rPr>
          <w:i/>
          <w:spacing w:val="-19"/>
        </w:rPr>
        <w:t> </w:t>
      </w:r>
      <w:r>
        <w:rPr>
          <w:i/>
        </w:rPr>
        <w:t>productivity</w:t>
      </w:r>
      <w:r>
        <w:rPr>
          <w:i w:val="0"/>
        </w:rPr>
      </w:r>
    </w:p>
    <w:p>
      <w:pPr>
        <w:pStyle w:val="BodyText"/>
        <w:spacing w:line="243" w:lineRule="exact"/>
        <w:ind w:right="0"/>
        <w:jc w:val="both"/>
      </w:pPr>
      <w:r>
        <w:rPr/>
        <w:t>Three main markets support</w:t>
      </w:r>
      <w:r>
        <w:rPr>
          <w:spacing w:val="-15"/>
        </w:rPr>
        <w:t> </w:t>
      </w:r>
      <w:r>
        <w:rPr/>
        <w:t>Curaçao:</w:t>
      </w:r>
    </w:p>
    <w:p>
      <w:pPr>
        <w:pStyle w:val="ListParagraph"/>
        <w:numPr>
          <w:ilvl w:val="0"/>
          <w:numId w:val="18"/>
        </w:numPr>
        <w:tabs>
          <w:tab w:pos="2161" w:val="left" w:leader="none"/>
        </w:tabs>
        <w:spacing w:line="240" w:lineRule="auto" w:before="0" w:after="0"/>
        <w:ind w:left="2160" w:right="0" w:hanging="360"/>
        <w:jc w:val="left"/>
        <w:rPr>
          <w:rFonts w:ascii="Calibri" w:hAnsi="Calibri" w:cs="Calibri" w:eastAsia="Calibri" w:hint="default"/>
          <w:sz w:val="20"/>
          <w:szCs w:val="20"/>
        </w:rPr>
      </w:pPr>
      <w:r>
        <w:rPr>
          <w:rFonts w:ascii="Calibri"/>
          <w:sz w:val="20"/>
        </w:rPr>
        <w:t>The Dutch segment currently comprising 30% of the</w:t>
      </w:r>
      <w:r>
        <w:rPr>
          <w:rFonts w:ascii="Calibri"/>
          <w:spacing w:val="-24"/>
          <w:sz w:val="20"/>
        </w:rPr>
        <w:t> </w:t>
      </w:r>
      <w:r>
        <w:rPr>
          <w:rFonts w:ascii="Calibri"/>
          <w:sz w:val="20"/>
        </w:rPr>
        <w:t>market</w:t>
      </w:r>
    </w:p>
    <w:p>
      <w:pPr>
        <w:pStyle w:val="ListParagraph"/>
        <w:numPr>
          <w:ilvl w:val="0"/>
          <w:numId w:val="18"/>
        </w:numPr>
        <w:tabs>
          <w:tab w:pos="2161" w:val="left" w:leader="none"/>
        </w:tabs>
        <w:spacing w:line="240" w:lineRule="auto" w:before="12" w:after="0"/>
        <w:ind w:left="2160" w:right="0" w:hanging="360"/>
        <w:jc w:val="left"/>
        <w:rPr>
          <w:rFonts w:ascii="Calibri" w:hAnsi="Calibri" w:cs="Calibri" w:eastAsia="Calibri" w:hint="default"/>
          <w:sz w:val="20"/>
          <w:szCs w:val="20"/>
        </w:rPr>
      </w:pPr>
      <w:r>
        <w:rPr>
          <w:rFonts w:ascii="Calibri"/>
          <w:sz w:val="20"/>
        </w:rPr>
        <w:t>The Venezuelan segment comprising 25% of the</w:t>
      </w:r>
      <w:r>
        <w:rPr>
          <w:rFonts w:ascii="Calibri"/>
          <w:spacing w:val="-21"/>
          <w:sz w:val="20"/>
        </w:rPr>
        <w:t> </w:t>
      </w:r>
      <w:r>
        <w:rPr>
          <w:rFonts w:ascii="Calibri"/>
          <w:sz w:val="20"/>
        </w:rPr>
        <w:t>market</w:t>
      </w:r>
    </w:p>
    <w:p>
      <w:pPr>
        <w:pStyle w:val="ListParagraph"/>
        <w:numPr>
          <w:ilvl w:val="0"/>
          <w:numId w:val="18"/>
        </w:numPr>
        <w:tabs>
          <w:tab w:pos="2161" w:val="left" w:leader="none"/>
        </w:tabs>
        <w:spacing w:line="240" w:lineRule="auto" w:before="12" w:after="0"/>
        <w:ind w:left="2160" w:right="0" w:hanging="360"/>
        <w:jc w:val="left"/>
        <w:rPr>
          <w:rFonts w:ascii="Calibri" w:hAnsi="Calibri" w:cs="Calibri" w:eastAsia="Calibri" w:hint="default"/>
          <w:sz w:val="20"/>
          <w:szCs w:val="20"/>
        </w:rPr>
      </w:pPr>
      <w:r>
        <w:rPr>
          <w:rFonts w:ascii="Calibri"/>
          <w:sz w:val="20"/>
        </w:rPr>
        <w:t>The American segment accounting for 12% of the</w:t>
      </w:r>
      <w:r>
        <w:rPr>
          <w:rFonts w:ascii="Calibri"/>
          <w:spacing w:val="-23"/>
          <w:sz w:val="20"/>
        </w:rPr>
        <w:t> </w:t>
      </w:r>
      <w:r>
        <w:rPr>
          <w:rFonts w:ascii="Calibri"/>
          <w:sz w:val="20"/>
        </w:rPr>
        <w:t>market.</w:t>
      </w:r>
    </w:p>
    <w:p>
      <w:pPr>
        <w:pStyle w:val="BodyText"/>
        <w:spacing w:line="240" w:lineRule="auto" w:before="171"/>
        <w:ind w:right="1435"/>
        <w:jc w:val="both"/>
      </w:pPr>
      <w:r>
        <w:rPr/>
        <w:t>While all three segments are similar in their preferences for beach and water activities, data reveals that the segments do reveal different tastes and preferences. The American segment is attracted by high-level hospitality and positive attitudes; the Dutch segment gravitates toward safety and accommodation quality, while the Venezuelan</w:t>
      </w:r>
      <w:r>
        <w:rPr>
          <w:spacing w:val="-6"/>
        </w:rPr>
        <w:t> </w:t>
      </w:r>
      <w:r>
        <w:rPr/>
        <w:t>and</w:t>
      </w:r>
      <w:r>
        <w:rPr>
          <w:spacing w:val="-7"/>
        </w:rPr>
        <w:t> </w:t>
      </w:r>
      <w:r>
        <w:rPr/>
        <w:t>Colombian</w:t>
      </w:r>
      <w:r>
        <w:rPr>
          <w:spacing w:val="-7"/>
        </w:rPr>
        <w:t> </w:t>
      </w:r>
      <w:r>
        <w:rPr/>
        <w:t>segments</w:t>
      </w:r>
      <w:r>
        <w:rPr>
          <w:spacing w:val="-6"/>
        </w:rPr>
        <w:t> </w:t>
      </w:r>
      <w:r>
        <w:rPr/>
        <w:t>seek</w:t>
      </w:r>
      <w:r>
        <w:rPr>
          <w:spacing w:val="-5"/>
        </w:rPr>
        <w:t> </w:t>
      </w:r>
      <w:r>
        <w:rPr/>
        <w:t>variety</w:t>
      </w:r>
      <w:r>
        <w:rPr>
          <w:spacing w:val="-7"/>
        </w:rPr>
        <w:t> </w:t>
      </w:r>
      <w:r>
        <w:rPr/>
        <w:t>in</w:t>
      </w:r>
      <w:r>
        <w:rPr>
          <w:spacing w:val="-7"/>
        </w:rPr>
        <w:t> </w:t>
      </w:r>
      <w:r>
        <w:rPr/>
        <w:t>restaurants</w:t>
      </w:r>
      <w:r>
        <w:rPr>
          <w:spacing w:val="-8"/>
        </w:rPr>
        <w:t> </w:t>
      </w:r>
      <w:r>
        <w:rPr/>
        <w:t>and</w:t>
      </w:r>
      <w:r>
        <w:rPr>
          <w:spacing w:val="-7"/>
        </w:rPr>
        <w:t> </w:t>
      </w:r>
      <w:r>
        <w:rPr/>
        <w:t>hotels.</w:t>
      </w:r>
      <w:r>
        <w:rPr>
          <w:spacing w:val="36"/>
        </w:rPr>
        <w:t> </w:t>
      </w:r>
      <w:r>
        <w:rPr/>
        <w:t>Understanding</w:t>
      </w:r>
      <w:r>
        <w:rPr>
          <w:spacing w:val="-8"/>
        </w:rPr>
        <w:t> </w:t>
      </w:r>
      <w:r>
        <w:rPr/>
        <w:t>these</w:t>
      </w:r>
      <w:r>
        <w:rPr>
          <w:spacing w:val="-6"/>
        </w:rPr>
        <w:t> </w:t>
      </w:r>
      <w:r>
        <w:rPr/>
        <w:t>nuances</w:t>
      </w:r>
      <w:r>
        <w:rPr>
          <w:spacing w:val="-6"/>
        </w:rPr>
        <w:t> </w:t>
      </w:r>
      <w:r>
        <w:rPr/>
        <w:t>in</w:t>
      </w:r>
      <w:r>
        <w:rPr>
          <w:spacing w:val="-7"/>
        </w:rPr>
        <w:t> </w:t>
      </w:r>
      <w:r>
        <w:rPr/>
        <w:t>tastes </w:t>
      </w:r>
      <w:r>
        <w:rPr/>
        <w:t>and preferences are important for brand awareness and product development. Visitors from these three segments rated</w:t>
      </w:r>
      <w:r>
        <w:rPr>
          <w:spacing w:val="-6"/>
        </w:rPr>
        <w:t> </w:t>
      </w:r>
      <w:r>
        <w:rPr/>
        <w:t>safety,</w:t>
      </w:r>
      <w:r>
        <w:rPr>
          <w:spacing w:val="-6"/>
        </w:rPr>
        <w:t> </w:t>
      </w:r>
      <w:r>
        <w:rPr/>
        <w:t>accommodation,</w:t>
      </w:r>
      <w:r>
        <w:rPr>
          <w:spacing w:val="-6"/>
        </w:rPr>
        <w:t> </w:t>
      </w:r>
      <w:r>
        <w:rPr/>
        <w:t>restaurant</w:t>
      </w:r>
      <w:r>
        <w:rPr>
          <w:spacing w:val="-6"/>
        </w:rPr>
        <w:t> </w:t>
      </w:r>
      <w:r>
        <w:rPr/>
        <w:t>quality,</w:t>
      </w:r>
      <w:r>
        <w:rPr>
          <w:spacing w:val="-6"/>
        </w:rPr>
        <w:t> </w:t>
      </w:r>
      <w:r>
        <w:rPr/>
        <w:t>ease</w:t>
      </w:r>
      <w:r>
        <w:rPr>
          <w:spacing w:val="-8"/>
        </w:rPr>
        <w:t> </w:t>
      </w:r>
      <w:r>
        <w:rPr/>
        <w:t>of</w:t>
      </w:r>
      <w:r>
        <w:rPr>
          <w:spacing w:val="-5"/>
        </w:rPr>
        <w:t> </w:t>
      </w:r>
      <w:r>
        <w:rPr/>
        <w:t>mobility,</w:t>
      </w:r>
      <w:r>
        <w:rPr>
          <w:spacing w:val="-6"/>
        </w:rPr>
        <w:t> </w:t>
      </w:r>
      <w:r>
        <w:rPr/>
        <w:t>familiarity,</w:t>
      </w:r>
      <w:r>
        <w:rPr>
          <w:spacing w:val="-6"/>
        </w:rPr>
        <w:t> </w:t>
      </w:r>
      <w:r>
        <w:rPr/>
        <w:t>and</w:t>
      </w:r>
      <w:r>
        <w:rPr>
          <w:spacing w:val="-6"/>
        </w:rPr>
        <w:t> </w:t>
      </w:r>
      <w:r>
        <w:rPr/>
        <w:t>value</w:t>
      </w:r>
      <w:r>
        <w:rPr>
          <w:spacing w:val="-5"/>
        </w:rPr>
        <w:t> </w:t>
      </w:r>
      <w:r>
        <w:rPr/>
        <w:t>for</w:t>
      </w:r>
      <w:r>
        <w:rPr>
          <w:spacing w:val="-7"/>
        </w:rPr>
        <w:t> </w:t>
      </w:r>
      <w:r>
        <w:rPr/>
        <w:t>the</w:t>
      </w:r>
      <w:r>
        <w:rPr>
          <w:spacing w:val="-8"/>
        </w:rPr>
        <w:t> </w:t>
      </w:r>
      <w:r>
        <w:rPr/>
        <w:t>money</w:t>
      </w:r>
      <w:r>
        <w:rPr>
          <w:spacing w:val="-6"/>
        </w:rPr>
        <w:t> </w:t>
      </w:r>
      <w:r>
        <w:rPr/>
        <w:t>as</w:t>
      </w:r>
      <w:r>
        <w:rPr>
          <w:spacing w:val="-8"/>
        </w:rPr>
        <w:t> </w:t>
      </w:r>
      <w:r>
        <w:rPr/>
        <w:t>important </w:t>
      </w:r>
      <w:r>
        <w:rPr/>
        <w:t>factors defining their experience on the island. Figure 35 depicts the nuances among the three</w:t>
      </w:r>
      <w:r>
        <w:rPr>
          <w:spacing w:val="5"/>
        </w:rPr>
        <w:t> </w:t>
      </w:r>
      <w:r>
        <w:rPr/>
        <w:t>segments.</w:t>
      </w:r>
    </w:p>
    <w:p>
      <w:pPr>
        <w:spacing w:line="240" w:lineRule="auto" w:before="11"/>
        <w:ind w:right="0"/>
        <w:rPr>
          <w:rFonts w:ascii="Calibri" w:hAnsi="Calibri" w:cs="Calibri" w:eastAsia="Calibri" w:hint="default"/>
          <w:sz w:val="19"/>
          <w:szCs w:val="19"/>
        </w:rPr>
      </w:pPr>
    </w:p>
    <w:p>
      <w:pPr>
        <w:pStyle w:val="BodyText"/>
        <w:spacing w:line="240" w:lineRule="auto"/>
        <w:ind w:right="1434"/>
        <w:jc w:val="both"/>
        <w:rPr>
          <w:sz w:val="12"/>
          <w:szCs w:val="12"/>
        </w:rPr>
      </w:pPr>
      <w:r>
        <w:rPr/>
        <w:t>Clearly, the first two years of the plan are embedded in enhancing the product image in all three markets, and in emphasizing</w:t>
      </w:r>
      <w:r>
        <w:rPr>
          <w:spacing w:val="-8"/>
        </w:rPr>
        <w:t> </w:t>
      </w:r>
      <w:r>
        <w:rPr/>
        <w:t>the</w:t>
      </w:r>
      <w:r>
        <w:rPr>
          <w:spacing w:val="-9"/>
        </w:rPr>
        <w:t> </w:t>
      </w:r>
      <w:r>
        <w:rPr/>
        <w:t>previous</w:t>
      </w:r>
      <w:r>
        <w:rPr>
          <w:spacing w:val="-9"/>
        </w:rPr>
        <w:t> </w:t>
      </w:r>
      <w:r>
        <w:rPr/>
        <w:t>tastes</w:t>
      </w:r>
      <w:r>
        <w:rPr>
          <w:spacing w:val="-7"/>
        </w:rPr>
        <w:t> </w:t>
      </w:r>
      <w:r>
        <w:rPr/>
        <w:t>and</w:t>
      </w:r>
      <w:r>
        <w:rPr>
          <w:spacing w:val="-7"/>
        </w:rPr>
        <w:t> </w:t>
      </w:r>
      <w:r>
        <w:rPr/>
        <w:t>preferences</w:t>
      </w:r>
      <w:r>
        <w:rPr>
          <w:spacing w:val="-8"/>
        </w:rPr>
        <w:t> </w:t>
      </w:r>
      <w:r>
        <w:rPr/>
        <w:t>-</w:t>
      </w:r>
      <w:r>
        <w:rPr>
          <w:spacing w:val="-9"/>
        </w:rPr>
        <w:t> </w:t>
      </w:r>
      <w:r>
        <w:rPr/>
        <w:t>with</w:t>
      </w:r>
      <w:r>
        <w:rPr>
          <w:spacing w:val="-7"/>
        </w:rPr>
        <w:t> </w:t>
      </w:r>
      <w:r>
        <w:rPr/>
        <w:t>particular</w:t>
      </w:r>
      <w:r>
        <w:rPr>
          <w:spacing w:val="-8"/>
        </w:rPr>
        <w:t> </w:t>
      </w:r>
      <w:r>
        <w:rPr/>
        <w:t>aggressive</w:t>
      </w:r>
      <w:r>
        <w:rPr>
          <w:spacing w:val="-9"/>
        </w:rPr>
        <w:t> </w:t>
      </w:r>
      <w:r>
        <w:rPr/>
        <w:t>marketing</w:t>
      </w:r>
      <w:r>
        <w:rPr>
          <w:spacing w:val="-8"/>
        </w:rPr>
        <w:t> </w:t>
      </w:r>
      <w:r>
        <w:rPr/>
        <w:t>efforts</w:t>
      </w:r>
      <w:r>
        <w:rPr>
          <w:spacing w:val="-6"/>
        </w:rPr>
        <w:t> </w:t>
      </w:r>
      <w:r>
        <w:rPr/>
        <w:t>toward</w:t>
      </w:r>
      <w:r>
        <w:rPr>
          <w:spacing w:val="-6"/>
        </w:rPr>
        <w:t> </w:t>
      </w:r>
      <w:r>
        <w:rPr/>
        <w:t>the</w:t>
      </w:r>
      <w:r>
        <w:rPr>
          <w:spacing w:val="-9"/>
        </w:rPr>
        <w:t> </w:t>
      </w:r>
      <w:r>
        <w:rPr/>
        <w:t>American </w:t>
      </w:r>
      <w:r>
        <w:rPr/>
        <w:t>market. The marketing efforts go in tandem with hotel room optimization, increased service quality, and airlift optimization</w:t>
      </w:r>
      <w:r>
        <w:rPr>
          <w:spacing w:val="-13"/>
        </w:rPr>
        <w:t> </w:t>
      </w:r>
      <w:r>
        <w:rPr/>
        <w:t>and</w:t>
      </w:r>
      <w:r>
        <w:rPr>
          <w:spacing w:val="-13"/>
        </w:rPr>
        <w:t> </w:t>
      </w:r>
      <w:r>
        <w:rPr/>
        <w:t>connectivity.</w:t>
      </w:r>
      <w:r>
        <w:rPr>
          <w:spacing w:val="-11"/>
        </w:rPr>
        <w:t> </w:t>
      </w:r>
      <w:r>
        <w:rPr/>
        <w:t>The</w:t>
      </w:r>
      <w:r>
        <w:rPr>
          <w:spacing w:val="-13"/>
        </w:rPr>
        <w:t> </w:t>
      </w:r>
      <w:r>
        <w:rPr/>
        <w:t>slogan,</w:t>
      </w:r>
      <w:r>
        <w:rPr>
          <w:spacing w:val="-13"/>
        </w:rPr>
        <w:t> </w:t>
      </w:r>
      <w:r>
        <w:rPr>
          <w:rFonts w:ascii="Calibri" w:hAnsi="Calibri" w:cs="Calibri" w:eastAsia="Calibri" w:hint="default"/>
        </w:rPr>
        <w:t>“</w:t>
      </w:r>
      <w:r>
        <w:rPr/>
        <w:t>Curaçao,</w:t>
      </w:r>
      <w:r>
        <w:rPr>
          <w:spacing w:val="-13"/>
        </w:rPr>
        <w:t> </w:t>
      </w:r>
      <w:r>
        <w:rPr/>
        <w:t>a</w:t>
      </w:r>
      <w:r>
        <w:rPr>
          <w:spacing w:val="-13"/>
        </w:rPr>
        <w:t> </w:t>
      </w:r>
      <w:r>
        <w:rPr/>
        <w:t>different</w:t>
      </w:r>
      <w:r>
        <w:rPr>
          <w:spacing w:val="-13"/>
        </w:rPr>
        <w:t> </w:t>
      </w:r>
      <w:r>
        <w:rPr/>
        <w:t>Dutch</w:t>
      </w:r>
      <w:r>
        <w:rPr>
          <w:spacing w:val="-13"/>
        </w:rPr>
        <w:t> </w:t>
      </w:r>
      <w:r>
        <w:rPr/>
        <w:t>Caribbean,</w:t>
      </w:r>
      <w:r>
        <w:rPr>
          <w:rFonts w:ascii="Calibri" w:hAnsi="Calibri" w:cs="Calibri" w:eastAsia="Calibri" w:hint="default"/>
        </w:rPr>
        <w:t>”</w:t>
      </w:r>
      <w:r>
        <w:rPr>
          <w:rFonts w:ascii="Calibri" w:hAnsi="Calibri" w:cs="Calibri" w:eastAsia="Calibri" w:hint="default"/>
          <w:spacing w:val="-13"/>
        </w:rPr>
        <w:t> </w:t>
      </w:r>
      <w:r>
        <w:rPr/>
        <w:t>could</w:t>
      </w:r>
      <w:r>
        <w:rPr>
          <w:spacing w:val="-13"/>
        </w:rPr>
        <w:t> </w:t>
      </w:r>
      <w:r>
        <w:rPr/>
        <w:t>be</w:t>
      </w:r>
      <w:r>
        <w:rPr>
          <w:spacing w:val="-13"/>
        </w:rPr>
        <w:t> </w:t>
      </w:r>
      <w:r>
        <w:rPr/>
        <w:t>emphasized</w:t>
      </w:r>
      <w:r>
        <w:rPr>
          <w:spacing w:val="-13"/>
        </w:rPr>
        <w:t> </w:t>
      </w:r>
      <w:r>
        <w:rPr/>
        <w:t>using</w:t>
      </w:r>
      <w:r>
        <w:rPr>
          <w:spacing w:val="-11"/>
        </w:rPr>
        <w:t> </w:t>
      </w:r>
      <w:r>
        <w:rPr/>
        <w:t>words </w:t>
      </w:r>
      <w:r>
        <w:rPr/>
        <w:t>displayed in Figure 8 of this plan, (e.g. excellent, great, wonderful, and fantastic). These words could embellish the slogan in all promotional</w:t>
      </w:r>
      <w:r>
        <w:rPr>
          <w:spacing w:val="-9"/>
        </w:rPr>
        <w:t> </w:t>
      </w:r>
      <w:r>
        <w:rPr/>
        <w:t>material.</w:t>
      </w:r>
      <w:r>
        <w:rPr>
          <w:position w:val="5"/>
          <w:sz w:val="12"/>
          <w:szCs w:val="12"/>
        </w:rPr>
        <w:t>80</w:t>
      </w:r>
      <w:r>
        <w:rPr>
          <w:sz w:val="12"/>
          <w:szCs w:val="12"/>
        </w:rPr>
      </w:r>
    </w:p>
    <w:p>
      <w:pPr>
        <w:spacing w:line="240" w:lineRule="auto" w:before="12"/>
        <w:ind w:right="0"/>
        <w:rPr>
          <w:rFonts w:ascii="Calibri" w:hAnsi="Calibri" w:cs="Calibri" w:eastAsia="Calibri" w:hint="default"/>
          <w:sz w:val="19"/>
          <w:szCs w:val="19"/>
        </w:rPr>
      </w:pPr>
    </w:p>
    <w:p>
      <w:pPr>
        <w:pStyle w:val="BodyText"/>
        <w:spacing w:line="240" w:lineRule="auto"/>
        <w:ind w:right="1441"/>
        <w:jc w:val="both"/>
        <w:rPr>
          <w:rFonts w:ascii="Calibri" w:hAnsi="Calibri" w:cs="Calibri" w:eastAsia="Calibri" w:hint="default"/>
        </w:rPr>
      </w:pPr>
      <w:r>
        <w:rPr/>
        <w:t>The CTB should constantly assess and update the motivation structure for each one of the segments. In particular, ample</w:t>
      </w:r>
      <w:r>
        <w:rPr>
          <w:spacing w:val="-9"/>
        </w:rPr>
        <w:t> </w:t>
      </w:r>
      <w:r>
        <w:rPr/>
        <w:t>attention</w:t>
      </w:r>
      <w:r>
        <w:rPr>
          <w:spacing w:val="-7"/>
        </w:rPr>
        <w:t> </w:t>
      </w:r>
      <w:r>
        <w:rPr/>
        <w:t>should</w:t>
      </w:r>
      <w:r>
        <w:rPr>
          <w:spacing w:val="-7"/>
        </w:rPr>
        <w:t> </w:t>
      </w:r>
      <w:r>
        <w:rPr/>
        <w:t>be</w:t>
      </w:r>
      <w:r>
        <w:rPr>
          <w:spacing w:val="-9"/>
        </w:rPr>
        <w:t> </w:t>
      </w:r>
      <w:r>
        <w:rPr/>
        <w:t>dedicated</w:t>
      </w:r>
      <w:r>
        <w:rPr>
          <w:spacing w:val="-8"/>
        </w:rPr>
        <w:t> </w:t>
      </w:r>
      <w:r>
        <w:rPr/>
        <w:t>towards</w:t>
      </w:r>
      <w:r>
        <w:rPr>
          <w:spacing w:val="-5"/>
        </w:rPr>
        <w:t> </w:t>
      </w:r>
      <w:r>
        <w:rPr/>
        <w:t>the</w:t>
      </w:r>
      <w:r>
        <w:rPr>
          <w:spacing w:val="-9"/>
        </w:rPr>
        <w:t> </w:t>
      </w:r>
      <w:r>
        <w:rPr/>
        <w:t>maven</w:t>
      </w:r>
      <w:r>
        <w:rPr>
          <w:spacing w:val="-7"/>
        </w:rPr>
        <w:t> </w:t>
      </w:r>
      <w:r>
        <w:rPr/>
        <w:t>segment</w:t>
      </w:r>
      <w:r>
        <w:rPr>
          <w:spacing w:val="-7"/>
        </w:rPr>
        <w:t> </w:t>
      </w:r>
      <w:r>
        <w:rPr/>
        <w:t>which</w:t>
      </w:r>
      <w:r>
        <w:rPr>
          <w:spacing w:val="-7"/>
        </w:rPr>
        <w:t> </w:t>
      </w:r>
      <w:r>
        <w:rPr/>
        <w:t>appears</w:t>
      </w:r>
      <w:r>
        <w:rPr>
          <w:spacing w:val="-6"/>
        </w:rPr>
        <w:t> </w:t>
      </w:r>
      <w:r>
        <w:rPr/>
        <w:t>to</w:t>
      </w:r>
      <w:r>
        <w:rPr>
          <w:spacing w:val="-7"/>
        </w:rPr>
        <w:t> </w:t>
      </w:r>
      <w:r>
        <w:rPr/>
        <w:t>be</w:t>
      </w:r>
      <w:r>
        <w:rPr>
          <w:spacing w:val="-8"/>
        </w:rPr>
        <w:t> </w:t>
      </w:r>
      <w:r>
        <w:rPr/>
        <w:t>the</w:t>
      </w:r>
      <w:r>
        <w:rPr>
          <w:spacing w:val="-9"/>
        </w:rPr>
        <w:t> </w:t>
      </w:r>
      <w:r>
        <w:rPr/>
        <w:t>most</w:t>
      </w:r>
      <w:r>
        <w:rPr>
          <w:spacing w:val="-7"/>
        </w:rPr>
        <w:t> </w:t>
      </w:r>
      <w:r>
        <w:rPr/>
        <w:t>promising</w:t>
      </w:r>
      <w:r>
        <w:rPr>
          <w:spacing w:val="-6"/>
        </w:rPr>
        <w:t> </w:t>
      </w:r>
      <w:r>
        <w:rPr/>
        <w:t>segment </w:t>
      </w:r>
      <w:r>
        <w:rPr/>
      </w:r>
      <w:r>
        <w:rPr>
          <w:rFonts w:ascii="Calibri" w:hAnsi="Calibri" w:cs="Calibri" w:eastAsia="Calibri" w:hint="default"/>
        </w:rPr>
        <w:t>to support the plan’s</w:t>
      </w:r>
      <w:r>
        <w:rPr>
          <w:rFonts w:ascii="Calibri" w:hAnsi="Calibri" w:cs="Calibri" w:eastAsia="Calibri" w:hint="default"/>
          <w:spacing w:val="-9"/>
        </w:rPr>
        <w:t> </w:t>
      </w:r>
      <w:r>
        <w:rPr>
          <w:rFonts w:ascii="Calibri" w:hAnsi="Calibri" w:cs="Calibri" w:eastAsia="Calibri" w:hint="default"/>
        </w:rPr>
        <w:t>goals.</w:t>
      </w:r>
    </w:p>
    <w:p>
      <w:pPr>
        <w:spacing w:line="240" w:lineRule="auto" w:before="11"/>
        <w:ind w:right="0"/>
        <w:rPr>
          <w:rFonts w:ascii="Calibri" w:hAnsi="Calibri" w:cs="Calibri" w:eastAsia="Calibri" w:hint="default"/>
          <w:sz w:val="19"/>
          <w:szCs w:val="19"/>
        </w:rPr>
      </w:pPr>
    </w:p>
    <w:p>
      <w:pPr>
        <w:pStyle w:val="BodyText"/>
        <w:spacing w:line="240" w:lineRule="auto"/>
        <w:ind w:right="1437"/>
        <w:jc w:val="both"/>
      </w:pPr>
      <w:r>
        <w:rPr/>
        <w:t>In order for the CTB to lead this process of major market penetration in the American market, shifting away from the Venezuelan to the Colombian market, and to convert a portion of cruise passengers to stay-over tourists, the CTB should undertake the following actions in the short</w:t>
      </w:r>
      <w:r>
        <w:rPr>
          <w:spacing w:val="-30"/>
        </w:rPr>
        <w:t> </w:t>
      </w:r>
      <w:r>
        <w:rPr/>
        <w:t>term:</w:t>
      </w:r>
    </w:p>
    <w:p>
      <w:pPr>
        <w:spacing w:line="240" w:lineRule="auto" w:before="1"/>
        <w:ind w:right="0"/>
        <w:rPr>
          <w:rFonts w:ascii="Calibri" w:hAnsi="Calibri" w:cs="Calibri" w:eastAsia="Calibri" w:hint="default"/>
          <w:sz w:val="20"/>
          <w:szCs w:val="20"/>
        </w:rPr>
      </w:pPr>
    </w:p>
    <w:p>
      <w:pPr>
        <w:pStyle w:val="ListParagraph"/>
        <w:numPr>
          <w:ilvl w:val="0"/>
          <w:numId w:val="19"/>
        </w:numPr>
        <w:tabs>
          <w:tab w:pos="2161" w:val="left" w:leader="none"/>
        </w:tabs>
        <w:spacing w:line="240" w:lineRule="auto" w:before="0" w:after="0"/>
        <w:ind w:left="2160" w:right="0" w:hanging="360"/>
        <w:jc w:val="left"/>
        <w:rPr>
          <w:rFonts w:ascii="Calibri" w:hAnsi="Calibri" w:cs="Calibri" w:eastAsia="Calibri" w:hint="default"/>
          <w:sz w:val="20"/>
          <w:szCs w:val="20"/>
        </w:rPr>
      </w:pPr>
      <w:r>
        <w:rPr>
          <w:rFonts w:ascii="Calibri"/>
          <w:sz w:val="20"/>
        </w:rPr>
        <w:t>Create the new CTB</w:t>
      </w:r>
      <w:r>
        <w:rPr>
          <w:rFonts w:ascii="Calibri"/>
          <w:spacing w:val="-11"/>
          <w:sz w:val="20"/>
        </w:rPr>
        <w:t> </w:t>
      </w:r>
      <w:r>
        <w:rPr>
          <w:rFonts w:ascii="Calibri"/>
          <w:sz w:val="20"/>
        </w:rPr>
        <w:t>structure</w:t>
      </w:r>
    </w:p>
    <w:p>
      <w:pPr>
        <w:pStyle w:val="ListParagraph"/>
        <w:numPr>
          <w:ilvl w:val="0"/>
          <w:numId w:val="19"/>
        </w:numPr>
        <w:tabs>
          <w:tab w:pos="2161" w:val="left" w:leader="none"/>
        </w:tabs>
        <w:spacing w:line="240" w:lineRule="auto" w:before="15" w:after="0"/>
        <w:ind w:left="2160" w:right="0" w:hanging="360"/>
        <w:jc w:val="left"/>
        <w:rPr>
          <w:rFonts w:ascii="Calibri" w:hAnsi="Calibri" w:cs="Calibri" w:eastAsia="Calibri" w:hint="default"/>
          <w:sz w:val="20"/>
          <w:szCs w:val="20"/>
        </w:rPr>
      </w:pPr>
      <w:r>
        <w:rPr>
          <w:rFonts w:ascii="Calibri"/>
          <w:sz w:val="20"/>
        </w:rPr>
        <w:t>Hire a new</w:t>
      </w:r>
      <w:r>
        <w:rPr>
          <w:rFonts w:ascii="Calibri"/>
          <w:spacing w:val="-9"/>
          <w:sz w:val="20"/>
        </w:rPr>
        <w:t> </w:t>
      </w:r>
      <w:r>
        <w:rPr>
          <w:rFonts w:ascii="Calibri"/>
          <w:sz w:val="20"/>
        </w:rPr>
        <w:t>CEO</w:t>
      </w:r>
    </w:p>
    <w:p>
      <w:pPr>
        <w:pStyle w:val="ListParagraph"/>
        <w:numPr>
          <w:ilvl w:val="0"/>
          <w:numId w:val="19"/>
        </w:numPr>
        <w:tabs>
          <w:tab w:pos="2161" w:val="left" w:leader="none"/>
        </w:tabs>
        <w:spacing w:line="240" w:lineRule="auto" w:before="17" w:after="0"/>
        <w:ind w:left="2160" w:right="0" w:hanging="360"/>
        <w:jc w:val="left"/>
        <w:rPr>
          <w:rFonts w:ascii="Calibri" w:hAnsi="Calibri" w:cs="Calibri" w:eastAsia="Calibri" w:hint="default"/>
          <w:sz w:val="20"/>
          <w:szCs w:val="20"/>
        </w:rPr>
      </w:pPr>
      <w:r>
        <w:rPr>
          <w:rFonts w:ascii="Calibri"/>
          <w:sz w:val="20"/>
        </w:rPr>
        <w:t>Hire a new marketing agency in the</w:t>
      </w:r>
      <w:r>
        <w:rPr>
          <w:rFonts w:ascii="Calibri"/>
          <w:spacing w:val="-13"/>
          <w:sz w:val="20"/>
        </w:rPr>
        <w:t> </w:t>
      </w:r>
      <w:r>
        <w:rPr>
          <w:rFonts w:ascii="Calibri"/>
          <w:sz w:val="20"/>
        </w:rPr>
        <w:t>USA</w:t>
      </w:r>
    </w:p>
    <w:p>
      <w:pPr>
        <w:pStyle w:val="ListParagraph"/>
        <w:numPr>
          <w:ilvl w:val="0"/>
          <w:numId w:val="19"/>
        </w:numPr>
        <w:tabs>
          <w:tab w:pos="2161" w:val="left" w:leader="none"/>
        </w:tabs>
        <w:spacing w:line="240" w:lineRule="auto" w:before="15" w:after="0"/>
        <w:ind w:left="2160" w:right="0" w:hanging="360"/>
        <w:jc w:val="left"/>
        <w:rPr>
          <w:rFonts w:ascii="Calibri" w:hAnsi="Calibri" w:cs="Calibri" w:eastAsia="Calibri" w:hint="default"/>
          <w:sz w:val="20"/>
          <w:szCs w:val="20"/>
        </w:rPr>
      </w:pPr>
      <w:r>
        <w:rPr>
          <w:rFonts w:ascii="Calibri"/>
          <w:sz w:val="20"/>
        </w:rPr>
        <w:t>The CTB and hotels should develop together an aggressive social media</w:t>
      </w:r>
      <w:r>
        <w:rPr>
          <w:rFonts w:ascii="Calibri"/>
          <w:spacing w:val="-27"/>
          <w:sz w:val="20"/>
        </w:rPr>
        <w:t> </w:t>
      </w:r>
      <w:r>
        <w:rPr>
          <w:rFonts w:ascii="Calibri"/>
          <w:sz w:val="20"/>
        </w:rPr>
        <w:t>program</w:t>
      </w:r>
    </w:p>
    <w:p>
      <w:pPr>
        <w:pStyle w:val="ListParagraph"/>
        <w:numPr>
          <w:ilvl w:val="0"/>
          <w:numId w:val="19"/>
        </w:numPr>
        <w:tabs>
          <w:tab w:pos="2161" w:val="left" w:leader="none"/>
        </w:tabs>
        <w:spacing w:line="240" w:lineRule="auto" w:before="17" w:after="0"/>
        <w:ind w:left="2160" w:right="0" w:hanging="360"/>
        <w:jc w:val="left"/>
        <w:rPr>
          <w:rFonts w:ascii="Calibri" w:hAnsi="Calibri" w:cs="Calibri" w:eastAsia="Calibri" w:hint="default"/>
          <w:sz w:val="20"/>
          <w:szCs w:val="20"/>
        </w:rPr>
      </w:pPr>
      <w:r>
        <w:rPr>
          <w:rFonts w:ascii="Calibri"/>
          <w:sz w:val="20"/>
        </w:rPr>
        <w:t>Secure the US$40 million</w:t>
      </w:r>
      <w:r>
        <w:rPr>
          <w:rFonts w:ascii="Calibri"/>
          <w:spacing w:val="-13"/>
          <w:sz w:val="20"/>
        </w:rPr>
        <w:t> </w:t>
      </w:r>
      <w:r>
        <w:rPr>
          <w:rFonts w:ascii="Calibri"/>
          <w:sz w:val="20"/>
        </w:rPr>
        <w:t>loan</w:t>
      </w:r>
    </w:p>
    <w:p>
      <w:pPr>
        <w:pStyle w:val="ListParagraph"/>
        <w:numPr>
          <w:ilvl w:val="0"/>
          <w:numId w:val="19"/>
        </w:numPr>
        <w:tabs>
          <w:tab w:pos="2161" w:val="left" w:leader="none"/>
        </w:tabs>
        <w:spacing w:line="240" w:lineRule="auto" w:before="15" w:after="0"/>
        <w:ind w:left="2160" w:right="0" w:hanging="360"/>
        <w:jc w:val="left"/>
        <w:rPr>
          <w:rFonts w:ascii="Calibri" w:hAnsi="Calibri" w:cs="Calibri" w:eastAsia="Calibri" w:hint="default"/>
          <w:sz w:val="20"/>
          <w:szCs w:val="20"/>
        </w:rPr>
      </w:pPr>
      <w:r>
        <w:rPr>
          <w:rFonts w:ascii="Calibri"/>
          <w:sz w:val="20"/>
        </w:rPr>
        <w:t>Secure additional airlift from the</w:t>
      </w:r>
      <w:r>
        <w:rPr>
          <w:rFonts w:ascii="Calibri"/>
          <w:spacing w:val="-13"/>
          <w:sz w:val="20"/>
        </w:rPr>
        <w:t> </w:t>
      </w:r>
      <w:r>
        <w:rPr>
          <w:rFonts w:ascii="Calibri"/>
          <w:sz w:val="20"/>
        </w:rPr>
        <w:t>USA</w:t>
      </w:r>
    </w:p>
    <w:p>
      <w:pPr>
        <w:pStyle w:val="BodyText"/>
        <w:spacing w:line="240" w:lineRule="auto" w:before="178"/>
        <w:ind w:right="1439"/>
        <w:jc w:val="both"/>
      </w:pPr>
      <w:r>
        <w:rPr/>
        <w:t>All these actions require a high level of coordination. Coordination, trust, and collaboration are vital elements in a coherent, effective, and inclusive policy environment. More coherence in terms of targets (market segments, positioning,</w:t>
      </w:r>
      <w:r>
        <w:rPr>
          <w:spacing w:val="-10"/>
        </w:rPr>
        <w:t> </w:t>
      </w:r>
      <w:r>
        <w:rPr/>
        <w:t>revamping</w:t>
      </w:r>
      <w:r>
        <w:rPr>
          <w:spacing w:val="-11"/>
        </w:rPr>
        <w:t> </w:t>
      </w:r>
      <w:r>
        <w:rPr/>
        <w:t>of</w:t>
      </w:r>
      <w:r>
        <w:rPr>
          <w:spacing w:val="-12"/>
        </w:rPr>
        <w:t> </w:t>
      </w:r>
      <w:r>
        <w:rPr/>
        <w:t>the</w:t>
      </w:r>
      <w:r>
        <w:rPr>
          <w:spacing w:val="-10"/>
        </w:rPr>
        <w:t> </w:t>
      </w:r>
      <w:r>
        <w:rPr/>
        <w:t>hotel</w:t>
      </w:r>
      <w:r>
        <w:rPr>
          <w:spacing w:val="-12"/>
        </w:rPr>
        <w:t> </w:t>
      </w:r>
      <w:r>
        <w:rPr/>
        <w:t>portfolio),</w:t>
      </w:r>
      <w:r>
        <w:rPr>
          <w:spacing w:val="-11"/>
        </w:rPr>
        <w:t> </w:t>
      </w:r>
      <w:r>
        <w:rPr/>
        <w:t>management</w:t>
      </w:r>
      <w:r>
        <w:rPr>
          <w:spacing w:val="-8"/>
        </w:rPr>
        <w:t> </w:t>
      </w:r>
      <w:r>
        <w:rPr/>
        <w:t>(institutional</w:t>
      </w:r>
      <w:r>
        <w:rPr>
          <w:spacing w:val="-11"/>
        </w:rPr>
        <w:t> </w:t>
      </w:r>
      <w:r>
        <w:rPr/>
        <w:t>coordination,</w:t>
      </w:r>
      <w:r>
        <w:rPr>
          <w:spacing w:val="-11"/>
        </w:rPr>
        <w:t> </w:t>
      </w:r>
      <w:r>
        <w:rPr/>
        <w:t>impact</w:t>
      </w:r>
      <w:r>
        <w:rPr>
          <w:spacing w:val="-11"/>
        </w:rPr>
        <w:t> </w:t>
      </w:r>
      <w:r>
        <w:rPr/>
        <w:t>analysis</w:t>
      </w:r>
      <w:r>
        <w:rPr>
          <w:spacing w:val="-13"/>
        </w:rPr>
        <w:t> </w:t>
      </w:r>
      <w:r>
        <w:rPr/>
        <w:t>studies),</w:t>
      </w:r>
      <w:r>
        <w:rPr>
          <w:spacing w:val="-11"/>
        </w:rPr>
        <w:t> </w:t>
      </w:r>
      <w:r>
        <w:rPr/>
        <w:t>and</w:t>
      </w:r>
    </w:p>
    <w:p>
      <w:pPr>
        <w:spacing w:line="240" w:lineRule="auto" w:before="0"/>
        <w:ind w:right="0"/>
        <w:rPr>
          <w:rFonts w:ascii="Calibri" w:hAnsi="Calibri" w:cs="Calibri" w:eastAsia="Calibri" w:hint="default"/>
          <w:sz w:val="20"/>
          <w:szCs w:val="20"/>
        </w:rPr>
      </w:pPr>
    </w:p>
    <w:p>
      <w:pPr>
        <w:spacing w:line="240" w:lineRule="auto" w:before="5"/>
        <w:ind w:right="0"/>
        <w:rPr>
          <w:rFonts w:ascii="Calibri" w:hAnsi="Calibri" w:cs="Calibri" w:eastAsia="Calibri" w:hint="default"/>
          <w:sz w:val="11"/>
          <w:szCs w:val="11"/>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2" w:lineRule="auto" w:before="89"/>
        <w:ind w:left="1440" w:right="1692" w:firstLine="0"/>
        <w:jc w:val="left"/>
        <w:rPr>
          <w:rFonts w:ascii="Calibri" w:hAnsi="Calibri" w:cs="Calibri" w:eastAsia="Calibri" w:hint="default"/>
          <w:sz w:val="16"/>
          <w:szCs w:val="16"/>
        </w:rPr>
      </w:pPr>
      <w:r>
        <w:rPr>
          <w:rFonts w:ascii="Calibri" w:hAnsi="Calibri"/>
          <w:position w:val="5"/>
          <w:sz w:val="12"/>
        </w:rPr>
        <w:t>80 </w:t>
      </w:r>
      <w:r>
        <w:rPr>
          <w:rFonts w:ascii="Calibri" w:hAnsi="Calibri"/>
          <w:sz w:val="16"/>
        </w:rPr>
        <w:t>Curaçao should make use of its Major League baseball players as spokespersons to the American public. The NYT recently published an </w:t>
      </w:r>
      <w:r>
        <w:rPr>
          <w:rFonts w:ascii="Calibri" w:hAnsi="Calibri"/>
          <w:sz w:val="16"/>
        </w:rPr>
        <w:t>extensive article about Andrelton Simmons and Didi Gregorius referencing their birthplace of Curaçao on several occasions. This article is an example of how the island can be promoted in the American market. See Witz, B. (2015). Two Shortstops Share Journey: Small Island to Big Leagues. </w:t>
      </w:r>
      <w:r>
        <w:rPr>
          <w:rFonts w:ascii="Calibri" w:hAnsi="Calibri"/>
          <w:i/>
          <w:sz w:val="16"/>
        </w:rPr>
        <w:t>New York Times</w:t>
      </w:r>
      <w:r>
        <w:rPr>
          <w:rFonts w:ascii="Calibri" w:hAnsi="Calibri"/>
          <w:sz w:val="16"/>
        </w:rPr>
        <w:t>, August 30, p. 3</w:t>
      </w:r>
      <w:r>
        <w:rPr>
          <w:rFonts w:ascii="Calibri" w:hAnsi="Calibri"/>
          <w:spacing w:val="-20"/>
          <w:sz w:val="16"/>
        </w:rPr>
        <w:t> </w:t>
      </w:r>
      <w:r>
        <w:rPr>
          <w:rFonts w:ascii="Calibri" w:hAnsi="Calibri"/>
          <w:sz w:val="16"/>
        </w:rPr>
        <w:t>(Sports).</w:t>
      </w:r>
    </w:p>
    <w:p>
      <w:pPr>
        <w:spacing w:after="0" w:line="242"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9"/>
        <w:jc w:val="both"/>
      </w:pPr>
      <w:r>
        <w:rPr/>
        <w:t>incentives (effectiveness, cost-benefit, and adequacy) is required to maintain sound competitive advantages. All these tasks require high doses of creative and experienced talents. Institutions that can nurture, discover, and provide</w:t>
      </w:r>
      <w:r>
        <w:rPr>
          <w:spacing w:val="-4"/>
        </w:rPr>
        <w:t> </w:t>
      </w:r>
      <w:r>
        <w:rPr/>
        <w:t>room</w:t>
      </w:r>
      <w:r>
        <w:rPr>
          <w:spacing w:val="-4"/>
        </w:rPr>
        <w:t> </w:t>
      </w:r>
      <w:r>
        <w:rPr/>
        <w:t>to</w:t>
      </w:r>
      <w:r>
        <w:rPr>
          <w:spacing w:val="-3"/>
        </w:rPr>
        <w:t> </w:t>
      </w:r>
      <w:r>
        <w:rPr/>
        <w:t>implement</w:t>
      </w:r>
      <w:r>
        <w:rPr>
          <w:spacing w:val="-3"/>
        </w:rPr>
        <w:t> </w:t>
      </w:r>
      <w:r>
        <w:rPr/>
        <w:t>these</w:t>
      </w:r>
      <w:r>
        <w:rPr>
          <w:spacing w:val="-4"/>
        </w:rPr>
        <w:t> </w:t>
      </w:r>
      <w:r>
        <w:rPr/>
        <w:t>tasks</w:t>
      </w:r>
      <w:r>
        <w:rPr>
          <w:spacing w:val="-4"/>
        </w:rPr>
        <w:t> </w:t>
      </w:r>
      <w:r>
        <w:rPr/>
        <w:t>and</w:t>
      </w:r>
      <w:r>
        <w:rPr>
          <w:spacing w:val="-3"/>
        </w:rPr>
        <w:t> </w:t>
      </w:r>
      <w:r>
        <w:rPr/>
        <w:t>practices</w:t>
      </w:r>
      <w:r>
        <w:rPr>
          <w:spacing w:val="-5"/>
        </w:rPr>
        <w:t> </w:t>
      </w:r>
      <w:r>
        <w:rPr/>
        <w:t>are</w:t>
      </w:r>
      <w:r>
        <w:rPr>
          <w:spacing w:val="-4"/>
        </w:rPr>
        <w:t> </w:t>
      </w:r>
      <w:r>
        <w:rPr/>
        <w:t>necessary</w:t>
      </w:r>
      <w:r>
        <w:rPr>
          <w:spacing w:val="-3"/>
        </w:rPr>
        <w:t> </w:t>
      </w:r>
      <w:r>
        <w:rPr/>
        <w:t>to</w:t>
      </w:r>
      <w:r>
        <w:rPr>
          <w:spacing w:val="-3"/>
        </w:rPr>
        <w:t> </w:t>
      </w:r>
      <w:r>
        <w:rPr/>
        <w:t>sustain</w:t>
      </w:r>
      <w:r>
        <w:rPr>
          <w:spacing w:val="-3"/>
        </w:rPr>
        <w:t> </w:t>
      </w:r>
      <w:r>
        <w:rPr/>
        <w:t>a</w:t>
      </w:r>
      <w:r>
        <w:rPr>
          <w:spacing w:val="-3"/>
        </w:rPr>
        <w:t> </w:t>
      </w:r>
      <w:r>
        <w:rPr/>
        <w:t>competitive</w:t>
      </w:r>
      <w:r>
        <w:rPr>
          <w:spacing w:val="-4"/>
        </w:rPr>
        <w:t> </w:t>
      </w:r>
      <w:r>
        <w:rPr/>
        <w:t>advantage.</w:t>
      </w:r>
    </w:p>
    <w:p>
      <w:pPr>
        <w:spacing w:line="240" w:lineRule="auto" w:before="6"/>
        <w:ind w:right="0"/>
        <w:rPr>
          <w:rFonts w:ascii="Calibri" w:hAnsi="Calibri" w:cs="Calibri" w:eastAsia="Calibri" w:hint="default"/>
          <w:sz w:val="23"/>
          <w:szCs w:val="23"/>
        </w:rPr>
      </w:pPr>
    </w:p>
    <w:p>
      <w:pPr>
        <w:pStyle w:val="Heading3"/>
        <w:spacing w:line="341" w:lineRule="exact"/>
        <w:ind w:right="0"/>
        <w:jc w:val="both"/>
        <w:rPr>
          <w:i w:val="0"/>
        </w:rPr>
      </w:pPr>
      <w:bookmarkStart w:name="_bookmark172" w:id="173"/>
      <w:bookmarkEnd w:id="173"/>
      <w:r>
        <w:rPr>
          <w:i w:val="0"/>
        </w:rPr>
      </w:r>
      <w:r>
        <w:rPr>
          <w:i/>
        </w:rPr>
        <w:t>Actions to enhance human</w:t>
      </w:r>
      <w:r>
        <w:rPr>
          <w:i/>
          <w:spacing w:val="-6"/>
        </w:rPr>
        <w:t> </w:t>
      </w:r>
      <w:r>
        <w:rPr>
          <w:i/>
        </w:rPr>
        <w:t>capital</w:t>
      </w:r>
      <w:r>
        <w:rPr>
          <w:i w:val="0"/>
        </w:rPr>
      </w:r>
    </w:p>
    <w:p>
      <w:pPr>
        <w:pStyle w:val="BodyText"/>
        <w:spacing w:line="240" w:lineRule="auto"/>
        <w:ind w:right="1435"/>
        <w:jc w:val="both"/>
      </w:pPr>
      <w:r>
        <w:rPr/>
        <w:t>Enhancing service quality requires the continuous adoption and updating of skills and competencies, as well as attaining the right attitude from the hospitality industry. The existing training programs are not properly designed to face the organizational challenges of the local businesses, nor are they designed to discover the required talents to move the industry forward. Supervisory direction seems lacking in hospitality organizations, thereby compromising a hospitality organizational culture that is attuned to enhancing the service delivery quality. For example,</w:t>
      </w:r>
      <w:r>
        <w:rPr>
          <w:spacing w:val="-12"/>
        </w:rPr>
        <w:t> </w:t>
      </w:r>
      <w:r>
        <w:rPr/>
        <w:t>the</w:t>
      </w:r>
      <w:r>
        <w:rPr>
          <w:spacing w:val="-11"/>
        </w:rPr>
        <w:t> </w:t>
      </w:r>
      <w:r>
        <w:rPr/>
        <w:t>existing</w:t>
      </w:r>
      <w:r>
        <w:rPr>
          <w:spacing w:val="-13"/>
        </w:rPr>
        <w:t> </w:t>
      </w:r>
      <w:r>
        <w:rPr/>
        <w:t>program</w:t>
      </w:r>
      <w:r>
        <w:rPr>
          <w:spacing w:val="-11"/>
        </w:rPr>
        <w:t> </w:t>
      </w:r>
      <w:r>
        <w:rPr/>
        <w:t>at</w:t>
      </w:r>
      <w:r>
        <w:rPr>
          <w:spacing w:val="-12"/>
        </w:rPr>
        <w:t> </w:t>
      </w:r>
      <w:r>
        <w:rPr/>
        <w:t>the</w:t>
      </w:r>
      <w:r>
        <w:rPr>
          <w:spacing w:val="-13"/>
        </w:rPr>
        <w:t> </w:t>
      </w:r>
      <w:r>
        <w:rPr/>
        <w:t>Academy</w:t>
      </w:r>
      <w:r>
        <w:rPr>
          <w:spacing w:val="-12"/>
        </w:rPr>
        <w:t> </w:t>
      </w:r>
      <w:r>
        <w:rPr/>
        <w:t>Hotel</w:t>
      </w:r>
      <w:r>
        <w:rPr>
          <w:spacing w:val="-13"/>
        </w:rPr>
        <w:t> </w:t>
      </w:r>
      <w:r>
        <w:rPr/>
        <w:t>is</w:t>
      </w:r>
      <w:r>
        <w:rPr>
          <w:spacing w:val="-14"/>
        </w:rPr>
        <w:t> </w:t>
      </w:r>
      <w:r>
        <w:rPr/>
        <w:t>not</w:t>
      </w:r>
      <w:r>
        <w:rPr>
          <w:spacing w:val="-12"/>
        </w:rPr>
        <w:t> </w:t>
      </w:r>
      <w:r>
        <w:rPr/>
        <w:t>providing</w:t>
      </w:r>
      <w:r>
        <w:rPr>
          <w:spacing w:val="-13"/>
        </w:rPr>
        <w:t> </w:t>
      </w:r>
      <w:r>
        <w:rPr/>
        <w:t>students</w:t>
      </w:r>
      <w:r>
        <w:rPr>
          <w:spacing w:val="-11"/>
        </w:rPr>
        <w:t> </w:t>
      </w:r>
      <w:r>
        <w:rPr/>
        <w:t>with</w:t>
      </w:r>
      <w:r>
        <w:rPr>
          <w:spacing w:val="-12"/>
        </w:rPr>
        <w:t> </w:t>
      </w:r>
      <w:r>
        <w:rPr/>
        <w:t>the</w:t>
      </w:r>
      <w:r>
        <w:rPr>
          <w:spacing w:val="-13"/>
        </w:rPr>
        <w:t> </w:t>
      </w:r>
      <w:r>
        <w:rPr/>
        <w:t>experiential</w:t>
      </w:r>
      <w:r>
        <w:rPr>
          <w:spacing w:val="-13"/>
        </w:rPr>
        <w:t> </w:t>
      </w:r>
      <w:r>
        <w:rPr/>
        <w:t>learning</w:t>
      </w:r>
      <w:r>
        <w:rPr>
          <w:spacing w:val="-13"/>
        </w:rPr>
        <w:t> </w:t>
      </w:r>
      <w:r>
        <w:rPr/>
        <w:t>to</w:t>
      </w:r>
      <w:r>
        <w:rPr>
          <w:spacing w:val="-10"/>
        </w:rPr>
        <w:t> </w:t>
      </w:r>
      <w:r>
        <w:rPr/>
        <w:t>excite </w:t>
      </w:r>
      <w:r>
        <w:rPr/>
      </w:r>
      <w:r>
        <w:rPr>
          <w:rFonts w:ascii="Calibri" w:hAnsi="Calibri" w:cs="Calibri" w:eastAsia="Calibri" w:hint="default"/>
        </w:rPr>
        <w:t>them to work in the industry. The public education system’s curriculum is failing with high dropout rates and </w:t>
      </w:r>
      <w:r>
        <w:rPr/>
        <w:t>graduates that lack the knowledge and knowhow to even enter the market, much less enhance and move the tourism industry</w:t>
      </w:r>
      <w:r>
        <w:rPr>
          <w:spacing w:val="-15"/>
        </w:rPr>
        <w:t> </w:t>
      </w:r>
      <w:r>
        <w:rPr/>
        <w:t>forward.</w:t>
      </w:r>
    </w:p>
    <w:p>
      <w:pPr>
        <w:spacing w:line="240" w:lineRule="auto" w:before="12"/>
        <w:ind w:right="0"/>
        <w:rPr>
          <w:rFonts w:ascii="Calibri" w:hAnsi="Calibri" w:cs="Calibri" w:eastAsia="Calibri" w:hint="default"/>
          <w:sz w:val="19"/>
          <w:szCs w:val="19"/>
        </w:rPr>
      </w:pPr>
    </w:p>
    <w:p>
      <w:pPr>
        <w:pStyle w:val="BodyText"/>
        <w:spacing w:line="240" w:lineRule="auto"/>
        <w:ind w:right="1435"/>
        <w:jc w:val="both"/>
      </w:pPr>
      <w:r>
        <w:rPr/>
        <w:t>The</w:t>
      </w:r>
      <w:r>
        <w:rPr>
          <w:spacing w:val="-9"/>
        </w:rPr>
        <w:t> </w:t>
      </w:r>
      <w:r>
        <w:rPr/>
        <w:t>existing</w:t>
      </w:r>
      <w:r>
        <w:rPr>
          <w:spacing w:val="-8"/>
        </w:rPr>
        <w:t> </w:t>
      </w:r>
      <w:r>
        <w:rPr/>
        <w:t>UNDP</w:t>
      </w:r>
      <w:r>
        <w:rPr>
          <w:spacing w:val="-8"/>
        </w:rPr>
        <w:t> </w:t>
      </w:r>
      <w:r>
        <w:rPr/>
        <w:t>draft</w:t>
      </w:r>
      <w:r>
        <w:rPr>
          <w:spacing w:val="-7"/>
        </w:rPr>
        <w:t> </w:t>
      </w:r>
      <w:r>
        <w:rPr/>
        <w:t>document</w:t>
      </w:r>
      <w:r>
        <w:rPr>
          <w:spacing w:val="-7"/>
        </w:rPr>
        <w:t> </w:t>
      </w:r>
      <w:r>
        <w:rPr/>
        <w:t>extensively</w:t>
      </w:r>
      <w:r>
        <w:rPr>
          <w:spacing w:val="-7"/>
        </w:rPr>
        <w:t> </w:t>
      </w:r>
      <w:r>
        <w:rPr/>
        <w:t>elaborates</w:t>
      </w:r>
      <w:r>
        <w:rPr>
          <w:spacing w:val="-9"/>
        </w:rPr>
        <w:t> </w:t>
      </w:r>
      <w:r>
        <w:rPr/>
        <w:t>on</w:t>
      </w:r>
      <w:r>
        <w:rPr>
          <w:spacing w:val="-7"/>
        </w:rPr>
        <w:t> </w:t>
      </w:r>
      <w:r>
        <w:rPr/>
        <w:t>how</w:t>
      </w:r>
      <w:r>
        <w:rPr>
          <w:spacing w:val="-9"/>
        </w:rPr>
        <w:t> </w:t>
      </w:r>
      <w:r>
        <w:rPr/>
        <w:t>to</w:t>
      </w:r>
      <w:r>
        <w:rPr>
          <w:spacing w:val="-7"/>
        </w:rPr>
        <w:t> </w:t>
      </w:r>
      <w:r>
        <w:rPr/>
        <w:t>improve</w:t>
      </w:r>
      <w:r>
        <w:rPr>
          <w:spacing w:val="-9"/>
        </w:rPr>
        <w:t> </w:t>
      </w:r>
      <w:r>
        <w:rPr/>
        <w:t>the</w:t>
      </w:r>
      <w:r>
        <w:rPr>
          <w:spacing w:val="-9"/>
        </w:rPr>
        <w:t> </w:t>
      </w:r>
      <w:r>
        <w:rPr/>
        <w:t>educational</w:t>
      </w:r>
      <w:r>
        <w:rPr>
          <w:spacing w:val="-7"/>
        </w:rPr>
        <w:t> </w:t>
      </w:r>
      <w:r>
        <w:rPr/>
        <w:t>and</w:t>
      </w:r>
      <w:r>
        <w:rPr>
          <w:spacing w:val="-7"/>
        </w:rPr>
        <w:t> </w:t>
      </w:r>
      <w:r>
        <w:rPr/>
        <w:t>training</w:t>
      </w:r>
      <w:r>
        <w:rPr>
          <w:spacing w:val="-8"/>
        </w:rPr>
        <w:t> </w:t>
      </w:r>
      <w:r>
        <w:rPr/>
        <w:t>programs </w:t>
      </w:r>
      <w:r>
        <w:rPr/>
        <w:t>in Curaçao in order to imbue the local human capital with the required skills, competencies, and attitudes that the global market requires. In addition, this strategic plan recommends applying an institutional learning framework that could resemble the Ensenanza pa Empleo that has successfully facilitated the transition from an industrial to a service/hospitality</w:t>
      </w:r>
      <w:r>
        <w:rPr>
          <w:spacing w:val="-12"/>
        </w:rPr>
        <w:t> </w:t>
      </w:r>
      <w:r>
        <w:rPr/>
        <w:t>mindset.</w:t>
      </w:r>
      <w:r>
        <w:rPr>
          <w:spacing w:val="-12"/>
        </w:rPr>
        <w:t> </w:t>
      </w:r>
      <w:r>
        <w:rPr/>
        <w:t>The</w:t>
      </w:r>
      <w:r>
        <w:rPr>
          <w:spacing w:val="-13"/>
        </w:rPr>
        <w:t> </w:t>
      </w:r>
      <w:r>
        <w:rPr/>
        <w:t>plan</w:t>
      </w:r>
      <w:r>
        <w:rPr>
          <w:spacing w:val="-12"/>
        </w:rPr>
        <w:t> </w:t>
      </w:r>
      <w:r>
        <w:rPr/>
        <w:t>also</w:t>
      </w:r>
      <w:r>
        <w:rPr>
          <w:spacing w:val="-12"/>
        </w:rPr>
        <w:t> </w:t>
      </w:r>
      <w:r>
        <w:rPr/>
        <w:t>recommends</w:t>
      </w:r>
      <w:r>
        <w:rPr>
          <w:spacing w:val="-14"/>
        </w:rPr>
        <w:t> </w:t>
      </w:r>
      <w:r>
        <w:rPr/>
        <w:t>that</w:t>
      </w:r>
      <w:r>
        <w:rPr>
          <w:spacing w:val="-12"/>
        </w:rPr>
        <w:t> </w:t>
      </w:r>
      <w:r>
        <w:rPr/>
        <w:t>the</w:t>
      </w:r>
      <w:r>
        <w:rPr>
          <w:spacing w:val="-13"/>
        </w:rPr>
        <w:t> </w:t>
      </w:r>
      <w:r>
        <w:rPr/>
        <w:t>CTB</w:t>
      </w:r>
      <w:r>
        <w:rPr>
          <w:spacing w:val="-9"/>
        </w:rPr>
        <w:t> </w:t>
      </w:r>
      <w:r>
        <w:rPr/>
        <w:t>and</w:t>
      </w:r>
      <w:r>
        <w:rPr>
          <w:spacing w:val="-12"/>
        </w:rPr>
        <w:t> </w:t>
      </w:r>
      <w:r>
        <w:rPr/>
        <w:t>the</w:t>
      </w:r>
      <w:r>
        <w:rPr>
          <w:spacing w:val="-13"/>
        </w:rPr>
        <w:t> </w:t>
      </w:r>
      <w:r>
        <w:rPr/>
        <w:t>Department</w:t>
      </w:r>
      <w:r>
        <w:rPr>
          <w:spacing w:val="-15"/>
        </w:rPr>
        <w:t> </w:t>
      </w:r>
      <w:r>
        <w:rPr/>
        <w:t>of</w:t>
      </w:r>
      <w:r>
        <w:rPr>
          <w:spacing w:val="-13"/>
        </w:rPr>
        <w:t> </w:t>
      </w:r>
      <w:r>
        <w:rPr/>
        <w:t>Labor</w:t>
      </w:r>
      <w:r>
        <w:rPr>
          <w:spacing w:val="-13"/>
        </w:rPr>
        <w:t> </w:t>
      </w:r>
      <w:r>
        <w:rPr/>
        <w:t>organize</w:t>
      </w:r>
      <w:r>
        <w:rPr>
          <w:spacing w:val="-13"/>
        </w:rPr>
        <w:t> </w:t>
      </w:r>
      <w:r>
        <w:rPr/>
        <w:t>a</w:t>
      </w:r>
      <w:r>
        <w:rPr>
          <w:spacing w:val="-14"/>
        </w:rPr>
        <w:t> </w:t>
      </w:r>
      <w:r>
        <w:rPr/>
        <w:t>number </w:t>
      </w:r>
      <w:r>
        <w:rPr/>
        <w:t>of</w:t>
      </w:r>
      <w:r>
        <w:rPr>
          <w:spacing w:val="-8"/>
        </w:rPr>
        <w:t> </w:t>
      </w:r>
      <w:r>
        <w:rPr/>
        <w:t>short</w:t>
      </w:r>
      <w:r>
        <w:rPr>
          <w:spacing w:val="-6"/>
        </w:rPr>
        <w:t> </w:t>
      </w:r>
      <w:r>
        <w:rPr/>
        <w:t>seminars</w:t>
      </w:r>
      <w:r>
        <w:rPr>
          <w:spacing w:val="-8"/>
        </w:rPr>
        <w:t> </w:t>
      </w:r>
      <w:r>
        <w:rPr/>
        <w:t>to</w:t>
      </w:r>
      <w:r>
        <w:rPr>
          <w:spacing w:val="-5"/>
        </w:rPr>
        <w:t> </w:t>
      </w:r>
      <w:r>
        <w:rPr/>
        <w:t>upgrade</w:t>
      </w:r>
      <w:r>
        <w:rPr>
          <w:spacing w:val="-7"/>
        </w:rPr>
        <w:t> </w:t>
      </w:r>
      <w:r>
        <w:rPr/>
        <w:t>the</w:t>
      </w:r>
      <w:r>
        <w:rPr>
          <w:spacing w:val="-7"/>
        </w:rPr>
        <w:t> </w:t>
      </w:r>
      <w:r>
        <w:rPr/>
        <w:t>knowledge</w:t>
      </w:r>
      <w:r>
        <w:rPr>
          <w:spacing w:val="-7"/>
        </w:rPr>
        <w:t> </w:t>
      </w:r>
      <w:r>
        <w:rPr/>
        <w:t>and</w:t>
      </w:r>
      <w:r>
        <w:rPr>
          <w:spacing w:val="-6"/>
        </w:rPr>
        <w:t> </w:t>
      </w:r>
      <w:r>
        <w:rPr/>
        <w:t>skills</w:t>
      </w:r>
      <w:r>
        <w:rPr>
          <w:spacing w:val="-6"/>
        </w:rPr>
        <w:t> </w:t>
      </w:r>
      <w:r>
        <w:rPr/>
        <w:t>-</w:t>
      </w:r>
      <w:r>
        <w:rPr>
          <w:spacing w:val="-8"/>
        </w:rPr>
        <w:t> </w:t>
      </w:r>
      <w:r>
        <w:rPr/>
        <w:t>especially</w:t>
      </w:r>
      <w:r>
        <w:rPr>
          <w:spacing w:val="-5"/>
        </w:rPr>
        <w:t> </w:t>
      </w:r>
      <w:r>
        <w:rPr/>
        <w:t>of</w:t>
      </w:r>
      <w:r>
        <w:rPr>
          <w:spacing w:val="-7"/>
        </w:rPr>
        <w:t> </w:t>
      </w:r>
      <w:r>
        <w:rPr/>
        <w:t>leaders</w:t>
      </w:r>
      <w:r>
        <w:rPr>
          <w:spacing w:val="-8"/>
        </w:rPr>
        <w:t> </w:t>
      </w:r>
      <w:r>
        <w:rPr/>
        <w:t>and</w:t>
      </w:r>
      <w:r>
        <w:rPr>
          <w:spacing w:val="-6"/>
        </w:rPr>
        <w:t> </w:t>
      </w:r>
      <w:r>
        <w:rPr/>
        <w:t>supervisors.</w:t>
      </w:r>
      <w:r>
        <w:rPr>
          <w:spacing w:val="32"/>
        </w:rPr>
        <w:t> </w:t>
      </w:r>
      <w:r>
        <w:rPr/>
        <w:t>The</w:t>
      </w:r>
      <w:r>
        <w:rPr>
          <w:spacing w:val="-5"/>
        </w:rPr>
        <w:t> </w:t>
      </w:r>
      <w:r>
        <w:rPr/>
        <w:t>series</w:t>
      </w:r>
      <w:r>
        <w:rPr>
          <w:spacing w:val="-8"/>
        </w:rPr>
        <w:t> </w:t>
      </w:r>
      <w:r>
        <w:rPr/>
        <w:t>of</w:t>
      </w:r>
      <w:r>
        <w:rPr>
          <w:spacing w:val="-8"/>
        </w:rPr>
        <w:t> </w:t>
      </w:r>
      <w:r>
        <w:rPr/>
        <w:t>seminars </w:t>
      </w:r>
      <w:r>
        <w:rPr/>
        <w:t>could assume a </w:t>
      </w:r>
      <w:r>
        <w:rPr>
          <w:rFonts w:ascii="Calibri" w:hAnsi="Calibri" w:cs="Calibri" w:eastAsia="Calibri" w:hint="default"/>
        </w:rPr>
        <w:t>kind of “train the trainers” where managers and </w:t>
      </w:r>
      <w:r>
        <w:rPr/>
        <w:t>supervisors who possess the specific skill sets, characteristics,</w:t>
      </w:r>
      <w:r>
        <w:rPr>
          <w:spacing w:val="-10"/>
        </w:rPr>
        <w:t> </w:t>
      </w:r>
      <w:r>
        <w:rPr/>
        <w:t>exemplary</w:t>
      </w:r>
      <w:r>
        <w:rPr>
          <w:spacing w:val="-10"/>
        </w:rPr>
        <w:t> </w:t>
      </w:r>
      <w:r>
        <w:rPr/>
        <w:t>service</w:t>
      </w:r>
      <w:r>
        <w:rPr>
          <w:spacing w:val="-10"/>
        </w:rPr>
        <w:t> </w:t>
      </w:r>
      <w:r>
        <w:rPr/>
        <w:t>standards,</w:t>
      </w:r>
      <w:r>
        <w:rPr>
          <w:spacing w:val="-10"/>
        </w:rPr>
        <w:t> </w:t>
      </w:r>
      <w:r>
        <w:rPr/>
        <w:t>and</w:t>
      </w:r>
      <w:r>
        <w:rPr>
          <w:spacing w:val="-10"/>
        </w:rPr>
        <w:t> </w:t>
      </w:r>
      <w:r>
        <w:rPr/>
        <w:t>management</w:t>
      </w:r>
      <w:r>
        <w:rPr>
          <w:spacing w:val="-10"/>
        </w:rPr>
        <w:t> </w:t>
      </w:r>
      <w:r>
        <w:rPr/>
        <w:t>styles</w:t>
      </w:r>
      <w:r>
        <w:rPr>
          <w:spacing w:val="-11"/>
        </w:rPr>
        <w:t> </w:t>
      </w:r>
      <w:r>
        <w:rPr/>
        <w:t>that</w:t>
      </w:r>
      <w:r>
        <w:rPr>
          <w:spacing w:val="-10"/>
        </w:rPr>
        <w:t> </w:t>
      </w:r>
      <w:r>
        <w:rPr/>
        <w:t>are</w:t>
      </w:r>
      <w:r>
        <w:rPr>
          <w:spacing w:val="-10"/>
        </w:rPr>
        <w:t> </w:t>
      </w:r>
      <w:r>
        <w:rPr/>
        <w:t>required</w:t>
      </w:r>
      <w:r>
        <w:rPr>
          <w:spacing w:val="-10"/>
        </w:rPr>
        <w:t> </w:t>
      </w:r>
      <w:r>
        <w:rPr/>
        <w:t>to</w:t>
      </w:r>
      <w:r>
        <w:rPr>
          <w:spacing w:val="-10"/>
        </w:rPr>
        <w:t> </w:t>
      </w:r>
      <w:r>
        <w:rPr/>
        <w:t>move</w:t>
      </w:r>
      <w:r>
        <w:rPr>
          <w:spacing w:val="-11"/>
        </w:rPr>
        <w:t> </w:t>
      </w:r>
      <w:r>
        <w:rPr/>
        <w:t>the</w:t>
      </w:r>
      <w:r>
        <w:rPr>
          <w:spacing w:val="-11"/>
        </w:rPr>
        <w:t> </w:t>
      </w:r>
      <w:r>
        <w:rPr/>
        <w:t>tourism</w:t>
      </w:r>
      <w:r>
        <w:rPr>
          <w:spacing w:val="-11"/>
        </w:rPr>
        <w:t> </w:t>
      </w:r>
      <w:r>
        <w:rPr/>
        <w:t>industry </w:t>
      </w:r>
      <w:r>
        <w:rPr/>
        <w:t>forward</w:t>
      </w:r>
      <w:r>
        <w:rPr>
          <w:spacing w:val="-11"/>
        </w:rPr>
        <w:t> </w:t>
      </w:r>
      <w:r>
        <w:rPr/>
        <w:t>will</w:t>
      </w:r>
      <w:r>
        <w:rPr>
          <w:spacing w:val="-12"/>
        </w:rPr>
        <w:t> </w:t>
      </w:r>
      <w:r>
        <w:rPr/>
        <w:t>train</w:t>
      </w:r>
      <w:r>
        <w:rPr>
          <w:spacing w:val="-11"/>
        </w:rPr>
        <w:t> </w:t>
      </w:r>
      <w:r>
        <w:rPr/>
        <w:t>other</w:t>
      </w:r>
      <w:r>
        <w:rPr>
          <w:spacing w:val="-12"/>
        </w:rPr>
        <w:t> </w:t>
      </w:r>
      <w:r>
        <w:rPr/>
        <w:t>managers</w:t>
      </w:r>
      <w:r>
        <w:rPr>
          <w:spacing w:val="-13"/>
        </w:rPr>
        <w:t> </w:t>
      </w:r>
      <w:r>
        <w:rPr/>
        <w:t>and</w:t>
      </w:r>
      <w:r>
        <w:rPr>
          <w:spacing w:val="-8"/>
        </w:rPr>
        <w:t> </w:t>
      </w:r>
      <w:r>
        <w:rPr/>
        <w:t>supervisors</w:t>
      </w:r>
      <w:r>
        <w:rPr>
          <w:spacing w:val="-13"/>
        </w:rPr>
        <w:t> </w:t>
      </w:r>
      <w:r>
        <w:rPr/>
        <w:t>that</w:t>
      </w:r>
      <w:r>
        <w:rPr>
          <w:spacing w:val="-11"/>
        </w:rPr>
        <w:t> </w:t>
      </w:r>
      <w:r>
        <w:rPr/>
        <w:t>do</w:t>
      </w:r>
      <w:r>
        <w:rPr>
          <w:spacing w:val="-11"/>
        </w:rPr>
        <w:t> </w:t>
      </w:r>
      <w:r>
        <w:rPr/>
        <w:t>not</w:t>
      </w:r>
      <w:r>
        <w:rPr>
          <w:spacing w:val="-11"/>
        </w:rPr>
        <w:t> </w:t>
      </w:r>
      <w:r>
        <w:rPr/>
        <w:t>possess</w:t>
      </w:r>
      <w:r>
        <w:rPr>
          <w:spacing w:val="-13"/>
        </w:rPr>
        <w:t> </w:t>
      </w:r>
      <w:r>
        <w:rPr/>
        <w:t>these</w:t>
      </w:r>
      <w:r>
        <w:rPr>
          <w:spacing w:val="-12"/>
        </w:rPr>
        <w:t> </w:t>
      </w:r>
      <w:r>
        <w:rPr/>
        <w:t>specific</w:t>
      </w:r>
      <w:r>
        <w:rPr>
          <w:spacing w:val="-12"/>
        </w:rPr>
        <w:t> </w:t>
      </w:r>
      <w:r>
        <w:rPr/>
        <w:t>traits.</w:t>
      </w:r>
      <w:r>
        <w:rPr>
          <w:spacing w:val="25"/>
        </w:rPr>
        <w:t> </w:t>
      </w:r>
      <w:r>
        <w:rPr/>
        <w:t>Finally,</w:t>
      </w:r>
      <w:r>
        <w:rPr>
          <w:spacing w:val="-11"/>
        </w:rPr>
        <w:t> </w:t>
      </w:r>
      <w:r>
        <w:rPr/>
        <w:t>in</w:t>
      </w:r>
      <w:r>
        <w:rPr>
          <w:spacing w:val="-11"/>
        </w:rPr>
        <w:t> </w:t>
      </w:r>
      <w:r>
        <w:rPr/>
        <w:t>order</w:t>
      </w:r>
      <w:r>
        <w:rPr>
          <w:spacing w:val="-12"/>
        </w:rPr>
        <w:t> </w:t>
      </w:r>
      <w:r>
        <w:rPr/>
        <w:t>to</w:t>
      </w:r>
      <w:r>
        <w:rPr>
          <w:spacing w:val="-11"/>
        </w:rPr>
        <w:t> </w:t>
      </w:r>
      <w:r>
        <w:rPr/>
        <w:t>quickly </w:t>
      </w:r>
      <w:r>
        <w:rPr/>
        <w:t>accelerate knowledge and skill transfer, the plan suggests the elimination of the 80/20</w:t>
      </w:r>
      <w:r>
        <w:rPr>
          <w:spacing w:val="-31"/>
        </w:rPr>
        <w:t> </w:t>
      </w:r>
      <w:r>
        <w:rPr/>
        <w:t>rule.</w:t>
      </w:r>
    </w:p>
    <w:p>
      <w:pPr>
        <w:pStyle w:val="BodyText"/>
        <w:spacing w:line="242" w:lineRule="exact"/>
        <w:ind w:right="0"/>
        <w:jc w:val="both"/>
      </w:pPr>
      <w:r>
        <w:rPr/>
        <w:t>Specifically, the 2015-2020 Strategic Tourism Master Plan envisions a program</w:t>
      </w:r>
      <w:r>
        <w:rPr>
          <w:spacing w:val="-25"/>
        </w:rPr>
        <w:t> </w:t>
      </w:r>
      <w:r>
        <w:rPr/>
        <w:t>that:</w:t>
      </w:r>
    </w:p>
    <w:p>
      <w:pPr>
        <w:spacing w:line="240" w:lineRule="auto" w:before="3"/>
        <w:ind w:right="0"/>
        <w:rPr>
          <w:rFonts w:ascii="Calibri" w:hAnsi="Calibri" w:cs="Calibri" w:eastAsia="Calibri" w:hint="default"/>
          <w:sz w:val="20"/>
          <w:szCs w:val="20"/>
        </w:rPr>
      </w:pPr>
    </w:p>
    <w:p>
      <w:pPr>
        <w:pStyle w:val="ListParagraph"/>
        <w:numPr>
          <w:ilvl w:val="1"/>
          <w:numId w:val="10"/>
        </w:numPr>
        <w:tabs>
          <w:tab w:pos="2206" w:val="left" w:leader="none"/>
        </w:tabs>
        <w:spacing w:line="240" w:lineRule="auto" w:before="0" w:after="0"/>
        <w:ind w:left="2206" w:right="0" w:hanging="360"/>
        <w:jc w:val="left"/>
        <w:rPr>
          <w:rFonts w:ascii="Calibri" w:hAnsi="Calibri" w:cs="Calibri" w:eastAsia="Calibri" w:hint="default"/>
          <w:sz w:val="20"/>
          <w:szCs w:val="20"/>
        </w:rPr>
      </w:pPr>
      <w:r>
        <w:rPr>
          <w:rFonts w:ascii="Calibri"/>
          <w:sz w:val="20"/>
        </w:rPr>
        <w:t>Certifies 5,000 employees in hospitality services by year</w:t>
      </w:r>
      <w:r>
        <w:rPr>
          <w:rFonts w:ascii="Calibri"/>
          <w:spacing w:val="-25"/>
          <w:sz w:val="20"/>
        </w:rPr>
        <w:t> </w:t>
      </w:r>
      <w:r>
        <w:rPr>
          <w:rFonts w:ascii="Calibri"/>
          <w:sz w:val="20"/>
        </w:rPr>
        <w:t>4</w:t>
      </w:r>
    </w:p>
    <w:p>
      <w:pPr>
        <w:pStyle w:val="ListParagraph"/>
        <w:numPr>
          <w:ilvl w:val="1"/>
          <w:numId w:val="10"/>
        </w:numPr>
        <w:tabs>
          <w:tab w:pos="2206" w:val="left" w:leader="none"/>
        </w:tabs>
        <w:spacing w:line="240" w:lineRule="auto" w:before="12" w:after="0"/>
        <w:ind w:left="2206" w:right="0" w:hanging="360"/>
        <w:jc w:val="left"/>
        <w:rPr>
          <w:rFonts w:ascii="Calibri" w:hAnsi="Calibri" w:cs="Calibri" w:eastAsia="Calibri" w:hint="default"/>
          <w:sz w:val="20"/>
          <w:szCs w:val="20"/>
        </w:rPr>
      </w:pPr>
      <w:r>
        <w:rPr>
          <w:rFonts w:ascii="Calibri" w:hAnsi="Calibri" w:cs="Calibri" w:eastAsia="Calibri" w:hint="default"/>
          <w:sz w:val="20"/>
          <w:szCs w:val="20"/>
        </w:rPr>
        <w:t>Increases the public perception of tourism’s value to 70% of the population by year</w:t>
      </w:r>
      <w:r>
        <w:rPr>
          <w:rFonts w:ascii="Calibri" w:hAnsi="Calibri" w:cs="Calibri" w:eastAsia="Calibri" w:hint="default"/>
          <w:spacing w:val="-28"/>
          <w:sz w:val="20"/>
          <w:szCs w:val="20"/>
        </w:rPr>
        <w:t> </w:t>
      </w:r>
      <w:r>
        <w:rPr>
          <w:rFonts w:ascii="Calibri" w:hAnsi="Calibri" w:cs="Calibri" w:eastAsia="Calibri" w:hint="default"/>
          <w:sz w:val="20"/>
          <w:szCs w:val="20"/>
        </w:rPr>
        <w:t>4</w:t>
      </w:r>
    </w:p>
    <w:p>
      <w:pPr>
        <w:pStyle w:val="ListParagraph"/>
        <w:numPr>
          <w:ilvl w:val="1"/>
          <w:numId w:val="10"/>
        </w:numPr>
        <w:tabs>
          <w:tab w:pos="2206" w:val="left" w:leader="none"/>
        </w:tabs>
        <w:spacing w:line="240" w:lineRule="auto" w:before="9" w:after="0"/>
        <w:ind w:left="2206" w:right="0" w:hanging="360"/>
        <w:jc w:val="left"/>
        <w:rPr>
          <w:rFonts w:ascii="Calibri" w:hAnsi="Calibri" w:cs="Calibri" w:eastAsia="Calibri" w:hint="default"/>
          <w:sz w:val="20"/>
          <w:szCs w:val="20"/>
        </w:rPr>
      </w:pPr>
      <w:r>
        <w:rPr>
          <w:rFonts w:ascii="Calibri"/>
          <w:sz w:val="20"/>
        </w:rPr>
        <w:t>Places 70% of graduates from university and professional programs in</w:t>
      </w:r>
      <w:r>
        <w:rPr>
          <w:rFonts w:ascii="Calibri"/>
          <w:spacing w:val="-30"/>
          <w:sz w:val="20"/>
        </w:rPr>
        <w:t> </w:t>
      </w:r>
      <w:r>
        <w:rPr>
          <w:rFonts w:ascii="Calibri"/>
          <w:sz w:val="20"/>
        </w:rPr>
        <w:t>jobs</w:t>
      </w:r>
    </w:p>
    <w:p>
      <w:pPr>
        <w:pStyle w:val="BodyText"/>
        <w:spacing w:line="240" w:lineRule="auto" w:before="173"/>
        <w:ind w:right="1434"/>
        <w:jc w:val="both"/>
      </w:pPr>
      <w:r>
        <w:rPr/>
        <w:t>Additionally, the 2015-2020 Strategic Tourism Master Plan advocates for the people of Curaçao. This plan intends to bring the tourism industry to the forefront of all economic sectors on the island. The tourism industry will serve the people via improving their quality of life. In order for this to occur, it is necessary for the people of Curaçao to understand, respect, and appreciate their heritage. Certainly, this means that </w:t>
      </w:r>
      <w:r>
        <w:rPr>
          <w:spacing w:val="2"/>
        </w:rPr>
        <w:t>the </w:t>
      </w:r>
      <w:r>
        <w:rPr/>
        <w:t>people of Curaçao must look </w:t>
      </w:r>
      <w:r>
        <w:rPr/>
        <w:t>within</w:t>
      </w:r>
      <w:r>
        <w:rPr>
          <w:spacing w:val="-12"/>
        </w:rPr>
        <w:t> </w:t>
      </w:r>
      <w:r>
        <w:rPr/>
        <w:t>their</w:t>
      </w:r>
      <w:r>
        <w:rPr>
          <w:spacing w:val="-13"/>
        </w:rPr>
        <w:t> </w:t>
      </w:r>
      <w:r>
        <w:rPr/>
        <w:t>island</w:t>
      </w:r>
      <w:r>
        <w:rPr>
          <w:spacing w:val="-12"/>
        </w:rPr>
        <w:t> </w:t>
      </w:r>
      <w:r>
        <w:rPr/>
        <w:t>life</w:t>
      </w:r>
      <w:r>
        <w:rPr>
          <w:spacing w:val="-13"/>
        </w:rPr>
        <w:t> </w:t>
      </w:r>
      <w:r>
        <w:rPr/>
        <w:t>to</w:t>
      </w:r>
      <w:r>
        <w:rPr>
          <w:spacing w:val="-12"/>
        </w:rPr>
        <w:t> </w:t>
      </w:r>
      <w:r>
        <w:rPr/>
        <w:t>learn</w:t>
      </w:r>
      <w:r>
        <w:rPr>
          <w:spacing w:val="-12"/>
        </w:rPr>
        <w:t> </w:t>
      </w:r>
      <w:r>
        <w:rPr/>
        <w:t>why</w:t>
      </w:r>
      <w:r>
        <w:rPr>
          <w:spacing w:val="-12"/>
        </w:rPr>
        <w:t> </w:t>
      </w:r>
      <w:r>
        <w:rPr/>
        <w:t>the</w:t>
      </w:r>
      <w:r>
        <w:rPr>
          <w:spacing w:val="-13"/>
        </w:rPr>
        <w:t> </w:t>
      </w:r>
      <w:r>
        <w:rPr/>
        <w:t>rest</w:t>
      </w:r>
      <w:r>
        <w:rPr>
          <w:spacing w:val="-12"/>
        </w:rPr>
        <w:t> </w:t>
      </w:r>
      <w:r>
        <w:rPr/>
        <w:t>of</w:t>
      </w:r>
      <w:r>
        <w:rPr>
          <w:spacing w:val="-13"/>
        </w:rPr>
        <w:t> </w:t>
      </w:r>
      <w:r>
        <w:rPr/>
        <w:t>the</w:t>
      </w:r>
      <w:r>
        <w:rPr>
          <w:spacing w:val="-13"/>
        </w:rPr>
        <w:t> </w:t>
      </w:r>
      <w:r>
        <w:rPr/>
        <w:t>world</w:t>
      </w:r>
      <w:r>
        <w:rPr>
          <w:spacing w:val="-12"/>
        </w:rPr>
        <w:t> </w:t>
      </w:r>
      <w:r>
        <w:rPr/>
        <w:t>would</w:t>
      </w:r>
      <w:r>
        <w:rPr>
          <w:spacing w:val="-12"/>
        </w:rPr>
        <w:t> </w:t>
      </w:r>
      <w:r>
        <w:rPr/>
        <w:t>travel</w:t>
      </w:r>
      <w:r>
        <w:rPr>
          <w:spacing w:val="-13"/>
        </w:rPr>
        <w:t> </w:t>
      </w:r>
      <w:r>
        <w:rPr/>
        <w:t>great</w:t>
      </w:r>
      <w:r>
        <w:rPr>
          <w:spacing w:val="-12"/>
        </w:rPr>
        <w:t> </w:t>
      </w:r>
      <w:r>
        <w:rPr/>
        <w:t>distances</w:t>
      </w:r>
      <w:r>
        <w:rPr>
          <w:spacing w:val="-14"/>
        </w:rPr>
        <w:t> </w:t>
      </w:r>
      <w:r>
        <w:rPr/>
        <w:t>to</w:t>
      </w:r>
      <w:r>
        <w:rPr>
          <w:spacing w:val="-12"/>
        </w:rPr>
        <w:t> </w:t>
      </w:r>
      <w:r>
        <w:rPr/>
        <w:t>experience</w:t>
      </w:r>
      <w:r>
        <w:rPr>
          <w:spacing w:val="-12"/>
        </w:rPr>
        <w:t> </w:t>
      </w:r>
      <w:r>
        <w:rPr/>
        <w:t>Curaçao</w:t>
      </w:r>
      <w:r>
        <w:rPr>
          <w:rFonts w:ascii="Calibri" w:hAnsi="Calibri" w:cs="Calibri" w:eastAsia="Calibri" w:hint="default"/>
        </w:rPr>
        <w:t>’s</w:t>
      </w:r>
      <w:r>
        <w:rPr>
          <w:rFonts w:ascii="Calibri" w:hAnsi="Calibri" w:cs="Calibri" w:eastAsia="Calibri" w:hint="default"/>
          <w:spacing w:val="-14"/>
        </w:rPr>
        <w:t> </w:t>
      </w:r>
      <w:r>
        <w:rPr>
          <w:rFonts w:ascii="Calibri" w:hAnsi="Calibri" w:cs="Calibri" w:eastAsia="Calibri" w:hint="default"/>
        </w:rPr>
        <w:t>culture. </w:t>
      </w:r>
      <w:r>
        <w:rPr>
          <w:rFonts w:ascii="Calibri" w:hAnsi="Calibri" w:cs="Calibri" w:eastAsia="Calibri" w:hint="default"/>
        </w:rPr>
      </w:r>
      <w:r>
        <w:rPr/>
        <w:t>Whereas the canvassed data revealed that close to 75% of tourists would consider returning to Curacao after their experience on the island, most of the qualitative data indicated that locals do not understand </w:t>
      </w:r>
      <w:r>
        <w:rPr>
          <w:spacing w:val="4"/>
        </w:rPr>
        <w:t>why </w:t>
      </w:r>
      <w:r>
        <w:rPr/>
        <w:t>a tourist would </w:t>
      </w:r>
      <w:r>
        <w:rPr/>
        <w:t>want to come to Curaçao. Thus, while the rest of the world sees the island of Curaçao, its people, and its culture as beautiful,</w:t>
      </w:r>
      <w:r>
        <w:rPr>
          <w:spacing w:val="-1"/>
        </w:rPr>
        <w:t> </w:t>
      </w:r>
      <w:r>
        <w:rPr/>
        <w:t>sadly,</w:t>
      </w:r>
      <w:r>
        <w:rPr>
          <w:spacing w:val="-1"/>
        </w:rPr>
        <w:t> </w:t>
      </w:r>
      <w:r>
        <w:rPr/>
        <w:t>to</w:t>
      </w:r>
      <w:r>
        <w:rPr>
          <w:spacing w:val="-2"/>
        </w:rPr>
        <w:t> </w:t>
      </w:r>
      <w:r>
        <w:rPr/>
        <w:t>the</w:t>
      </w:r>
      <w:r>
        <w:rPr>
          <w:spacing w:val="-3"/>
        </w:rPr>
        <w:t> </w:t>
      </w:r>
      <w:r>
        <w:rPr/>
        <w:t>people</w:t>
      </w:r>
      <w:r>
        <w:rPr>
          <w:spacing w:val="-4"/>
        </w:rPr>
        <w:t> </w:t>
      </w:r>
      <w:r>
        <w:rPr/>
        <w:t>of</w:t>
      </w:r>
      <w:r>
        <w:rPr>
          <w:spacing w:val="-1"/>
        </w:rPr>
        <w:t> </w:t>
      </w:r>
      <w:r>
        <w:rPr/>
        <w:t>Curaçao,</w:t>
      </w:r>
      <w:r>
        <w:rPr>
          <w:spacing w:val="-1"/>
        </w:rPr>
        <w:t> </w:t>
      </w:r>
      <w:r>
        <w:rPr/>
        <w:t>there</w:t>
      </w:r>
      <w:r>
        <w:rPr>
          <w:spacing w:val="-3"/>
        </w:rPr>
        <w:t> </w:t>
      </w:r>
      <w:r>
        <w:rPr/>
        <w:t>seems</w:t>
      </w:r>
      <w:r>
        <w:rPr>
          <w:spacing w:val="-4"/>
        </w:rPr>
        <w:t> </w:t>
      </w:r>
      <w:r>
        <w:rPr/>
        <w:t>to</w:t>
      </w:r>
      <w:r>
        <w:rPr>
          <w:spacing w:val="-2"/>
        </w:rPr>
        <w:t> </w:t>
      </w:r>
      <w:r>
        <w:rPr/>
        <w:t>be</w:t>
      </w:r>
      <w:r>
        <w:rPr>
          <w:spacing w:val="-3"/>
        </w:rPr>
        <w:t> </w:t>
      </w:r>
      <w:r>
        <w:rPr/>
        <w:t>nothing</w:t>
      </w:r>
      <w:r>
        <w:rPr>
          <w:spacing w:val="-3"/>
        </w:rPr>
        <w:t> </w:t>
      </w:r>
      <w:r>
        <w:rPr/>
        <w:t>that</w:t>
      </w:r>
      <w:r>
        <w:rPr>
          <w:spacing w:val="-2"/>
        </w:rPr>
        <w:t> </w:t>
      </w:r>
      <w:r>
        <w:rPr/>
        <w:t>is</w:t>
      </w:r>
      <w:r>
        <w:rPr>
          <w:spacing w:val="-3"/>
        </w:rPr>
        <w:t> </w:t>
      </w:r>
      <w:r>
        <w:rPr/>
        <w:t>appealing</w:t>
      </w:r>
      <w:r>
        <w:rPr>
          <w:spacing w:val="-3"/>
        </w:rPr>
        <w:t> </w:t>
      </w:r>
      <w:r>
        <w:rPr/>
        <w:t>for</w:t>
      </w:r>
      <w:r>
        <w:rPr>
          <w:spacing w:val="-2"/>
        </w:rPr>
        <w:t> </w:t>
      </w:r>
      <w:r>
        <w:rPr/>
        <w:t>tourists.</w:t>
      </w:r>
    </w:p>
    <w:p>
      <w:pPr>
        <w:spacing w:line="240" w:lineRule="auto" w:before="1"/>
        <w:ind w:right="0"/>
        <w:rPr>
          <w:rFonts w:ascii="Calibri" w:hAnsi="Calibri" w:cs="Calibri" w:eastAsia="Calibri" w:hint="default"/>
          <w:sz w:val="20"/>
          <w:szCs w:val="20"/>
        </w:rPr>
      </w:pPr>
    </w:p>
    <w:p>
      <w:pPr>
        <w:pStyle w:val="BodyText"/>
        <w:spacing w:line="240" w:lineRule="auto"/>
        <w:ind w:right="1435"/>
        <w:jc w:val="both"/>
      </w:pPr>
      <w:r>
        <w:rPr/>
        <w:t>If the people of Curaçao cannot fathom the beauty of the natural resources that Curaçao possesses, or the eclectic culture that has emerged from an ethnicity fusion that is so rare </w:t>
      </w:r>
      <w:r>
        <w:rPr>
          <w:rFonts w:ascii="Calibri" w:hAnsi="Calibri" w:cs="Calibri" w:eastAsia="Calibri" w:hint="default"/>
        </w:rPr>
        <w:t>– </w:t>
      </w:r>
      <w:r>
        <w:rPr/>
        <w:t>then, the DPITS is concerned that Curaçao may never</w:t>
      </w:r>
      <w:r>
        <w:rPr>
          <w:spacing w:val="-12"/>
        </w:rPr>
        <w:t> </w:t>
      </w:r>
      <w:r>
        <w:rPr/>
        <w:t>emerge</w:t>
      </w:r>
      <w:r>
        <w:rPr>
          <w:spacing w:val="-15"/>
        </w:rPr>
        <w:t> </w:t>
      </w:r>
      <w:r>
        <w:rPr/>
        <w:t>as</w:t>
      </w:r>
      <w:r>
        <w:rPr>
          <w:spacing w:val="-15"/>
        </w:rPr>
        <w:t> </w:t>
      </w:r>
      <w:r>
        <w:rPr/>
        <w:t>the</w:t>
      </w:r>
      <w:r>
        <w:rPr>
          <w:spacing w:val="-13"/>
        </w:rPr>
        <w:t> </w:t>
      </w:r>
      <w:r>
        <w:rPr/>
        <w:t>tourism</w:t>
      </w:r>
      <w:r>
        <w:rPr>
          <w:spacing w:val="-15"/>
        </w:rPr>
        <w:t> </w:t>
      </w:r>
      <w:r>
        <w:rPr/>
        <w:t>powerhouse</w:t>
      </w:r>
      <w:r>
        <w:rPr>
          <w:spacing w:val="-15"/>
        </w:rPr>
        <w:t> </w:t>
      </w:r>
      <w:r>
        <w:rPr/>
        <w:t>that</w:t>
      </w:r>
      <w:r>
        <w:rPr>
          <w:spacing w:val="-13"/>
        </w:rPr>
        <w:t> </w:t>
      </w:r>
      <w:r>
        <w:rPr/>
        <w:t>it</w:t>
      </w:r>
      <w:r>
        <w:rPr>
          <w:spacing w:val="-14"/>
        </w:rPr>
        <w:t> </w:t>
      </w:r>
      <w:r>
        <w:rPr/>
        <w:t>is</w:t>
      </w:r>
      <w:r>
        <w:rPr>
          <w:spacing w:val="-15"/>
        </w:rPr>
        <w:t> </w:t>
      </w:r>
      <w:r>
        <w:rPr/>
        <w:t>capable</w:t>
      </w:r>
      <w:r>
        <w:rPr>
          <w:spacing w:val="-13"/>
        </w:rPr>
        <w:t> </w:t>
      </w:r>
      <w:r>
        <w:rPr/>
        <w:t>of</w:t>
      </w:r>
      <w:r>
        <w:rPr>
          <w:spacing w:val="-13"/>
        </w:rPr>
        <w:t> </w:t>
      </w:r>
      <w:r>
        <w:rPr/>
        <w:t>becoming.</w:t>
      </w:r>
      <w:r>
        <w:rPr>
          <w:spacing w:val="23"/>
        </w:rPr>
        <w:t> </w:t>
      </w:r>
      <w:r>
        <w:rPr/>
        <w:t>Therefore,</w:t>
      </w:r>
      <w:r>
        <w:rPr>
          <w:spacing w:val="-14"/>
        </w:rPr>
        <w:t> </w:t>
      </w:r>
      <w:r>
        <w:rPr/>
        <w:t>the</w:t>
      </w:r>
      <w:r>
        <w:rPr>
          <w:spacing w:val="-15"/>
        </w:rPr>
        <w:t> </w:t>
      </w:r>
      <w:r>
        <w:rPr/>
        <w:t>2015-2020</w:t>
      </w:r>
      <w:r>
        <w:rPr>
          <w:spacing w:val="-13"/>
        </w:rPr>
        <w:t> </w:t>
      </w:r>
      <w:r>
        <w:rPr/>
        <w:t>Strategic</w:t>
      </w:r>
      <w:r>
        <w:rPr>
          <w:spacing w:val="-12"/>
        </w:rPr>
        <w:t> </w:t>
      </w:r>
      <w:r>
        <w:rPr/>
        <w:t>Tourism </w:t>
      </w:r>
      <w:r>
        <w:rPr/>
        <w:t>Master Plan emphasizes the importance of supporting the public relations </w:t>
      </w:r>
      <w:r>
        <w:rPr>
          <w:rFonts w:ascii="Calibri" w:hAnsi="Calibri" w:cs="Calibri" w:eastAsia="Calibri" w:hint="default"/>
        </w:rPr>
        <w:t>campaign, “Beautiful People,” </w:t>
      </w:r>
      <w:r>
        <w:rPr/>
        <w:t>commissioned by the</w:t>
      </w:r>
      <w:r>
        <w:rPr>
          <w:spacing w:val="-10"/>
        </w:rPr>
        <w:t> </w:t>
      </w:r>
      <w:r>
        <w:rPr/>
        <w:t>CTB.</w:t>
      </w:r>
    </w:p>
    <w:p>
      <w:pPr>
        <w:spacing w:line="240" w:lineRule="auto" w:before="1"/>
        <w:ind w:right="0"/>
        <w:rPr>
          <w:rFonts w:ascii="Calibri" w:hAnsi="Calibri" w:cs="Calibri" w:eastAsia="Calibri" w:hint="default"/>
          <w:sz w:val="20"/>
          <w:szCs w:val="20"/>
        </w:rPr>
      </w:pPr>
    </w:p>
    <w:p>
      <w:pPr>
        <w:pStyle w:val="BodyText"/>
        <w:spacing w:line="240" w:lineRule="auto"/>
        <w:ind w:right="1437"/>
        <w:jc w:val="both"/>
      </w:pPr>
      <w:r>
        <w:rPr/>
        <w:t>The tourism public relations campaign should also include documenting and reporting tourism benefits in terms of job creation on a regular basis. A campaign should be designed called </w:t>
      </w:r>
      <w:r>
        <w:rPr>
          <w:rFonts w:ascii="Calibri"/>
          <w:i/>
        </w:rPr>
        <w:t>tourism works, </w:t>
      </w:r>
      <w:r>
        <w:rPr/>
        <w:t>which refers to one job for every 44 new arrivals. There should be a major screen in the downtown area and other public areas announcing every 44 new arrivals to the</w:t>
      </w:r>
      <w:r>
        <w:rPr>
          <w:spacing w:val="-12"/>
        </w:rPr>
        <w:t> </w:t>
      </w:r>
      <w:r>
        <w:rPr/>
        <w:t>island.</w:t>
      </w:r>
    </w:p>
    <w:p>
      <w:pPr>
        <w:spacing w:after="0" w:line="240"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1435"/>
        <w:jc w:val="both"/>
      </w:pPr>
      <w:r>
        <w:rPr/>
        <w:t>Finally, a special training program should be designed to guide and direct optimal performance of ground transportation, in particular the taxis service delivery. Tourists perceived taxi service as being low quality and even negative in terms of influencing their overall satisfaction with their experience with the destination. It is important for taxi drivers to become aware of the critical role they play in reaching and getting around the i</w:t>
      </w:r>
      <w:r>
        <w:rPr>
          <w:rFonts w:ascii="Calibri" w:hAnsi="Calibri" w:cs="Calibri" w:eastAsia="Calibri" w:hint="default"/>
        </w:rPr>
        <w:t>sland. A tourist’s </w:t>
      </w:r>
      <w:r>
        <w:rPr/>
        <w:t>first</w:t>
      </w:r>
      <w:r>
        <w:rPr>
          <w:spacing w:val="-3"/>
        </w:rPr>
        <w:t> </w:t>
      </w:r>
      <w:r>
        <w:rPr/>
        <w:t>encounter</w:t>
      </w:r>
      <w:r>
        <w:rPr>
          <w:spacing w:val="-4"/>
        </w:rPr>
        <w:t> </w:t>
      </w:r>
      <w:r>
        <w:rPr/>
        <w:t>with</w:t>
      </w:r>
      <w:r>
        <w:rPr>
          <w:spacing w:val="-3"/>
        </w:rPr>
        <w:t> </w:t>
      </w:r>
      <w:r>
        <w:rPr/>
        <w:t>a</w:t>
      </w:r>
      <w:r>
        <w:rPr>
          <w:spacing w:val="-3"/>
        </w:rPr>
        <w:t> </w:t>
      </w:r>
      <w:r>
        <w:rPr/>
        <w:t>destination</w:t>
      </w:r>
      <w:r>
        <w:rPr>
          <w:spacing w:val="-3"/>
        </w:rPr>
        <w:t> </w:t>
      </w:r>
      <w:r>
        <w:rPr/>
        <w:t>often</w:t>
      </w:r>
      <w:r>
        <w:rPr>
          <w:spacing w:val="-3"/>
        </w:rPr>
        <w:t> </w:t>
      </w:r>
      <w:r>
        <w:rPr/>
        <w:t>takes</w:t>
      </w:r>
      <w:r>
        <w:rPr>
          <w:spacing w:val="-5"/>
        </w:rPr>
        <w:t> </w:t>
      </w:r>
      <w:r>
        <w:rPr/>
        <w:t>place</w:t>
      </w:r>
      <w:r>
        <w:rPr>
          <w:spacing w:val="-4"/>
        </w:rPr>
        <w:t> </w:t>
      </w:r>
      <w:r>
        <w:rPr/>
        <w:t>during</w:t>
      </w:r>
      <w:r>
        <w:rPr>
          <w:spacing w:val="-4"/>
        </w:rPr>
        <w:t> </w:t>
      </w:r>
      <w:r>
        <w:rPr/>
        <w:t>the</w:t>
      </w:r>
      <w:r>
        <w:rPr>
          <w:spacing w:val="-4"/>
        </w:rPr>
        <w:t> </w:t>
      </w:r>
      <w:r>
        <w:rPr/>
        <w:t>first</w:t>
      </w:r>
      <w:r>
        <w:rPr>
          <w:spacing w:val="-3"/>
        </w:rPr>
        <w:t> </w:t>
      </w:r>
      <w:r>
        <w:rPr/>
        <w:t>taxi</w:t>
      </w:r>
      <w:r>
        <w:rPr>
          <w:spacing w:val="-4"/>
        </w:rPr>
        <w:t> </w:t>
      </w:r>
      <w:r>
        <w:rPr/>
        <w:t>ride</w:t>
      </w:r>
      <w:r>
        <w:rPr>
          <w:spacing w:val="-4"/>
        </w:rPr>
        <w:t> </w:t>
      </w:r>
      <w:r>
        <w:rPr/>
        <w:t>after</w:t>
      </w:r>
      <w:r>
        <w:rPr>
          <w:spacing w:val="-4"/>
        </w:rPr>
        <w:t> </w:t>
      </w:r>
      <w:r>
        <w:rPr/>
        <w:t>leaving</w:t>
      </w:r>
      <w:r>
        <w:rPr>
          <w:spacing w:val="-4"/>
        </w:rPr>
        <w:t> </w:t>
      </w:r>
      <w:r>
        <w:rPr/>
        <w:t>the</w:t>
      </w:r>
      <w:r>
        <w:rPr>
          <w:spacing w:val="-4"/>
        </w:rPr>
        <w:t> </w:t>
      </w:r>
      <w:r>
        <w:rPr/>
        <w:t>airport.</w:t>
      </w:r>
      <w:r>
        <w:rPr>
          <w:spacing w:val="-3"/>
        </w:rPr>
        <w:t> </w:t>
      </w:r>
      <w:r>
        <w:rPr/>
        <w:t>Therefore,</w:t>
      </w:r>
      <w:r>
        <w:rPr>
          <w:spacing w:val="-3"/>
        </w:rPr>
        <w:t> </w:t>
      </w:r>
      <w:r>
        <w:rPr/>
        <w:t>it</w:t>
      </w:r>
      <w:r>
        <w:rPr>
          <w:spacing w:val="-3"/>
        </w:rPr>
        <w:t> </w:t>
      </w:r>
      <w:r>
        <w:rPr/>
        <w:t>is </w:t>
      </w:r>
      <w:r>
        <w:rPr/>
        <w:t>recommended that quick attention should be given in cycle one to train taxi drivers to improve their customer service and interaction skills when dealing with tourists while on the island. It is suggested that all taxi drivers- without exception- should enroll in the program. The program will focus on transforming driver behavior and attitude, with the aim of enhancing their skills to offer better service to tourists. Upon the successful completion of the</w:t>
      </w:r>
      <w:r>
        <w:rPr>
          <w:spacing w:val="-8"/>
        </w:rPr>
        <w:t> </w:t>
      </w:r>
      <w:r>
        <w:rPr/>
        <w:t>program,</w:t>
      </w:r>
      <w:r>
        <w:rPr>
          <w:spacing w:val="-7"/>
        </w:rPr>
        <w:t> </w:t>
      </w:r>
      <w:r>
        <w:rPr/>
        <w:t>it</w:t>
      </w:r>
      <w:r>
        <w:rPr>
          <w:spacing w:val="-7"/>
        </w:rPr>
        <w:t> </w:t>
      </w:r>
      <w:r>
        <w:rPr/>
        <w:t>is</w:t>
      </w:r>
      <w:r>
        <w:rPr>
          <w:spacing w:val="-8"/>
        </w:rPr>
        <w:t> </w:t>
      </w:r>
      <w:r>
        <w:rPr/>
        <w:t>necessary</w:t>
      </w:r>
      <w:r>
        <w:rPr>
          <w:spacing w:val="-6"/>
        </w:rPr>
        <w:t> </w:t>
      </w:r>
      <w:r>
        <w:rPr/>
        <w:t>to</w:t>
      </w:r>
      <w:r>
        <w:rPr>
          <w:spacing w:val="-6"/>
        </w:rPr>
        <w:t> </w:t>
      </w:r>
      <w:r>
        <w:rPr/>
        <w:t>provide</w:t>
      </w:r>
      <w:r>
        <w:rPr>
          <w:spacing w:val="-8"/>
        </w:rPr>
        <w:t> </w:t>
      </w:r>
      <w:r>
        <w:rPr/>
        <w:t>the</w:t>
      </w:r>
      <w:r>
        <w:rPr>
          <w:spacing w:val="-8"/>
        </w:rPr>
        <w:t> </w:t>
      </w:r>
      <w:r>
        <w:rPr/>
        <w:t>taxi</w:t>
      </w:r>
      <w:r>
        <w:rPr>
          <w:spacing w:val="-7"/>
        </w:rPr>
        <w:t> </w:t>
      </w:r>
      <w:r>
        <w:rPr/>
        <w:t>drivers</w:t>
      </w:r>
      <w:r>
        <w:rPr>
          <w:spacing w:val="-8"/>
        </w:rPr>
        <w:t> </w:t>
      </w:r>
      <w:r>
        <w:rPr/>
        <w:t>with</w:t>
      </w:r>
      <w:r>
        <w:rPr>
          <w:spacing w:val="-6"/>
        </w:rPr>
        <w:t> </w:t>
      </w:r>
      <w:r>
        <w:rPr/>
        <w:t>either</w:t>
      </w:r>
      <w:r>
        <w:rPr>
          <w:spacing w:val="-7"/>
        </w:rPr>
        <w:t> </w:t>
      </w:r>
      <w:r>
        <w:rPr/>
        <w:t>a</w:t>
      </w:r>
      <w:r>
        <w:rPr>
          <w:spacing w:val="-6"/>
        </w:rPr>
        <w:t> </w:t>
      </w:r>
      <w:r>
        <w:rPr/>
        <w:t>tax</w:t>
      </w:r>
      <w:r>
        <w:rPr>
          <w:spacing w:val="-7"/>
        </w:rPr>
        <w:t> </w:t>
      </w:r>
      <w:r>
        <w:rPr/>
        <w:t>incentive</w:t>
      </w:r>
      <w:r>
        <w:rPr>
          <w:spacing w:val="-8"/>
        </w:rPr>
        <w:t> </w:t>
      </w:r>
      <w:r>
        <w:rPr/>
        <w:t>or</w:t>
      </w:r>
      <w:r>
        <w:rPr>
          <w:spacing w:val="-7"/>
        </w:rPr>
        <w:t> </w:t>
      </w:r>
      <w:r>
        <w:rPr/>
        <w:t>compensation</w:t>
      </w:r>
      <w:r>
        <w:rPr>
          <w:spacing w:val="-6"/>
        </w:rPr>
        <w:t> </w:t>
      </w:r>
      <w:r>
        <w:rPr/>
        <w:t>for</w:t>
      </w:r>
      <w:r>
        <w:rPr>
          <w:spacing w:val="-7"/>
        </w:rPr>
        <w:t> </w:t>
      </w:r>
      <w:r>
        <w:rPr/>
        <w:t>the</w:t>
      </w:r>
      <w:r>
        <w:rPr>
          <w:spacing w:val="-8"/>
        </w:rPr>
        <w:t> </w:t>
      </w:r>
      <w:r>
        <w:rPr/>
        <w:t>hours</w:t>
      </w:r>
      <w:r>
        <w:rPr>
          <w:spacing w:val="-8"/>
        </w:rPr>
        <w:t> </w:t>
      </w:r>
      <w:r>
        <w:rPr/>
        <w:t>that </w:t>
      </w:r>
      <w:r>
        <w:rPr/>
        <w:t>they served in the</w:t>
      </w:r>
      <w:r>
        <w:rPr>
          <w:spacing w:val="-12"/>
        </w:rPr>
        <w:t> </w:t>
      </w:r>
      <w:r>
        <w:rPr/>
        <w:t>program.</w:t>
      </w:r>
    </w:p>
    <w:p>
      <w:pPr>
        <w:spacing w:line="240" w:lineRule="auto" w:before="2"/>
        <w:ind w:right="0"/>
        <w:rPr>
          <w:rFonts w:ascii="Calibri" w:hAnsi="Calibri" w:cs="Calibri" w:eastAsia="Calibri" w:hint="default"/>
          <w:sz w:val="23"/>
          <w:szCs w:val="23"/>
        </w:rPr>
      </w:pPr>
    </w:p>
    <w:p>
      <w:pPr>
        <w:pStyle w:val="Heading2"/>
        <w:spacing w:line="256" w:lineRule="auto" w:before="0"/>
        <w:ind w:right="1438"/>
        <w:jc w:val="both"/>
        <w:rPr>
          <w:b w:val="0"/>
          <w:bCs w:val="0"/>
        </w:rPr>
      </w:pPr>
      <w:bookmarkStart w:name="_bookmark173" w:id="174"/>
      <w:bookmarkEnd w:id="174"/>
      <w:r>
        <w:rPr>
          <w:b w:val="0"/>
        </w:rPr>
      </w:r>
      <w:r>
        <w:rPr/>
        <w:t>Embracing product staging at the mid-term: Acquiring sustainable products</w:t>
      </w:r>
      <w:r>
        <w:rPr>
          <w:b w:val="0"/>
        </w:rPr>
      </w:r>
    </w:p>
    <w:p>
      <w:pPr>
        <w:pStyle w:val="BodyText"/>
        <w:spacing w:line="259" w:lineRule="auto" w:before="164"/>
        <w:ind w:right="1437"/>
        <w:jc w:val="both"/>
      </w:pPr>
      <w:r>
        <w:rPr/>
        <w:t>After the optimization years (1 and 2), the plan suggests changing gears and prioritizing the creation of sustainable tourism products. Creating tourism products are vital to the consolidation of businesses in terms of operations, practices,</w:t>
      </w:r>
      <w:r>
        <w:rPr>
          <w:spacing w:val="-12"/>
        </w:rPr>
        <w:t> </w:t>
      </w:r>
      <w:r>
        <w:rPr/>
        <w:t>and</w:t>
      </w:r>
      <w:r>
        <w:rPr>
          <w:spacing w:val="-12"/>
        </w:rPr>
        <w:t> </w:t>
      </w:r>
      <w:r>
        <w:rPr/>
        <w:t>profitability.</w:t>
      </w:r>
      <w:r>
        <w:rPr>
          <w:spacing w:val="-13"/>
        </w:rPr>
        <w:t> </w:t>
      </w:r>
      <w:r>
        <w:rPr/>
        <w:t>The</w:t>
      </w:r>
      <w:r>
        <w:rPr>
          <w:spacing w:val="-13"/>
        </w:rPr>
        <w:t> </w:t>
      </w:r>
      <w:r>
        <w:rPr/>
        <w:t>focus</w:t>
      </w:r>
      <w:r>
        <w:rPr>
          <w:spacing w:val="-14"/>
        </w:rPr>
        <w:t> </w:t>
      </w:r>
      <w:r>
        <w:rPr/>
        <w:t>of</w:t>
      </w:r>
      <w:r>
        <w:rPr>
          <w:spacing w:val="-13"/>
        </w:rPr>
        <w:t> </w:t>
      </w:r>
      <w:r>
        <w:rPr/>
        <w:t>this</w:t>
      </w:r>
      <w:r>
        <w:rPr>
          <w:spacing w:val="-14"/>
        </w:rPr>
        <w:t> </w:t>
      </w:r>
      <w:r>
        <w:rPr/>
        <w:t>timeframe</w:t>
      </w:r>
      <w:r>
        <w:rPr>
          <w:spacing w:val="-13"/>
        </w:rPr>
        <w:t> </w:t>
      </w:r>
      <w:r>
        <w:rPr/>
        <w:t>is</w:t>
      </w:r>
      <w:r>
        <w:rPr>
          <w:spacing w:val="-14"/>
        </w:rPr>
        <w:t> </w:t>
      </w:r>
      <w:r>
        <w:rPr/>
        <w:t>to</w:t>
      </w:r>
      <w:r>
        <w:rPr>
          <w:spacing w:val="-10"/>
        </w:rPr>
        <w:t> </w:t>
      </w:r>
      <w:r>
        <w:rPr/>
        <w:t>accelerate,</w:t>
      </w:r>
      <w:r>
        <w:rPr>
          <w:spacing w:val="-12"/>
        </w:rPr>
        <w:t> </w:t>
      </w:r>
      <w:r>
        <w:rPr/>
        <w:t>enhance,</w:t>
      </w:r>
      <w:r>
        <w:rPr>
          <w:spacing w:val="-12"/>
        </w:rPr>
        <w:t> </w:t>
      </w:r>
      <w:r>
        <w:rPr/>
        <w:t>and</w:t>
      </w:r>
      <w:r>
        <w:rPr>
          <w:spacing w:val="-12"/>
        </w:rPr>
        <w:t> </w:t>
      </w:r>
      <w:r>
        <w:rPr/>
        <w:t>innovate</w:t>
      </w:r>
      <w:r>
        <w:rPr>
          <w:spacing w:val="-13"/>
        </w:rPr>
        <w:t> </w:t>
      </w:r>
      <w:r>
        <w:rPr/>
        <w:t>product</w:t>
      </w:r>
      <w:r>
        <w:rPr>
          <w:spacing w:val="-12"/>
        </w:rPr>
        <w:t> </w:t>
      </w:r>
      <w:r>
        <w:rPr/>
        <w:t>development </w:t>
      </w:r>
      <w:r>
        <w:rPr/>
        <w:t>on the island. This timeframe references product image, experiential clusters, and further enhancement of human capital.</w:t>
      </w:r>
    </w:p>
    <w:p>
      <w:pPr>
        <w:pStyle w:val="BodyText"/>
        <w:spacing w:line="259" w:lineRule="auto" w:before="158"/>
        <w:ind w:right="1436"/>
        <w:jc w:val="both"/>
      </w:pPr>
      <w:r>
        <w:rPr/>
        <w:t>Product image pertains to the appearance of physical attributes, attractions, facilities, information dissemination and</w:t>
      </w:r>
      <w:r>
        <w:rPr>
          <w:spacing w:val="-5"/>
        </w:rPr>
        <w:t> </w:t>
      </w:r>
      <w:r>
        <w:rPr/>
        <w:t>hospitableness.</w:t>
      </w:r>
      <w:r>
        <w:rPr>
          <w:spacing w:val="-4"/>
        </w:rPr>
        <w:t> </w:t>
      </w:r>
      <w:r>
        <w:rPr/>
        <w:t>There</w:t>
      </w:r>
      <w:r>
        <w:rPr>
          <w:spacing w:val="-6"/>
        </w:rPr>
        <w:t> </w:t>
      </w:r>
      <w:r>
        <w:rPr/>
        <w:t>are</w:t>
      </w:r>
      <w:r>
        <w:rPr>
          <w:spacing w:val="-5"/>
        </w:rPr>
        <w:t> </w:t>
      </w:r>
      <w:r>
        <w:rPr/>
        <w:t>several</w:t>
      </w:r>
      <w:r>
        <w:rPr>
          <w:spacing w:val="-6"/>
        </w:rPr>
        <w:t> </w:t>
      </w:r>
      <w:r>
        <w:rPr/>
        <w:t>sites</w:t>
      </w:r>
      <w:r>
        <w:rPr>
          <w:spacing w:val="-6"/>
        </w:rPr>
        <w:t> </w:t>
      </w:r>
      <w:r>
        <w:rPr/>
        <w:t>on</w:t>
      </w:r>
      <w:r>
        <w:rPr>
          <w:spacing w:val="-5"/>
        </w:rPr>
        <w:t> </w:t>
      </w:r>
      <w:r>
        <w:rPr/>
        <w:t>the</w:t>
      </w:r>
      <w:r>
        <w:rPr>
          <w:spacing w:val="-6"/>
        </w:rPr>
        <w:t> </w:t>
      </w:r>
      <w:r>
        <w:rPr/>
        <w:t>island</w:t>
      </w:r>
      <w:r>
        <w:rPr>
          <w:spacing w:val="-5"/>
        </w:rPr>
        <w:t> </w:t>
      </w:r>
      <w:r>
        <w:rPr/>
        <w:t>that</w:t>
      </w:r>
      <w:r>
        <w:rPr>
          <w:spacing w:val="-5"/>
        </w:rPr>
        <w:t> </w:t>
      </w:r>
      <w:r>
        <w:rPr/>
        <w:t>look</w:t>
      </w:r>
      <w:r>
        <w:rPr>
          <w:spacing w:val="-5"/>
        </w:rPr>
        <w:t> </w:t>
      </w:r>
      <w:r>
        <w:rPr/>
        <w:t>unappealing</w:t>
      </w:r>
      <w:r>
        <w:rPr>
          <w:spacing w:val="-6"/>
        </w:rPr>
        <w:t> </w:t>
      </w:r>
      <w:r>
        <w:rPr/>
        <w:t>and</w:t>
      </w:r>
      <w:r>
        <w:rPr>
          <w:spacing w:val="-5"/>
        </w:rPr>
        <w:t> </w:t>
      </w:r>
      <w:r>
        <w:rPr/>
        <w:t>require</w:t>
      </w:r>
      <w:r>
        <w:rPr>
          <w:spacing w:val="-6"/>
        </w:rPr>
        <w:t> </w:t>
      </w:r>
      <w:r>
        <w:rPr/>
        <w:t>infrastructural</w:t>
      </w:r>
      <w:r>
        <w:rPr>
          <w:spacing w:val="-6"/>
        </w:rPr>
        <w:t> </w:t>
      </w:r>
      <w:r>
        <w:rPr/>
        <w:t>attention </w:t>
      </w:r>
      <w:r>
        <w:rPr/>
        <w:t>to make them aesthetically alluring. Further, there are many attractions that need to be cleaned, polished, maintained, and promoted for better development on the island. </w:t>
      </w:r>
      <w:r>
        <w:rPr>
          <w:rFonts w:ascii="Calibri" w:hAnsi="Calibri" w:cs="Calibri" w:eastAsia="Calibri" w:hint="default"/>
        </w:rPr>
        <w:t>According to the CTB’s record, t</w:t>
      </w:r>
      <w:r>
        <w:rPr/>
        <w:t>here are more than 101 accommodation facilities, more than 150 attractions, and more than 200 restaurants - all establishing a strong base for captivating</w:t>
      </w:r>
      <w:r>
        <w:rPr>
          <w:spacing w:val="-13"/>
        </w:rPr>
        <w:t> </w:t>
      </w:r>
      <w:r>
        <w:rPr/>
        <w:t>tourists.</w:t>
      </w:r>
    </w:p>
    <w:p>
      <w:pPr>
        <w:pStyle w:val="BodyText"/>
        <w:spacing w:line="259" w:lineRule="auto" w:before="161"/>
        <w:ind w:right="1437"/>
        <w:jc w:val="both"/>
      </w:pPr>
      <w:r>
        <w:rPr/>
        <w:t>Product image also entails providing information directly to tourists in order to minimize their search cost while on the island. For example, data indicates that tourists do not seem to be aware of the existence of Curaçao</w:t>
      </w:r>
      <w:r>
        <w:rPr>
          <w:rFonts w:ascii="Calibri" w:hAnsi="Calibri" w:cs="Calibri" w:eastAsia="Calibri" w:hint="default"/>
        </w:rPr>
        <w:t>’s </w:t>
      </w:r>
      <w:r>
        <w:rPr/>
        <w:t>attractions. More than 75% of the existing attractions are patronized by less than 20% of visitors. The poor patronage of the attractions implies that either they are unattractive in their current configuration, or visitors are unaware of their existence. Attractive promotional plans could be developed for these</w:t>
      </w:r>
      <w:r>
        <w:rPr>
          <w:spacing w:val="-30"/>
        </w:rPr>
        <w:t> </w:t>
      </w:r>
      <w:r>
        <w:rPr/>
        <w:t>attractions.</w:t>
      </w:r>
    </w:p>
    <w:p>
      <w:pPr>
        <w:pStyle w:val="BodyText"/>
        <w:spacing w:line="259" w:lineRule="auto" w:before="158"/>
        <w:ind w:right="1437"/>
        <w:jc w:val="both"/>
      </w:pPr>
      <w:r>
        <w:rPr/>
        <w:t>Data also indicate that the longer tourists stay on the island the more bored they become, and the less likely they are to return to the island, or recommend the island to others. The reason for boredom seems to be the lack of sufficient attractive product offerings.  The plan recommends a two-pronged approach to confront this</w:t>
      </w:r>
      <w:r>
        <w:rPr>
          <w:spacing w:val="-29"/>
        </w:rPr>
        <w:t> </w:t>
      </w:r>
      <w:r>
        <w:rPr/>
        <w:t>issue:</w:t>
      </w:r>
    </w:p>
    <w:p>
      <w:pPr>
        <w:pStyle w:val="ListParagraph"/>
        <w:numPr>
          <w:ilvl w:val="0"/>
          <w:numId w:val="20"/>
        </w:numPr>
        <w:tabs>
          <w:tab w:pos="2161" w:val="left" w:leader="none"/>
        </w:tabs>
        <w:spacing w:line="259" w:lineRule="auto" w:before="158" w:after="0"/>
        <w:ind w:left="2160" w:right="1434" w:hanging="360"/>
        <w:jc w:val="left"/>
        <w:rPr>
          <w:rFonts w:ascii="Calibri" w:hAnsi="Calibri" w:cs="Calibri" w:eastAsia="Calibri" w:hint="default"/>
          <w:sz w:val="20"/>
          <w:szCs w:val="20"/>
        </w:rPr>
      </w:pPr>
      <w:r>
        <w:rPr>
          <w:rFonts w:ascii="Calibri" w:hAnsi="Calibri"/>
          <w:sz w:val="20"/>
        </w:rPr>
        <w:t>Shift</w:t>
      </w:r>
      <w:r>
        <w:rPr>
          <w:rFonts w:ascii="Calibri" w:hAnsi="Calibri"/>
          <w:spacing w:val="-9"/>
          <w:sz w:val="20"/>
        </w:rPr>
        <w:t> </w:t>
      </w:r>
      <w:r>
        <w:rPr>
          <w:rFonts w:ascii="Calibri" w:hAnsi="Calibri"/>
          <w:sz w:val="20"/>
        </w:rPr>
        <w:t>away</w:t>
      </w:r>
      <w:r>
        <w:rPr>
          <w:rFonts w:ascii="Calibri" w:hAnsi="Calibri"/>
          <w:spacing w:val="-8"/>
          <w:sz w:val="20"/>
        </w:rPr>
        <w:t> </w:t>
      </w:r>
      <w:r>
        <w:rPr>
          <w:rFonts w:ascii="Calibri" w:hAnsi="Calibri"/>
          <w:sz w:val="20"/>
        </w:rPr>
        <w:t>from</w:t>
      </w:r>
      <w:r>
        <w:rPr>
          <w:rFonts w:ascii="Calibri" w:hAnsi="Calibri"/>
          <w:spacing w:val="-10"/>
          <w:sz w:val="20"/>
        </w:rPr>
        <w:t> </w:t>
      </w:r>
      <w:r>
        <w:rPr>
          <w:rFonts w:ascii="Calibri" w:hAnsi="Calibri"/>
          <w:sz w:val="20"/>
        </w:rPr>
        <w:t>the</w:t>
      </w:r>
      <w:r>
        <w:rPr>
          <w:rFonts w:ascii="Calibri" w:hAnsi="Calibri"/>
          <w:spacing w:val="-10"/>
          <w:sz w:val="20"/>
        </w:rPr>
        <w:t> </w:t>
      </w:r>
      <w:r>
        <w:rPr>
          <w:rFonts w:ascii="Calibri" w:hAnsi="Calibri"/>
          <w:sz w:val="20"/>
        </w:rPr>
        <w:t>current</w:t>
      </w:r>
      <w:r>
        <w:rPr>
          <w:rFonts w:ascii="Calibri" w:hAnsi="Calibri"/>
          <w:spacing w:val="-9"/>
          <w:sz w:val="20"/>
        </w:rPr>
        <w:t> </w:t>
      </w:r>
      <w:r>
        <w:rPr>
          <w:rFonts w:ascii="Calibri" w:hAnsi="Calibri"/>
          <w:sz w:val="20"/>
        </w:rPr>
        <w:t>Dutch</w:t>
      </w:r>
      <w:r>
        <w:rPr>
          <w:rFonts w:ascii="Calibri" w:hAnsi="Calibri"/>
          <w:spacing w:val="-8"/>
          <w:sz w:val="20"/>
        </w:rPr>
        <w:t> </w:t>
      </w:r>
      <w:r>
        <w:rPr>
          <w:rFonts w:ascii="Calibri" w:hAnsi="Calibri"/>
          <w:sz w:val="20"/>
        </w:rPr>
        <w:t>tourist</w:t>
      </w:r>
      <w:r>
        <w:rPr>
          <w:rFonts w:ascii="Calibri" w:hAnsi="Calibri"/>
          <w:spacing w:val="-9"/>
          <w:sz w:val="20"/>
        </w:rPr>
        <w:t> </w:t>
      </w:r>
      <w:r>
        <w:rPr>
          <w:rFonts w:ascii="Calibri" w:hAnsi="Calibri"/>
          <w:sz w:val="20"/>
        </w:rPr>
        <w:t>profile</w:t>
      </w:r>
      <w:r>
        <w:rPr>
          <w:rFonts w:ascii="Calibri" w:hAnsi="Calibri"/>
          <w:spacing w:val="-10"/>
          <w:sz w:val="20"/>
        </w:rPr>
        <w:t> </w:t>
      </w:r>
      <w:r>
        <w:rPr>
          <w:rFonts w:ascii="Calibri" w:hAnsi="Calibri"/>
          <w:sz w:val="20"/>
        </w:rPr>
        <w:t>that</w:t>
      </w:r>
      <w:r>
        <w:rPr>
          <w:rFonts w:ascii="Calibri" w:hAnsi="Calibri"/>
          <w:spacing w:val="-8"/>
          <w:sz w:val="20"/>
        </w:rPr>
        <w:t> </w:t>
      </w:r>
      <w:r>
        <w:rPr>
          <w:rFonts w:ascii="Calibri" w:hAnsi="Calibri"/>
          <w:sz w:val="20"/>
        </w:rPr>
        <w:t>incurs</w:t>
      </w:r>
      <w:r>
        <w:rPr>
          <w:rFonts w:ascii="Calibri" w:hAnsi="Calibri"/>
          <w:spacing w:val="-10"/>
          <w:sz w:val="20"/>
        </w:rPr>
        <w:t> </w:t>
      </w:r>
      <w:r>
        <w:rPr>
          <w:rFonts w:ascii="Calibri" w:hAnsi="Calibri"/>
          <w:sz w:val="20"/>
        </w:rPr>
        <w:t>a</w:t>
      </w:r>
      <w:r>
        <w:rPr>
          <w:rFonts w:ascii="Calibri" w:hAnsi="Calibri"/>
          <w:spacing w:val="-9"/>
          <w:sz w:val="20"/>
        </w:rPr>
        <w:t> </w:t>
      </w:r>
      <w:r>
        <w:rPr>
          <w:rFonts w:ascii="Calibri" w:hAnsi="Calibri"/>
          <w:sz w:val="20"/>
        </w:rPr>
        <w:t>length</w:t>
      </w:r>
      <w:r>
        <w:rPr>
          <w:rFonts w:ascii="Calibri" w:hAnsi="Calibri"/>
          <w:spacing w:val="-6"/>
          <w:sz w:val="20"/>
        </w:rPr>
        <w:t> </w:t>
      </w:r>
      <w:r>
        <w:rPr>
          <w:rFonts w:ascii="Calibri" w:hAnsi="Calibri"/>
          <w:sz w:val="20"/>
        </w:rPr>
        <w:t>of</w:t>
      </w:r>
      <w:r>
        <w:rPr>
          <w:rFonts w:ascii="Calibri" w:hAnsi="Calibri"/>
          <w:spacing w:val="-10"/>
          <w:sz w:val="20"/>
        </w:rPr>
        <w:t> </w:t>
      </w:r>
      <w:r>
        <w:rPr>
          <w:rFonts w:ascii="Calibri" w:hAnsi="Calibri"/>
          <w:sz w:val="20"/>
        </w:rPr>
        <w:t>stay</w:t>
      </w:r>
      <w:r>
        <w:rPr>
          <w:rFonts w:ascii="Calibri" w:hAnsi="Calibri"/>
          <w:spacing w:val="-8"/>
          <w:sz w:val="20"/>
        </w:rPr>
        <w:t> </w:t>
      </w:r>
      <w:r>
        <w:rPr>
          <w:rFonts w:ascii="Calibri" w:hAnsi="Calibri"/>
          <w:sz w:val="20"/>
        </w:rPr>
        <w:t>of</w:t>
      </w:r>
      <w:r>
        <w:rPr>
          <w:rFonts w:ascii="Calibri" w:hAnsi="Calibri"/>
          <w:spacing w:val="-10"/>
          <w:sz w:val="20"/>
        </w:rPr>
        <w:t> </w:t>
      </w:r>
      <w:r>
        <w:rPr>
          <w:rFonts w:ascii="Calibri" w:hAnsi="Calibri"/>
          <w:sz w:val="20"/>
        </w:rPr>
        <w:t>more</w:t>
      </w:r>
      <w:r>
        <w:rPr>
          <w:rFonts w:ascii="Calibri" w:hAnsi="Calibri"/>
          <w:spacing w:val="-10"/>
          <w:sz w:val="20"/>
        </w:rPr>
        <w:t> </w:t>
      </w:r>
      <w:r>
        <w:rPr>
          <w:rFonts w:ascii="Calibri" w:hAnsi="Calibri"/>
          <w:sz w:val="20"/>
        </w:rPr>
        <w:t>than</w:t>
      </w:r>
      <w:r>
        <w:rPr>
          <w:rFonts w:ascii="Calibri" w:hAnsi="Calibri"/>
          <w:spacing w:val="-8"/>
          <w:sz w:val="20"/>
        </w:rPr>
        <w:t> </w:t>
      </w:r>
      <w:r>
        <w:rPr>
          <w:rFonts w:ascii="Calibri" w:hAnsi="Calibri"/>
          <w:sz w:val="20"/>
        </w:rPr>
        <w:t>nine</w:t>
      </w:r>
      <w:r>
        <w:rPr>
          <w:rFonts w:ascii="Calibri" w:hAnsi="Calibri"/>
          <w:spacing w:val="-10"/>
          <w:sz w:val="20"/>
        </w:rPr>
        <w:t> </w:t>
      </w:r>
      <w:r>
        <w:rPr>
          <w:rFonts w:ascii="Calibri" w:hAnsi="Calibri"/>
          <w:sz w:val="20"/>
        </w:rPr>
        <w:t>days.</w:t>
      </w:r>
      <w:r>
        <w:rPr>
          <w:rFonts w:ascii="Calibri" w:hAnsi="Calibri"/>
          <w:spacing w:val="30"/>
          <w:sz w:val="20"/>
        </w:rPr>
        <w:t> </w:t>
      </w:r>
      <w:r>
        <w:rPr>
          <w:rFonts w:ascii="Calibri" w:hAnsi="Calibri"/>
          <w:sz w:val="20"/>
        </w:rPr>
        <w:t>Ideally, </w:t>
      </w:r>
      <w:r>
        <w:rPr>
          <w:rFonts w:ascii="Calibri" w:hAnsi="Calibri"/>
          <w:sz w:val="20"/>
        </w:rPr>
        <w:t>Curaçao should work toward product offerings of eight</w:t>
      </w:r>
      <w:r>
        <w:rPr>
          <w:rFonts w:ascii="Calibri" w:hAnsi="Calibri"/>
          <w:spacing w:val="-24"/>
          <w:sz w:val="20"/>
        </w:rPr>
        <w:t> </w:t>
      </w:r>
      <w:r>
        <w:rPr>
          <w:rFonts w:ascii="Calibri" w:hAnsi="Calibri"/>
          <w:sz w:val="20"/>
        </w:rPr>
        <w:t>nights.</w:t>
      </w:r>
    </w:p>
    <w:p>
      <w:pPr>
        <w:pStyle w:val="ListParagraph"/>
        <w:numPr>
          <w:ilvl w:val="0"/>
          <w:numId w:val="20"/>
        </w:numPr>
        <w:tabs>
          <w:tab w:pos="2161" w:val="left" w:leader="none"/>
        </w:tabs>
        <w:spacing w:line="256" w:lineRule="auto" w:before="0" w:after="0"/>
        <w:ind w:left="2160" w:right="1438" w:hanging="360"/>
        <w:jc w:val="left"/>
        <w:rPr>
          <w:rFonts w:ascii="Calibri" w:hAnsi="Calibri" w:cs="Calibri" w:eastAsia="Calibri" w:hint="default"/>
          <w:sz w:val="20"/>
          <w:szCs w:val="20"/>
        </w:rPr>
      </w:pPr>
      <w:r>
        <w:rPr>
          <w:rFonts w:ascii="Calibri"/>
          <w:sz w:val="20"/>
        </w:rPr>
        <w:t>Accelerate the creation, or reinvention, of attractive product offerings in response to the tastes and preferences of specific</w:t>
      </w:r>
      <w:r>
        <w:rPr>
          <w:rFonts w:ascii="Calibri"/>
          <w:spacing w:val="-15"/>
          <w:sz w:val="20"/>
        </w:rPr>
        <w:t> </w:t>
      </w:r>
      <w:r>
        <w:rPr>
          <w:rFonts w:ascii="Calibri"/>
          <w:sz w:val="20"/>
        </w:rPr>
        <w:t>markets.</w:t>
      </w:r>
    </w:p>
    <w:p>
      <w:pPr>
        <w:pStyle w:val="BodyText"/>
        <w:spacing w:line="259" w:lineRule="auto" w:before="163"/>
        <w:ind w:right="1437"/>
        <w:jc w:val="both"/>
      </w:pPr>
      <w:r>
        <w:rPr/>
        <w:t>Tourist offerings should be presented, packaged, and tailored in the types of creative approaches that will result in strong emotional engagements, as well as high-quality visitor experiences and memories that lead to revisits and referrals. To facilitate an environment that engages in creative offerings, provisions for financial assistance and access</w:t>
      </w:r>
      <w:r>
        <w:rPr>
          <w:spacing w:val="-8"/>
        </w:rPr>
        <w:t> </w:t>
      </w:r>
      <w:r>
        <w:rPr/>
        <w:t>to</w:t>
      </w:r>
      <w:r>
        <w:rPr>
          <w:spacing w:val="-4"/>
        </w:rPr>
        <w:t> </w:t>
      </w:r>
      <w:r>
        <w:rPr/>
        <w:t>venture</w:t>
      </w:r>
      <w:r>
        <w:rPr>
          <w:spacing w:val="-5"/>
        </w:rPr>
        <w:t> </w:t>
      </w:r>
      <w:r>
        <w:rPr/>
        <w:t>capital</w:t>
      </w:r>
      <w:r>
        <w:rPr>
          <w:spacing w:val="-7"/>
        </w:rPr>
        <w:t> </w:t>
      </w:r>
      <w:r>
        <w:rPr/>
        <w:t>is</w:t>
      </w:r>
      <w:r>
        <w:rPr>
          <w:spacing w:val="-6"/>
        </w:rPr>
        <w:t> </w:t>
      </w:r>
      <w:r>
        <w:rPr/>
        <w:t>crucial.</w:t>
      </w:r>
      <w:r>
        <w:rPr>
          <w:spacing w:val="32"/>
        </w:rPr>
        <w:t> </w:t>
      </w:r>
      <w:r>
        <w:rPr/>
        <w:t>Therefore,</w:t>
      </w:r>
      <w:r>
        <w:rPr>
          <w:spacing w:val="-6"/>
        </w:rPr>
        <w:t> </w:t>
      </w:r>
      <w:r>
        <w:rPr/>
        <w:t>the</w:t>
      </w:r>
      <w:r>
        <w:rPr>
          <w:spacing w:val="-5"/>
        </w:rPr>
        <w:t> </w:t>
      </w:r>
      <w:r>
        <w:rPr/>
        <w:t>CTB</w:t>
      </w:r>
      <w:r>
        <w:rPr>
          <w:spacing w:val="-7"/>
        </w:rPr>
        <w:t> </w:t>
      </w:r>
      <w:r>
        <w:rPr/>
        <w:t>must</w:t>
      </w:r>
      <w:r>
        <w:rPr>
          <w:spacing w:val="-6"/>
        </w:rPr>
        <w:t> </w:t>
      </w:r>
      <w:r>
        <w:rPr/>
        <w:t>provide</w:t>
      </w:r>
      <w:r>
        <w:rPr>
          <w:spacing w:val="-8"/>
        </w:rPr>
        <w:t> </w:t>
      </w:r>
      <w:r>
        <w:rPr/>
        <w:t>regular</w:t>
      </w:r>
      <w:r>
        <w:rPr>
          <w:spacing w:val="-7"/>
        </w:rPr>
        <w:t> </w:t>
      </w:r>
      <w:r>
        <w:rPr/>
        <w:t>business</w:t>
      </w:r>
      <w:r>
        <w:rPr>
          <w:spacing w:val="-8"/>
        </w:rPr>
        <w:t> </w:t>
      </w:r>
      <w:r>
        <w:rPr/>
        <w:t>intelligence</w:t>
      </w:r>
      <w:r>
        <w:rPr>
          <w:spacing w:val="-8"/>
        </w:rPr>
        <w:t> </w:t>
      </w:r>
      <w:r>
        <w:rPr/>
        <w:t>and</w:t>
      </w:r>
      <w:r>
        <w:rPr>
          <w:spacing w:val="-6"/>
        </w:rPr>
        <w:t> </w:t>
      </w:r>
      <w:r>
        <w:rPr/>
        <w:t>future</w:t>
      </w:r>
      <w:r>
        <w:rPr>
          <w:spacing w:val="-8"/>
        </w:rPr>
        <w:t> </w:t>
      </w:r>
      <w:r>
        <w:rPr/>
        <w:t>growth </w:t>
      </w:r>
      <w:r>
        <w:rPr/>
        <w:t>insight to give lenders and providers more confidence in tourism investment. Further</w:t>
      </w:r>
      <w:r>
        <w:rPr>
          <w:rFonts w:ascii="Calibri" w:hAnsi="Calibri" w:cs="Calibri" w:eastAsia="Calibri" w:hint="default"/>
        </w:rPr>
        <w:t>, to meet guests’ </w:t>
      </w:r>
      <w:r>
        <w:rPr/>
        <w:t>wants and needs</w:t>
      </w:r>
      <w:r>
        <w:rPr>
          <w:spacing w:val="-15"/>
        </w:rPr>
        <w:t> </w:t>
      </w:r>
      <w:r>
        <w:rPr/>
        <w:t>in</w:t>
      </w:r>
      <w:r>
        <w:rPr>
          <w:spacing w:val="-14"/>
        </w:rPr>
        <w:t> </w:t>
      </w:r>
      <w:r>
        <w:rPr/>
        <w:t>this</w:t>
      </w:r>
      <w:r>
        <w:rPr>
          <w:spacing w:val="-15"/>
        </w:rPr>
        <w:t> </w:t>
      </w:r>
      <w:r>
        <w:rPr/>
        <w:t>changing</w:t>
      </w:r>
      <w:r>
        <w:rPr>
          <w:spacing w:val="-11"/>
        </w:rPr>
        <w:t> </w:t>
      </w:r>
      <w:r>
        <w:rPr/>
        <w:t>world,</w:t>
      </w:r>
      <w:r>
        <w:rPr>
          <w:spacing w:val="-14"/>
        </w:rPr>
        <w:t> </w:t>
      </w:r>
      <w:r>
        <w:rPr/>
        <w:t>it</w:t>
      </w:r>
      <w:r>
        <w:rPr>
          <w:spacing w:val="-14"/>
        </w:rPr>
        <w:t> </w:t>
      </w:r>
      <w:r>
        <w:rPr/>
        <w:t>is</w:t>
      </w:r>
      <w:r>
        <w:rPr>
          <w:spacing w:val="-15"/>
        </w:rPr>
        <w:t> </w:t>
      </w:r>
      <w:r>
        <w:rPr/>
        <w:t>necessary</w:t>
      </w:r>
      <w:r>
        <w:rPr>
          <w:spacing w:val="-13"/>
        </w:rPr>
        <w:t> </w:t>
      </w:r>
      <w:r>
        <w:rPr/>
        <w:t>to</w:t>
      </w:r>
      <w:r>
        <w:rPr>
          <w:spacing w:val="-11"/>
        </w:rPr>
        <w:t> </w:t>
      </w:r>
      <w:r>
        <w:rPr/>
        <w:t>ensure</w:t>
      </w:r>
      <w:r>
        <w:rPr>
          <w:spacing w:val="-13"/>
        </w:rPr>
        <w:t> </w:t>
      </w:r>
      <w:r>
        <w:rPr/>
        <w:t>that</w:t>
      </w:r>
      <w:r>
        <w:rPr>
          <w:spacing w:val="-13"/>
        </w:rPr>
        <w:t> </w:t>
      </w:r>
      <w:r>
        <w:rPr/>
        <w:t>focus</w:t>
      </w:r>
      <w:r>
        <w:rPr>
          <w:spacing w:val="-15"/>
        </w:rPr>
        <w:t> </w:t>
      </w:r>
      <w:r>
        <w:rPr/>
        <w:t>remains</w:t>
      </w:r>
      <w:r>
        <w:rPr>
          <w:spacing w:val="-13"/>
        </w:rPr>
        <w:t> </w:t>
      </w:r>
      <w:r>
        <w:rPr/>
        <w:t>on</w:t>
      </w:r>
      <w:r>
        <w:rPr>
          <w:spacing w:val="-13"/>
        </w:rPr>
        <w:t> </w:t>
      </w:r>
      <w:r>
        <w:rPr/>
        <w:t>the</w:t>
      </w:r>
      <w:r>
        <w:rPr>
          <w:spacing w:val="-15"/>
        </w:rPr>
        <w:t> </w:t>
      </w:r>
      <w:r>
        <w:rPr/>
        <w:t>customer</w:t>
      </w:r>
      <w:r>
        <w:rPr>
          <w:spacing w:val="-14"/>
        </w:rPr>
        <w:t> </w:t>
      </w:r>
      <w:r>
        <w:rPr/>
        <w:t>as</w:t>
      </w:r>
      <w:r>
        <w:rPr>
          <w:spacing w:val="-15"/>
        </w:rPr>
        <w:t> </w:t>
      </w:r>
      <w:r>
        <w:rPr/>
        <w:t>the</w:t>
      </w:r>
      <w:r>
        <w:rPr>
          <w:spacing w:val="-15"/>
        </w:rPr>
        <w:t> </w:t>
      </w:r>
      <w:r>
        <w:rPr/>
        <w:t>industry</w:t>
      </w:r>
      <w:r>
        <w:rPr>
          <w:spacing w:val="-10"/>
        </w:rPr>
        <w:t> </w:t>
      </w:r>
      <w:r>
        <w:rPr/>
        <w:t>consistently </w:t>
      </w:r>
      <w:r>
        <w:rPr/>
        <w:t>moves</w:t>
      </w:r>
      <w:r>
        <w:rPr>
          <w:spacing w:val="-7"/>
        </w:rPr>
        <w:t> </w:t>
      </w:r>
      <w:r>
        <w:rPr/>
        <w:t>forward.</w:t>
      </w:r>
    </w:p>
    <w:p>
      <w:pPr>
        <w:spacing w:after="0" w:line="259" w:lineRule="auto"/>
        <w:jc w:val="both"/>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59" w:lineRule="auto" w:before="59"/>
        <w:ind w:right="1435"/>
        <w:jc w:val="both"/>
      </w:pPr>
      <w:r>
        <w:rPr/>
        <w:t>Thus,</w:t>
      </w:r>
      <w:r>
        <w:rPr>
          <w:spacing w:val="-7"/>
        </w:rPr>
        <w:t> </w:t>
      </w:r>
      <w:r>
        <w:rPr/>
        <w:t>in</w:t>
      </w:r>
      <w:r>
        <w:rPr>
          <w:spacing w:val="-7"/>
        </w:rPr>
        <w:t> </w:t>
      </w:r>
      <w:r>
        <w:rPr/>
        <w:t>developing</w:t>
      </w:r>
      <w:r>
        <w:rPr>
          <w:spacing w:val="-8"/>
        </w:rPr>
        <w:t> </w:t>
      </w:r>
      <w:r>
        <w:rPr/>
        <w:t>creative</w:t>
      </w:r>
      <w:r>
        <w:rPr>
          <w:spacing w:val="-9"/>
        </w:rPr>
        <w:t> </w:t>
      </w:r>
      <w:r>
        <w:rPr/>
        <w:t>and</w:t>
      </w:r>
      <w:r>
        <w:rPr>
          <w:spacing w:val="-7"/>
        </w:rPr>
        <w:t> </w:t>
      </w:r>
      <w:r>
        <w:rPr/>
        <w:t>innovative</w:t>
      </w:r>
      <w:r>
        <w:rPr>
          <w:spacing w:val="-9"/>
        </w:rPr>
        <w:t> </w:t>
      </w:r>
      <w:r>
        <w:rPr/>
        <w:t>offerings,</w:t>
      </w:r>
      <w:r>
        <w:rPr>
          <w:spacing w:val="-7"/>
        </w:rPr>
        <w:t> </w:t>
      </w:r>
      <w:r>
        <w:rPr/>
        <w:t>the</w:t>
      </w:r>
      <w:r>
        <w:rPr>
          <w:spacing w:val="-9"/>
        </w:rPr>
        <w:t> </w:t>
      </w:r>
      <w:r>
        <w:rPr/>
        <w:t>destination</w:t>
      </w:r>
      <w:r>
        <w:rPr>
          <w:spacing w:val="-3"/>
        </w:rPr>
        <w:t> </w:t>
      </w:r>
      <w:r>
        <w:rPr/>
        <w:t>may</w:t>
      </w:r>
      <w:r>
        <w:rPr>
          <w:spacing w:val="-7"/>
        </w:rPr>
        <w:t> </w:t>
      </w:r>
      <w:r>
        <w:rPr/>
        <w:t>no</w:t>
      </w:r>
      <w:r>
        <w:rPr>
          <w:spacing w:val="-8"/>
        </w:rPr>
        <w:t> </w:t>
      </w:r>
      <w:r>
        <w:rPr/>
        <w:t>longer</w:t>
      </w:r>
      <w:r>
        <w:rPr>
          <w:spacing w:val="-8"/>
        </w:rPr>
        <w:t> </w:t>
      </w:r>
      <w:r>
        <w:rPr/>
        <w:t>define</w:t>
      </w:r>
      <w:r>
        <w:rPr>
          <w:spacing w:val="-9"/>
        </w:rPr>
        <w:t> </w:t>
      </w:r>
      <w:r>
        <w:rPr/>
        <w:t>tourists</w:t>
      </w:r>
      <w:r>
        <w:rPr>
          <w:spacing w:val="-8"/>
        </w:rPr>
        <w:t> </w:t>
      </w:r>
      <w:r>
        <w:rPr/>
        <w:t>in</w:t>
      </w:r>
      <w:r>
        <w:rPr>
          <w:spacing w:val="-7"/>
        </w:rPr>
        <w:t> </w:t>
      </w:r>
      <w:r>
        <w:rPr/>
        <w:t>its</w:t>
      </w:r>
      <w:r>
        <w:rPr>
          <w:spacing w:val="-9"/>
        </w:rPr>
        <w:t> </w:t>
      </w:r>
      <w:r>
        <w:rPr/>
        <w:t>own</w:t>
      </w:r>
      <w:r>
        <w:rPr>
          <w:spacing w:val="-7"/>
        </w:rPr>
        <w:t> </w:t>
      </w:r>
      <w:r>
        <w:rPr/>
        <w:t>terms. </w:t>
      </w:r>
      <w:r>
        <w:rPr/>
        <w:t>This</w:t>
      </w:r>
      <w:r>
        <w:rPr>
          <w:spacing w:val="-5"/>
        </w:rPr>
        <w:t> </w:t>
      </w:r>
      <w:r>
        <w:rPr/>
        <w:t>means</w:t>
      </w:r>
      <w:r>
        <w:rPr>
          <w:spacing w:val="-5"/>
        </w:rPr>
        <w:t> </w:t>
      </w:r>
      <w:r>
        <w:rPr/>
        <w:t>that</w:t>
      </w:r>
      <w:r>
        <w:rPr>
          <w:spacing w:val="-3"/>
        </w:rPr>
        <w:t> </w:t>
      </w:r>
      <w:r>
        <w:rPr/>
        <w:t>destination</w:t>
      </w:r>
      <w:r>
        <w:rPr>
          <w:spacing w:val="-3"/>
        </w:rPr>
        <w:t> </w:t>
      </w:r>
      <w:r>
        <w:rPr/>
        <w:t>providers</w:t>
      </w:r>
      <w:r>
        <w:rPr>
          <w:spacing w:val="-5"/>
        </w:rPr>
        <w:t> </w:t>
      </w:r>
      <w:r>
        <w:rPr/>
        <w:t>and</w:t>
      </w:r>
      <w:r>
        <w:rPr>
          <w:spacing w:val="-3"/>
        </w:rPr>
        <w:t> </w:t>
      </w:r>
      <w:r>
        <w:rPr/>
        <w:t>suppliers</w:t>
      </w:r>
      <w:r>
        <w:rPr>
          <w:spacing w:val="-5"/>
        </w:rPr>
        <w:t> </w:t>
      </w:r>
      <w:r>
        <w:rPr/>
        <w:t>must</w:t>
      </w:r>
      <w:r>
        <w:rPr>
          <w:spacing w:val="-3"/>
        </w:rPr>
        <w:t> </w:t>
      </w:r>
      <w:r>
        <w:rPr/>
        <w:t>take</w:t>
      </w:r>
      <w:r>
        <w:rPr>
          <w:spacing w:val="-4"/>
        </w:rPr>
        <w:t> </w:t>
      </w:r>
      <w:r>
        <w:rPr/>
        <w:t>the</w:t>
      </w:r>
      <w:r>
        <w:rPr>
          <w:spacing w:val="-4"/>
        </w:rPr>
        <w:t> </w:t>
      </w:r>
      <w:r>
        <w:rPr/>
        <w:t>time</w:t>
      </w:r>
      <w:r>
        <w:rPr>
          <w:spacing w:val="-4"/>
        </w:rPr>
        <w:t> </w:t>
      </w:r>
      <w:r>
        <w:rPr/>
        <w:t>to</w:t>
      </w:r>
      <w:r>
        <w:rPr>
          <w:spacing w:val="-3"/>
        </w:rPr>
        <w:t> </w:t>
      </w:r>
      <w:r>
        <w:rPr/>
        <w:t>understand</w:t>
      </w:r>
      <w:r>
        <w:rPr>
          <w:spacing w:val="-3"/>
        </w:rPr>
        <w:t> </w:t>
      </w:r>
      <w:r>
        <w:rPr/>
        <w:t>and</w:t>
      </w:r>
      <w:r>
        <w:rPr>
          <w:spacing w:val="-3"/>
        </w:rPr>
        <w:t> </w:t>
      </w:r>
      <w:r>
        <w:rPr/>
        <w:t>converse</w:t>
      </w:r>
      <w:r>
        <w:rPr>
          <w:spacing w:val="-4"/>
        </w:rPr>
        <w:t> </w:t>
      </w:r>
      <w:r>
        <w:rPr/>
        <w:t>with</w:t>
      </w:r>
      <w:r>
        <w:rPr>
          <w:spacing w:val="-3"/>
        </w:rPr>
        <w:t> </w:t>
      </w:r>
      <w:r>
        <w:rPr/>
        <w:t>tourists</w:t>
      </w:r>
      <w:r>
        <w:rPr>
          <w:spacing w:val="-5"/>
        </w:rPr>
        <w:t> </w:t>
      </w:r>
      <w:r>
        <w:rPr/>
        <w:t>in </w:t>
      </w:r>
      <w:r>
        <w:rPr/>
        <w:t>their own language in order to build a deeper understanding of precisely what it is that tourists want while on the island.</w:t>
      </w:r>
      <w:r>
        <w:rPr>
          <w:spacing w:val="-12"/>
        </w:rPr>
        <w:t> </w:t>
      </w:r>
      <w:r>
        <w:rPr/>
        <w:t>This</w:t>
      </w:r>
      <w:r>
        <w:rPr>
          <w:spacing w:val="-14"/>
        </w:rPr>
        <w:t> </w:t>
      </w:r>
      <w:r>
        <w:rPr/>
        <w:t>would</w:t>
      </w:r>
      <w:r>
        <w:rPr>
          <w:spacing w:val="-12"/>
        </w:rPr>
        <w:t> </w:t>
      </w:r>
      <w:r>
        <w:rPr/>
        <w:t>allow</w:t>
      </w:r>
      <w:r>
        <w:rPr>
          <w:spacing w:val="-13"/>
        </w:rPr>
        <w:t> </w:t>
      </w:r>
      <w:r>
        <w:rPr/>
        <w:t>for</w:t>
      </w:r>
      <w:r>
        <w:rPr>
          <w:spacing w:val="-13"/>
        </w:rPr>
        <w:t> </w:t>
      </w:r>
      <w:r>
        <w:rPr/>
        <w:t>building</w:t>
      </w:r>
      <w:r>
        <w:rPr>
          <w:spacing w:val="-13"/>
        </w:rPr>
        <w:t> </w:t>
      </w:r>
      <w:r>
        <w:rPr/>
        <w:t>social</w:t>
      </w:r>
      <w:r>
        <w:rPr>
          <w:spacing w:val="-13"/>
        </w:rPr>
        <w:t> </w:t>
      </w:r>
      <w:r>
        <w:rPr/>
        <w:t>relationships</w:t>
      </w:r>
      <w:r>
        <w:rPr>
          <w:spacing w:val="-14"/>
        </w:rPr>
        <w:t> </w:t>
      </w:r>
      <w:r>
        <w:rPr/>
        <w:t>with</w:t>
      </w:r>
      <w:r>
        <w:rPr>
          <w:spacing w:val="-9"/>
        </w:rPr>
        <w:t> </w:t>
      </w:r>
      <w:r>
        <w:rPr/>
        <w:t>guests</w:t>
      </w:r>
      <w:r>
        <w:rPr>
          <w:spacing w:val="-14"/>
        </w:rPr>
        <w:t> </w:t>
      </w:r>
      <w:r>
        <w:rPr/>
        <w:t>at</w:t>
      </w:r>
      <w:r>
        <w:rPr>
          <w:spacing w:val="-12"/>
        </w:rPr>
        <w:t> </w:t>
      </w:r>
      <w:r>
        <w:rPr/>
        <w:t>a</w:t>
      </w:r>
      <w:r>
        <w:rPr>
          <w:spacing w:val="-12"/>
        </w:rPr>
        <w:t> </w:t>
      </w:r>
      <w:r>
        <w:rPr/>
        <w:t>deep</w:t>
      </w:r>
      <w:r>
        <w:rPr>
          <w:spacing w:val="-12"/>
        </w:rPr>
        <w:t> </w:t>
      </w:r>
      <w:r>
        <w:rPr/>
        <w:t>level</w:t>
      </w:r>
      <w:r>
        <w:rPr>
          <w:spacing w:val="-8"/>
        </w:rPr>
        <w:t> </w:t>
      </w:r>
      <w:r>
        <w:rPr>
          <w:rFonts w:ascii="Calibri" w:hAnsi="Calibri" w:cs="Calibri" w:eastAsia="Calibri" w:hint="default"/>
        </w:rPr>
        <w:t>–</w:t>
      </w:r>
      <w:r>
        <w:rPr>
          <w:rFonts w:ascii="Calibri" w:hAnsi="Calibri" w:cs="Calibri" w:eastAsia="Calibri" w:hint="default"/>
          <w:spacing w:val="-13"/>
        </w:rPr>
        <w:t> </w:t>
      </w:r>
      <w:r>
        <w:rPr/>
        <w:t>a</w:t>
      </w:r>
      <w:r>
        <w:rPr>
          <w:spacing w:val="-12"/>
        </w:rPr>
        <w:t> </w:t>
      </w:r>
      <w:r>
        <w:rPr/>
        <w:t>vital</w:t>
      </w:r>
      <w:r>
        <w:rPr>
          <w:spacing w:val="-13"/>
        </w:rPr>
        <w:t> </w:t>
      </w:r>
      <w:r>
        <w:rPr/>
        <w:t>step</w:t>
      </w:r>
      <w:r>
        <w:rPr>
          <w:spacing w:val="-12"/>
        </w:rPr>
        <w:t> </w:t>
      </w:r>
      <w:r>
        <w:rPr/>
        <w:t>for</w:t>
      </w:r>
      <w:r>
        <w:rPr>
          <w:spacing w:val="-12"/>
        </w:rPr>
        <w:t> </w:t>
      </w:r>
      <w:r>
        <w:rPr/>
        <w:t>the</w:t>
      </w:r>
      <w:r>
        <w:rPr>
          <w:spacing w:val="-13"/>
        </w:rPr>
        <w:t> </w:t>
      </w:r>
      <w:r>
        <w:rPr/>
        <w:t>future</w:t>
      </w:r>
      <w:r>
        <w:rPr>
          <w:spacing w:val="-13"/>
        </w:rPr>
        <w:t> </w:t>
      </w:r>
      <w:r>
        <w:rPr/>
        <w:t>success </w:t>
      </w:r>
      <w:r>
        <w:rPr/>
        <w:t>of local hospitality</w:t>
      </w:r>
      <w:r>
        <w:rPr>
          <w:spacing w:val="-14"/>
        </w:rPr>
        <w:t> </w:t>
      </w:r>
      <w:r>
        <w:rPr/>
        <w:t>businesses.</w:t>
      </w:r>
    </w:p>
    <w:p>
      <w:pPr>
        <w:pStyle w:val="BodyText"/>
        <w:spacing w:line="259" w:lineRule="auto" w:before="161"/>
        <w:ind w:right="1437"/>
        <w:jc w:val="both"/>
      </w:pPr>
      <w:r>
        <w:rPr/>
        <w:t>An example of product development is the revitalization of the Punda/Otrabanda UNESCO Heritage site. The revitalization of buildings and open spaces for contemporary purposes provides opportunities for sustaining traditional and contemporary Curaçao cultural values. Historic buildings and open spaces that are left abandoned are</w:t>
      </w:r>
      <w:r>
        <w:rPr>
          <w:spacing w:val="-12"/>
        </w:rPr>
        <w:t> </w:t>
      </w:r>
      <w:r>
        <w:rPr/>
        <w:t>at</w:t>
      </w:r>
      <w:r>
        <w:rPr>
          <w:spacing w:val="-12"/>
        </w:rPr>
        <w:t> </w:t>
      </w:r>
      <w:r>
        <w:rPr/>
        <w:t>risk</w:t>
      </w:r>
      <w:r>
        <w:rPr>
          <w:spacing w:val="-12"/>
        </w:rPr>
        <w:t> </w:t>
      </w:r>
      <w:r>
        <w:rPr/>
        <w:t>of</w:t>
      </w:r>
      <w:r>
        <w:rPr>
          <w:spacing w:val="-12"/>
        </w:rPr>
        <w:t> </w:t>
      </w:r>
      <w:r>
        <w:rPr/>
        <w:t>physical</w:t>
      </w:r>
      <w:r>
        <w:rPr>
          <w:spacing w:val="-12"/>
        </w:rPr>
        <w:t> </w:t>
      </w:r>
      <w:r>
        <w:rPr/>
        <w:t>decay,</w:t>
      </w:r>
      <w:r>
        <w:rPr>
          <w:spacing w:val="-12"/>
        </w:rPr>
        <w:t> </w:t>
      </w:r>
      <w:r>
        <w:rPr/>
        <w:t>and</w:t>
      </w:r>
      <w:r>
        <w:rPr>
          <w:spacing w:val="-11"/>
        </w:rPr>
        <w:t> </w:t>
      </w:r>
      <w:r>
        <w:rPr/>
        <w:t>represent</w:t>
      </w:r>
      <w:r>
        <w:rPr>
          <w:spacing w:val="-12"/>
        </w:rPr>
        <w:t> </w:t>
      </w:r>
      <w:r>
        <w:rPr/>
        <w:t>a</w:t>
      </w:r>
      <w:r>
        <w:rPr>
          <w:spacing w:val="-12"/>
        </w:rPr>
        <w:t> </w:t>
      </w:r>
      <w:r>
        <w:rPr/>
        <w:t>loss</w:t>
      </w:r>
      <w:r>
        <w:rPr>
          <w:spacing w:val="-13"/>
        </w:rPr>
        <w:t> </w:t>
      </w:r>
      <w:r>
        <w:rPr/>
        <w:t>of</w:t>
      </w:r>
      <w:r>
        <w:rPr>
          <w:spacing w:val="-12"/>
        </w:rPr>
        <w:t> </w:t>
      </w:r>
      <w:r>
        <w:rPr/>
        <w:t>opportunity</w:t>
      </w:r>
      <w:r>
        <w:rPr>
          <w:spacing w:val="-12"/>
        </w:rPr>
        <w:t> </w:t>
      </w:r>
      <w:r>
        <w:rPr/>
        <w:t>to</w:t>
      </w:r>
      <w:r>
        <w:rPr>
          <w:spacing w:val="-12"/>
        </w:rPr>
        <w:t> </w:t>
      </w:r>
      <w:r>
        <w:rPr/>
        <w:t>revitalize</w:t>
      </w:r>
      <w:r>
        <w:rPr>
          <w:spacing w:val="-12"/>
        </w:rPr>
        <w:t> </w:t>
      </w:r>
      <w:r>
        <w:rPr/>
        <w:t>structures</w:t>
      </w:r>
      <w:r>
        <w:rPr>
          <w:spacing w:val="-13"/>
        </w:rPr>
        <w:t> </w:t>
      </w:r>
      <w:r>
        <w:rPr/>
        <w:t>that</w:t>
      </w:r>
      <w:r>
        <w:rPr>
          <w:spacing w:val="-12"/>
        </w:rPr>
        <w:t> </w:t>
      </w:r>
      <w:r>
        <w:rPr/>
        <w:t>contribute</w:t>
      </w:r>
      <w:r>
        <w:rPr>
          <w:spacing w:val="-12"/>
        </w:rPr>
        <w:t> </w:t>
      </w:r>
      <w:r>
        <w:rPr/>
        <w:t>to</w:t>
      </w:r>
      <w:r>
        <w:rPr>
          <w:spacing w:val="-12"/>
        </w:rPr>
        <w:t> </w:t>
      </w:r>
      <w:r>
        <w:rPr/>
        <w:t>the</w:t>
      </w:r>
      <w:r>
        <w:rPr>
          <w:spacing w:val="-12"/>
        </w:rPr>
        <w:t> </w:t>
      </w:r>
      <w:r>
        <w:rPr/>
        <w:t>identity </w:t>
      </w:r>
      <w:r>
        <w:rPr/>
        <w:t>of</w:t>
      </w:r>
      <w:r>
        <w:rPr>
          <w:spacing w:val="-8"/>
        </w:rPr>
        <w:t> </w:t>
      </w:r>
      <w:r>
        <w:rPr/>
        <w:t>Curaçao</w:t>
      </w:r>
      <w:r>
        <w:rPr>
          <w:spacing w:val="-7"/>
        </w:rPr>
        <w:t> </w:t>
      </w:r>
      <w:r>
        <w:rPr/>
        <w:t>and</w:t>
      </w:r>
      <w:r>
        <w:rPr>
          <w:spacing w:val="-7"/>
        </w:rPr>
        <w:t> </w:t>
      </w:r>
      <w:r>
        <w:rPr/>
        <w:t>its</w:t>
      </w:r>
      <w:r>
        <w:rPr>
          <w:spacing w:val="-9"/>
        </w:rPr>
        <w:t> </w:t>
      </w:r>
      <w:r>
        <w:rPr/>
        <w:t>social</w:t>
      </w:r>
      <w:r>
        <w:rPr>
          <w:spacing w:val="-8"/>
        </w:rPr>
        <w:t> </w:t>
      </w:r>
      <w:r>
        <w:rPr/>
        <w:t>traditions.</w:t>
      </w:r>
      <w:r>
        <w:rPr>
          <w:spacing w:val="31"/>
        </w:rPr>
        <w:t> </w:t>
      </w:r>
      <w:r>
        <w:rPr/>
        <w:t>The</w:t>
      </w:r>
      <w:r>
        <w:rPr>
          <w:spacing w:val="-9"/>
        </w:rPr>
        <w:t> </w:t>
      </w:r>
      <w:r>
        <w:rPr/>
        <w:t>inclusion</w:t>
      </w:r>
      <w:r>
        <w:rPr>
          <w:spacing w:val="-7"/>
        </w:rPr>
        <w:t> </w:t>
      </w:r>
      <w:r>
        <w:rPr/>
        <w:t>of</w:t>
      </w:r>
      <w:r>
        <w:rPr>
          <w:spacing w:val="-9"/>
        </w:rPr>
        <w:t> </w:t>
      </w:r>
      <w:r>
        <w:rPr/>
        <w:t>hotels,</w:t>
      </w:r>
      <w:r>
        <w:rPr>
          <w:spacing w:val="-7"/>
        </w:rPr>
        <w:t> </w:t>
      </w:r>
      <w:r>
        <w:rPr/>
        <w:t>restaurants,</w:t>
      </w:r>
      <w:r>
        <w:rPr>
          <w:spacing w:val="-7"/>
        </w:rPr>
        <w:t> </w:t>
      </w:r>
      <w:r>
        <w:rPr/>
        <w:t>offices,</w:t>
      </w:r>
      <w:r>
        <w:rPr>
          <w:spacing w:val="-7"/>
        </w:rPr>
        <w:t> </w:t>
      </w:r>
      <w:r>
        <w:rPr/>
        <w:t>and</w:t>
      </w:r>
      <w:r>
        <w:rPr>
          <w:spacing w:val="-7"/>
        </w:rPr>
        <w:t> </w:t>
      </w:r>
      <w:r>
        <w:rPr/>
        <w:t>shopping</w:t>
      </w:r>
      <w:r>
        <w:rPr>
          <w:spacing w:val="-7"/>
        </w:rPr>
        <w:t> </w:t>
      </w:r>
      <w:r>
        <w:rPr/>
        <w:t>could</w:t>
      </w:r>
      <w:r>
        <w:rPr>
          <w:spacing w:val="-6"/>
        </w:rPr>
        <w:t> </w:t>
      </w:r>
      <w:r>
        <w:rPr/>
        <w:t>complement</w:t>
      </w:r>
      <w:r>
        <w:rPr>
          <w:spacing w:val="-7"/>
        </w:rPr>
        <w:t> </w:t>
      </w:r>
      <w:r>
        <w:rPr/>
        <w:t>art </w:t>
      </w:r>
      <w:r>
        <w:rPr/>
        <w:t>galleries, museums, and performance venues for their re-use; and the revitalization of heritage places as creative and</w:t>
      </w:r>
      <w:r>
        <w:rPr>
          <w:spacing w:val="-3"/>
        </w:rPr>
        <w:t> </w:t>
      </w:r>
      <w:r>
        <w:rPr/>
        <w:t>attractive</w:t>
      </w:r>
      <w:r>
        <w:rPr>
          <w:spacing w:val="-4"/>
        </w:rPr>
        <w:t> </w:t>
      </w:r>
      <w:r>
        <w:rPr/>
        <w:t>venues</w:t>
      </w:r>
      <w:r>
        <w:rPr>
          <w:spacing w:val="-5"/>
        </w:rPr>
        <w:t> </w:t>
      </w:r>
      <w:r>
        <w:rPr/>
        <w:t>for</w:t>
      </w:r>
      <w:r>
        <w:rPr>
          <w:spacing w:val="-3"/>
        </w:rPr>
        <w:t> </w:t>
      </w:r>
      <w:r>
        <w:rPr/>
        <w:t>tourists</w:t>
      </w:r>
      <w:r>
        <w:rPr>
          <w:spacing w:val="-4"/>
        </w:rPr>
        <w:t> </w:t>
      </w:r>
      <w:r>
        <w:rPr/>
        <w:t>and</w:t>
      </w:r>
      <w:r>
        <w:rPr>
          <w:spacing w:val="-3"/>
        </w:rPr>
        <w:t> </w:t>
      </w:r>
      <w:r>
        <w:rPr/>
        <w:t>local</w:t>
      </w:r>
      <w:r>
        <w:rPr>
          <w:spacing w:val="-3"/>
        </w:rPr>
        <w:t> </w:t>
      </w:r>
      <w:r>
        <w:rPr/>
        <w:t>residents</w:t>
      </w:r>
      <w:r>
        <w:rPr>
          <w:spacing w:val="-4"/>
        </w:rPr>
        <w:t> </w:t>
      </w:r>
      <w:r>
        <w:rPr/>
        <w:t>are</w:t>
      </w:r>
      <w:r>
        <w:rPr>
          <w:spacing w:val="-4"/>
        </w:rPr>
        <w:t> </w:t>
      </w:r>
      <w:r>
        <w:rPr/>
        <w:t>prime</w:t>
      </w:r>
      <w:r>
        <w:rPr>
          <w:spacing w:val="-4"/>
        </w:rPr>
        <w:t> </w:t>
      </w:r>
      <w:r>
        <w:rPr/>
        <w:t>examples</w:t>
      </w:r>
      <w:r>
        <w:rPr>
          <w:spacing w:val="-5"/>
        </w:rPr>
        <w:t> </w:t>
      </w:r>
      <w:r>
        <w:rPr/>
        <w:t>of</w:t>
      </w:r>
      <w:r>
        <w:rPr>
          <w:spacing w:val="3"/>
        </w:rPr>
        <w:t> </w:t>
      </w:r>
      <w:r>
        <w:rPr/>
        <w:t>beneficial</w:t>
      </w:r>
      <w:r>
        <w:rPr>
          <w:spacing w:val="-2"/>
        </w:rPr>
        <w:t> </w:t>
      </w:r>
      <w:r>
        <w:rPr/>
        <w:t>product</w:t>
      </w:r>
      <w:r>
        <w:rPr>
          <w:spacing w:val="-3"/>
        </w:rPr>
        <w:t> </w:t>
      </w:r>
      <w:r>
        <w:rPr/>
        <w:t>development.</w:t>
      </w:r>
    </w:p>
    <w:p>
      <w:pPr>
        <w:pStyle w:val="BodyText"/>
        <w:spacing w:line="240" w:lineRule="auto" w:before="161"/>
        <w:ind w:right="0"/>
        <w:jc w:val="both"/>
        <w:rPr>
          <w:sz w:val="12"/>
          <w:szCs w:val="12"/>
        </w:rPr>
      </w:pPr>
      <w:r>
        <w:rPr/>
        <w:t>Data</w:t>
      </w:r>
      <w:r>
        <w:rPr>
          <w:spacing w:val="-3"/>
        </w:rPr>
        <w:t> </w:t>
      </w:r>
      <w:r>
        <w:rPr/>
        <w:t>indicates</w:t>
      </w:r>
      <w:r>
        <w:rPr>
          <w:spacing w:val="-5"/>
        </w:rPr>
        <w:t> </w:t>
      </w:r>
      <w:r>
        <w:rPr/>
        <w:t>that</w:t>
      </w:r>
      <w:r>
        <w:rPr>
          <w:spacing w:val="-3"/>
        </w:rPr>
        <w:t> </w:t>
      </w:r>
      <w:r>
        <w:rPr/>
        <w:t>revitalization</w:t>
      </w:r>
      <w:r>
        <w:rPr>
          <w:spacing w:val="-3"/>
        </w:rPr>
        <w:t> </w:t>
      </w:r>
      <w:r>
        <w:rPr/>
        <w:t>of</w:t>
      </w:r>
      <w:r>
        <w:rPr>
          <w:spacing w:val="-5"/>
        </w:rPr>
        <w:t> </w:t>
      </w:r>
      <w:r>
        <w:rPr/>
        <w:t>this</w:t>
      </w:r>
      <w:r>
        <w:rPr>
          <w:spacing w:val="-5"/>
        </w:rPr>
        <w:t> </w:t>
      </w:r>
      <w:r>
        <w:rPr/>
        <w:t>unique</w:t>
      </w:r>
      <w:r>
        <w:rPr>
          <w:spacing w:val="-4"/>
        </w:rPr>
        <w:t> </w:t>
      </w:r>
      <w:r>
        <w:rPr/>
        <w:t>UNESCO</w:t>
      </w:r>
      <w:r>
        <w:rPr>
          <w:spacing w:val="-3"/>
        </w:rPr>
        <w:t> </w:t>
      </w:r>
      <w:r>
        <w:rPr/>
        <w:t>site</w:t>
      </w:r>
      <w:r>
        <w:rPr>
          <w:spacing w:val="-2"/>
        </w:rPr>
        <w:t> </w:t>
      </w:r>
      <w:r>
        <w:rPr/>
        <w:t>should</w:t>
      </w:r>
      <w:r>
        <w:rPr>
          <w:spacing w:val="-3"/>
        </w:rPr>
        <w:t> </w:t>
      </w:r>
      <w:r>
        <w:rPr/>
        <w:t>consist</w:t>
      </w:r>
      <w:r>
        <w:rPr>
          <w:spacing w:val="-3"/>
        </w:rPr>
        <w:t> </w:t>
      </w:r>
      <w:r>
        <w:rPr/>
        <w:t>of</w:t>
      </w:r>
      <w:r>
        <w:rPr>
          <w:spacing w:val="-5"/>
        </w:rPr>
        <w:t> </w:t>
      </w:r>
      <w:r>
        <w:rPr/>
        <w:t>the</w:t>
      </w:r>
      <w:r>
        <w:rPr>
          <w:spacing w:val="-4"/>
        </w:rPr>
        <w:t> </w:t>
      </w:r>
      <w:r>
        <w:rPr/>
        <w:t>following</w:t>
      </w:r>
      <w:r>
        <w:rPr>
          <w:spacing w:val="-4"/>
        </w:rPr>
        <w:t> </w:t>
      </w:r>
      <w:r>
        <w:rPr/>
        <w:t>elements:</w:t>
      </w:r>
      <w:r>
        <w:rPr>
          <w:position w:val="5"/>
          <w:sz w:val="12"/>
        </w:rPr>
        <w:t>81</w:t>
      </w:r>
      <w:r>
        <w:rPr>
          <w:sz w:val="12"/>
        </w:rPr>
      </w:r>
    </w:p>
    <w:p>
      <w:pPr>
        <w:pStyle w:val="ListParagraph"/>
        <w:numPr>
          <w:ilvl w:val="1"/>
          <w:numId w:val="10"/>
        </w:numPr>
        <w:tabs>
          <w:tab w:pos="2161" w:val="left" w:leader="none"/>
        </w:tabs>
        <w:spacing w:line="240" w:lineRule="auto" w:before="179" w:after="0"/>
        <w:ind w:left="2160" w:right="0" w:hanging="360"/>
        <w:jc w:val="left"/>
        <w:rPr>
          <w:rFonts w:ascii="Calibri" w:hAnsi="Calibri" w:cs="Calibri" w:eastAsia="Calibri" w:hint="default"/>
          <w:sz w:val="20"/>
          <w:szCs w:val="20"/>
        </w:rPr>
      </w:pPr>
      <w:r>
        <w:rPr>
          <w:rFonts w:ascii="Calibri"/>
          <w:sz w:val="20"/>
        </w:rPr>
        <w:t>By year 2, declare the UNESCO heritage site as a duty-free</w:t>
      </w:r>
      <w:r>
        <w:rPr>
          <w:rFonts w:ascii="Calibri"/>
          <w:spacing w:val="-21"/>
          <w:sz w:val="20"/>
        </w:rPr>
        <w:t> </w:t>
      </w:r>
      <w:r>
        <w:rPr>
          <w:rFonts w:ascii="Calibri"/>
          <w:sz w:val="20"/>
        </w:rPr>
        <w:t>area.</w:t>
      </w:r>
    </w:p>
    <w:p>
      <w:pPr>
        <w:pStyle w:val="ListParagraph"/>
        <w:numPr>
          <w:ilvl w:val="1"/>
          <w:numId w:val="10"/>
        </w:numPr>
        <w:tabs>
          <w:tab w:pos="2161" w:val="left" w:leader="none"/>
        </w:tabs>
        <w:spacing w:line="357" w:lineRule="auto" w:before="122" w:after="0"/>
        <w:ind w:left="2160" w:right="1437" w:hanging="360"/>
        <w:jc w:val="both"/>
        <w:rPr>
          <w:rFonts w:ascii="Calibri" w:hAnsi="Calibri" w:cs="Calibri" w:eastAsia="Calibri" w:hint="default"/>
          <w:sz w:val="20"/>
          <w:szCs w:val="20"/>
        </w:rPr>
      </w:pPr>
      <w:r>
        <w:rPr>
          <w:rFonts w:ascii="Calibri"/>
          <w:sz w:val="20"/>
        </w:rPr>
        <w:t>Make flexible opening hours to accommodate cruises and stay-over demand. Data shows that cruise passengers prefer opening hours in the day, while stay-over tourists prefer opening hours in the late afternoon and</w:t>
      </w:r>
      <w:r>
        <w:rPr>
          <w:rFonts w:ascii="Calibri"/>
          <w:spacing w:val="-9"/>
          <w:sz w:val="20"/>
        </w:rPr>
        <w:t> </w:t>
      </w:r>
      <w:r>
        <w:rPr>
          <w:rFonts w:ascii="Calibri"/>
          <w:sz w:val="20"/>
        </w:rPr>
        <w:t>evening.</w:t>
      </w:r>
    </w:p>
    <w:p>
      <w:pPr>
        <w:pStyle w:val="ListParagraph"/>
        <w:numPr>
          <w:ilvl w:val="1"/>
          <w:numId w:val="10"/>
        </w:numPr>
        <w:tabs>
          <w:tab w:pos="2161" w:val="left" w:leader="none"/>
        </w:tabs>
        <w:spacing w:line="240" w:lineRule="auto" w:before="2" w:after="0"/>
        <w:ind w:left="2160" w:right="0" w:hanging="360"/>
        <w:jc w:val="left"/>
        <w:rPr>
          <w:rFonts w:ascii="Calibri" w:hAnsi="Calibri" w:cs="Calibri" w:eastAsia="Calibri" w:hint="default"/>
          <w:sz w:val="20"/>
          <w:szCs w:val="20"/>
        </w:rPr>
      </w:pPr>
      <w:r>
        <w:rPr>
          <w:rFonts w:ascii="Calibri"/>
          <w:sz w:val="20"/>
        </w:rPr>
        <w:t>Both segments are interested in shopping, food and beverage, and</w:t>
      </w:r>
      <w:r>
        <w:rPr>
          <w:rFonts w:ascii="Calibri"/>
          <w:spacing w:val="-30"/>
          <w:sz w:val="20"/>
        </w:rPr>
        <w:t> </w:t>
      </w:r>
      <w:r>
        <w:rPr>
          <w:rFonts w:ascii="Calibri"/>
          <w:sz w:val="20"/>
        </w:rPr>
        <w:t>entertainment.</w:t>
      </w:r>
    </w:p>
    <w:p>
      <w:pPr>
        <w:pStyle w:val="ListParagraph"/>
        <w:numPr>
          <w:ilvl w:val="1"/>
          <w:numId w:val="10"/>
        </w:numPr>
        <w:tabs>
          <w:tab w:pos="2161" w:val="left" w:leader="none"/>
        </w:tabs>
        <w:spacing w:line="352" w:lineRule="auto" w:before="122" w:after="0"/>
        <w:ind w:left="2160" w:right="1435" w:hanging="360"/>
        <w:jc w:val="both"/>
        <w:rPr>
          <w:rFonts w:ascii="Calibri" w:hAnsi="Calibri" w:cs="Calibri" w:eastAsia="Calibri" w:hint="default"/>
          <w:sz w:val="20"/>
          <w:szCs w:val="20"/>
        </w:rPr>
      </w:pPr>
      <w:r>
        <w:rPr>
          <w:rFonts w:ascii="Calibri"/>
          <w:sz w:val="20"/>
        </w:rPr>
        <w:t>The preferred shopping mix consists of (in order of preference): clothing, shoes and accessories, perfumes and cosmetics, jewelry, electronics, alcohol, and</w:t>
      </w:r>
      <w:r>
        <w:rPr>
          <w:rFonts w:ascii="Calibri"/>
          <w:spacing w:val="-14"/>
          <w:sz w:val="20"/>
        </w:rPr>
        <w:t> </w:t>
      </w:r>
      <w:r>
        <w:rPr>
          <w:rFonts w:ascii="Calibri"/>
          <w:sz w:val="20"/>
        </w:rPr>
        <w:t>tobacco.</w:t>
      </w:r>
    </w:p>
    <w:p>
      <w:pPr>
        <w:pStyle w:val="ListParagraph"/>
        <w:numPr>
          <w:ilvl w:val="1"/>
          <w:numId w:val="10"/>
        </w:numPr>
        <w:tabs>
          <w:tab w:pos="2161" w:val="left" w:leader="none"/>
        </w:tabs>
        <w:spacing w:line="352" w:lineRule="auto" w:before="9" w:after="0"/>
        <w:ind w:left="2160" w:right="1438" w:hanging="360"/>
        <w:jc w:val="both"/>
        <w:rPr>
          <w:rFonts w:ascii="Calibri" w:hAnsi="Calibri" w:cs="Calibri" w:eastAsia="Calibri" w:hint="default"/>
          <w:sz w:val="20"/>
          <w:szCs w:val="20"/>
        </w:rPr>
      </w:pPr>
      <w:r>
        <w:rPr>
          <w:rFonts w:ascii="Calibri" w:hAnsi="Calibri"/>
          <w:sz w:val="20"/>
        </w:rPr>
        <w:t>With</w:t>
      </w:r>
      <w:r>
        <w:rPr>
          <w:rFonts w:ascii="Calibri" w:hAnsi="Calibri"/>
          <w:spacing w:val="-11"/>
          <w:sz w:val="20"/>
        </w:rPr>
        <w:t> </w:t>
      </w:r>
      <w:r>
        <w:rPr>
          <w:rFonts w:ascii="Calibri" w:hAnsi="Calibri"/>
          <w:sz w:val="20"/>
        </w:rPr>
        <w:t>regard</w:t>
      </w:r>
      <w:r>
        <w:rPr>
          <w:rFonts w:ascii="Calibri" w:hAnsi="Calibri"/>
          <w:spacing w:val="-12"/>
          <w:sz w:val="20"/>
        </w:rPr>
        <w:t> </w:t>
      </w:r>
      <w:r>
        <w:rPr>
          <w:rFonts w:ascii="Calibri" w:hAnsi="Calibri"/>
          <w:sz w:val="20"/>
        </w:rPr>
        <w:t>to</w:t>
      </w:r>
      <w:r>
        <w:rPr>
          <w:rFonts w:ascii="Calibri" w:hAnsi="Calibri"/>
          <w:spacing w:val="-12"/>
          <w:sz w:val="20"/>
        </w:rPr>
        <w:t> </w:t>
      </w:r>
      <w:r>
        <w:rPr>
          <w:rFonts w:ascii="Calibri" w:hAnsi="Calibri"/>
          <w:sz w:val="20"/>
        </w:rPr>
        <w:t>the</w:t>
      </w:r>
      <w:r>
        <w:rPr>
          <w:rFonts w:ascii="Calibri" w:hAnsi="Calibri"/>
          <w:spacing w:val="-16"/>
          <w:sz w:val="20"/>
        </w:rPr>
        <w:t> </w:t>
      </w:r>
      <w:r>
        <w:rPr>
          <w:rFonts w:ascii="Calibri" w:hAnsi="Calibri"/>
          <w:sz w:val="20"/>
        </w:rPr>
        <w:t>preferred</w:t>
      </w:r>
      <w:r>
        <w:rPr>
          <w:rFonts w:ascii="Calibri" w:hAnsi="Calibri"/>
          <w:spacing w:val="-12"/>
          <w:sz w:val="20"/>
        </w:rPr>
        <w:t> </w:t>
      </w:r>
      <w:r>
        <w:rPr>
          <w:rFonts w:ascii="Calibri" w:hAnsi="Calibri"/>
          <w:sz w:val="20"/>
        </w:rPr>
        <w:t>types</w:t>
      </w:r>
      <w:r>
        <w:rPr>
          <w:rFonts w:ascii="Calibri" w:hAnsi="Calibri"/>
          <w:spacing w:val="-14"/>
          <w:sz w:val="20"/>
        </w:rPr>
        <w:t> </w:t>
      </w:r>
      <w:r>
        <w:rPr>
          <w:rFonts w:ascii="Calibri" w:hAnsi="Calibri"/>
          <w:sz w:val="20"/>
        </w:rPr>
        <w:t>of</w:t>
      </w:r>
      <w:r>
        <w:rPr>
          <w:rFonts w:ascii="Calibri" w:hAnsi="Calibri"/>
          <w:spacing w:val="-13"/>
          <w:sz w:val="20"/>
        </w:rPr>
        <w:t> </w:t>
      </w:r>
      <w:r>
        <w:rPr>
          <w:rFonts w:ascii="Calibri" w:hAnsi="Calibri"/>
          <w:sz w:val="20"/>
        </w:rPr>
        <w:t>restaurants,</w:t>
      </w:r>
      <w:r>
        <w:rPr>
          <w:rFonts w:ascii="Calibri" w:hAnsi="Calibri"/>
          <w:spacing w:val="-12"/>
          <w:sz w:val="20"/>
        </w:rPr>
        <w:t> </w:t>
      </w:r>
      <w:r>
        <w:rPr>
          <w:rFonts w:ascii="Calibri" w:hAnsi="Calibri"/>
          <w:sz w:val="20"/>
        </w:rPr>
        <w:t>preferences</w:t>
      </w:r>
      <w:r>
        <w:rPr>
          <w:rFonts w:ascii="Calibri" w:hAnsi="Calibri"/>
          <w:spacing w:val="-14"/>
          <w:sz w:val="20"/>
        </w:rPr>
        <w:t> </w:t>
      </w:r>
      <w:r>
        <w:rPr>
          <w:rFonts w:ascii="Calibri" w:hAnsi="Calibri"/>
          <w:sz w:val="20"/>
        </w:rPr>
        <w:t>are</w:t>
      </w:r>
      <w:r>
        <w:rPr>
          <w:rFonts w:ascii="Calibri" w:hAnsi="Calibri"/>
          <w:spacing w:val="-13"/>
          <w:sz w:val="20"/>
        </w:rPr>
        <w:t> </w:t>
      </w:r>
      <w:r>
        <w:rPr>
          <w:rFonts w:ascii="Calibri" w:hAnsi="Calibri"/>
          <w:sz w:val="20"/>
        </w:rPr>
        <w:t>ranked</w:t>
      </w:r>
      <w:r>
        <w:rPr>
          <w:rFonts w:ascii="Calibri" w:hAnsi="Calibri"/>
          <w:spacing w:val="-12"/>
          <w:sz w:val="20"/>
        </w:rPr>
        <w:t> </w:t>
      </w:r>
      <w:r>
        <w:rPr>
          <w:rFonts w:ascii="Calibri" w:hAnsi="Calibri"/>
          <w:sz w:val="20"/>
        </w:rPr>
        <w:t>in</w:t>
      </w:r>
      <w:r>
        <w:rPr>
          <w:rFonts w:ascii="Calibri" w:hAnsi="Calibri"/>
          <w:spacing w:val="-12"/>
          <w:sz w:val="20"/>
        </w:rPr>
        <w:t> </w:t>
      </w:r>
      <w:r>
        <w:rPr>
          <w:rFonts w:ascii="Calibri" w:hAnsi="Calibri"/>
          <w:sz w:val="20"/>
        </w:rPr>
        <w:t>the</w:t>
      </w:r>
      <w:r>
        <w:rPr>
          <w:rFonts w:ascii="Calibri" w:hAnsi="Calibri"/>
          <w:spacing w:val="-13"/>
          <w:sz w:val="20"/>
        </w:rPr>
        <w:t> </w:t>
      </w:r>
      <w:r>
        <w:rPr>
          <w:rFonts w:ascii="Calibri" w:hAnsi="Calibri"/>
          <w:sz w:val="20"/>
        </w:rPr>
        <w:t>following</w:t>
      </w:r>
      <w:r>
        <w:rPr>
          <w:rFonts w:ascii="Calibri" w:hAnsi="Calibri"/>
          <w:spacing w:val="-13"/>
          <w:sz w:val="20"/>
        </w:rPr>
        <w:t> </w:t>
      </w:r>
      <w:r>
        <w:rPr>
          <w:rFonts w:ascii="Calibri" w:hAnsi="Calibri"/>
          <w:sz w:val="20"/>
        </w:rPr>
        <w:t>order:</w:t>
      </w:r>
      <w:r>
        <w:rPr>
          <w:rFonts w:ascii="Calibri" w:hAnsi="Calibri"/>
          <w:spacing w:val="-13"/>
          <w:sz w:val="20"/>
        </w:rPr>
        <w:t> </w:t>
      </w:r>
      <w:r>
        <w:rPr>
          <w:rFonts w:ascii="Calibri" w:hAnsi="Calibri"/>
          <w:sz w:val="20"/>
        </w:rPr>
        <w:t>fine</w:t>
      </w:r>
      <w:r>
        <w:rPr>
          <w:rFonts w:ascii="Calibri" w:hAnsi="Calibri"/>
          <w:spacing w:val="-13"/>
          <w:sz w:val="20"/>
        </w:rPr>
        <w:t> </w:t>
      </w:r>
      <w:r>
        <w:rPr>
          <w:rFonts w:ascii="Calibri" w:hAnsi="Calibri"/>
          <w:sz w:val="20"/>
        </w:rPr>
        <w:t>dining, </w:t>
      </w:r>
      <w:r>
        <w:rPr>
          <w:rFonts w:ascii="Calibri" w:hAnsi="Calibri"/>
          <w:sz w:val="20"/>
        </w:rPr>
        <w:t>pub bar, gourmet and bistro, and gourmet</w:t>
      </w:r>
      <w:r>
        <w:rPr>
          <w:rFonts w:ascii="Calibri" w:hAnsi="Calibri"/>
          <w:spacing w:val="-16"/>
          <w:sz w:val="20"/>
        </w:rPr>
        <w:t> </w:t>
      </w:r>
      <w:r>
        <w:rPr>
          <w:rFonts w:ascii="Calibri" w:hAnsi="Calibri"/>
          <w:sz w:val="20"/>
        </w:rPr>
        <w:t>café.</w:t>
      </w:r>
    </w:p>
    <w:p>
      <w:pPr>
        <w:pStyle w:val="BodyText"/>
        <w:spacing w:line="259" w:lineRule="auto" w:before="167"/>
        <w:ind w:right="1437"/>
        <w:jc w:val="both"/>
        <w:rPr>
          <w:sz w:val="12"/>
          <w:szCs w:val="12"/>
        </w:rPr>
      </w:pPr>
      <w:r>
        <w:rPr/>
        <w:t>Another example of product development is cruise packages. The most preferred cruise package according to respondents sampled from cruise visitors involves a time duration of 4.5 hours followed by 3.5 hours. The cruise passengers indicated that they prefer tour packages that include the following, in order of preference: historical attractions, beaches, entertainment, shopping, and wellness activities. With regard to the type of service visitors favored on their cruise tours, they indicated a preference for full meals rather than only beverages, or beverages and</w:t>
      </w:r>
      <w:r>
        <w:rPr>
          <w:spacing w:val="-3"/>
        </w:rPr>
        <w:t> </w:t>
      </w:r>
      <w:r>
        <w:rPr/>
        <w:t>snacks.</w:t>
      </w:r>
      <w:r>
        <w:rPr>
          <w:spacing w:val="-3"/>
        </w:rPr>
        <w:t> </w:t>
      </w:r>
      <w:r>
        <w:rPr/>
        <w:t>The</w:t>
      </w:r>
      <w:r>
        <w:rPr>
          <w:spacing w:val="-4"/>
        </w:rPr>
        <w:t> </w:t>
      </w:r>
      <w:r>
        <w:rPr/>
        <w:t>first</w:t>
      </w:r>
      <w:r>
        <w:rPr>
          <w:spacing w:val="-3"/>
        </w:rPr>
        <w:t> </w:t>
      </w:r>
      <w:r>
        <w:rPr/>
        <w:t>preferred price</w:t>
      </w:r>
      <w:r>
        <w:rPr>
          <w:spacing w:val="-4"/>
        </w:rPr>
        <w:t> </w:t>
      </w:r>
      <w:r>
        <w:rPr/>
        <w:t>point</w:t>
      </w:r>
      <w:r>
        <w:rPr>
          <w:spacing w:val="-2"/>
        </w:rPr>
        <w:t> </w:t>
      </w:r>
      <w:r>
        <w:rPr/>
        <w:t>isUS$89</w:t>
      </w:r>
      <w:r>
        <w:rPr>
          <w:spacing w:val="-4"/>
        </w:rPr>
        <w:t> </w:t>
      </w:r>
      <w:r>
        <w:rPr/>
        <w:t>followed</w:t>
      </w:r>
      <w:r>
        <w:rPr>
          <w:spacing w:val="-3"/>
        </w:rPr>
        <w:t> </w:t>
      </w:r>
      <w:r>
        <w:rPr/>
        <w:t>by</w:t>
      </w:r>
      <w:r>
        <w:rPr>
          <w:spacing w:val="-3"/>
        </w:rPr>
        <w:t> </w:t>
      </w:r>
      <w:r>
        <w:rPr/>
        <w:t>a</w:t>
      </w:r>
      <w:r>
        <w:rPr>
          <w:spacing w:val="-3"/>
        </w:rPr>
        <w:t> </w:t>
      </w:r>
      <w:r>
        <w:rPr/>
        <w:t>price</w:t>
      </w:r>
      <w:r>
        <w:rPr>
          <w:spacing w:val="-5"/>
        </w:rPr>
        <w:t> </w:t>
      </w:r>
      <w:r>
        <w:rPr/>
        <w:t>point</w:t>
      </w:r>
      <w:r>
        <w:rPr>
          <w:spacing w:val="-3"/>
        </w:rPr>
        <w:t> </w:t>
      </w:r>
      <w:r>
        <w:rPr/>
        <w:t>of</w:t>
      </w:r>
      <w:r>
        <w:rPr>
          <w:spacing w:val="-5"/>
        </w:rPr>
        <w:t> </w:t>
      </w:r>
      <w:r>
        <w:rPr/>
        <w:t>US$69.</w:t>
      </w:r>
      <w:r>
        <w:rPr>
          <w:position w:val="5"/>
          <w:sz w:val="12"/>
        </w:rPr>
        <w:t>82</w:t>
      </w:r>
      <w:r>
        <w:rPr>
          <w:sz w:val="12"/>
        </w:rPr>
      </w:r>
    </w:p>
    <w:p>
      <w:pPr>
        <w:pStyle w:val="BodyText"/>
        <w:spacing w:line="259" w:lineRule="auto" w:before="161"/>
        <w:ind w:right="1436"/>
        <w:jc w:val="both"/>
      </w:pPr>
      <w:r>
        <w:rPr/>
        <w:t>Curaçao has a bundle of unique and successful events (e.g. Curaçao North Sea Jazz Festival, the film festival, and BlueSeas</w:t>
      </w:r>
      <w:r>
        <w:rPr>
          <w:spacing w:val="-9"/>
        </w:rPr>
        <w:t> </w:t>
      </w:r>
      <w:r>
        <w:rPr/>
        <w:t>Festival).</w:t>
      </w:r>
      <w:r>
        <w:rPr>
          <w:spacing w:val="-8"/>
        </w:rPr>
        <w:t> </w:t>
      </w:r>
      <w:r>
        <w:rPr/>
        <w:t>It</w:t>
      </w:r>
      <w:r>
        <w:rPr>
          <w:spacing w:val="-7"/>
        </w:rPr>
        <w:t> </w:t>
      </w:r>
      <w:r>
        <w:rPr/>
        <w:t>behooves</w:t>
      </w:r>
      <w:r>
        <w:rPr>
          <w:spacing w:val="-9"/>
        </w:rPr>
        <w:t> </w:t>
      </w:r>
      <w:r>
        <w:rPr/>
        <w:t>destination</w:t>
      </w:r>
      <w:r>
        <w:rPr>
          <w:spacing w:val="-7"/>
        </w:rPr>
        <w:t> </w:t>
      </w:r>
      <w:r>
        <w:rPr/>
        <w:t>managers,</w:t>
      </w:r>
      <w:r>
        <w:rPr>
          <w:spacing w:val="-7"/>
        </w:rPr>
        <w:t> </w:t>
      </w:r>
      <w:r>
        <w:rPr/>
        <w:t>as</w:t>
      </w:r>
      <w:r>
        <w:rPr>
          <w:spacing w:val="-8"/>
        </w:rPr>
        <w:t> </w:t>
      </w:r>
      <w:r>
        <w:rPr/>
        <w:t>well</w:t>
      </w:r>
      <w:r>
        <w:rPr>
          <w:spacing w:val="-8"/>
        </w:rPr>
        <w:t> </w:t>
      </w:r>
      <w:r>
        <w:rPr/>
        <w:t>as</w:t>
      </w:r>
      <w:r>
        <w:rPr>
          <w:spacing w:val="-8"/>
        </w:rPr>
        <w:t> </w:t>
      </w:r>
      <w:r>
        <w:rPr/>
        <w:t>other</w:t>
      </w:r>
      <w:r>
        <w:rPr>
          <w:spacing w:val="-8"/>
        </w:rPr>
        <w:t> </w:t>
      </w:r>
      <w:r>
        <w:rPr/>
        <w:t>stakeholders,</w:t>
      </w:r>
      <w:r>
        <w:rPr>
          <w:spacing w:val="-7"/>
        </w:rPr>
        <w:t> </w:t>
      </w:r>
      <w:r>
        <w:rPr/>
        <w:t>to</w:t>
      </w:r>
      <w:r>
        <w:rPr>
          <w:spacing w:val="-7"/>
        </w:rPr>
        <w:t> </w:t>
      </w:r>
      <w:r>
        <w:rPr/>
        <w:t>join</w:t>
      </w:r>
      <w:r>
        <w:rPr>
          <w:spacing w:val="-7"/>
        </w:rPr>
        <w:t> </w:t>
      </w:r>
      <w:r>
        <w:rPr/>
        <w:t>forces</w:t>
      </w:r>
      <w:r>
        <w:rPr>
          <w:spacing w:val="-9"/>
        </w:rPr>
        <w:t> </w:t>
      </w:r>
      <w:r>
        <w:rPr/>
        <w:t>in</w:t>
      </w:r>
      <w:r>
        <w:rPr>
          <w:spacing w:val="-7"/>
        </w:rPr>
        <w:t> </w:t>
      </w:r>
      <w:r>
        <w:rPr/>
        <w:t>supporting</w:t>
      </w:r>
      <w:r>
        <w:rPr>
          <w:spacing w:val="-8"/>
        </w:rPr>
        <w:t> </w:t>
      </w:r>
      <w:r>
        <w:rPr/>
        <w:t>such </w:t>
      </w:r>
      <w:r>
        <w:rPr/>
        <w:t>events as well as creating new events (e.g., music festivals of similar caliber). Events such as these reveal the real character of Curaçao and its unique hospitality features. These events have revealed that blending entertainment with socialization opportunities is a recipe for tourism success. Curaçao is frequented by two popular types of tourists.  Those traveling with their family to create enduring family ties, and those tourists who search for</w:t>
      </w:r>
      <w:r>
        <w:rPr>
          <w:spacing w:val="21"/>
        </w:rPr>
        <w:t> </w:t>
      </w:r>
      <w:r>
        <w:rPr/>
        <w:t>cultural</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0"/>
        <w:ind w:right="0"/>
        <w:rPr>
          <w:rFonts w:ascii="Calibri" w:hAnsi="Calibri" w:cs="Calibri" w:eastAsia="Calibri" w:hint="default"/>
          <w:sz w:val="13"/>
          <w:szCs w:val="13"/>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599980pt" strokecolor="#000000">
                <v:path arrowok="t"/>
              </v:shape>
            </v:group>
          </v:group>
        </w:pict>
      </w:r>
      <w:r>
        <w:rPr>
          <w:rFonts w:ascii="Calibri" w:hAnsi="Calibri" w:cs="Calibri" w:eastAsia="Calibri" w:hint="default"/>
          <w:sz w:val="2"/>
          <w:szCs w:val="2"/>
        </w:rPr>
      </w:r>
    </w:p>
    <w:p>
      <w:pPr>
        <w:spacing w:line="242" w:lineRule="auto" w:before="89"/>
        <w:ind w:left="1440" w:right="1510" w:firstLine="0"/>
        <w:jc w:val="left"/>
        <w:rPr>
          <w:rFonts w:ascii="Calibri" w:hAnsi="Calibri" w:cs="Calibri" w:eastAsia="Calibri" w:hint="default"/>
          <w:sz w:val="16"/>
          <w:szCs w:val="16"/>
        </w:rPr>
      </w:pPr>
      <w:r>
        <w:rPr>
          <w:rFonts w:ascii="Calibri" w:hAnsi="Calibri" w:cs="Calibri" w:eastAsia="Calibri" w:hint="default"/>
          <w:position w:val="5"/>
          <w:sz w:val="12"/>
          <w:szCs w:val="12"/>
        </w:rPr>
        <w:t>81 </w:t>
      </w:r>
      <w:r>
        <w:rPr>
          <w:rFonts w:ascii="Calibri" w:hAnsi="Calibri" w:cs="Calibri" w:eastAsia="Calibri" w:hint="default"/>
          <w:sz w:val="16"/>
          <w:szCs w:val="16"/>
        </w:rPr>
        <w:t>Preferences are ranked according to a conjoint analysis to estimate tourists and cruise visitors’ preferences in terms of sho</w:t>
      </w:r>
      <w:r>
        <w:rPr>
          <w:rFonts w:ascii="Calibri" w:hAnsi="Calibri" w:cs="Calibri" w:eastAsia="Calibri" w:hint="default"/>
          <w:sz w:val="16"/>
          <w:szCs w:val="16"/>
        </w:rPr>
        <w:t>pping, types of restaurants,</w:t>
      </w:r>
      <w:r>
        <w:rPr>
          <w:rFonts w:ascii="Calibri" w:hAnsi="Calibri" w:cs="Calibri" w:eastAsia="Calibri" w:hint="default"/>
          <w:spacing w:val="-2"/>
          <w:sz w:val="16"/>
          <w:szCs w:val="16"/>
        </w:rPr>
        <w:t> </w:t>
      </w:r>
      <w:r>
        <w:rPr>
          <w:rFonts w:ascii="Calibri" w:hAnsi="Calibri" w:cs="Calibri" w:eastAsia="Calibri" w:hint="default"/>
          <w:sz w:val="16"/>
          <w:szCs w:val="16"/>
        </w:rPr>
        <w:t>time</w:t>
      </w:r>
      <w:r>
        <w:rPr>
          <w:rFonts w:ascii="Calibri" w:hAnsi="Calibri" w:cs="Calibri" w:eastAsia="Calibri" w:hint="default"/>
          <w:spacing w:val="-3"/>
          <w:sz w:val="16"/>
          <w:szCs w:val="16"/>
        </w:rPr>
        <w:t> </w:t>
      </w:r>
      <w:r>
        <w:rPr>
          <w:rFonts w:ascii="Calibri" w:hAnsi="Calibri" w:cs="Calibri" w:eastAsia="Calibri" w:hint="default"/>
          <w:sz w:val="16"/>
          <w:szCs w:val="16"/>
        </w:rPr>
        <w:t>of</w:t>
      </w:r>
      <w:r>
        <w:rPr>
          <w:rFonts w:ascii="Calibri" w:hAnsi="Calibri" w:cs="Calibri" w:eastAsia="Calibri" w:hint="default"/>
          <w:spacing w:val="-3"/>
          <w:sz w:val="16"/>
          <w:szCs w:val="16"/>
        </w:rPr>
        <w:t> </w:t>
      </w:r>
      <w:r>
        <w:rPr>
          <w:rFonts w:ascii="Calibri" w:hAnsi="Calibri" w:cs="Calibri" w:eastAsia="Calibri" w:hint="default"/>
          <w:sz w:val="16"/>
          <w:szCs w:val="16"/>
        </w:rPr>
        <w:t>day,</w:t>
      </w:r>
      <w:r>
        <w:rPr>
          <w:rFonts w:ascii="Calibri" w:hAnsi="Calibri" w:cs="Calibri" w:eastAsia="Calibri" w:hint="default"/>
          <w:spacing w:val="-2"/>
          <w:sz w:val="16"/>
          <w:szCs w:val="16"/>
        </w:rPr>
        <w:t> </w:t>
      </w:r>
      <w:r>
        <w:rPr>
          <w:rFonts w:ascii="Calibri" w:hAnsi="Calibri" w:cs="Calibri" w:eastAsia="Calibri" w:hint="default"/>
          <w:sz w:val="16"/>
          <w:szCs w:val="16"/>
        </w:rPr>
        <w:t>and</w:t>
      </w:r>
      <w:r>
        <w:rPr>
          <w:rFonts w:ascii="Calibri" w:hAnsi="Calibri" w:cs="Calibri" w:eastAsia="Calibri" w:hint="default"/>
          <w:spacing w:val="-3"/>
          <w:sz w:val="16"/>
          <w:szCs w:val="16"/>
        </w:rPr>
        <w:t> </w:t>
      </w:r>
      <w:r>
        <w:rPr>
          <w:rFonts w:ascii="Calibri" w:hAnsi="Calibri" w:cs="Calibri" w:eastAsia="Calibri" w:hint="default"/>
          <w:sz w:val="16"/>
          <w:szCs w:val="16"/>
        </w:rPr>
        <w:t>type</w:t>
      </w:r>
      <w:r>
        <w:rPr>
          <w:rFonts w:ascii="Calibri" w:hAnsi="Calibri" w:cs="Calibri" w:eastAsia="Calibri" w:hint="default"/>
          <w:spacing w:val="-1"/>
          <w:sz w:val="16"/>
          <w:szCs w:val="16"/>
        </w:rPr>
        <w:t> </w:t>
      </w:r>
      <w:r>
        <w:rPr>
          <w:rFonts w:ascii="Calibri" w:hAnsi="Calibri" w:cs="Calibri" w:eastAsia="Calibri" w:hint="default"/>
          <w:sz w:val="16"/>
          <w:szCs w:val="16"/>
        </w:rPr>
        <w:t>of</w:t>
      </w:r>
      <w:r>
        <w:rPr>
          <w:rFonts w:ascii="Calibri" w:hAnsi="Calibri" w:cs="Calibri" w:eastAsia="Calibri" w:hint="default"/>
          <w:spacing w:val="-1"/>
          <w:sz w:val="16"/>
          <w:szCs w:val="16"/>
        </w:rPr>
        <w:t> </w:t>
      </w:r>
      <w:r>
        <w:rPr>
          <w:rFonts w:ascii="Calibri" w:hAnsi="Calibri" w:cs="Calibri" w:eastAsia="Calibri" w:hint="default"/>
          <w:sz w:val="16"/>
          <w:szCs w:val="16"/>
        </w:rPr>
        <w:t>shopping</w:t>
      </w:r>
      <w:r>
        <w:rPr>
          <w:rFonts w:ascii="Calibri" w:hAnsi="Calibri" w:cs="Calibri" w:eastAsia="Calibri" w:hint="default"/>
          <w:spacing w:val="-2"/>
          <w:sz w:val="16"/>
          <w:szCs w:val="16"/>
        </w:rPr>
        <w:t> </w:t>
      </w:r>
      <w:r>
        <w:rPr>
          <w:rFonts w:ascii="Calibri" w:hAnsi="Calibri" w:cs="Calibri" w:eastAsia="Calibri" w:hint="default"/>
          <w:sz w:val="16"/>
          <w:szCs w:val="16"/>
        </w:rPr>
        <w:t>experience.</w:t>
      </w:r>
      <w:r>
        <w:rPr>
          <w:rFonts w:ascii="Calibri" w:hAnsi="Calibri" w:cs="Calibri" w:eastAsia="Calibri" w:hint="default"/>
          <w:spacing w:val="-2"/>
          <w:sz w:val="16"/>
          <w:szCs w:val="16"/>
        </w:rPr>
        <w:t> </w:t>
      </w:r>
      <w:r>
        <w:rPr>
          <w:rFonts w:ascii="Calibri" w:hAnsi="Calibri" w:cs="Calibri" w:eastAsia="Calibri" w:hint="default"/>
          <w:sz w:val="16"/>
          <w:szCs w:val="16"/>
        </w:rPr>
        <w:t>Tourists</w:t>
      </w:r>
      <w:r>
        <w:rPr>
          <w:rFonts w:ascii="Calibri" w:hAnsi="Calibri" w:cs="Calibri" w:eastAsia="Calibri" w:hint="default"/>
          <w:spacing w:val="-3"/>
          <w:sz w:val="16"/>
          <w:szCs w:val="16"/>
        </w:rPr>
        <w:t> </w:t>
      </w:r>
      <w:r>
        <w:rPr>
          <w:rFonts w:ascii="Calibri" w:hAnsi="Calibri" w:cs="Calibri" w:eastAsia="Calibri" w:hint="default"/>
          <w:sz w:val="16"/>
          <w:szCs w:val="16"/>
        </w:rPr>
        <w:t>and</w:t>
      </w:r>
      <w:r>
        <w:rPr>
          <w:rFonts w:ascii="Calibri" w:hAnsi="Calibri" w:cs="Calibri" w:eastAsia="Calibri" w:hint="default"/>
          <w:spacing w:val="-3"/>
          <w:sz w:val="16"/>
          <w:szCs w:val="16"/>
        </w:rPr>
        <w:t> </w:t>
      </w:r>
      <w:r>
        <w:rPr>
          <w:rFonts w:ascii="Calibri" w:hAnsi="Calibri" w:cs="Calibri" w:eastAsia="Calibri" w:hint="default"/>
          <w:sz w:val="16"/>
          <w:szCs w:val="16"/>
        </w:rPr>
        <w:t>Cruise</w:t>
      </w:r>
      <w:r>
        <w:rPr>
          <w:rFonts w:ascii="Calibri" w:hAnsi="Calibri" w:cs="Calibri" w:eastAsia="Calibri" w:hint="default"/>
          <w:spacing w:val="-2"/>
          <w:sz w:val="16"/>
          <w:szCs w:val="16"/>
        </w:rPr>
        <w:t> </w:t>
      </w:r>
      <w:r>
        <w:rPr>
          <w:rFonts w:ascii="Calibri" w:hAnsi="Calibri" w:cs="Calibri" w:eastAsia="Calibri" w:hint="default"/>
          <w:sz w:val="16"/>
          <w:szCs w:val="16"/>
        </w:rPr>
        <w:t>visitors’</w:t>
      </w:r>
      <w:r>
        <w:rPr>
          <w:rFonts w:ascii="Calibri" w:hAnsi="Calibri" w:cs="Calibri" w:eastAsia="Calibri" w:hint="default"/>
          <w:spacing w:val="-2"/>
          <w:sz w:val="16"/>
          <w:szCs w:val="16"/>
        </w:rPr>
        <w:t> </w:t>
      </w:r>
      <w:r>
        <w:rPr>
          <w:rFonts w:ascii="Calibri" w:hAnsi="Calibri" w:cs="Calibri" w:eastAsia="Calibri" w:hint="default"/>
          <w:sz w:val="16"/>
          <w:szCs w:val="16"/>
        </w:rPr>
        <w:t>preferences</w:t>
      </w:r>
      <w:r>
        <w:rPr>
          <w:rFonts w:ascii="Calibri" w:hAnsi="Calibri" w:cs="Calibri" w:eastAsia="Calibri" w:hint="default"/>
          <w:spacing w:val="-3"/>
          <w:sz w:val="16"/>
          <w:szCs w:val="16"/>
        </w:rPr>
        <w:t> </w:t>
      </w:r>
      <w:r>
        <w:rPr>
          <w:rFonts w:ascii="Calibri" w:hAnsi="Calibri" w:cs="Calibri" w:eastAsia="Calibri" w:hint="default"/>
          <w:sz w:val="16"/>
          <w:szCs w:val="16"/>
        </w:rPr>
        <w:t>are</w:t>
      </w:r>
      <w:r>
        <w:rPr>
          <w:rFonts w:ascii="Calibri" w:hAnsi="Calibri" w:cs="Calibri" w:eastAsia="Calibri" w:hint="default"/>
          <w:spacing w:val="-3"/>
          <w:sz w:val="16"/>
          <w:szCs w:val="16"/>
        </w:rPr>
        <w:t> </w:t>
      </w:r>
      <w:r>
        <w:rPr>
          <w:rFonts w:ascii="Calibri" w:hAnsi="Calibri" w:cs="Calibri" w:eastAsia="Calibri" w:hint="default"/>
          <w:sz w:val="16"/>
          <w:szCs w:val="16"/>
        </w:rPr>
        <w:t>almost</w:t>
      </w:r>
      <w:r>
        <w:rPr>
          <w:rFonts w:ascii="Calibri" w:hAnsi="Calibri" w:cs="Calibri" w:eastAsia="Calibri" w:hint="default"/>
          <w:spacing w:val="-4"/>
          <w:sz w:val="16"/>
          <w:szCs w:val="16"/>
        </w:rPr>
        <w:t> </w:t>
      </w:r>
      <w:r>
        <w:rPr>
          <w:rFonts w:ascii="Calibri" w:hAnsi="Calibri" w:cs="Calibri" w:eastAsia="Calibri" w:hint="default"/>
          <w:sz w:val="16"/>
          <w:szCs w:val="16"/>
        </w:rPr>
        <w:t>homogenous</w:t>
      </w:r>
      <w:r>
        <w:rPr>
          <w:rFonts w:ascii="Calibri" w:hAnsi="Calibri" w:cs="Calibri" w:eastAsia="Calibri" w:hint="default"/>
          <w:spacing w:val="-3"/>
          <w:sz w:val="16"/>
          <w:szCs w:val="16"/>
        </w:rPr>
        <w:t> </w:t>
      </w:r>
      <w:r>
        <w:rPr>
          <w:rFonts w:ascii="Calibri" w:hAnsi="Calibri" w:cs="Calibri" w:eastAsia="Calibri" w:hint="default"/>
          <w:sz w:val="16"/>
          <w:szCs w:val="16"/>
        </w:rPr>
        <w:t>with</w:t>
      </w:r>
      <w:r>
        <w:rPr>
          <w:rFonts w:ascii="Calibri" w:hAnsi="Calibri" w:cs="Calibri" w:eastAsia="Calibri" w:hint="default"/>
          <w:spacing w:val="-3"/>
          <w:sz w:val="16"/>
          <w:szCs w:val="16"/>
        </w:rPr>
        <w:t> </w:t>
      </w:r>
      <w:r>
        <w:rPr>
          <w:rFonts w:ascii="Calibri" w:hAnsi="Calibri" w:cs="Calibri" w:eastAsia="Calibri" w:hint="default"/>
          <w:sz w:val="16"/>
          <w:szCs w:val="16"/>
        </w:rPr>
        <w:t>the</w:t>
      </w:r>
      <w:r>
        <w:rPr>
          <w:rFonts w:ascii="Calibri" w:hAnsi="Calibri" w:cs="Calibri" w:eastAsia="Calibri" w:hint="default"/>
          <w:spacing w:val="-4"/>
          <w:sz w:val="16"/>
          <w:szCs w:val="16"/>
        </w:rPr>
        <w:t> </w:t>
      </w:r>
      <w:r>
        <w:rPr>
          <w:rFonts w:ascii="Calibri" w:hAnsi="Calibri" w:cs="Calibri" w:eastAsia="Calibri" w:hint="default"/>
          <w:sz w:val="16"/>
          <w:szCs w:val="16"/>
        </w:rPr>
        <w:t>exception </w:t>
      </w:r>
      <w:r>
        <w:rPr>
          <w:rFonts w:ascii="Calibri" w:hAnsi="Calibri" w:cs="Calibri" w:eastAsia="Calibri" w:hint="default"/>
          <w:sz w:val="16"/>
          <w:szCs w:val="16"/>
        </w:rPr>
      </w:r>
      <w:r>
        <w:rPr>
          <w:rFonts w:ascii="Calibri" w:hAnsi="Calibri" w:cs="Calibri" w:eastAsia="Calibri" w:hint="default"/>
          <w:sz w:val="16"/>
          <w:szCs w:val="16"/>
        </w:rPr>
        <w:t>of perfumes, cosmetics, tobacco, and alcohol. The conjoint analysis is based on a survey consisting of 301 respondents, cruise (n=130) and tourists (n=171). See the complete results in Annex</w:t>
      </w:r>
      <w:r>
        <w:rPr>
          <w:rFonts w:ascii="Calibri" w:hAnsi="Calibri" w:cs="Calibri" w:eastAsia="Calibri" w:hint="default"/>
          <w:spacing w:val="-22"/>
          <w:sz w:val="16"/>
          <w:szCs w:val="16"/>
        </w:rPr>
        <w:t> </w:t>
      </w:r>
      <w:r>
        <w:rPr>
          <w:rFonts w:ascii="Calibri" w:hAnsi="Calibri" w:cs="Calibri" w:eastAsia="Calibri" w:hint="default"/>
          <w:sz w:val="16"/>
          <w:szCs w:val="16"/>
        </w:rPr>
        <w:t>4.</w:t>
      </w:r>
    </w:p>
    <w:p>
      <w:pPr>
        <w:spacing w:line="247" w:lineRule="auto" w:before="4"/>
        <w:ind w:left="1440" w:right="1792" w:firstLine="0"/>
        <w:jc w:val="left"/>
        <w:rPr>
          <w:rFonts w:ascii="Calibri" w:hAnsi="Calibri" w:cs="Calibri" w:eastAsia="Calibri" w:hint="default"/>
          <w:sz w:val="16"/>
          <w:szCs w:val="16"/>
        </w:rPr>
      </w:pPr>
      <w:r>
        <w:rPr>
          <w:rFonts w:ascii="Calibri"/>
          <w:position w:val="5"/>
          <w:sz w:val="12"/>
        </w:rPr>
        <w:t>82 </w:t>
      </w:r>
      <w:r>
        <w:rPr>
          <w:rFonts w:ascii="Calibri"/>
          <w:sz w:val="16"/>
        </w:rPr>
        <w:t>The sample size was 127 respondents, which complies with the validity requirements for a conjoint analysis. The complete results of the </w:t>
      </w:r>
      <w:r>
        <w:rPr>
          <w:rFonts w:ascii="Calibri"/>
          <w:sz w:val="16"/>
        </w:rPr>
        <w:t>analyses are revealed in ANNEX</w:t>
      </w:r>
      <w:r>
        <w:rPr>
          <w:rFonts w:ascii="Calibri"/>
          <w:spacing w:val="-8"/>
          <w:sz w:val="16"/>
        </w:rPr>
        <w:t> </w:t>
      </w:r>
      <w:r>
        <w:rPr>
          <w:rFonts w:ascii="Calibri"/>
          <w:sz w:val="16"/>
        </w:rPr>
        <w:t>4.</w:t>
      </w:r>
    </w:p>
    <w:p>
      <w:pPr>
        <w:spacing w:after="0" w:line="247"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59" w:lineRule="auto" w:before="59"/>
        <w:ind w:right="1446"/>
        <w:jc w:val="both"/>
      </w:pPr>
      <w:r>
        <w:rPr/>
        <w:t>interaction and entertainment.</w:t>
      </w:r>
      <w:r>
        <w:rPr>
          <w:position w:val="5"/>
          <w:sz w:val="12"/>
        </w:rPr>
        <w:t>83 </w:t>
      </w:r>
      <w:r>
        <w:rPr/>
        <w:t>The previously mentioned events provide opportunities for both types of these </w:t>
      </w:r>
      <w:r>
        <w:rPr/>
        <w:t>tourists.</w:t>
      </w:r>
    </w:p>
    <w:p>
      <w:pPr>
        <w:pStyle w:val="BodyText"/>
        <w:spacing w:line="259" w:lineRule="auto" w:before="158"/>
        <w:ind w:right="1435"/>
        <w:jc w:val="both"/>
      </w:pPr>
      <w:r>
        <w:rPr/>
        <w:t>In order to accelerate creative and innovative product development, policy intervention is required to facilitate consolidation of profitable and sustainable business practices (e.g. trust and collaboration). Policy intervention should</w:t>
      </w:r>
      <w:r>
        <w:rPr>
          <w:spacing w:val="-6"/>
        </w:rPr>
        <w:t> </w:t>
      </w:r>
      <w:r>
        <w:rPr/>
        <w:t>range</w:t>
      </w:r>
      <w:r>
        <w:rPr>
          <w:spacing w:val="-8"/>
        </w:rPr>
        <w:t> </w:t>
      </w:r>
      <w:r>
        <w:rPr/>
        <w:t>from</w:t>
      </w:r>
      <w:r>
        <w:rPr>
          <w:spacing w:val="-8"/>
        </w:rPr>
        <w:t> </w:t>
      </w:r>
      <w:r>
        <w:rPr/>
        <w:t>direct</w:t>
      </w:r>
      <w:r>
        <w:rPr>
          <w:spacing w:val="-7"/>
        </w:rPr>
        <w:t> </w:t>
      </w:r>
      <w:r>
        <w:rPr/>
        <w:t>incentives,</w:t>
      </w:r>
      <w:r>
        <w:rPr>
          <w:spacing w:val="-6"/>
        </w:rPr>
        <w:t> </w:t>
      </w:r>
      <w:r>
        <w:rPr/>
        <w:t>duty-free</w:t>
      </w:r>
      <w:r>
        <w:rPr>
          <w:spacing w:val="-5"/>
        </w:rPr>
        <w:t> </w:t>
      </w:r>
      <w:r>
        <w:rPr/>
        <w:t>status</w:t>
      </w:r>
      <w:r>
        <w:rPr>
          <w:spacing w:val="-8"/>
        </w:rPr>
        <w:t> </w:t>
      </w:r>
      <w:r>
        <w:rPr/>
        <w:t>in</w:t>
      </w:r>
      <w:r>
        <w:rPr>
          <w:spacing w:val="-6"/>
        </w:rPr>
        <w:t> </w:t>
      </w:r>
      <w:r>
        <w:rPr/>
        <w:t>the</w:t>
      </w:r>
      <w:r>
        <w:rPr>
          <w:spacing w:val="-3"/>
        </w:rPr>
        <w:t> </w:t>
      </w:r>
      <w:r>
        <w:rPr/>
        <w:t>UNESCO</w:t>
      </w:r>
      <w:r>
        <w:rPr>
          <w:spacing w:val="-4"/>
        </w:rPr>
        <w:t> </w:t>
      </w:r>
      <w:r>
        <w:rPr/>
        <w:t>site</w:t>
      </w:r>
      <w:r>
        <w:rPr>
          <w:spacing w:val="-8"/>
        </w:rPr>
        <w:t> </w:t>
      </w:r>
      <w:r>
        <w:rPr/>
        <w:t>area</w:t>
      </w:r>
      <w:r>
        <w:rPr>
          <w:spacing w:val="-6"/>
        </w:rPr>
        <w:t> </w:t>
      </w:r>
      <w:r>
        <w:rPr/>
        <w:t>(Punda/Otrabanda),</w:t>
      </w:r>
      <w:r>
        <w:rPr>
          <w:spacing w:val="-6"/>
        </w:rPr>
        <w:t> </w:t>
      </w:r>
      <w:r>
        <w:rPr/>
        <w:t>and</w:t>
      </w:r>
      <w:r>
        <w:rPr>
          <w:spacing w:val="-6"/>
        </w:rPr>
        <w:t> </w:t>
      </w:r>
      <w:r>
        <w:rPr/>
        <w:t>risk-taking</w:t>
      </w:r>
      <w:r>
        <w:rPr>
          <w:spacing w:val="-7"/>
        </w:rPr>
        <w:t> </w:t>
      </w:r>
      <w:r>
        <w:rPr/>
        <w:t>by </w:t>
      </w:r>
      <w:r>
        <w:rPr/>
        <w:t>the government. Risk-taking for the government could include the creative tax incentive packages to induce businesses to invest in new products, offerings, and</w:t>
      </w:r>
      <w:r>
        <w:rPr>
          <w:spacing w:val="-23"/>
        </w:rPr>
        <w:t> </w:t>
      </w:r>
      <w:r>
        <w:rPr/>
        <w:t>upkeep.</w:t>
      </w:r>
    </w:p>
    <w:p>
      <w:pPr>
        <w:pStyle w:val="BodyText"/>
        <w:spacing w:line="259" w:lineRule="auto" w:before="161"/>
        <w:ind w:right="1436"/>
        <w:jc w:val="both"/>
      </w:pPr>
      <w:r>
        <w:rPr/>
        <w:t>The current plan suggests that by year 3, the government should provide a tax-free window for import duties so hotels could engage in upkeep activities of the facilities. By year 1, the government should announce this import duty-free opportunity as earmarked for the upkeep of hotels; and, it should broadcast that the tax window will repeat every four years. The tax window should generate in year 3 at least US$30 million in investment in upkeep of the</w:t>
      </w:r>
      <w:r>
        <w:rPr>
          <w:spacing w:val="-15"/>
        </w:rPr>
        <w:t> </w:t>
      </w:r>
      <w:r>
        <w:rPr/>
        <w:t>facilities.</w:t>
      </w:r>
    </w:p>
    <w:p>
      <w:pPr>
        <w:pStyle w:val="BodyText"/>
        <w:spacing w:line="259" w:lineRule="auto" w:before="159"/>
        <w:ind w:right="1441"/>
        <w:jc w:val="both"/>
      </w:pPr>
      <w:r>
        <w:rPr/>
        <w:t>The</w:t>
      </w:r>
      <w:r>
        <w:rPr>
          <w:spacing w:val="-12"/>
        </w:rPr>
        <w:t> </w:t>
      </w:r>
      <w:r>
        <w:rPr/>
        <w:t>destination</w:t>
      </w:r>
      <w:r>
        <w:rPr>
          <w:spacing w:val="-11"/>
        </w:rPr>
        <w:t> </w:t>
      </w:r>
      <w:r>
        <w:rPr/>
        <w:t>should</w:t>
      </w:r>
      <w:r>
        <w:rPr>
          <w:spacing w:val="-11"/>
        </w:rPr>
        <w:t> </w:t>
      </w:r>
      <w:r>
        <w:rPr/>
        <w:t>also</w:t>
      </w:r>
      <w:r>
        <w:rPr>
          <w:spacing w:val="-11"/>
        </w:rPr>
        <w:t> </w:t>
      </w:r>
      <w:r>
        <w:rPr/>
        <w:t>consider</w:t>
      </w:r>
      <w:r>
        <w:rPr>
          <w:spacing w:val="-12"/>
        </w:rPr>
        <w:t> </w:t>
      </w:r>
      <w:r>
        <w:rPr/>
        <w:t>the</w:t>
      </w:r>
      <w:r>
        <w:rPr>
          <w:spacing w:val="-12"/>
        </w:rPr>
        <w:t> </w:t>
      </w:r>
      <w:r>
        <w:rPr/>
        <w:t>proper</w:t>
      </w:r>
      <w:r>
        <w:rPr>
          <w:spacing w:val="-12"/>
        </w:rPr>
        <w:t> </w:t>
      </w:r>
      <w:r>
        <w:rPr/>
        <w:t>accommodation</w:t>
      </w:r>
      <w:r>
        <w:rPr>
          <w:spacing w:val="-11"/>
        </w:rPr>
        <w:t> </w:t>
      </w:r>
      <w:r>
        <w:rPr/>
        <w:t>mix</w:t>
      </w:r>
      <w:r>
        <w:rPr>
          <w:spacing w:val="-12"/>
        </w:rPr>
        <w:t> </w:t>
      </w:r>
      <w:r>
        <w:rPr/>
        <w:t>in</w:t>
      </w:r>
      <w:r>
        <w:rPr>
          <w:spacing w:val="-11"/>
        </w:rPr>
        <w:t> </w:t>
      </w:r>
      <w:r>
        <w:rPr/>
        <w:t>order</w:t>
      </w:r>
      <w:r>
        <w:rPr>
          <w:spacing w:val="-12"/>
        </w:rPr>
        <w:t> </w:t>
      </w:r>
      <w:r>
        <w:rPr/>
        <w:t>to</w:t>
      </w:r>
      <w:r>
        <w:rPr>
          <w:spacing w:val="-9"/>
        </w:rPr>
        <w:t> </w:t>
      </w:r>
      <w:r>
        <w:rPr/>
        <w:t>mitigate</w:t>
      </w:r>
      <w:r>
        <w:rPr>
          <w:spacing w:val="-12"/>
        </w:rPr>
        <w:t> </w:t>
      </w:r>
      <w:r>
        <w:rPr/>
        <w:t>the</w:t>
      </w:r>
      <w:r>
        <w:rPr>
          <w:spacing w:val="-12"/>
        </w:rPr>
        <w:t> </w:t>
      </w:r>
      <w:r>
        <w:rPr/>
        <w:t>high</w:t>
      </w:r>
      <w:r>
        <w:rPr>
          <w:spacing w:val="-11"/>
        </w:rPr>
        <w:t> </w:t>
      </w:r>
      <w:r>
        <w:rPr/>
        <w:t>volatility</w:t>
      </w:r>
      <w:r>
        <w:rPr>
          <w:spacing w:val="-10"/>
        </w:rPr>
        <w:t> </w:t>
      </w:r>
      <w:r>
        <w:rPr/>
        <w:t>of</w:t>
      </w:r>
      <w:r>
        <w:rPr>
          <w:spacing w:val="-12"/>
        </w:rPr>
        <w:t> </w:t>
      </w:r>
      <w:r>
        <w:rPr/>
        <w:t>arrivals </w:t>
      </w:r>
      <w:r>
        <w:rPr/>
        <w:t>and spending. Diversifying the hotel portfolio by including timeshare properties can help mitigate volatility and would</w:t>
      </w:r>
      <w:r>
        <w:rPr>
          <w:spacing w:val="-4"/>
        </w:rPr>
        <w:t> </w:t>
      </w:r>
      <w:r>
        <w:rPr/>
        <w:t>complement</w:t>
      </w:r>
      <w:r>
        <w:rPr>
          <w:spacing w:val="-4"/>
        </w:rPr>
        <w:t> </w:t>
      </w:r>
      <w:r>
        <w:rPr/>
        <w:t>the</w:t>
      </w:r>
      <w:r>
        <w:rPr>
          <w:spacing w:val="-5"/>
        </w:rPr>
        <w:t> </w:t>
      </w:r>
      <w:r>
        <w:rPr/>
        <w:t>diversification</w:t>
      </w:r>
      <w:r>
        <w:rPr>
          <w:spacing w:val="-4"/>
        </w:rPr>
        <w:t> </w:t>
      </w:r>
      <w:r>
        <w:rPr/>
        <w:t>strategy</w:t>
      </w:r>
      <w:r>
        <w:rPr>
          <w:spacing w:val="-4"/>
        </w:rPr>
        <w:t> </w:t>
      </w:r>
      <w:r>
        <w:rPr/>
        <w:t>towards</w:t>
      </w:r>
      <w:r>
        <w:rPr>
          <w:spacing w:val="-6"/>
        </w:rPr>
        <w:t> </w:t>
      </w:r>
      <w:r>
        <w:rPr/>
        <w:t>the</w:t>
      </w:r>
      <w:r>
        <w:rPr>
          <w:spacing w:val="-3"/>
        </w:rPr>
        <w:t> </w:t>
      </w:r>
      <w:r>
        <w:rPr/>
        <w:t>USA</w:t>
      </w:r>
      <w:r>
        <w:rPr>
          <w:spacing w:val="-5"/>
        </w:rPr>
        <w:t> </w:t>
      </w:r>
      <w:r>
        <w:rPr/>
        <w:t>market.</w:t>
      </w:r>
    </w:p>
    <w:p>
      <w:pPr>
        <w:pStyle w:val="BodyText"/>
        <w:spacing w:line="240" w:lineRule="auto" w:before="158"/>
        <w:ind w:right="0"/>
        <w:jc w:val="both"/>
      </w:pPr>
      <w:r>
        <w:rPr/>
        <w:t>The specific actions are as</w:t>
      </w:r>
      <w:r>
        <w:rPr>
          <w:spacing w:val="-19"/>
        </w:rPr>
        <w:t> </w:t>
      </w:r>
      <w:r>
        <w:rPr/>
        <w:t>follows:</w:t>
      </w:r>
    </w:p>
    <w:p>
      <w:pPr>
        <w:spacing w:line="240" w:lineRule="auto" w:before="10"/>
        <w:ind w:right="0"/>
        <w:rPr>
          <w:rFonts w:ascii="Calibri" w:hAnsi="Calibri" w:cs="Calibri" w:eastAsia="Calibri" w:hint="default"/>
          <w:sz w:val="14"/>
          <w:szCs w:val="14"/>
        </w:rPr>
      </w:pPr>
    </w:p>
    <w:p>
      <w:pPr>
        <w:pStyle w:val="ListParagraph"/>
        <w:numPr>
          <w:ilvl w:val="0"/>
          <w:numId w:val="21"/>
        </w:numPr>
        <w:tabs>
          <w:tab w:pos="2161" w:val="left" w:leader="none"/>
        </w:tabs>
        <w:spacing w:line="357" w:lineRule="auto" w:before="0" w:after="0"/>
        <w:ind w:left="2160" w:right="1856" w:hanging="360"/>
        <w:jc w:val="left"/>
        <w:rPr>
          <w:rFonts w:ascii="Calibri" w:hAnsi="Calibri" w:cs="Calibri" w:eastAsia="Calibri" w:hint="default"/>
          <w:sz w:val="20"/>
          <w:szCs w:val="20"/>
        </w:rPr>
      </w:pPr>
      <w:r>
        <w:rPr>
          <w:rFonts w:ascii="Calibri"/>
          <w:sz w:val="20"/>
        </w:rPr>
        <w:t>Create a tourism development fund nurtured mainly by room taxes collected from short-term rentals (apartments)</w:t>
      </w:r>
    </w:p>
    <w:p>
      <w:pPr>
        <w:pStyle w:val="ListParagraph"/>
        <w:numPr>
          <w:ilvl w:val="0"/>
          <w:numId w:val="21"/>
        </w:numPr>
        <w:tabs>
          <w:tab w:pos="2161" w:val="left" w:leader="none"/>
        </w:tabs>
        <w:spacing w:line="240" w:lineRule="auto" w:before="3" w:after="0"/>
        <w:ind w:left="2160" w:right="0" w:hanging="360"/>
        <w:jc w:val="left"/>
        <w:rPr>
          <w:rFonts w:ascii="Calibri" w:hAnsi="Calibri" w:cs="Calibri" w:eastAsia="Calibri" w:hint="default"/>
          <w:sz w:val="20"/>
          <w:szCs w:val="20"/>
        </w:rPr>
      </w:pPr>
      <w:r>
        <w:rPr>
          <w:rFonts w:ascii="Calibri"/>
          <w:sz w:val="20"/>
        </w:rPr>
        <w:t>Establish</w:t>
      </w:r>
      <w:r>
        <w:rPr>
          <w:rFonts w:ascii="Calibri"/>
          <w:spacing w:val="-3"/>
          <w:sz w:val="20"/>
        </w:rPr>
        <w:t> </w:t>
      </w:r>
      <w:r>
        <w:rPr>
          <w:rFonts w:ascii="Calibri"/>
          <w:sz w:val="20"/>
        </w:rPr>
        <w:t>a</w:t>
      </w:r>
      <w:r>
        <w:rPr>
          <w:rFonts w:ascii="Calibri"/>
          <w:spacing w:val="-3"/>
          <w:sz w:val="20"/>
        </w:rPr>
        <w:t> </w:t>
      </w:r>
      <w:r>
        <w:rPr>
          <w:rFonts w:ascii="Calibri"/>
          <w:sz w:val="20"/>
        </w:rPr>
        <w:t>tax</w:t>
      </w:r>
      <w:r>
        <w:rPr>
          <w:rFonts w:ascii="Calibri"/>
          <w:spacing w:val="-3"/>
          <w:sz w:val="20"/>
        </w:rPr>
        <w:t> </w:t>
      </w:r>
      <w:r>
        <w:rPr>
          <w:rFonts w:ascii="Calibri"/>
          <w:sz w:val="20"/>
        </w:rPr>
        <w:t>free</w:t>
      </w:r>
      <w:r>
        <w:rPr>
          <w:rFonts w:ascii="Calibri"/>
          <w:spacing w:val="-2"/>
          <w:sz w:val="20"/>
        </w:rPr>
        <w:t> </w:t>
      </w:r>
      <w:r>
        <w:rPr>
          <w:rFonts w:ascii="Calibri"/>
          <w:sz w:val="20"/>
        </w:rPr>
        <w:t>window</w:t>
      </w:r>
      <w:r>
        <w:rPr>
          <w:rFonts w:ascii="Calibri"/>
          <w:spacing w:val="-4"/>
          <w:sz w:val="20"/>
        </w:rPr>
        <w:t> </w:t>
      </w:r>
      <w:r>
        <w:rPr>
          <w:rFonts w:ascii="Calibri"/>
          <w:sz w:val="20"/>
        </w:rPr>
        <w:t>to</w:t>
      </w:r>
      <w:r>
        <w:rPr>
          <w:rFonts w:ascii="Calibri"/>
          <w:spacing w:val="-1"/>
          <w:sz w:val="20"/>
        </w:rPr>
        <w:t> </w:t>
      </w:r>
      <w:r>
        <w:rPr>
          <w:rFonts w:ascii="Calibri"/>
          <w:sz w:val="20"/>
        </w:rPr>
        <w:t>promote</w:t>
      </w:r>
      <w:r>
        <w:rPr>
          <w:rFonts w:ascii="Calibri"/>
          <w:spacing w:val="-4"/>
          <w:sz w:val="20"/>
        </w:rPr>
        <w:t> </w:t>
      </w:r>
      <w:r>
        <w:rPr>
          <w:rFonts w:ascii="Calibri"/>
          <w:sz w:val="20"/>
        </w:rPr>
        <w:t>the</w:t>
      </w:r>
      <w:r>
        <w:rPr>
          <w:rFonts w:ascii="Calibri"/>
          <w:spacing w:val="-4"/>
          <w:sz w:val="20"/>
        </w:rPr>
        <w:t> </w:t>
      </w:r>
      <w:r>
        <w:rPr>
          <w:rFonts w:ascii="Calibri"/>
          <w:sz w:val="20"/>
        </w:rPr>
        <w:t>refurbishing</w:t>
      </w:r>
      <w:r>
        <w:rPr>
          <w:rFonts w:ascii="Calibri"/>
          <w:spacing w:val="-4"/>
          <w:sz w:val="20"/>
        </w:rPr>
        <w:t> </w:t>
      </w:r>
      <w:r>
        <w:rPr>
          <w:rFonts w:ascii="Calibri"/>
          <w:sz w:val="20"/>
        </w:rPr>
        <w:t>of</w:t>
      </w:r>
      <w:r>
        <w:rPr>
          <w:rFonts w:ascii="Calibri"/>
          <w:spacing w:val="-5"/>
          <w:sz w:val="20"/>
        </w:rPr>
        <w:t> </w:t>
      </w:r>
      <w:r>
        <w:rPr>
          <w:rFonts w:ascii="Calibri"/>
          <w:sz w:val="20"/>
        </w:rPr>
        <w:t>current</w:t>
      </w:r>
      <w:r>
        <w:rPr>
          <w:rFonts w:ascii="Calibri"/>
          <w:spacing w:val="-3"/>
          <w:sz w:val="20"/>
        </w:rPr>
        <w:t> </w:t>
      </w:r>
      <w:r>
        <w:rPr>
          <w:rFonts w:ascii="Calibri"/>
          <w:sz w:val="20"/>
        </w:rPr>
        <w:t>hotels</w:t>
      </w:r>
    </w:p>
    <w:p>
      <w:pPr>
        <w:pStyle w:val="ListParagraph"/>
        <w:numPr>
          <w:ilvl w:val="0"/>
          <w:numId w:val="21"/>
        </w:numPr>
        <w:tabs>
          <w:tab w:pos="2161" w:val="left" w:leader="none"/>
        </w:tabs>
        <w:spacing w:line="240" w:lineRule="auto" w:before="123" w:after="0"/>
        <w:ind w:left="2160" w:right="0" w:hanging="360"/>
        <w:jc w:val="left"/>
        <w:rPr>
          <w:rFonts w:ascii="Calibri" w:hAnsi="Calibri" w:cs="Calibri" w:eastAsia="Calibri" w:hint="default"/>
          <w:sz w:val="20"/>
          <w:szCs w:val="20"/>
        </w:rPr>
      </w:pPr>
      <w:r>
        <w:rPr>
          <w:rFonts w:ascii="Calibri"/>
          <w:sz w:val="20"/>
        </w:rPr>
        <w:t>Establish the UNESCO ascribed heritage area as a duty free</w:t>
      </w:r>
      <w:r>
        <w:rPr>
          <w:rFonts w:ascii="Calibri"/>
          <w:spacing w:val="-23"/>
          <w:sz w:val="20"/>
        </w:rPr>
        <w:t> </w:t>
      </w:r>
      <w:r>
        <w:rPr>
          <w:rFonts w:ascii="Calibri"/>
          <w:sz w:val="20"/>
        </w:rPr>
        <w:t>area</w:t>
      </w:r>
    </w:p>
    <w:p>
      <w:pPr>
        <w:pStyle w:val="ListParagraph"/>
        <w:numPr>
          <w:ilvl w:val="0"/>
          <w:numId w:val="21"/>
        </w:numPr>
        <w:tabs>
          <w:tab w:pos="2161" w:val="left" w:leader="none"/>
        </w:tabs>
        <w:spacing w:line="240" w:lineRule="auto" w:before="120" w:after="0"/>
        <w:ind w:left="2160" w:right="0" w:hanging="360"/>
        <w:jc w:val="left"/>
        <w:rPr>
          <w:rFonts w:ascii="Calibri" w:hAnsi="Calibri" w:cs="Calibri" w:eastAsia="Calibri" w:hint="default"/>
          <w:sz w:val="20"/>
          <w:szCs w:val="20"/>
        </w:rPr>
      </w:pPr>
      <w:r>
        <w:rPr>
          <w:rFonts w:ascii="Calibri"/>
          <w:sz w:val="20"/>
        </w:rPr>
        <w:t>Increase airlift from the</w:t>
      </w:r>
      <w:r>
        <w:rPr>
          <w:rFonts w:ascii="Calibri"/>
          <w:spacing w:val="-12"/>
          <w:sz w:val="20"/>
        </w:rPr>
        <w:t> </w:t>
      </w:r>
      <w:r>
        <w:rPr>
          <w:rFonts w:ascii="Calibri"/>
          <w:sz w:val="20"/>
        </w:rPr>
        <w:t>USA</w:t>
      </w:r>
    </w:p>
    <w:p>
      <w:pPr>
        <w:pStyle w:val="ListParagraph"/>
        <w:numPr>
          <w:ilvl w:val="0"/>
          <w:numId w:val="21"/>
        </w:numPr>
        <w:tabs>
          <w:tab w:pos="2161" w:val="left" w:leader="none"/>
        </w:tabs>
        <w:spacing w:line="240" w:lineRule="auto" w:before="123" w:after="0"/>
        <w:ind w:left="2160" w:right="0" w:hanging="360"/>
        <w:jc w:val="left"/>
        <w:rPr>
          <w:rFonts w:ascii="Calibri" w:hAnsi="Calibri" w:cs="Calibri" w:eastAsia="Calibri" w:hint="default"/>
          <w:sz w:val="20"/>
          <w:szCs w:val="20"/>
        </w:rPr>
      </w:pPr>
      <w:r>
        <w:rPr>
          <w:rFonts w:ascii="Calibri"/>
          <w:sz w:val="20"/>
        </w:rPr>
        <w:t>Increase</w:t>
      </w:r>
      <w:r>
        <w:rPr>
          <w:rFonts w:ascii="Calibri"/>
          <w:spacing w:val="-8"/>
          <w:sz w:val="20"/>
        </w:rPr>
        <w:t> </w:t>
      </w:r>
      <w:r>
        <w:rPr>
          <w:rFonts w:ascii="Calibri"/>
          <w:sz w:val="20"/>
        </w:rPr>
        <w:t>RevPAR</w:t>
      </w:r>
    </w:p>
    <w:p>
      <w:pPr>
        <w:pStyle w:val="ListParagraph"/>
        <w:numPr>
          <w:ilvl w:val="0"/>
          <w:numId w:val="21"/>
        </w:numPr>
        <w:tabs>
          <w:tab w:pos="2161" w:val="left" w:leader="none"/>
        </w:tabs>
        <w:spacing w:line="240" w:lineRule="auto" w:before="121" w:after="0"/>
        <w:ind w:left="2160" w:right="0" w:hanging="360"/>
        <w:jc w:val="left"/>
        <w:rPr>
          <w:rFonts w:ascii="Calibri" w:hAnsi="Calibri" w:cs="Calibri" w:eastAsia="Calibri" w:hint="default"/>
          <w:sz w:val="20"/>
          <w:szCs w:val="20"/>
        </w:rPr>
      </w:pPr>
      <w:r>
        <w:rPr>
          <w:rFonts w:ascii="Calibri"/>
          <w:sz w:val="20"/>
        </w:rPr>
        <w:t>Certify 5000</w:t>
      </w:r>
      <w:r>
        <w:rPr>
          <w:rFonts w:ascii="Calibri"/>
          <w:spacing w:val="-10"/>
          <w:sz w:val="20"/>
        </w:rPr>
        <w:t> </w:t>
      </w:r>
      <w:r>
        <w:rPr>
          <w:rFonts w:ascii="Calibri"/>
          <w:sz w:val="20"/>
        </w:rPr>
        <w:t>employees</w:t>
      </w:r>
    </w:p>
    <w:p>
      <w:pPr>
        <w:pStyle w:val="ListParagraph"/>
        <w:numPr>
          <w:ilvl w:val="0"/>
          <w:numId w:val="21"/>
        </w:numPr>
        <w:tabs>
          <w:tab w:pos="2161" w:val="left" w:leader="none"/>
        </w:tabs>
        <w:spacing w:line="240" w:lineRule="auto" w:before="123" w:after="0"/>
        <w:ind w:left="2160" w:right="0" w:hanging="360"/>
        <w:jc w:val="left"/>
        <w:rPr>
          <w:rFonts w:ascii="Calibri" w:hAnsi="Calibri" w:cs="Calibri" w:eastAsia="Calibri" w:hint="default"/>
          <w:sz w:val="20"/>
          <w:szCs w:val="20"/>
        </w:rPr>
      </w:pPr>
      <w:r>
        <w:rPr>
          <w:rFonts w:ascii="Calibri"/>
          <w:sz w:val="20"/>
        </w:rPr>
        <w:t>Realize a cruise conversion rate of</w:t>
      </w:r>
      <w:r>
        <w:rPr>
          <w:rFonts w:ascii="Calibri"/>
          <w:spacing w:val="-15"/>
          <w:sz w:val="20"/>
        </w:rPr>
        <w:t> </w:t>
      </w:r>
      <w:r>
        <w:rPr>
          <w:rFonts w:ascii="Calibri"/>
          <w:sz w:val="20"/>
        </w:rPr>
        <w:t>5%</w:t>
      </w:r>
    </w:p>
    <w:p>
      <w:pPr>
        <w:pStyle w:val="ListParagraph"/>
        <w:numPr>
          <w:ilvl w:val="0"/>
          <w:numId w:val="21"/>
        </w:numPr>
        <w:tabs>
          <w:tab w:pos="2161" w:val="left" w:leader="none"/>
        </w:tabs>
        <w:spacing w:line="240" w:lineRule="auto" w:before="120" w:after="0"/>
        <w:ind w:left="2160" w:right="0" w:hanging="360"/>
        <w:jc w:val="left"/>
        <w:rPr>
          <w:rFonts w:ascii="Calibri" w:hAnsi="Calibri" w:cs="Calibri" w:eastAsia="Calibri" w:hint="default"/>
          <w:sz w:val="20"/>
          <w:szCs w:val="20"/>
        </w:rPr>
      </w:pPr>
      <w:r>
        <w:rPr>
          <w:rFonts w:ascii="Calibri"/>
          <w:sz w:val="20"/>
        </w:rPr>
        <w:t>Increase cruise visitation in the summer by</w:t>
      </w:r>
      <w:r>
        <w:rPr>
          <w:rFonts w:ascii="Calibri"/>
          <w:spacing w:val="-18"/>
          <w:sz w:val="20"/>
        </w:rPr>
        <w:t> </w:t>
      </w:r>
      <w:r>
        <w:rPr>
          <w:rFonts w:ascii="Calibri"/>
          <w:sz w:val="20"/>
        </w:rPr>
        <w:t>30%</w:t>
      </w:r>
    </w:p>
    <w:p>
      <w:pPr>
        <w:spacing w:line="240" w:lineRule="auto" w:before="3"/>
        <w:ind w:right="0"/>
        <w:rPr>
          <w:rFonts w:ascii="Calibri" w:hAnsi="Calibri" w:cs="Calibri" w:eastAsia="Calibri" w:hint="default"/>
          <w:sz w:val="23"/>
          <w:szCs w:val="23"/>
        </w:rPr>
      </w:pPr>
    </w:p>
    <w:p>
      <w:pPr>
        <w:pStyle w:val="BodyText"/>
        <w:spacing w:line="240" w:lineRule="auto"/>
        <w:ind w:right="0"/>
        <w:jc w:val="both"/>
      </w:pPr>
      <w:r>
        <w:rPr/>
        <w:t>The</w:t>
      </w:r>
      <w:r>
        <w:rPr>
          <w:spacing w:val="-4"/>
        </w:rPr>
        <w:t> </w:t>
      </w:r>
      <w:r>
        <w:rPr/>
        <w:t>objectives</w:t>
      </w:r>
      <w:r>
        <w:rPr>
          <w:spacing w:val="-3"/>
        </w:rPr>
        <w:t> </w:t>
      </w:r>
      <w:r>
        <w:rPr/>
        <w:t>and</w:t>
      </w:r>
      <w:r>
        <w:rPr>
          <w:spacing w:val="-3"/>
        </w:rPr>
        <w:t> </w:t>
      </w:r>
      <w:r>
        <w:rPr/>
        <w:t>implementation</w:t>
      </w:r>
      <w:r>
        <w:rPr>
          <w:spacing w:val="-3"/>
        </w:rPr>
        <w:t> </w:t>
      </w:r>
      <w:r>
        <w:rPr/>
        <w:t>cycles</w:t>
      </w:r>
      <w:r>
        <w:rPr>
          <w:spacing w:val="-2"/>
        </w:rPr>
        <w:t> </w:t>
      </w:r>
      <w:r>
        <w:rPr/>
        <w:t>of</w:t>
      </w:r>
      <w:r>
        <w:rPr>
          <w:spacing w:val="-5"/>
        </w:rPr>
        <w:t> </w:t>
      </w:r>
      <w:r>
        <w:rPr/>
        <w:t>the</w:t>
      </w:r>
      <w:r>
        <w:rPr>
          <w:spacing w:val="-4"/>
        </w:rPr>
        <w:t> </w:t>
      </w:r>
      <w:r>
        <w:rPr/>
        <w:t>five</w:t>
      </w:r>
      <w:r>
        <w:rPr>
          <w:spacing w:val="-4"/>
        </w:rPr>
        <w:t> </w:t>
      </w:r>
      <w:r>
        <w:rPr/>
        <w:t>year</w:t>
      </w:r>
      <w:r>
        <w:rPr>
          <w:spacing w:val="-3"/>
        </w:rPr>
        <w:t> </w:t>
      </w:r>
      <w:r>
        <w:rPr/>
        <w:t>plan</w:t>
      </w:r>
      <w:r>
        <w:rPr>
          <w:spacing w:val="-3"/>
        </w:rPr>
        <w:t> </w:t>
      </w:r>
      <w:r>
        <w:rPr/>
        <w:t>are</w:t>
      </w:r>
      <w:r>
        <w:rPr>
          <w:spacing w:val="-4"/>
        </w:rPr>
        <w:t> </w:t>
      </w:r>
      <w:r>
        <w:rPr/>
        <w:t>displayed</w:t>
      </w:r>
      <w:r>
        <w:rPr>
          <w:spacing w:val="1"/>
        </w:rPr>
        <w:t> </w:t>
      </w:r>
      <w:r>
        <w:rPr/>
        <w:t>in</w:t>
      </w:r>
      <w:r>
        <w:rPr>
          <w:spacing w:val="-3"/>
        </w:rPr>
        <w:t> </w:t>
      </w:r>
      <w:r>
        <w:rPr/>
        <w:t>Figure</w:t>
      </w:r>
      <w:r>
        <w:rPr>
          <w:spacing w:val="-4"/>
        </w:rPr>
        <w:t> </w:t>
      </w:r>
      <w:r>
        <w:rPr/>
        <w:t>35.</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2" w:after="0"/>
        <w:ind w:right="0"/>
        <w:rPr>
          <w:rFonts w:ascii="Calibri" w:hAnsi="Calibri" w:cs="Calibri" w:eastAsia="Calibri" w:hint="default"/>
          <w:sz w:val="29"/>
          <w:szCs w:val="29"/>
        </w:rPr>
      </w:pPr>
    </w:p>
    <w:p>
      <w:pPr>
        <w:spacing w:line="20" w:lineRule="exact"/>
        <w:ind w:left="1434" w:right="0" w:firstLine="0"/>
        <w:rPr>
          <w:rFonts w:ascii="Calibri" w:hAnsi="Calibri" w:cs="Calibri" w:eastAsia="Calibri" w:hint="default"/>
          <w:sz w:val="2"/>
          <w:szCs w:val="2"/>
        </w:rPr>
      </w:pPr>
      <w:r>
        <w:rPr>
          <w:rFonts w:ascii="Calibri" w:hAnsi="Calibri" w:cs="Calibri" w:eastAsia="Calibri" w:hint="default"/>
          <w:sz w:val="2"/>
          <w:szCs w:val="2"/>
        </w:rPr>
        <w:pict>
          <v:group style="width:144.65pt;height:.6pt;mso-position-horizontal-relative:char;mso-position-vertical-relative:line" coordorigin="0,0" coordsize="2893,12">
            <v:group style="position:absolute;left:6;top:6;width:2881;height:2" coordorigin="6,6" coordsize="2881,2">
              <v:shape style="position:absolute;left:6;top:6;width:2881;height:2" coordorigin="6,6" coordsize="2881,0" path="m6,6l2886,6e" filled="false" stroked="true" strokeweight=".60004pt" strokecolor="#000000">
                <v:path arrowok="t"/>
              </v:shape>
            </v:group>
          </v:group>
        </w:pict>
      </w:r>
      <w:r>
        <w:rPr>
          <w:rFonts w:ascii="Calibri" w:hAnsi="Calibri" w:cs="Calibri" w:eastAsia="Calibri" w:hint="default"/>
          <w:sz w:val="2"/>
          <w:szCs w:val="2"/>
        </w:rPr>
      </w:r>
    </w:p>
    <w:p>
      <w:pPr>
        <w:spacing w:line="242" w:lineRule="auto" w:before="91"/>
        <w:ind w:left="1440" w:right="1545" w:firstLine="0"/>
        <w:jc w:val="left"/>
        <w:rPr>
          <w:rFonts w:ascii="Calibri" w:hAnsi="Calibri" w:cs="Calibri" w:eastAsia="Calibri" w:hint="default"/>
          <w:sz w:val="16"/>
          <w:szCs w:val="16"/>
        </w:rPr>
      </w:pPr>
      <w:r>
        <w:rPr>
          <w:rFonts w:ascii="Calibri" w:hAnsi="Calibri" w:cs="Calibri" w:eastAsia="Calibri" w:hint="default"/>
          <w:position w:val="5"/>
          <w:sz w:val="12"/>
          <w:szCs w:val="12"/>
        </w:rPr>
        <w:t>83 </w:t>
      </w:r>
      <w:r>
        <w:rPr>
          <w:rFonts w:ascii="Calibri" w:hAnsi="Calibri" w:cs="Calibri" w:eastAsia="Calibri" w:hint="default"/>
          <w:sz w:val="16"/>
          <w:szCs w:val="16"/>
        </w:rPr>
        <w:t>For a discussion on the purpose of taken vacations, see Lehto, X., Choi, S., Lin, Y. &amp; MacDermid, S. (2009). Vacation and family functioning. </w:t>
      </w:r>
      <w:r>
        <w:rPr>
          <w:rFonts w:ascii="Calibri" w:hAnsi="Calibri" w:cs="Calibri" w:eastAsia="Calibri" w:hint="default"/>
          <w:sz w:val="16"/>
          <w:szCs w:val="16"/>
        </w:rPr>
        <w:t>Annals</w:t>
      </w:r>
      <w:r>
        <w:rPr>
          <w:rFonts w:ascii="Calibri" w:hAnsi="Calibri" w:cs="Calibri" w:eastAsia="Calibri" w:hint="default"/>
          <w:spacing w:val="-3"/>
          <w:sz w:val="16"/>
          <w:szCs w:val="16"/>
        </w:rPr>
        <w:t> </w:t>
      </w:r>
      <w:r>
        <w:rPr>
          <w:rFonts w:ascii="Calibri" w:hAnsi="Calibri" w:cs="Calibri" w:eastAsia="Calibri" w:hint="default"/>
          <w:sz w:val="16"/>
          <w:szCs w:val="16"/>
        </w:rPr>
        <w:t>of</w:t>
      </w:r>
      <w:r>
        <w:rPr>
          <w:rFonts w:ascii="Calibri" w:hAnsi="Calibri" w:cs="Calibri" w:eastAsia="Calibri" w:hint="default"/>
          <w:spacing w:val="-3"/>
          <w:sz w:val="16"/>
          <w:szCs w:val="16"/>
        </w:rPr>
        <w:t> </w:t>
      </w:r>
      <w:r>
        <w:rPr>
          <w:rFonts w:ascii="Calibri" w:hAnsi="Calibri" w:cs="Calibri" w:eastAsia="Calibri" w:hint="default"/>
          <w:sz w:val="16"/>
          <w:szCs w:val="16"/>
        </w:rPr>
        <w:t>Tourism</w:t>
      </w:r>
      <w:r>
        <w:rPr>
          <w:rFonts w:ascii="Calibri" w:hAnsi="Calibri" w:cs="Calibri" w:eastAsia="Calibri" w:hint="default"/>
          <w:spacing w:val="-2"/>
          <w:sz w:val="16"/>
          <w:szCs w:val="16"/>
        </w:rPr>
        <w:t> </w:t>
      </w:r>
      <w:r>
        <w:rPr>
          <w:rFonts w:ascii="Calibri" w:hAnsi="Calibri" w:cs="Calibri" w:eastAsia="Calibri" w:hint="default"/>
          <w:sz w:val="16"/>
          <w:szCs w:val="16"/>
        </w:rPr>
        <w:t>Research,</w:t>
      </w:r>
      <w:r>
        <w:rPr>
          <w:rFonts w:ascii="Calibri" w:hAnsi="Calibri" w:cs="Calibri" w:eastAsia="Calibri" w:hint="default"/>
          <w:spacing w:val="-2"/>
          <w:sz w:val="16"/>
          <w:szCs w:val="16"/>
        </w:rPr>
        <w:t> </w:t>
      </w:r>
      <w:r>
        <w:rPr>
          <w:rFonts w:ascii="Calibri" w:hAnsi="Calibri" w:cs="Calibri" w:eastAsia="Calibri" w:hint="default"/>
          <w:sz w:val="16"/>
          <w:szCs w:val="16"/>
        </w:rPr>
        <w:t>36</w:t>
      </w:r>
      <w:r>
        <w:rPr>
          <w:rFonts w:ascii="Calibri" w:hAnsi="Calibri" w:cs="Calibri" w:eastAsia="Calibri" w:hint="default"/>
          <w:spacing w:val="-2"/>
          <w:sz w:val="16"/>
          <w:szCs w:val="16"/>
        </w:rPr>
        <w:t> </w:t>
      </w:r>
      <w:r>
        <w:rPr>
          <w:rFonts w:ascii="Calibri" w:hAnsi="Calibri" w:cs="Calibri" w:eastAsia="Calibri" w:hint="default"/>
          <w:sz w:val="16"/>
          <w:szCs w:val="16"/>
        </w:rPr>
        <w:t>(3),</w:t>
      </w:r>
      <w:r>
        <w:rPr>
          <w:rFonts w:ascii="Calibri" w:hAnsi="Calibri" w:cs="Calibri" w:eastAsia="Calibri" w:hint="default"/>
          <w:spacing w:val="-2"/>
          <w:sz w:val="16"/>
          <w:szCs w:val="16"/>
        </w:rPr>
        <w:t> </w:t>
      </w:r>
      <w:r>
        <w:rPr>
          <w:rFonts w:ascii="Calibri" w:hAnsi="Calibri" w:cs="Calibri" w:eastAsia="Calibri" w:hint="default"/>
          <w:sz w:val="16"/>
          <w:szCs w:val="16"/>
        </w:rPr>
        <w:t>459</w:t>
      </w:r>
      <w:r>
        <w:rPr>
          <w:rFonts w:ascii="Calibri" w:hAnsi="Calibri" w:cs="Calibri" w:eastAsia="Calibri" w:hint="default"/>
          <w:sz w:val="16"/>
          <w:szCs w:val="16"/>
        </w:rPr>
        <w:t>–</w:t>
      </w:r>
      <w:r>
        <w:rPr>
          <w:rFonts w:ascii="Calibri" w:hAnsi="Calibri" w:cs="Calibri" w:eastAsia="Calibri" w:hint="default"/>
          <w:sz w:val="16"/>
          <w:szCs w:val="16"/>
        </w:rPr>
        <w:t>479.</w:t>
      </w:r>
      <w:r>
        <w:rPr>
          <w:rFonts w:ascii="Calibri" w:hAnsi="Calibri" w:cs="Calibri" w:eastAsia="Calibri" w:hint="default"/>
          <w:spacing w:val="-2"/>
          <w:sz w:val="16"/>
          <w:szCs w:val="16"/>
        </w:rPr>
        <w:t> </w:t>
      </w:r>
      <w:r>
        <w:rPr>
          <w:rFonts w:ascii="Calibri" w:hAnsi="Calibri" w:cs="Calibri" w:eastAsia="Calibri" w:hint="default"/>
          <w:sz w:val="16"/>
          <w:szCs w:val="16"/>
        </w:rPr>
        <w:t>A</w:t>
      </w:r>
      <w:r>
        <w:rPr>
          <w:rFonts w:ascii="Calibri" w:hAnsi="Calibri" w:cs="Calibri" w:eastAsia="Calibri" w:hint="default"/>
          <w:spacing w:val="-2"/>
          <w:sz w:val="16"/>
          <w:szCs w:val="16"/>
        </w:rPr>
        <w:t> </w:t>
      </w:r>
      <w:r>
        <w:rPr>
          <w:rFonts w:ascii="Calibri" w:hAnsi="Calibri" w:cs="Calibri" w:eastAsia="Calibri" w:hint="default"/>
          <w:sz w:val="16"/>
          <w:szCs w:val="16"/>
        </w:rPr>
        <w:t>recent</w:t>
      </w:r>
      <w:r>
        <w:rPr>
          <w:rFonts w:ascii="Calibri" w:hAnsi="Calibri" w:cs="Calibri" w:eastAsia="Calibri" w:hint="default"/>
          <w:spacing w:val="-4"/>
          <w:sz w:val="16"/>
          <w:szCs w:val="16"/>
        </w:rPr>
        <w:t> </w:t>
      </w:r>
      <w:r>
        <w:rPr>
          <w:rFonts w:ascii="Calibri" w:hAnsi="Calibri" w:cs="Calibri" w:eastAsia="Calibri" w:hint="default"/>
          <w:sz w:val="16"/>
          <w:szCs w:val="16"/>
        </w:rPr>
        <w:t>AAA</w:t>
      </w:r>
      <w:r>
        <w:rPr>
          <w:rFonts w:ascii="Calibri" w:hAnsi="Calibri" w:cs="Calibri" w:eastAsia="Calibri" w:hint="default"/>
          <w:spacing w:val="-2"/>
          <w:sz w:val="16"/>
          <w:szCs w:val="16"/>
        </w:rPr>
        <w:t> </w:t>
      </w:r>
      <w:r>
        <w:rPr>
          <w:rFonts w:ascii="Calibri" w:hAnsi="Calibri" w:cs="Calibri" w:eastAsia="Calibri" w:hint="default"/>
          <w:sz w:val="16"/>
          <w:szCs w:val="16"/>
        </w:rPr>
        <w:t>survey</w:t>
      </w:r>
      <w:r>
        <w:rPr>
          <w:rFonts w:ascii="Calibri" w:hAnsi="Calibri" w:cs="Calibri" w:eastAsia="Calibri" w:hint="default"/>
          <w:spacing w:val="-3"/>
          <w:sz w:val="16"/>
          <w:szCs w:val="16"/>
        </w:rPr>
        <w:t> </w:t>
      </w:r>
      <w:r>
        <w:rPr>
          <w:rFonts w:ascii="Calibri" w:hAnsi="Calibri" w:cs="Calibri" w:eastAsia="Calibri" w:hint="default"/>
          <w:sz w:val="16"/>
          <w:szCs w:val="16"/>
        </w:rPr>
        <w:t>reported</w:t>
      </w:r>
      <w:r>
        <w:rPr>
          <w:rFonts w:ascii="Calibri" w:hAnsi="Calibri" w:cs="Calibri" w:eastAsia="Calibri" w:hint="default"/>
          <w:spacing w:val="-3"/>
          <w:sz w:val="16"/>
          <w:szCs w:val="16"/>
        </w:rPr>
        <w:t> </w:t>
      </w:r>
      <w:r>
        <w:rPr>
          <w:rFonts w:ascii="Calibri" w:hAnsi="Calibri" w:cs="Calibri" w:eastAsia="Calibri" w:hint="default"/>
          <w:sz w:val="16"/>
          <w:szCs w:val="16"/>
        </w:rPr>
        <w:t>that</w:t>
      </w:r>
      <w:r>
        <w:rPr>
          <w:rFonts w:ascii="Calibri" w:hAnsi="Calibri" w:cs="Calibri" w:eastAsia="Calibri" w:hint="default"/>
          <w:spacing w:val="-3"/>
          <w:sz w:val="16"/>
          <w:szCs w:val="16"/>
        </w:rPr>
        <w:t> </w:t>
      </w:r>
      <w:r>
        <w:rPr>
          <w:rFonts w:ascii="Calibri" w:hAnsi="Calibri" w:cs="Calibri" w:eastAsia="Calibri" w:hint="default"/>
          <w:sz w:val="16"/>
          <w:szCs w:val="16"/>
        </w:rPr>
        <w:t>the</w:t>
      </w:r>
      <w:r>
        <w:rPr>
          <w:rFonts w:ascii="Calibri" w:hAnsi="Calibri" w:cs="Calibri" w:eastAsia="Calibri" w:hint="default"/>
          <w:spacing w:val="-2"/>
          <w:sz w:val="16"/>
          <w:szCs w:val="16"/>
        </w:rPr>
        <w:t> </w:t>
      </w:r>
      <w:r>
        <w:rPr>
          <w:rFonts w:ascii="Calibri" w:hAnsi="Calibri" w:cs="Calibri" w:eastAsia="Calibri" w:hint="default"/>
          <w:sz w:val="16"/>
          <w:szCs w:val="16"/>
        </w:rPr>
        <w:t>two</w:t>
      </w:r>
      <w:r>
        <w:rPr>
          <w:rFonts w:ascii="Calibri" w:hAnsi="Calibri" w:cs="Calibri" w:eastAsia="Calibri" w:hint="default"/>
          <w:spacing w:val="-3"/>
          <w:sz w:val="16"/>
          <w:szCs w:val="16"/>
        </w:rPr>
        <w:t> </w:t>
      </w:r>
      <w:r>
        <w:rPr>
          <w:rFonts w:ascii="Calibri" w:hAnsi="Calibri" w:cs="Calibri" w:eastAsia="Calibri" w:hint="default"/>
          <w:sz w:val="16"/>
          <w:szCs w:val="16"/>
        </w:rPr>
        <w:t>most</w:t>
      </w:r>
      <w:r>
        <w:rPr>
          <w:rFonts w:ascii="Calibri" w:hAnsi="Calibri" w:cs="Calibri" w:eastAsia="Calibri" w:hint="default"/>
          <w:spacing w:val="-4"/>
          <w:sz w:val="16"/>
          <w:szCs w:val="16"/>
        </w:rPr>
        <w:t> </w:t>
      </w:r>
      <w:r>
        <w:rPr>
          <w:rFonts w:ascii="Calibri" w:hAnsi="Calibri" w:cs="Calibri" w:eastAsia="Calibri" w:hint="default"/>
          <w:sz w:val="16"/>
          <w:szCs w:val="16"/>
        </w:rPr>
        <w:t>important</w:t>
      </w:r>
      <w:r>
        <w:rPr>
          <w:rFonts w:ascii="Calibri" w:hAnsi="Calibri" w:cs="Calibri" w:eastAsia="Calibri" w:hint="default"/>
          <w:spacing w:val="-3"/>
          <w:sz w:val="16"/>
          <w:szCs w:val="16"/>
        </w:rPr>
        <w:t> </w:t>
      </w:r>
      <w:r>
        <w:rPr>
          <w:rFonts w:ascii="Calibri" w:hAnsi="Calibri" w:cs="Calibri" w:eastAsia="Calibri" w:hint="default"/>
          <w:sz w:val="16"/>
          <w:szCs w:val="16"/>
        </w:rPr>
        <w:t>drivers</w:t>
      </w:r>
      <w:r>
        <w:rPr>
          <w:rFonts w:ascii="Calibri" w:hAnsi="Calibri" w:cs="Calibri" w:eastAsia="Calibri" w:hint="default"/>
          <w:spacing w:val="-3"/>
          <w:sz w:val="16"/>
          <w:szCs w:val="16"/>
        </w:rPr>
        <w:t> </w:t>
      </w:r>
      <w:r>
        <w:rPr>
          <w:rFonts w:ascii="Calibri" w:hAnsi="Calibri" w:cs="Calibri" w:eastAsia="Calibri" w:hint="default"/>
          <w:sz w:val="16"/>
          <w:szCs w:val="16"/>
        </w:rPr>
        <w:t>of</w:t>
      </w:r>
      <w:r>
        <w:rPr>
          <w:rFonts w:ascii="Calibri" w:hAnsi="Calibri" w:cs="Calibri" w:eastAsia="Calibri" w:hint="default"/>
          <w:spacing w:val="-3"/>
          <w:sz w:val="16"/>
          <w:szCs w:val="16"/>
        </w:rPr>
        <w:t> </w:t>
      </w:r>
      <w:r>
        <w:rPr>
          <w:rFonts w:ascii="Calibri" w:hAnsi="Calibri" w:cs="Calibri" w:eastAsia="Calibri" w:hint="default"/>
          <w:sz w:val="16"/>
          <w:szCs w:val="16"/>
        </w:rPr>
        <w:t>American</w:t>
      </w:r>
      <w:r>
        <w:rPr>
          <w:rFonts w:ascii="Calibri" w:hAnsi="Calibri" w:cs="Calibri" w:eastAsia="Calibri" w:hint="default"/>
          <w:spacing w:val="-3"/>
          <w:sz w:val="16"/>
          <w:szCs w:val="16"/>
        </w:rPr>
        <w:t> </w:t>
      </w:r>
      <w:r>
        <w:rPr>
          <w:rFonts w:ascii="Calibri" w:hAnsi="Calibri" w:cs="Calibri" w:eastAsia="Calibri" w:hint="default"/>
          <w:sz w:val="16"/>
          <w:szCs w:val="16"/>
        </w:rPr>
        <w:t>tourists</w:t>
      </w:r>
      <w:r>
        <w:rPr>
          <w:rFonts w:ascii="Calibri" w:hAnsi="Calibri" w:cs="Calibri" w:eastAsia="Calibri" w:hint="default"/>
          <w:spacing w:val="-3"/>
          <w:sz w:val="16"/>
          <w:szCs w:val="16"/>
        </w:rPr>
        <w:t> </w:t>
      </w:r>
      <w:r>
        <w:rPr>
          <w:rFonts w:ascii="Calibri" w:hAnsi="Calibri" w:cs="Calibri" w:eastAsia="Calibri" w:hint="default"/>
          <w:sz w:val="16"/>
          <w:szCs w:val="16"/>
        </w:rPr>
        <w:t>to</w:t>
      </w:r>
      <w:r>
        <w:rPr>
          <w:rFonts w:ascii="Calibri" w:hAnsi="Calibri" w:cs="Calibri" w:eastAsia="Calibri" w:hint="default"/>
          <w:spacing w:val="-3"/>
          <w:sz w:val="16"/>
          <w:szCs w:val="16"/>
        </w:rPr>
        <w:t> </w:t>
      </w:r>
      <w:r>
        <w:rPr>
          <w:rFonts w:ascii="Calibri" w:hAnsi="Calibri" w:cs="Calibri" w:eastAsia="Calibri" w:hint="default"/>
          <w:sz w:val="16"/>
          <w:szCs w:val="16"/>
        </w:rPr>
        <w:t>travel </w:t>
      </w:r>
      <w:r>
        <w:rPr>
          <w:rFonts w:ascii="Calibri" w:hAnsi="Calibri" w:cs="Calibri" w:eastAsia="Calibri" w:hint="default"/>
          <w:sz w:val="16"/>
          <w:szCs w:val="16"/>
        </w:rPr>
        <w:t>in the summer is warm weather and</w:t>
      </w:r>
      <w:r>
        <w:rPr>
          <w:rFonts w:ascii="Calibri" w:hAnsi="Calibri" w:cs="Calibri" w:eastAsia="Calibri" w:hint="default"/>
          <w:spacing w:val="-21"/>
          <w:sz w:val="16"/>
          <w:szCs w:val="16"/>
        </w:rPr>
        <w:t> </w:t>
      </w:r>
      <w:r>
        <w:rPr>
          <w:rFonts w:ascii="Calibri" w:hAnsi="Calibri" w:cs="Calibri" w:eastAsia="Calibri" w:hint="default"/>
          <w:sz w:val="16"/>
          <w:szCs w:val="16"/>
        </w:rPr>
        <w:t>entertainment.</w:t>
      </w:r>
    </w:p>
    <w:p>
      <w:pPr>
        <w:spacing w:after="0" w:line="242" w:lineRule="auto"/>
        <w:jc w:val="left"/>
        <w:rPr>
          <w:rFonts w:ascii="Calibri" w:hAnsi="Calibri" w:cs="Calibri" w:eastAsia="Calibri" w:hint="default"/>
          <w:sz w:val="16"/>
          <w:szCs w:val="16"/>
        </w:rPr>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12" w:after="0"/>
        <w:ind w:right="0"/>
        <w:rPr>
          <w:rFonts w:ascii="Calibri" w:hAnsi="Calibri" w:cs="Calibri" w:eastAsia="Calibri" w:hint="default"/>
          <w:sz w:val="27"/>
          <w:szCs w:val="27"/>
        </w:rPr>
      </w:pPr>
    </w:p>
    <w:p>
      <w:pPr>
        <w:spacing w:line="240" w:lineRule="auto"/>
        <w:ind w:left="144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5694165" cy="6396228"/>
            <wp:effectExtent l="0" t="0" r="0" b="0"/>
            <wp:docPr id="119" name="image44.png" descr=""/>
            <wp:cNvGraphicFramePr>
              <a:graphicFrameLocks noChangeAspect="1"/>
            </wp:cNvGraphicFramePr>
            <a:graphic>
              <a:graphicData uri="http://schemas.openxmlformats.org/drawingml/2006/picture">
                <pic:pic>
                  <pic:nvPicPr>
                    <pic:cNvPr id="120" name="image44.png"/>
                    <pic:cNvPicPr/>
                  </pic:nvPicPr>
                  <pic:blipFill>
                    <a:blip r:embed="rId79" cstate="print"/>
                    <a:stretch>
                      <a:fillRect/>
                    </a:stretch>
                  </pic:blipFill>
                  <pic:spPr>
                    <a:xfrm>
                      <a:off x="0" y="0"/>
                      <a:ext cx="5694165" cy="6396228"/>
                    </a:xfrm>
                    <a:prstGeom prst="rect">
                      <a:avLst/>
                    </a:prstGeom>
                  </pic:spPr>
                </pic:pic>
              </a:graphicData>
            </a:graphic>
          </wp:inline>
        </w:drawing>
      </w:r>
      <w:r>
        <w:rPr>
          <w:rFonts w:ascii="Calibri" w:hAnsi="Calibri" w:cs="Calibri" w:eastAsia="Calibri" w:hint="default"/>
          <w:sz w:val="20"/>
          <w:szCs w:val="20"/>
        </w:rPr>
      </w:r>
    </w:p>
    <w:p>
      <w:pPr>
        <w:spacing w:line="240" w:lineRule="auto" w:before="7"/>
        <w:ind w:right="0"/>
        <w:rPr>
          <w:rFonts w:ascii="Calibri" w:hAnsi="Calibri" w:cs="Calibri" w:eastAsia="Calibri" w:hint="default"/>
          <w:sz w:val="10"/>
          <w:szCs w:val="10"/>
        </w:rPr>
      </w:pPr>
    </w:p>
    <w:p>
      <w:pPr>
        <w:pStyle w:val="Heading9"/>
        <w:spacing w:line="240" w:lineRule="auto" w:before="59"/>
        <w:ind w:left="24" w:right="26"/>
        <w:jc w:val="center"/>
        <w:rPr>
          <w:b w:val="0"/>
          <w:bCs w:val="0"/>
        </w:rPr>
      </w:pPr>
      <w:bookmarkStart w:name="_bookmark174" w:id="175"/>
      <w:bookmarkEnd w:id="175"/>
      <w:r>
        <w:rPr>
          <w:b w:val="0"/>
        </w:rPr>
      </w:r>
      <w:r>
        <w:rPr/>
        <w:t>Figure 35: Objectives and strategic</w:t>
      </w:r>
      <w:r>
        <w:rPr>
          <w:spacing w:val="-21"/>
        </w:rPr>
        <w:t> </w:t>
      </w:r>
      <w:r>
        <w:rPr/>
        <w:t>actions</w:t>
      </w:r>
      <w:r>
        <w:rPr>
          <w:b w:val="0"/>
        </w:rPr>
      </w:r>
    </w:p>
    <w:p>
      <w:pPr>
        <w:spacing w:after="0" w:line="240" w:lineRule="auto"/>
        <w:jc w:val="center"/>
        <w:sectPr>
          <w:headerReference w:type="default" r:id="rId78"/>
          <w:pgSz w:w="12240" w:h="15840"/>
          <w:pgMar w:header="0" w:footer="533" w:top="840" w:bottom="720" w:left="0" w:right="0"/>
        </w:sectPr>
      </w:pPr>
    </w:p>
    <w:p>
      <w:pPr>
        <w:spacing w:line="240" w:lineRule="auto" w:before="0"/>
        <w:ind w:right="0"/>
        <w:rPr>
          <w:rFonts w:ascii="Calibri" w:hAnsi="Calibri" w:cs="Calibri" w:eastAsia="Calibri" w:hint="default"/>
          <w:b/>
          <w:bCs/>
          <w:sz w:val="20"/>
          <w:szCs w:val="20"/>
        </w:rPr>
      </w:pPr>
    </w:p>
    <w:p>
      <w:pPr>
        <w:spacing w:line="240" w:lineRule="auto" w:before="9"/>
        <w:ind w:right="0"/>
        <w:rPr>
          <w:rFonts w:ascii="Calibri" w:hAnsi="Calibri" w:cs="Calibri" w:eastAsia="Calibri" w:hint="default"/>
          <w:b/>
          <w:bCs/>
          <w:sz w:val="24"/>
          <w:szCs w:val="24"/>
        </w:rPr>
      </w:pPr>
    </w:p>
    <w:p>
      <w:pPr>
        <w:pStyle w:val="Heading2"/>
        <w:spacing w:line="240" w:lineRule="auto"/>
        <w:ind w:right="0"/>
        <w:jc w:val="both"/>
        <w:rPr>
          <w:b w:val="0"/>
          <w:bCs w:val="0"/>
        </w:rPr>
      </w:pPr>
      <w:bookmarkStart w:name="_bookmark175" w:id="176"/>
      <w:bookmarkEnd w:id="176"/>
      <w:r>
        <w:rPr>
          <w:b w:val="0"/>
        </w:rPr>
      </w:r>
      <w:r>
        <w:rPr/>
        <w:t>The long-term perspective: Accountability and</w:t>
      </w:r>
      <w:r>
        <w:rPr>
          <w:spacing w:val="-29"/>
        </w:rPr>
        <w:t> </w:t>
      </w:r>
      <w:r>
        <w:rPr/>
        <w:t>transparency</w:t>
      </w:r>
      <w:r>
        <w:rPr>
          <w:b w:val="0"/>
        </w:rPr>
      </w:r>
    </w:p>
    <w:p>
      <w:pPr>
        <w:pStyle w:val="BodyText"/>
        <w:spacing w:line="240" w:lineRule="auto" w:before="191"/>
        <w:ind w:right="1435"/>
        <w:jc w:val="both"/>
      </w:pPr>
      <w:r>
        <w:rPr/>
        <w:t>In order to evaluate the effectiveness of these recommendations, the plan suggests putting a monitoring system in place</w:t>
      </w:r>
      <w:r>
        <w:rPr>
          <w:spacing w:val="-10"/>
        </w:rPr>
        <w:t> </w:t>
      </w:r>
      <w:r>
        <w:rPr/>
        <w:t>by</w:t>
      </w:r>
      <w:r>
        <w:rPr>
          <w:spacing w:val="-8"/>
        </w:rPr>
        <w:t> </w:t>
      </w:r>
      <w:r>
        <w:rPr/>
        <w:t>year</w:t>
      </w:r>
      <w:r>
        <w:rPr>
          <w:spacing w:val="-8"/>
        </w:rPr>
        <w:t> </w:t>
      </w:r>
      <w:r>
        <w:rPr/>
        <w:t>5.</w:t>
      </w:r>
      <w:r>
        <w:rPr>
          <w:spacing w:val="-9"/>
        </w:rPr>
        <w:t> </w:t>
      </w:r>
      <w:r>
        <w:rPr/>
        <w:t>The</w:t>
      </w:r>
      <w:r>
        <w:rPr>
          <w:spacing w:val="-8"/>
        </w:rPr>
        <w:t> </w:t>
      </w:r>
      <w:r>
        <w:rPr/>
        <w:t>monitoring</w:t>
      </w:r>
      <w:r>
        <w:rPr>
          <w:spacing w:val="-9"/>
        </w:rPr>
        <w:t> </w:t>
      </w:r>
      <w:r>
        <w:rPr/>
        <w:t>system</w:t>
      </w:r>
      <w:r>
        <w:rPr>
          <w:spacing w:val="-10"/>
        </w:rPr>
        <w:t> </w:t>
      </w:r>
      <w:r>
        <w:rPr/>
        <w:t>includes</w:t>
      </w:r>
      <w:r>
        <w:rPr>
          <w:spacing w:val="-10"/>
        </w:rPr>
        <w:t> </w:t>
      </w:r>
      <w:r>
        <w:rPr/>
        <w:t>the</w:t>
      </w:r>
      <w:r>
        <w:rPr>
          <w:spacing w:val="-10"/>
        </w:rPr>
        <w:t> </w:t>
      </w:r>
      <w:r>
        <w:rPr/>
        <w:t>organizational</w:t>
      </w:r>
      <w:r>
        <w:rPr>
          <w:spacing w:val="-9"/>
        </w:rPr>
        <w:t> </w:t>
      </w:r>
      <w:r>
        <w:rPr/>
        <w:t>environment,</w:t>
      </w:r>
      <w:r>
        <w:rPr>
          <w:spacing w:val="-8"/>
        </w:rPr>
        <w:t> </w:t>
      </w:r>
      <w:r>
        <w:rPr/>
        <w:t>support,</w:t>
      </w:r>
      <w:r>
        <w:rPr>
          <w:spacing w:val="-9"/>
        </w:rPr>
        <w:t> </w:t>
      </w:r>
      <w:r>
        <w:rPr/>
        <w:t>and</w:t>
      </w:r>
      <w:r>
        <w:rPr>
          <w:spacing w:val="-8"/>
        </w:rPr>
        <w:t> </w:t>
      </w:r>
      <w:r>
        <w:rPr/>
        <w:t>the</w:t>
      </w:r>
      <w:r>
        <w:rPr>
          <w:spacing w:val="-9"/>
        </w:rPr>
        <w:t> </w:t>
      </w:r>
      <w:r>
        <w:rPr/>
        <w:t>expertise</w:t>
      </w:r>
      <w:r>
        <w:rPr>
          <w:spacing w:val="-10"/>
        </w:rPr>
        <w:t> </w:t>
      </w:r>
      <w:r>
        <w:rPr/>
        <w:t>that</w:t>
      </w:r>
      <w:r>
        <w:rPr>
          <w:spacing w:val="-8"/>
        </w:rPr>
        <w:t> </w:t>
      </w:r>
      <w:r>
        <w:rPr/>
        <w:t>can </w:t>
      </w:r>
      <w:r>
        <w:rPr/>
        <w:t>provide</w:t>
      </w:r>
      <w:r>
        <w:rPr>
          <w:spacing w:val="-9"/>
        </w:rPr>
        <w:t> </w:t>
      </w:r>
      <w:r>
        <w:rPr/>
        <w:t>sophisticated</w:t>
      </w:r>
      <w:r>
        <w:rPr>
          <w:spacing w:val="-7"/>
        </w:rPr>
        <w:t> </w:t>
      </w:r>
      <w:r>
        <w:rPr/>
        <w:t>analysis</w:t>
      </w:r>
      <w:r>
        <w:rPr>
          <w:spacing w:val="-9"/>
        </w:rPr>
        <w:t> </w:t>
      </w:r>
      <w:r>
        <w:rPr/>
        <w:t>to</w:t>
      </w:r>
      <w:r>
        <w:rPr>
          <w:spacing w:val="-10"/>
        </w:rPr>
        <w:t> </w:t>
      </w:r>
      <w:r>
        <w:rPr/>
        <w:t>stakeholders.</w:t>
      </w:r>
      <w:r>
        <w:rPr>
          <w:spacing w:val="-4"/>
        </w:rPr>
        <w:t> </w:t>
      </w:r>
      <w:r>
        <w:rPr/>
        <w:t>The</w:t>
      </w:r>
      <w:r>
        <w:rPr>
          <w:spacing w:val="-9"/>
        </w:rPr>
        <w:t> </w:t>
      </w:r>
      <w:r>
        <w:rPr/>
        <w:t>monitoring</w:t>
      </w:r>
      <w:r>
        <w:rPr>
          <w:spacing w:val="-10"/>
        </w:rPr>
        <w:t> </w:t>
      </w:r>
      <w:r>
        <w:rPr/>
        <w:t>system</w:t>
      </w:r>
      <w:r>
        <w:rPr>
          <w:spacing w:val="-9"/>
        </w:rPr>
        <w:t> </w:t>
      </w:r>
      <w:r>
        <w:rPr/>
        <w:t>should</w:t>
      </w:r>
      <w:r>
        <w:rPr>
          <w:spacing w:val="-10"/>
        </w:rPr>
        <w:t> </w:t>
      </w:r>
      <w:r>
        <w:rPr/>
        <w:t>be</w:t>
      </w:r>
      <w:r>
        <w:rPr>
          <w:spacing w:val="-11"/>
        </w:rPr>
        <w:t> </w:t>
      </w:r>
      <w:r>
        <w:rPr/>
        <w:t>housed</w:t>
      </w:r>
      <w:r>
        <w:rPr>
          <w:spacing w:val="-10"/>
        </w:rPr>
        <w:t> </w:t>
      </w:r>
      <w:r>
        <w:rPr/>
        <w:t>in</w:t>
      </w:r>
      <w:r>
        <w:rPr>
          <w:spacing w:val="-10"/>
        </w:rPr>
        <w:t> </w:t>
      </w:r>
      <w:r>
        <w:rPr/>
        <w:t>the</w:t>
      </w:r>
      <w:r>
        <w:rPr>
          <w:spacing w:val="-11"/>
        </w:rPr>
        <w:t> </w:t>
      </w:r>
      <w:r>
        <w:rPr/>
        <w:t>newly</w:t>
      </w:r>
      <w:r>
        <w:rPr>
          <w:spacing w:val="-7"/>
        </w:rPr>
        <w:t> </w:t>
      </w:r>
      <w:r>
        <w:rPr/>
        <w:t>converted</w:t>
      </w:r>
      <w:r>
        <w:rPr>
          <w:spacing w:val="-9"/>
        </w:rPr>
        <w:t> </w:t>
      </w:r>
      <w:r>
        <w:rPr/>
        <w:t>CTB </w:t>
      </w:r>
      <w:r>
        <w:rPr/>
        <w:t>and should concern itself in marketing, sales, and business intelligence as well as in updating monitoring mechanisms. Staff with required expertise and experience should populate this special monitoring unit within the new CTB. This unit is not only tasked with the constant monitoring of the implementation of the plan, but with the timely reporting of results to all stakeholders as</w:t>
      </w:r>
      <w:r>
        <w:rPr>
          <w:spacing w:val="-20"/>
        </w:rPr>
        <w:t> </w:t>
      </w:r>
      <w:r>
        <w:rPr/>
        <w:t>well.</w:t>
      </w:r>
    </w:p>
    <w:p>
      <w:pPr>
        <w:spacing w:line="240" w:lineRule="auto" w:before="1"/>
        <w:ind w:right="0"/>
        <w:rPr>
          <w:rFonts w:ascii="Calibri" w:hAnsi="Calibri" w:cs="Calibri" w:eastAsia="Calibri" w:hint="default"/>
          <w:sz w:val="20"/>
          <w:szCs w:val="20"/>
        </w:rPr>
      </w:pPr>
    </w:p>
    <w:p>
      <w:pPr>
        <w:pStyle w:val="BodyText"/>
        <w:spacing w:line="240" w:lineRule="auto"/>
        <w:ind w:right="1433"/>
        <w:jc w:val="both"/>
      </w:pPr>
      <w:r>
        <w:rPr/>
        <w:t>The</w:t>
      </w:r>
      <w:r>
        <w:rPr>
          <w:spacing w:val="-5"/>
        </w:rPr>
        <w:t> </w:t>
      </w:r>
      <w:r>
        <w:rPr/>
        <w:t>monitoring</w:t>
      </w:r>
      <w:r>
        <w:rPr>
          <w:spacing w:val="-7"/>
        </w:rPr>
        <w:t> </w:t>
      </w:r>
      <w:r>
        <w:rPr/>
        <w:t>framework</w:t>
      </w:r>
      <w:r>
        <w:rPr>
          <w:spacing w:val="-6"/>
        </w:rPr>
        <w:t> </w:t>
      </w:r>
      <w:r>
        <w:rPr/>
        <w:t>consists</w:t>
      </w:r>
      <w:r>
        <w:rPr>
          <w:spacing w:val="-8"/>
        </w:rPr>
        <w:t> </w:t>
      </w:r>
      <w:r>
        <w:rPr/>
        <w:t>of</w:t>
      </w:r>
      <w:r>
        <w:rPr>
          <w:spacing w:val="-8"/>
        </w:rPr>
        <w:t> </w:t>
      </w:r>
      <w:r>
        <w:rPr/>
        <w:t>a</w:t>
      </w:r>
      <w:r>
        <w:rPr>
          <w:spacing w:val="-6"/>
        </w:rPr>
        <w:t> </w:t>
      </w:r>
      <w:r>
        <w:rPr/>
        <w:t>number</w:t>
      </w:r>
      <w:r>
        <w:rPr>
          <w:spacing w:val="-7"/>
        </w:rPr>
        <w:t> </w:t>
      </w:r>
      <w:r>
        <w:rPr/>
        <w:t>of</w:t>
      </w:r>
      <w:r>
        <w:rPr>
          <w:spacing w:val="-5"/>
        </w:rPr>
        <w:t> </w:t>
      </w:r>
      <w:r>
        <w:rPr/>
        <w:t>connected</w:t>
      </w:r>
      <w:r>
        <w:rPr>
          <w:spacing w:val="-6"/>
        </w:rPr>
        <w:t> </w:t>
      </w:r>
      <w:r>
        <w:rPr/>
        <w:t>metrics</w:t>
      </w:r>
      <w:r>
        <w:rPr>
          <w:spacing w:val="-9"/>
        </w:rPr>
        <w:t> </w:t>
      </w:r>
      <w:r>
        <w:rPr/>
        <w:t>to</w:t>
      </w:r>
      <w:r>
        <w:rPr>
          <w:spacing w:val="-6"/>
        </w:rPr>
        <w:t> </w:t>
      </w:r>
      <w:r>
        <w:rPr/>
        <w:t>help</w:t>
      </w:r>
      <w:r>
        <w:rPr>
          <w:spacing w:val="-6"/>
        </w:rPr>
        <w:t> </w:t>
      </w:r>
      <w:r>
        <w:rPr/>
        <w:t>achieve</w:t>
      </w:r>
      <w:r>
        <w:rPr>
          <w:spacing w:val="-8"/>
        </w:rPr>
        <w:t> </w:t>
      </w:r>
      <w:r>
        <w:rPr/>
        <w:t>the</w:t>
      </w:r>
      <w:r>
        <w:rPr>
          <w:spacing w:val="-5"/>
        </w:rPr>
        <w:t> </w:t>
      </w:r>
      <w:r>
        <w:rPr/>
        <w:t>objectives</w:t>
      </w:r>
      <w:r>
        <w:rPr>
          <w:spacing w:val="-5"/>
        </w:rPr>
        <w:t> </w:t>
      </w:r>
      <w:r>
        <w:rPr/>
        <w:t>set</w:t>
      </w:r>
      <w:r>
        <w:rPr>
          <w:spacing w:val="-4"/>
        </w:rPr>
        <w:t> </w:t>
      </w:r>
      <w:r>
        <w:rPr/>
        <w:t>forth</w:t>
      </w:r>
      <w:r>
        <w:rPr>
          <w:spacing w:val="-6"/>
        </w:rPr>
        <w:t> </w:t>
      </w:r>
      <w:r>
        <w:rPr/>
        <w:t>in</w:t>
      </w:r>
      <w:r>
        <w:rPr>
          <w:spacing w:val="-6"/>
        </w:rPr>
        <w:t> </w:t>
      </w:r>
      <w:r>
        <w:rPr/>
        <w:t>this </w:t>
      </w:r>
      <w:r>
        <w:rPr/>
        <w:t>plan. These metrics include RevPAR to meet the objectives of economic growth and job creation; they would also measure </w:t>
      </w:r>
      <w:r>
        <w:rPr>
          <w:rFonts w:ascii="Calibri" w:hAnsi="Calibri" w:cs="Calibri" w:eastAsia="Calibri" w:hint="default"/>
        </w:rPr>
        <w:t>the destination’s level of competitiveness with regard to </w:t>
      </w:r>
      <w:r>
        <w:rPr/>
        <w:t>Curaçao</w:t>
      </w:r>
      <w:r>
        <w:rPr>
          <w:rFonts w:ascii="Calibri" w:hAnsi="Calibri" w:cs="Calibri" w:eastAsia="Calibri" w:hint="default"/>
        </w:rPr>
        <w:t>’s </w:t>
      </w:r>
      <w:r>
        <w:rPr/>
        <w:t>competitors in the Caribbean</w:t>
      </w:r>
      <w:r>
        <w:rPr>
          <w:spacing w:val="-30"/>
        </w:rPr>
        <w:t> </w:t>
      </w:r>
      <w:r>
        <w:rPr/>
        <w:t>region. A </w:t>
      </w:r>
      <w:r>
        <w:rPr/>
        <w:t>number of certified employees will measure training achievement and skill progress. Quality of life is measured through the amount of jobs, and the numbers of youth attaining those jobs. Quality of university and professional programs will be assessed through the extent of placement in the job</w:t>
      </w:r>
      <w:r>
        <w:rPr>
          <w:spacing w:val="-25"/>
        </w:rPr>
        <w:t> </w:t>
      </w:r>
      <w:r>
        <w:rPr/>
        <w:t>market.</w:t>
      </w:r>
    </w:p>
    <w:p>
      <w:pPr>
        <w:spacing w:line="240" w:lineRule="auto" w:before="1"/>
        <w:ind w:right="0"/>
        <w:rPr>
          <w:rFonts w:ascii="Calibri" w:hAnsi="Calibri" w:cs="Calibri" w:eastAsia="Calibri" w:hint="default"/>
          <w:sz w:val="20"/>
          <w:szCs w:val="20"/>
        </w:rPr>
      </w:pPr>
    </w:p>
    <w:p>
      <w:pPr>
        <w:pStyle w:val="BodyText"/>
        <w:spacing w:line="240" w:lineRule="auto"/>
        <w:ind w:right="1434"/>
        <w:jc w:val="both"/>
      </w:pPr>
      <w:r>
        <w:rPr/>
        <w:t>Obtaining timely intelligence and operational feedback with which to fine tune or change a course of action is required and crucial for the successful implementation of the plan. In addition, this timely information feedback is also intended to promote stakeholder buy-in when needed, and to increase the credibility and reputation of the 2015-2020 Strategic Tourism Master Plan. Making sure that a form of social license is validated and upheld is vital for the advancement and progress of the plan. In other words, the constant support of all stakeholders is not only critical but absolutely necessary. For without constant support from all stakeholders the ability of the 2015-2020 Tourism</w:t>
      </w:r>
      <w:r>
        <w:rPr>
          <w:spacing w:val="-8"/>
        </w:rPr>
        <w:t> </w:t>
      </w:r>
      <w:r>
        <w:rPr/>
        <w:t>Master</w:t>
      </w:r>
      <w:r>
        <w:rPr>
          <w:spacing w:val="-7"/>
        </w:rPr>
        <w:t> </w:t>
      </w:r>
      <w:r>
        <w:rPr/>
        <w:t>Plan</w:t>
      </w:r>
      <w:r>
        <w:rPr>
          <w:spacing w:val="-6"/>
        </w:rPr>
        <w:t> </w:t>
      </w:r>
      <w:r>
        <w:rPr/>
        <w:t>to</w:t>
      </w:r>
      <w:r>
        <w:rPr>
          <w:spacing w:val="-6"/>
        </w:rPr>
        <w:t> </w:t>
      </w:r>
      <w:r>
        <w:rPr/>
        <w:t>deliver</w:t>
      </w:r>
      <w:r>
        <w:rPr>
          <w:spacing w:val="-7"/>
        </w:rPr>
        <w:t> </w:t>
      </w:r>
      <w:r>
        <w:rPr/>
        <w:t>a</w:t>
      </w:r>
      <w:r>
        <w:rPr>
          <w:spacing w:val="-5"/>
        </w:rPr>
        <w:t> </w:t>
      </w:r>
      <w:r>
        <w:rPr/>
        <w:t>promise</w:t>
      </w:r>
      <w:r>
        <w:rPr>
          <w:spacing w:val="-8"/>
        </w:rPr>
        <w:t> </w:t>
      </w:r>
      <w:r>
        <w:rPr/>
        <w:t>to</w:t>
      </w:r>
      <w:r>
        <w:rPr>
          <w:spacing w:val="-6"/>
        </w:rPr>
        <w:t> </w:t>
      </w:r>
      <w:r>
        <w:rPr/>
        <w:t>carve</w:t>
      </w:r>
      <w:r>
        <w:rPr>
          <w:spacing w:val="-8"/>
        </w:rPr>
        <w:t> </w:t>
      </w:r>
      <w:r>
        <w:rPr/>
        <w:t>a</w:t>
      </w:r>
      <w:r>
        <w:rPr>
          <w:spacing w:val="-6"/>
        </w:rPr>
        <w:t> </w:t>
      </w:r>
      <w:r>
        <w:rPr/>
        <w:t>better</w:t>
      </w:r>
      <w:r>
        <w:rPr>
          <w:spacing w:val="-7"/>
        </w:rPr>
        <w:t> </w:t>
      </w:r>
      <w:r>
        <w:rPr/>
        <w:t>future</w:t>
      </w:r>
      <w:r>
        <w:rPr>
          <w:spacing w:val="-8"/>
        </w:rPr>
        <w:t> </w:t>
      </w:r>
      <w:r>
        <w:rPr/>
        <w:t>for</w:t>
      </w:r>
      <w:r>
        <w:rPr>
          <w:spacing w:val="-7"/>
        </w:rPr>
        <w:t> </w:t>
      </w:r>
      <w:r>
        <w:rPr/>
        <w:t>the</w:t>
      </w:r>
      <w:r>
        <w:rPr>
          <w:spacing w:val="-8"/>
        </w:rPr>
        <w:t> </w:t>
      </w:r>
      <w:r>
        <w:rPr/>
        <w:t>industry</w:t>
      </w:r>
      <w:r>
        <w:rPr>
          <w:spacing w:val="-3"/>
        </w:rPr>
        <w:t> </w:t>
      </w:r>
      <w:r>
        <w:rPr/>
        <w:t>and</w:t>
      </w:r>
      <w:r>
        <w:rPr>
          <w:spacing w:val="-6"/>
        </w:rPr>
        <w:t> </w:t>
      </w:r>
      <w:r>
        <w:rPr/>
        <w:t>for</w:t>
      </w:r>
      <w:r>
        <w:rPr>
          <w:spacing w:val="-9"/>
        </w:rPr>
        <w:t> </w:t>
      </w:r>
      <w:r>
        <w:rPr/>
        <w:t>the</w:t>
      </w:r>
      <w:r>
        <w:rPr>
          <w:spacing w:val="-8"/>
        </w:rPr>
        <w:t> </w:t>
      </w:r>
      <w:r>
        <w:rPr/>
        <w:t>island</w:t>
      </w:r>
      <w:r>
        <w:rPr>
          <w:spacing w:val="-6"/>
        </w:rPr>
        <w:t> </w:t>
      </w:r>
      <w:r>
        <w:rPr/>
        <w:t>as</w:t>
      </w:r>
      <w:r>
        <w:rPr>
          <w:spacing w:val="-7"/>
        </w:rPr>
        <w:t> </w:t>
      </w:r>
      <w:r>
        <w:rPr/>
        <w:t>a</w:t>
      </w:r>
      <w:r>
        <w:rPr>
          <w:spacing w:val="-6"/>
        </w:rPr>
        <w:t> </w:t>
      </w:r>
      <w:r>
        <w:rPr/>
        <w:t>whole</w:t>
      </w:r>
      <w:r>
        <w:rPr>
          <w:spacing w:val="-6"/>
        </w:rPr>
        <w:t> </w:t>
      </w:r>
      <w:r>
        <w:rPr/>
        <w:t>could </w:t>
      </w:r>
      <w:r>
        <w:rPr/>
        <w:t>be in</w:t>
      </w:r>
      <w:r>
        <w:rPr>
          <w:spacing w:val="-5"/>
        </w:rPr>
        <w:t> </w:t>
      </w:r>
      <w:r>
        <w:rPr/>
        <w:t>jeopardy.</w:t>
      </w:r>
    </w:p>
    <w:p>
      <w:pPr>
        <w:spacing w:line="240" w:lineRule="auto" w:before="11"/>
        <w:ind w:right="0"/>
        <w:rPr>
          <w:rFonts w:ascii="Calibri" w:hAnsi="Calibri" w:cs="Calibri" w:eastAsia="Calibri" w:hint="default"/>
          <w:sz w:val="19"/>
          <w:szCs w:val="19"/>
        </w:rPr>
      </w:pPr>
    </w:p>
    <w:p>
      <w:pPr>
        <w:pStyle w:val="BodyText"/>
        <w:spacing w:line="240" w:lineRule="auto"/>
        <w:ind w:right="1439"/>
        <w:jc w:val="both"/>
        <w:rPr>
          <w:rFonts w:ascii="Calibri" w:hAnsi="Calibri" w:cs="Calibri" w:eastAsia="Calibri" w:hint="default"/>
        </w:rPr>
      </w:pPr>
      <w:r>
        <w:rPr/>
        <w:t>There is a need to conduct periodic evaluations and impact analysis of tourism incentives due to the phenomenon of</w:t>
      </w:r>
      <w:r>
        <w:rPr>
          <w:spacing w:val="-8"/>
        </w:rPr>
        <w:t> </w:t>
      </w:r>
      <w:r>
        <w:rPr/>
        <w:t>free-riding</w:t>
      </w:r>
      <w:r>
        <w:rPr>
          <w:spacing w:val="-7"/>
        </w:rPr>
        <w:t> </w:t>
      </w:r>
      <w:r>
        <w:rPr/>
        <w:t>observed</w:t>
      </w:r>
      <w:r>
        <w:rPr>
          <w:spacing w:val="-6"/>
        </w:rPr>
        <w:t> </w:t>
      </w:r>
      <w:r>
        <w:rPr/>
        <w:t>on</w:t>
      </w:r>
      <w:r>
        <w:rPr>
          <w:spacing w:val="-6"/>
        </w:rPr>
        <w:t> </w:t>
      </w:r>
      <w:r>
        <w:rPr/>
        <w:t>the</w:t>
      </w:r>
      <w:r>
        <w:rPr>
          <w:spacing w:val="-5"/>
        </w:rPr>
        <w:t> </w:t>
      </w:r>
      <w:r>
        <w:rPr/>
        <w:t>island.</w:t>
      </w:r>
      <w:r>
        <w:rPr>
          <w:spacing w:val="-7"/>
        </w:rPr>
        <w:t> </w:t>
      </w:r>
      <w:r>
        <w:rPr/>
        <w:t>Free-riding</w:t>
      </w:r>
      <w:r>
        <w:rPr>
          <w:spacing w:val="-7"/>
        </w:rPr>
        <w:t> </w:t>
      </w:r>
      <w:r>
        <w:rPr/>
        <w:t>is</w:t>
      </w:r>
      <w:r>
        <w:rPr>
          <w:spacing w:val="-6"/>
        </w:rPr>
        <w:t> </w:t>
      </w:r>
      <w:r>
        <w:rPr/>
        <w:t>pervasive</w:t>
      </w:r>
      <w:r>
        <w:rPr>
          <w:spacing w:val="-8"/>
        </w:rPr>
        <w:t> </w:t>
      </w:r>
      <w:r>
        <w:rPr/>
        <w:t>in</w:t>
      </w:r>
      <w:r>
        <w:rPr>
          <w:spacing w:val="-6"/>
        </w:rPr>
        <w:t> </w:t>
      </w:r>
      <w:r>
        <w:rPr/>
        <w:t>many</w:t>
      </w:r>
      <w:r>
        <w:rPr>
          <w:spacing w:val="-6"/>
        </w:rPr>
        <w:t> </w:t>
      </w:r>
      <w:r>
        <w:rPr/>
        <w:t>small</w:t>
      </w:r>
      <w:r>
        <w:rPr>
          <w:spacing w:val="-6"/>
        </w:rPr>
        <w:t> </w:t>
      </w:r>
      <w:r>
        <w:rPr/>
        <w:t>destinations</w:t>
      </w:r>
      <w:r>
        <w:rPr>
          <w:spacing w:val="-6"/>
        </w:rPr>
        <w:t> </w:t>
      </w:r>
      <w:r>
        <w:rPr/>
        <w:t>and</w:t>
      </w:r>
      <w:r>
        <w:rPr>
          <w:spacing w:val="-6"/>
        </w:rPr>
        <w:t> </w:t>
      </w:r>
      <w:r>
        <w:rPr/>
        <w:t>should</w:t>
      </w:r>
      <w:r>
        <w:rPr>
          <w:spacing w:val="-6"/>
        </w:rPr>
        <w:t> </w:t>
      </w:r>
      <w:r>
        <w:rPr/>
        <w:t>be</w:t>
      </w:r>
      <w:r>
        <w:rPr>
          <w:spacing w:val="-8"/>
        </w:rPr>
        <w:t> </w:t>
      </w:r>
      <w:r>
        <w:rPr/>
        <w:t>avoided</w:t>
      </w:r>
      <w:r>
        <w:rPr>
          <w:spacing w:val="-4"/>
        </w:rPr>
        <w:t> </w:t>
      </w:r>
      <w:r>
        <w:rPr/>
        <w:t>with </w:t>
      </w:r>
      <w:r>
        <w:rPr/>
        <w:t>an effective performance monitoring and impact evaluation mechanism. By steering the direction of policy and spearheading product development efforts, government authorities can motivate and influence other stakeholders</w:t>
      </w:r>
      <w:r>
        <w:rPr>
          <w:rFonts w:ascii="Calibri" w:hAnsi="Calibri" w:cs="Calibri" w:eastAsia="Calibri" w:hint="default"/>
        </w:rPr>
        <w:t>—</w:t>
      </w:r>
      <w:r>
        <w:rPr/>
        <w:t>both</w:t>
      </w:r>
      <w:r>
        <w:rPr>
          <w:spacing w:val="-3"/>
        </w:rPr>
        <w:t> </w:t>
      </w:r>
      <w:r>
        <w:rPr/>
        <w:t>public</w:t>
      </w:r>
      <w:r>
        <w:rPr>
          <w:spacing w:val="-4"/>
        </w:rPr>
        <w:t> </w:t>
      </w:r>
      <w:r>
        <w:rPr/>
        <w:t>and</w:t>
      </w:r>
      <w:r>
        <w:rPr>
          <w:spacing w:val="-3"/>
        </w:rPr>
        <w:t> </w:t>
      </w:r>
      <w:r>
        <w:rPr/>
        <w:t>private</w:t>
      </w:r>
      <w:r>
        <w:rPr>
          <w:rFonts w:ascii="Calibri" w:hAnsi="Calibri" w:cs="Calibri" w:eastAsia="Calibri" w:hint="default"/>
        </w:rPr>
        <w:t>—to</w:t>
      </w:r>
      <w:r>
        <w:rPr>
          <w:rFonts w:ascii="Calibri" w:hAnsi="Calibri" w:cs="Calibri" w:eastAsia="Calibri" w:hint="default"/>
          <w:spacing w:val="-3"/>
        </w:rPr>
        <w:t> </w:t>
      </w:r>
      <w:r>
        <w:rPr>
          <w:rFonts w:ascii="Calibri" w:hAnsi="Calibri" w:cs="Calibri" w:eastAsia="Calibri" w:hint="default"/>
        </w:rPr>
        <w:t>engage</w:t>
      </w:r>
      <w:r>
        <w:rPr>
          <w:rFonts w:ascii="Calibri" w:hAnsi="Calibri" w:cs="Calibri" w:eastAsia="Calibri" w:hint="default"/>
          <w:spacing w:val="-4"/>
        </w:rPr>
        <w:t> </w:t>
      </w:r>
      <w:r>
        <w:rPr>
          <w:rFonts w:ascii="Calibri" w:hAnsi="Calibri" w:cs="Calibri" w:eastAsia="Calibri" w:hint="default"/>
        </w:rPr>
        <w:t>in</w:t>
      </w:r>
      <w:r>
        <w:rPr>
          <w:rFonts w:ascii="Calibri" w:hAnsi="Calibri" w:cs="Calibri" w:eastAsia="Calibri" w:hint="default"/>
          <w:spacing w:val="-2"/>
        </w:rPr>
        <w:t> </w:t>
      </w:r>
      <w:r>
        <w:rPr>
          <w:rFonts w:ascii="Calibri" w:hAnsi="Calibri" w:cs="Calibri" w:eastAsia="Calibri" w:hint="default"/>
        </w:rPr>
        <w:t>behavior</w:t>
      </w:r>
      <w:r>
        <w:rPr>
          <w:rFonts w:ascii="Calibri" w:hAnsi="Calibri" w:cs="Calibri" w:eastAsia="Calibri" w:hint="default"/>
          <w:spacing w:val="-3"/>
        </w:rPr>
        <w:t> </w:t>
      </w:r>
      <w:r>
        <w:rPr>
          <w:rFonts w:ascii="Calibri" w:hAnsi="Calibri" w:cs="Calibri" w:eastAsia="Calibri" w:hint="default"/>
        </w:rPr>
        <w:t>that</w:t>
      </w:r>
      <w:r>
        <w:rPr>
          <w:rFonts w:ascii="Calibri" w:hAnsi="Calibri" w:cs="Calibri" w:eastAsia="Calibri" w:hint="default"/>
          <w:spacing w:val="-3"/>
        </w:rPr>
        <w:t> </w:t>
      </w:r>
      <w:r>
        <w:rPr>
          <w:rFonts w:ascii="Calibri" w:hAnsi="Calibri" w:cs="Calibri" w:eastAsia="Calibri" w:hint="default"/>
        </w:rPr>
        <w:t>bolsters</w:t>
      </w:r>
      <w:r>
        <w:rPr>
          <w:rFonts w:ascii="Calibri" w:hAnsi="Calibri" w:cs="Calibri" w:eastAsia="Calibri" w:hint="default"/>
          <w:spacing w:val="-5"/>
        </w:rPr>
        <w:t> </w:t>
      </w:r>
      <w:r>
        <w:rPr>
          <w:rFonts w:ascii="Calibri" w:hAnsi="Calibri" w:cs="Calibri" w:eastAsia="Calibri" w:hint="default"/>
        </w:rPr>
        <w:t>a</w:t>
      </w:r>
      <w:r>
        <w:rPr>
          <w:rFonts w:ascii="Calibri" w:hAnsi="Calibri" w:cs="Calibri" w:eastAsia="Calibri" w:hint="default"/>
          <w:spacing w:val="-3"/>
        </w:rPr>
        <w:t> </w:t>
      </w:r>
      <w:r>
        <w:rPr>
          <w:rFonts w:ascii="Calibri" w:hAnsi="Calibri" w:cs="Calibri" w:eastAsia="Calibri" w:hint="default"/>
        </w:rPr>
        <w:t>destination’s</w:t>
      </w:r>
      <w:r>
        <w:rPr>
          <w:rFonts w:ascii="Calibri" w:hAnsi="Calibri" w:cs="Calibri" w:eastAsia="Calibri" w:hint="default"/>
          <w:spacing w:val="-5"/>
        </w:rPr>
        <w:t> </w:t>
      </w:r>
      <w:r>
        <w:rPr>
          <w:rFonts w:ascii="Calibri" w:hAnsi="Calibri" w:cs="Calibri" w:eastAsia="Calibri" w:hint="default"/>
        </w:rPr>
        <w:t>competitive</w:t>
      </w:r>
      <w:r>
        <w:rPr>
          <w:rFonts w:ascii="Calibri" w:hAnsi="Calibri" w:cs="Calibri" w:eastAsia="Calibri" w:hint="default"/>
          <w:spacing w:val="-4"/>
        </w:rPr>
        <w:t> </w:t>
      </w:r>
      <w:r>
        <w:rPr>
          <w:rFonts w:ascii="Calibri" w:hAnsi="Calibri" w:cs="Calibri" w:eastAsia="Calibri" w:hint="default"/>
        </w:rPr>
        <w:t>advantage.</w:t>
      </w:r>
    </w:p>
    <w:p>
      <w:pPr>
        <w:spacing w:after="0" w:line="240" w:lineRule="auto"/>
        <w:jc w:val="both"/>
        <w:rPr>
          <w:rFonts w:ascii="Calibri" w:hAnsi="Calibri" w:cs="Calibri" w:eastAsia="Calibri" w:hint="default"/>
        </w:rPr>
        <w:sectPr>
          <w:footerReference w:type="default" r:id="rId80"/>
          <w:pgSz w:w="12240" w:h="15840"/>
          <w:pgMar w:footer="533" w:header="0" w:top="840" w:bottom="720" w:left="0" w:right="0"/>
        </w:sectPr>
      </w:pPr>
    </w:p>
    <w:p>
      <w:pPr>
        <w:spacing w:line="240" w:lineRule="auto" w:before="0"/>
        <w:ind w:right="0"/>
        <w:rPr>
          <w:rFonts w:ascii="Calibri" w:hAnsi="Calibri" w:cs="Calibri" w:eastAsia="Calibri" w:hint="default"/>
          <w:sz w:val="20"/>
          <w:szCs w:val="20"/>
        </w:rPr>
      </w:pPr>
    </w:p>
    <w:p>
      <w:pPr>
        <w:spacing w:line="240" w:lineRule="auto" w:before="3"/>
        <w:ind w:right="0"/>
        <w:rPr>
          <w:rFonts w:ascii="Calibri" w:hAnsi="Calibri" w:cs="Calibri" w:eastAsia="Calibri" w:hint="default"/>
          <w:sz w:val="26"/>
          <w:szCs w:val="26"/>
        </w:rPr>
      </w:pPr>
    </w:p>
    <w:p>
      <w:pPr>
        <w:pStyle w:val="Heading1"/>
        <w:spacing w:line="488" w:lineRule="exact"/>
        <w:ind w:right="26"/>
        <w:jc w:val="center"/>
        <w:rPr>
          <w:b w:val="0"/>
          <w:bCs w:val="0"/>
        </w:rPr>
      </w:pPr>
      <w:bookmarkStart w:name="_bookmark176" w:id="177"/>
      <w:bookmarkEnd w:id="177"/>
      <w:r>
        <w:rPr>
          <w:b w:val="0"/>
        </w:rPr>
      </w:r>
      <w:r>
        <w:rPr/>
        <w:t>References</w:t>
      </w:r>
      <w:r>
        <w:rPr>
          <w:b w:val="0"/>
        </w:rPr>
      </w:r>
    </w:p>
    <w:p>
      <w:pPr>
        <w:pStyle w:val="BodyText"/>
        <w:spacing w:line="240" w:lineRule="auto"/>
        <w:ind w:right="0"/>
        <w:jc w:val="left"/>
      </w:pPr>
      <w:r>
        <w:rPr/>
        <w:t>Aaker, D.A. (1996). Building strong brands. New York: Free</w:t>
      </w:r>
      <w:r>
        <w:rPr>
          <w:spacing w:val="-28"/>
        </w:rPr>
        <w:t> </w:t>
      </w:r>
      <w:r>
        <w:rPr/>
        <w:t>Press.</w:t>
      </w:r>
    </w:p>
    <w:p>
      <w:pPr>
        <w:spacing w:before="0"/>
        <w:ind w:left="1440" w:right="0" w:firstLine="0"/>
        <w:jc w:val="left"/>
        <w:rPr>
          <w:rFonts w:ascii="Calibri" w:hAnsi="Calibri" w:cs="Calibri" w:eastAsia="Calibri" w:hint="default"/>
          <w:sz w:val="20"/>
          <w:szCs w:val="20"/>
        </w:rPr>
      </w:pPr>
      <w:r>
        <w:rPr>
          <w:rFonts w:ascii="Calibri"/>
          <w:sz w:val="20"/>
        </w:rPr>
        <w:t>Alhemoud,  A.  and  Armstrong,  E.  (1996).  Image  of  tourism  attractions  in  Kuwait.  </w:t>
      </w:r>
      <w:r>
        <w:rPr>
          <w:rFonts w:ascii="Calibri"/>
          <w:i/>
          <w:sz w:val="20"/>
        </w:rPr>
        <w:t>Journal  of  Travel</w:t>
      </w:r>
      <w:r>
        <w:rPr>
          <w:rFonts w:ascii="Calibri"/>
          <w:i/>
          <w:spacing w:val="29"/>
          <w:sz w:val="20"/>
        </w:rPr>
        <w:t> </w:t>
      </w:r>
      <w:r>
        <w:rPr>
          <w:rFonts w:ascii="Calibri"/>
          <w:i/>
          <w:sz w:val="20"/>
        </w:rPr>
        <w:t>Research.</w:t>
      </w:r>
      <w:r>
        <w:rPr>
          <w:rFonts w:ascii="Calibri"/>
          <w:sz w:val="20"/>
        </w:rPr>
      </w:r>
    </w:p>
    <w:p>
      <w:pPr>
        <w:pStyle w:val="BodyText"/>
        <w:spacing w:line="240" w:lineRule="auto"/>
        <w:ind w:left="2160" w:right="0"/>
        <w:jc w:val="left"/>
      </w:pPr>
      <w:r>
        <w:rPr/>
        <w:t>34(Spring),</w:t>
      </w:r>
      <w:r>
        <w:rPr>
          <w:spacing w:val="-10"/>
        </w:rPr>
        <w:t> </w:t>
      </w:r>
      <w:r>
        <w:rPr/>
        <w:t>76-80.</w:t>
      </w:r>
    </w:p>
    <w:p>
      <w:pPr>
        <w:spacing w:before="0"/>
        <w:ind w:left="2160" w:right="1435" w:hanging="720"/>
        <w:jc w:val="both"/>
        <w:rPr>
          <w:rFonts w:ascii="Calibri" w:hAnsi="Calibri" w:cs="Calibri" w:eastAsia="Calibri" w:hint="default"/>
          <w:sz w:val="20"/>
          <w:szCs w:val="20"/>
        </w:rPr>
      </w:pPr>
      <w:r>
        <w:rPr>
          <w:rFonts w:ascii="Calibri"/>
          <w:sz w:val="20"/>
        </w:rPr>
        <w:t>Baloglu, S., and Brinberg, D. (1997). Affective images of tourism destinations</w:t>
      </w:r>
      <w:r>
        <w:rPr>
          <w:rFonts w:ascii="Calibri"/>
          <w:i/>
          <w:sz w:val="20"/>
        </w:rPr>
        <w:t>. Journal of Travel Research</w:t>
      </w:r>
      <w:r>
        <w:rPr>
          <w:rFonts w:ascii="Calibri"/>
          <w:sz w:val="20"/>
        </w:rPr>
        <w:t>, 35(4), 11- 15.</w:t>
      </w:r>
    </w:p>
    <w:p>
      <w:pPr>
        <w:spacing w:before="0"/>
        <w:ind w:left="2160" w:right="1438" w:hanging="720"/>
        <w:jc w:val="both"/>
        <w:rPr>
          <w:rFonts w:ascii="Calibri" w:hAnsi="Calibri" w:cs="Calibri" w:eastAsia="Calibri" w:hint="default"/>
          <w:sz w:val="20"/>
          <w:szCs w:val="20"/>
        </w:rPr>
      </w:pPr>
      <w:r>
        <w:rPr>
          <w:rFonts w:ascii="Calibri" w:hAnsi="Calibri"/>
          <w:sz w:val="20"/>
        </w:rPr>
        <w:t>Berkhout, E., (2007). </w:t>
      </w:r>
      <w:r>
        <w:rPr>
          <w:rFonts w:ascii="Calibri" w:hAnsi="Calibri"/>
          <w:i/>
          <w:sz w:val="20"/>
        </w:rPr>
        <w:t>An econometric analysis of tourism inflow in Curaçao: Can tourism price indices help us out? </w:t>
      </w:r>
      <w:r>
        <w:rPr>
          <w:rFonts w:ascii="Calibri" w:hAnsi="Calibri"/>
          <w:sz w:val="20"/>
        </w:rPr>
        <w:t>SEO Economisch Onderzoek. Paper presented on the 1st Contference of the International Association for Tourism Economics, Mallorca, October 25-27,</w:t>
      </w:r>
      <w:r>
        <w:rPr>
          <w:rFonts w:ascii="Calibri" w:hAnsi="Calibri"/>
          <w:spacing w:val="-13"/>
          <w:sz w:val="20"/>
        </w:rPr>
        <w:t> </w:t>
      </w:r>
      <w:r>
        <w:rPr>
          <w:rFonts w:ascii="Calibri" w:hAnsi="Calibri"/>
          <w:sz w:val="20"/>
        </w:rPr>
        <w:t>2007.</w:t>
      </w:r>
    </w:p>
    <w:p>
      <w:pPr>
        <w:spacing w:before="0"/>
        <w:ind w:left="2160" w:right="1438" w:hanging="720"/>
        <w:jc w:val="both"/>
        <w:rPr>
          <w:rFonts w:ascii="Calibri" w:hAnsi="Calibri" w:cs="Calibri" w:eastAsia="Calibri" w:hint="default"/>
          <w:sz w:val="20"/>
          <w:szCs w:val="20"/>
        </w:rPr>
      </w:pPr>
      <w:r>
        <w:rPr>
          <w:rFonts w:ascii="Calibri"/>
          <w:sz w:val="20"/>
        </w:rPr>
        <w:t>Caribbean Tourism Organization (2014) </w:t>
      </w:r>
      <w:r>
        <w:rPr>
          <w:rFonts w:ascii="Calibri"/>
          <w:i/>
          <w:sz w:val="20"/>
        </w:rPr>
        <w:t>Caribbean tourism Review 2013. </w:t>
      </w:r>
      <w:r>
        <w:rPr>
          <w:rFonts w:ascii="Calibri"/>
          <w:sz w:val="20"/>
        </w:rPr>
        <w:t>Retrieved from: </w:t>
      </w:r>
      <w:r>
        <w:rPr>
          <w:rFonts w:ascii="Calibri"/>
          <w:color w:val="0462C1"/>
          <w:sz w:val="20"/>
        </w:rPr>
      </w:r>
      <w:hyperlink r:id="rId82">
        <w:r>
          <w:rPr>
            <w:rFonts w:ascii="Calibri"/>
            <w:color w:val="0462C1"/>
            <w:sz w:val="20"/>
            <w:u w:val="single" w:color="0462C1"/>
          </w:rPr>
          <w:t>www.one</w:t>
        </w:r>
        <w:r>
          <w:rPr>
            <w:rFonts w:ascii="Calibri"/>
            <w:b/>
            <w:color w:val="0462C1"/>
            <w:sz w:val="20"/>
            <w:u w:val="single" w:color="0462C1"/>
          </w:rPr>
          <w:t>caribbean</w:t>
        </w:r>
        <w:r>
          <w:rPr>
            <w:rFonts w:ascii="Calibri"/>
            <w:color w:val="0462C1"/>
            <w:sz w:val="20"/>
            <w:u w:val="single" w:color="0462C1"/>
          </w:rPr>
          <w:t>.org/wp.../</w:t>
        </w:r>
        <w:r>
          <w:rPr>
            <w:rFonts w:ascii="Calibri"/>
            <w:b/>
            <w:color w:val="0462C1"/>
            <w:sz w:val="20"/>
            <w:u w:val="single" w:color="0462C1"/>
          </w:rPr>
          <w:t>Caribbean</w:t>
        </w:r>
        <w:r>
          <w:rPr>
            <w:rFonts w:ascii="Calibri"/>
            <w:color w:val="0462C1"/>
            <w:sz w:val="20"/>
            <w:u w:val="single" w:color="0462C1"/>
          </w:rPr>
          <w:t>-</w:t>
        </w:r>
        <w:r>
          <w:rPr>
            <w:rFonts w:ascii="Calibri"/>
            <w:b/>
            <w:color w:val="0462C1"/>
            <w:sz w:val="20"/>
            <w:u w:val="single" w:color="0462C1"/>
          </w:rPr>
          <w:t>Tourism</w:t>
        </w:r>
        <w:r>
          <w:rPr>
            <w:rFonts w:ascii="Calibri"/>
            <w:color w:val="0462C1"/>
            <w:sz w:val="20"/>
            <w:u w:val="single" w:color="0462C1"/>
          </w:rPr>
          <w:t>-</w:t>
        </w:r>
        <w:r>
          <w:rPr>
            <w:rFonts w:ascii="Calibri"/>
            <w:b/>
            <w:color w:val="0462C1"/>
            <w:sz w:val="20"/>
            <w:u w:val="single" w:color="0462C1"/>
          </w:rPr>
          <w:t>Review</w:t>
        </w:r>
        <w:r>
          <w:rPr>
            <w:rFonts w:ascii="Calibri"/>
            <w:color w:val="0462C1"/>
            <w:sz w:val="20"/>
            <w:u w:val="single" w:color="0462C1"/>
          </w:rPr>
          <w:t>-2014.docx</w:t>
        </w:r>
        <w:r>
          <w:rPr>
            <w:rFonts w:ascii="Calibri"/>
            <w:color w:val="0462C1"/>
            <w:sz w:val="20"/>
          </w:rPr>
        </w:r>
        <w:r>
          <w:rPr>
            <w:rFonts w:ascii="Calibri"/>
            <w:sz w:val="20"/>
          </w:rPr>
        </w:r>
      </w:hyperlink>
    </w:p>
    <w:p>
      <w:pPr>
        <w:pStyle w:val="BodyText"/>
        <w:spacing w:line="243" w:lineRule="exact"/>
        <w:ind w:right="0"/>
        <w:jc w:val="left"/>
      </w:pPr>
      <w:r>
        <w:rPr>
          <w:rFonts w:ascii="Calibri" w:hAnsi="Calibri" w:cs="Calibri" w:eastAsia="Calibri" w:hint="default"/>
        </w:rPr>
        <w:t>Chen, J. S., and Hsu, C. H. C.    </w:t>
      </w:r>
      <w:r>
        <w:rPr>
          <w:rFonts w:ascii="Calibri" w:hAnsi="Calibri" w:cs="Calibri" w:eastAsia="Calibri" w:hint="default"/>
          <w:spacing w:val="11"/>
        </w:rPr>
        <w:t> </w:t>
      </w:r>
      <w:r>
        <w:rPr>
          <w:rFonts w:ascii="Calibri" w:hAnsi="Calibri" w:cs="Calibri" w:eastAsia="Calibri" w:hint="default"/>
        </w:rPr>
        <w:t>(2000). Measurement of Korean tourists’ perceived images of oversea</w:t>
      </w:r>
      <w:r>
        <w:rPr/>
        <w:t>s destinations.</w:t>
      </w:r>
    </w:p>
    <w:p>
      <w:pPr>
        <w:spacing w:line="243" w:lineRule="exact" w:before="0"/>
        <w:ind w:left="2160" w:right="0" w:firstLine="0"/>
        <w:jc w:val="left"/>
        <w:rPr>
          <w:rFonts w:ascii="Calibri" w:hAnsi="Calibri" w:cs="Calibri" w:eastAsia="Calibri" w:hint="default"/>
          <w:sz w:val="20"/>
          <w:szCs w:val="20"/>
        </w:rPr>
      </w:pPr>
      <w:r>
        <w:rPr>
          <w:rFonts w:ascii="Calibri"/>
          <w:i/>
          <w:sz w:val="20"/>
        </w:rPr>
        <w:t>Journal of Travel Research, </w:t>
      </w:r>
      <w:r>
        <w:rPr>
          <w:rFonts w:ascii="Calibri"/>
          <w:sz w:val="20"/>
        </w:rPr>
        <w:t>38(3),</w:t>
      </w:r>
      <w:r>
        <w:rPr>
          <w:rFonts w:ascii="Calibri"/>
          <w:spacing w:val="-24"/>
          <w:sz w:val="20"/>
        </w:rPr>
        <w:t> </w:t>
      </w:r>
      <w:r>
        <w:rPr>
          <w:rFonts w:ascii="Calibri"/>
          <w:sz w:val="20"/>
        </w:rPr>
        <w:t>411-416.</w:t>
      </w:r>
    </w:p>
    <w:p>
      <w:pPr>
        <w:pStyle w:val="BodyText"/>
        <w:spacing w:line="240" w:lineRule="auto"/>
        <w:ind w:right="0"/>
        <w:jc w:val="left"/>
        <w:rPr>
          <w:rFonts w:ascii="Calibri" w:hAnsi="Calibri" w:cs="Calibri" w:eastAsia="Calibri" w:hint="default"/>
        </w:rPr>
      </w:pPr>
      <w:r>
        <w:rPr>
          <w:rFonts w:ascii="Calibri" w:hAnsi="Calibri" w:cs="Calibri" w:eastAsia="Calibri" w:hint="default"/>
        </w:rPr>
        <w:t>Chen, P. J., and Kerstetter, D. L. (1999). International students’ image of rural Pennsylvania as a travel </w:t>
      </w:r>
      <w:r>
        <w:rPr>
          <w:rFonts w:ascii="Calibri" w:hAnsi="Calibri" w:cs="Calibri" w:eastAsia="Calibri" w:hint="default"/>
          <w:spacing w:val="32"/>
        </w:rPr>
        <w:t> </w:t>
      </w:r>
      <w:r>
        <w:rPr>
          <w:rFonts w:ascii="Calibri" w:hAnsi="Calibri" w:cs="Calibri" w:eastAsia="Calibri" w:hint="default"/>
        </w:rPr>
        <w:t>destination.</w:t>
      </w:r>
    </w:p>
    <w:p>
      <w:pPr>
        <w:spacing w:before="1"/>
        <w:ind w:left="2160" w:right="0" w:firstLine="0"/>
        <w:jc w:val="left"/>
        <w:rPr>
          <w:rFonts w:ascii="Calibri" w:hAnsi="Calibri" w:cs="Calibri" w:eastAsia="Calibri" w:hint="default"/>
          <w:sz w:val="20"/>
          <w:szCs w:val="20"/>
        </w:rPr>
      </w:pPr>
      <w:r>
        <w:rPr>
          <w:rFonts w:ascii="Calibri"/>
          <w:i/>
          <w:sz w:val="20"/>
        </w:rPr>
        <w:t>Journal of Travel Research </w:t>
      </w:r>
      <w:r>
        <w:rPr>
          <w:rFonts w:ascii="Calibri"/>
          <w:sz w:val="20"/>
        </w:rPr>
        <w:t>37(2),</w:t>
      </w:r>
      <w:r>
        <w:rPr>
          <w:rFonts w:ascii="Calibri"/>
          <w:spacing w:val="-22"/>
          <w:sz w:val="20"/>
        </w:rPr>
        <w:t> </w:t>
      </w:r>
      <w:r>
        <w:rPr>
          <w:rFonts w:ascii="Calibri"/>
          <w:sz w:val="20"/>
        </w:rPr>
        <w:t>256-266.</w:t>
      </w:r>
    </w:p>
    <w:p>
      <w:pPr>
        <w:pStyle w:val="BodyText"/>
        <w:spacing w:line="240" w:lineRule="auto"/>
        <w:ind w:left="2160" w:right="1443" w:hanging="720"/>
        <w:jc w:val="both"/>
      </w:pPr>
      <w:r>
        <w:rPr/>
        <w:t>Court, B. and Lupton, R. A. (1997). Customer portfolio development: Modeling destination adapters, inactives, and rejecters.  Journal of Travel Research 36(1),</w:t>
      </w:r>
      <w:r>
        <w:rPr>
          <w:spacing w:val="-18"/>
        </w:rPr>
        <w:t> </w:t>
      </w:r>
      <w:r>
        <w:rPr/>
        <w:t>35-43.</w:t>
      </w:r>
    </w:p>
    <w:p>
      <w:pPr>
        <w:pStyle w:val="BodyText"/>
        <w:spacing w:line="240" w:lineRule="auto"/>
        <w:ind w:left="2160" w:right="1443" w:hanging="720"/>
        <w:jc w:val="both"/>
      </w:pPr>
      <w:r>
        <w:rPr/>
        <w:t>Croes,</w:t>
      </w:r>
      <w:r>
        <w:rPr>
          <w:spacing w:val="-4"/>
        </w:rPr>
        <w:t> </w:t>
      </w:r>
      <w:r>
        <w:rPr/>
        <w:t>R.,</w:t>
      </w:r>
      <w:r>
        <w:rPr>
          <w:spacing w:val="-4"/>
        </w:rPr>
        <w:t> </w:t>
      </w:r>
      <w:r>
        <w:rPr/>
        <w:t>Rivera,</w:t>
      </w:r>
      <w:r>
        <w:rPr>
          <w:spacing w:val="-4"/>
        </w:rPr>
        <w:t> </w:t>
      </w:r>
      <w:r>
        <w:rPr/>
        <w:t>M.</w:t>
      </w:r>
      <w:r>
        <w:rPr>
          <w:spacing w:val="-4"/>
        </w:rPr>
        <w:t> </w:t>
      </w:r>
      <w:r>
        <w:rPr/>
        <w:t>&amp;</w:t>
      </w:r>
      <w:r>
        <w:rPr>
          <w:spacing w:val="-4"/>
        </w:rPr>
        <w:t> </w:t>
      </w:r>
      <w:r>
        <w:rPr/>
        <w:t>Semrad,</w:t>
      </w:r>
      <w:r>
        <w:rPr>
          <w:spacing w:val="-4"/>
        </w:rPr>
        <w:t> </w:t>
      </w:r>
      <w:r>
        <w:rPr/>
        <w:t>K.</w:t>
      </w:r>
      <w:r>
        <w:rPr>
          <w:spacing w:val="-4"/>
        </w:rPr>
        <w:t> </w:t>
      </w:r>
      <w:r>
        <w:rPr/>
        <w:t>(2010).</w:t>
      </w:r>
      <w:r>
        <w:rPr>
          <w:spacing w:val="-4"/>
        </w:rPr>
        <w:t> </w:t>
      </w:r>
      <w:r>
        <w:rPr/>
        <w:t>Economic</w:t>
      </w:r>
      <w:r>
        <w:rPr>
          <w:spacing w:val="-5"/>
        </w:rPr>
        <w:t> </w:t>
      </w:r>
      <w:r>
        <w:rPr/>
        <w:t>Impact</w:t>
      </w:r>
      <w:r>
        <w:rPr>
          <w:spacing w:val="-2"/>
        </w:rPr>
        <w:t> </w:t>
      </w:r>
      <w:r>
        <w:rPr/>
        <w:t>Study,</w:t>
      </w:r>
      <w:r>
        <w:rPr>
          <w:spacing w:val="-5"/>
        </w:rPr>
        <w:t> </w:t>
      </w:r>
      <w:r>
        <w:rPr/>
        <w:t>Curacao</w:t>
      </w:r>
      <w:r>
        <w:rPr>
          <w:spacing w:val="-4"/>
        </w:rPr>
        <w:t> </w:t>
      </w:r>
      <w:r>
        <w:rPr/>
        <w:t>Tourist</w:t>
      </w:r>
      <w:r>
        <w:rPr>
          <w:spacing w:val="-4"/>
        </w:rPr>
        <w:t> </w:t>
      </w:r>
      <w:r>
        <w:rPr/>
        <w:t>Board.</w:t>
      </w:r>
      <w:r>
        <w:rPr>
          <w:spacing w:val="-4"/>
        </w:rPr>
        <w:t> </w:t>
      </w:r>
      <w:r>
        <w:rPr/>
        <w:t>Dick</w:t>
      </w:r>
      <w:r>
        <w:rPr>
          <w:spacing w:val="-4"/>
        </w:rPr>
        <w:t> </w:t>
      </w:r>
      <w:r>
        <w:rPr/>
        <w:t>Pope</w:t>
      </w:r>
      <w:r>
        <w:rPr>
          <w:spacing w:val="-5"/>
        </w:rPr>
        <w:t> </w:t>
      </w:r>
      <w:r>
        <w:rPr/>
        <w:t>Sr.</w:t>
      </w:r>
      <w:r>
        <w:rPr>
          <w:spacing w:val="-4"/>
        </w:rPr>
        <w:t> </w:t>
      </w:r>
      <w:r>
        <w:rPr/>
        <w:t>Institute</w:t>
      </w:r>
      <w:r>
        <w:rPr>
          <w:spacing w:val="-5"/>
        </w:rPr>
        <w:t> </w:t>
      </w:r>
      <w:r>
        <w:rPr/>
        <w:t>for </w:t>
      </w:r>
      <w:r>
        <w:rPr/>
        <w:t>Tourism Studies: Orlando,</w:t>
      </w:r>
      <w:r>
        <w:rPr>
          <w:spacing w:val="-17"/>
        </w:rPr>
        <w:t> </w:t>
      </w:r>
      <w:r>
        <w:rPr/>
        <w:t>FL.</w:t>
      </w:r>
    </w:p>
    <w:p>
      <w:pPr>
        <w:pStyle w:val="BodyText"/>
        <w:spacing w:line="243" w:lineRule="exact"/>
        <w:ind w:right="0"/>
        <w:jc w:val="left"/>
      </w:pPr>
      <w:r>
        <w:rPr/>
        <w:t>Croes,</w:t>
      </w:r>
      <w:r>
        <w:rPr>
          <w:spacing w:val="-3"/>
        </w:rPr>
        <w:t> </w:t>
      </w:r>
      <w:r>
        <w:rPr/>
        <w:t>R.,</w:t>
      </w:r>
      <w:r>
        <w:rPr>
          <w:spacing w:val="-3"/>
        </w:rPr>
        <w:t> </w:t>
      </w:r>
      <w:r>
        <w:rPr/>
        <w:t>Rivera,</w:t>
      </w:r>
      <w:r>
        <w:rPr>
          <w:spacing w:val="-3"/>
        </w:rPr>
        <w:t> </w:t>
      </w:r>
      <w:r>
        <w:rPr/>
        <w:t>M.</w:t>
      </w:r>
      <w:r>
        <w:rPr>
          <w:spacing w:val="-3"/>
        </w:rPr>
        <w:t> </w:t>
      </w:r>
      <w:r>
        <w:rPr/>
        <w:t>&amp;</w:t>
      </w:r>
      <w:r>
        <w:rPr>
          <w:spacing w:val="-3"/>
        </w:rPr>
        <w:t> </w:t>
      </w:r>
      <w:r>
        <w:rPr/>
        <w:t>Semrad,</w:t>
      </w:r>
      <w:r>
        <w:rPr>
          <w:spacing w:val="-3"/>
        </w:rPr>
        <w:t> </w:t>
      </w:r>
      <w:r>
        <w:rPr/>
        <w:t>K.</w:t>
      </w:r>
      <w:r>
        <w:rPr>
          <w:spacing w:val="-3"/>
        </w:rPr>
        <w:t> </w:t>
      </w:r>
      <w:r>
        <w:rPr/>
        <w:t>(2010).</w:t>
      </w:r>
      <w:r>
        <w:rPr>
          <w:spacing w:val="-3"/>
        </w:rPr>
        <w:t> </w:t>
      </w:r>
      <w:r>
        <w:rPr/>
        <w:t>Economic</w:t>
      </w:r>
      <w:r>
        <w:rPr>
          <w:spacing w:val="-4"/>
        </w:rPr>
        <w:t> </w:t>
      </w:r>
      <w:r>
        <w:rPr/>
        <w:t>Impact</w:t>
      </w:r>
      <w:r>
        <w:rPr>
          <w:spacing w:val="-2"/>
        </w:rPr>
        <w:t> </w:t>
      </w:r>
      <w:r>
        <w:rPr/>
        <w:t>Study,</w:t>
      </w:r>
      <w:r>
        <w:rPr>
          <w:spacing w:val="-3"/>
        </w:rPr>
        <w:t> </w:t>
      </w:r>
      <w:r>
        <w:rPr/>
        <w:t>Curacao</w:t>
      </w:r>
      <w:r>
        <w:rPr>
          <w:spacing w:val="-3"/>
        </w:rPr>
        <w:t> </w:t>
      </w:r>
      <w:r>
        <w:rPr/>
        <w:t>Tourist</w:t>
      </w:r>
      <w:r>
        <w:rPr>
          <w:spacing w:val="-3"/>
        </w:rPr>
        <w:t> </w:t>
      </w:r>
      <w:r>
        <w:rPr/>
        <w:t>Board.</w:t>
      </w:r>
    </w:p>
    <w:p>
      <w:pPr>
        <w:pStyle w:val="BodyText"/>
        <w:spacing w:line="240" w:lineRule="auto"/>
        <w:ind w:left="2160" w:right="1436" w:hanging="720"/>
        <w:jc w:val="both"/>
      </w:pPr>
      <w:r>
        <w:rPr/>
        <w:t>Croes,</w:t>
      </w:r>
      <w:r>
        <w:rPr>
          <w:spacing w:val="-7"/>
        </w:rPr>
        <w:t> </w:t>
      </w:r>
      <w:r>
        <w:rPr/>
        <w:t>R.,</w:t>
      </w:r>
      <w:r>
        <w:rPr>
          <w:spacing w:val="-7"/>
        </w:rPr>
        <w:t> </w:t>
      </w:r>
      <w:r>
        <w:rPr/>
        <w:t>Rivera,</w:t>
      </w:r>
      <w:r>
        <w:rPr>
          <w:spacing w:val="-7"/>
        </w:rPr>
        <w:t> </w:t>
      </w:r>
      <w:r>
        <w:rPr/>
        <w:t>M.</w:t>
      </w:r>
      <w:r>
        <w:rPr>
          <w:spacing w:val="-8"/>
        </w:rPr>
        <w:t> </w:t>
      </w:r>
      <w:r>
        <w:rPr/>
        <w:t>and</w:t>
      </w:r>
      <w:r>
        <w:rPr>
          <w:spacing w:val="-7"/>
        </w:rPr>
        <w:t> </w:t>
      </w:r>
      <w:r>
        <w:rPr/>
        <w:t>Semrad,</w:t>
      </w:r>
      <w:r>
        <w:rPr>
          <w:spacing w:val="-7"/>
        </w:rPr>
        <w:t> </w:t>
      </w:r>
      <w:r>
        <w:rPr/>
        <w:t>K.</w:t>
      </w:r>
      <w:r>
        <w:rPr>
          <w:spacing w:val="-8"/>
        </w:rPr>
        <w:t> </w:t>
      </w:r>
      <w:r>
        <w:rPr/>
        <w:t>(2010).</w:t>
      </w:r>
      <w:r>
        <w:rPr>
          <w:spacing w:val="-8"/>
        </w:rPr>
        <w:t> </w:t>
      </w:r>
      <w:r>
        <w:rPr/>
        <w:t>Curacao</w:t>
      </w:r>
      <w:r>
        <w:rPr>
          <w:spacing w:val="-7"/>
        </w:rPr>
        <w:t> </w:t>
      </w:r>
      <w:r>
        <w:rPr/>
        <w:t>Tourism</w:t>
      </w:r>
      <w:r>
        <w:rPr>
          <w:spacing w:val="-9"/>
        </w:rPr>
        <w:t> </w:t>
      </w:r>
      <w:r>
        <w:rPr/>
        <w:t>Economic</w:t>
      </w:r>
      <w:r>
        <w:rPr>
          <w:spacing w:val="-9"/>
        </w:rPr>
        <w:t> </w:t>
      </w:r>
      <w:r>
        <w:rPr/>
        <w:t>Impact</w:t>
      </w:r>
      <w:r>
        <w:rPr>
          <w:spacing w:val="-8"/>
        </w:rPr>
        <w:t> </w:t>
      </w:r>
      <w:r>
        <w:rPr/>
        <w:t>2007-2008,</w:t>
      </w:r>
      <w:r>
        <w:rPr>
          <w:spacing w:val="-7"/>
        </w:rPr>
        <w:t> </w:t>
      </w:r>
      <w:r>
        <w:rPr/>
        <w:t>prepared</w:t>
      </w:r>
      <w:r>
        <w:rPr>
          <w:spacing w:val="-7"/>
        </w:rPr>
        <w:t> </w:t>
      </w:r>
      <w:r>
        <w:rPr/>
        <w:t>for</w:t>
      </w:r>
      <w:r>
        <w:rPr>
          <w:spacing w:val="-8"/>
        </w:rPr>
        <w:t> </w:t>
      </w:r>
      <w:r>
        <w:rPr/>
        <w:t>the</w:t>
      </w:r>
      <w:r>
        <w:rPr>
          <w:spacing w:val="-9"/>
        </w:rPr>
        <w:t> </w:t>
      </w:r>
      <w:r>
        <w:rPr/>
        <w:t>Curacao </w:t>
      </w:r>
      <w:r>
        <w:rPr/>
        <w:t>Tourist Board, DPITS, Orlando, September</w:t>
      </w:r>
      <w:r>
        <w:rPr>
          <w:spacing w:val="-22"/>
        </w:rPr>
        <w:t> </w:t>
      </w:r>
      <w:r>
        <w:rPr/>
        <w:t>15.</w:t>
      </w:r>
    </w:p>
    <w:p>
      <w:pPr>
        <w:tabs>
          <w:tab w:pos="2973" w:val="left" w:leader="none"/>
          <w:tab w:pos="4327" w:val="left" w:leader="none"/>
          <w:tab w:pos="5761" w:val="left" w:leader="none"/>
          <w:tab w:pos="6805" w:val="left" w:leader="none"/>
          <w:tab w:pos="7956" w:val="left" w:leader="none"/>
          <w:tab w:pos="9129" w:val="left" w:leader="none"/>
          <w:tab w:pos="10105" w:val="left" w:leader="none"/>
        </w:tabs>
        <w:spacing w:before="0"/>
        <w:ind w:left="2160" w:right="1437" w:hanging="720"/>
        <w:jc w:val="both"/>
        <w:rPr>
          <w:rFonts w:ascii="Calibri" w:hAnsi="Calibri" w:cs="Calibri" w:eastAsia="Calibri" w:hint="default"/>
          <w:sz w:val="20"/>
          <w:szCs w:val="20"/>
        </w:rPr>
      </w:pPr>
      <w:r>
        <w:rPr>
          <w:rFonts w:ascii="Calibri"/>
          <w:sz w:val="20"/>
        </w:rPr>
        <w:t>Croes,</w:t>
      </w:r>
      <w:r>
        <w:rPr>
          <w:rFonts w:ascii="Calibri"/>
          <w:spacing w:val="-7"/>
          <w:sz w:val="20"/>
        </w:rPr>
        <w:t> </w:t>
      </w:r>
      <w:r>
        <w:rPr>
          <w:rFonts w:ascii="Calibri"/>
          <w:sz w:val="20"/>
        </w:rPr>
        <w:t>R.,</w:t>
      </w:r>
      <w:r>
        <w:rPr>
          <w:rFonts w:ascii="Calibri"/>
          <w:spacing w:val="-7"/>
          <w:sz w:val="20"/>
        </w:rPr>
        <w:t> </w:t>
      </w:r>
      <w:r>
        <w:rPr>
          <w:rFonts w:ascii="Calibri"/>
          <w:sz w:val="20"/>
        </w:rPr>
        <w:t>Rivera,</w:t>
      </w:r>
      <w:r>
        <w:rPr>
          <w:rFonts w:ascii="Calibri"/>
          <w:spacing w:val="-7"/>
          <w:sz w:val="20"/>
        </w:rPr>
        <w:t> </w:t>
      </w:r>
      <w:r>
        <w:rPr>
          <w:rFonts w:ascii="Calibri"/>
          <w:sz w:val="20"/>
        </w:rPr>
        <w:t>M.,</w:t>
      </w:r>
      <w:r>
        <w:rPr>
          <w:rFonts w:ascii="Calibri"/>
          <w:spacing w:val="-7"/>
          <w:sz w:val="20"/>
        </w:rPr>
        <w:t> </w:t>
      </w:r>
      <w:r>
        <w:rPr>
          <w:rFonts w:ascii="Calibri"/>
          <w:sz w:val="20"/>
        </w:rPr>
        <w:t>Pizam,</w:t>
      </w:r>
      <w:r>
        <w:rPr>
          <w:rFonts w:ascii="Calibri"/>
          <w:spacing w:val="-7"/>
          <w:sz w:val="20"/>
        </w:rPr>
        <w:t> </w:t>
      </w:r>
      <w:r>
        <w:rPr>
          <w:rFonts w:ascii="Calibri"/>
          <w:sz w:val="20"/>
        </w:rPr>
        <w:t>A.,</w:t>
      </w:r>
      <w:r>
        <w:rPr>
          <w:rFonts w:ascii="Calibri"/>
          <w:spacing w:val="-7"/>
          <w:sz w:val="20"/>
        </w:rPr>
        <w:t> </w:t>
      </w:r>
      <w:r>
        <w:rPr>
          <w:rFonts w:ascii="Calibri"/>
          <w:sz w:val="20"/>
        </w:rPr>
        <w:t>Lee,</w:t>
      </w:r>
      <w:r>
        <w:rPr>
          <w:rFonts w:ascii="Calibri"/>
          <w:spacing w:val="-7"/>
          <w:sz w:val="20"/>
        </w:rPr>
        <w:t> </w:t>
      </w:r>
      <w:r>
        <w:rPr>
          <w:rFonts w:ascii="Calibri"/>
          <w:sz w:val="20"/>
        </w:rPr>
        <w:t>S.</w:t>
      </w:r>
      <w:r>
        <w:rPr>
          <w:rFonts w:ascii="Calibri"/>
          <w:spacing w:val="-8"/>
          <w:sz w:val="20"/>
        </w:rPr>
        <w:t> </w:t>
      </w:r>
      <w:r>
        <w:rPr>
          <w:rFonts w:ascii="Calibri"/>
          <w:sz w:val="20"/>
        </w:rPr>
        <w:t>H.,</w:t>
      </w:r>
      <w:r>
        <w:rPr>
          <w:rFonts w:ascii="Calibri"/>
          <w:spacing w:val="-7"/>
          <w:sz w:val="20"/>
        </w:rPr>
        <w:t> </w:t>
      </w:r>
      <w:r>
        <w:rPr>
          <w:rFonts w:ascii="Calibri"/>
          <w:sz w:val="20"/>
        </w:rPr>
        <w:t>Zhong,</w:t>
      </w:r>
      <w:r>
        <w:rPr>
          <w:rFonts w:ascii="Calibri"/>
          <w:spacing w:val="-7"/>
          <w:sz w:val="20"/>
        </w:rPr>
        <w:t> </w:t>
      </w:r>
      <w:r>
        <w:rPr>
          <w:rFonts w:ascii="Calibri"/>
          <w:sz w:val="20"/>
        </w:rPr>
        <w:t>Y.</w:t>
      </w:r>
      <w:r>
        <w:rPr>
          <w:rFonts w:ascii="Calibri"/>
          <w:spacing w:val="-8"/>
          <w:sz w:val="20"/>
        </w:rPr>
        <w:t> </w:t>
      </w:r>
      <w:r>
        <w:rPr>
          <w:rFonts w:ascii="Calibri"/>
          <w:sz w:val="20"/>
        </w:rPr>
        <w:t>Y.,</w:t>
      </w:r>
      <w:r>
        <w:rPr>
          <w:rFonts w:ascii="Calibri"/>
          <w:spacing w:val="-7"/>
          <w:sz w:val="20"/>
        </w:rPr>
        <w:t> </w:t>
      </w:r>
      <w:r>
        <w:rPr>
          <w:rFonts w:ascii="Calibri"/>
          <w:sz w:val="20"/>
        </w:rPr>
        <w:t>(2011)</w:t>
      </w:r>
      <w:r>
        <w:rPr>
          <w:rFonts w:ascii="Calibri"/>
          <w:spacing w:val="-5"/>
          <w:sz w:val="20"/>
        </w:rPr>
        <w:t> </w:t>
      </w:r>
      <w:r>
        <w:rPr>
          <w:rFonts w:ascii="Calibri"/>
          <w:i/>
          <w:sz w:val="20"/>
        </w:rPr>
        <w:t>Winning</w:t>
      </w:r>
      <w:r>
        <w:rPr>
          <w:rFonts w:ascii="Calibri"/>
          <w:i/>
          <w:spacing w:val="-7"/>
          <w:sz w:val="20"/>
        </w:rPr>
        <w:t> </w:t>
      </w:r>
      <w:r>
        <w:rPr>
          <w:rFonts w:ascii="Calibri"/>
          <w:i/>
          <w:sz w:val="20"/>
        </w:rPr>
        <w:t>the</w:t>
      </w:r>
      <w:r>
        <w:rPr>
          <w:rFonts w:ascii="Calibri"/>
          <w:i/>
          <w:spacing w:val="-7"/>
          <w:sz w:val="20"/>
        </w:rPr>
        <w:t> </w:t>
      </w:r>
      <w:r>
        <w:rPr>
          <w:rFonts w:ascii="Calibri"/>
          <w:i/>
          <w:sz w:val="20"/>
        </w:rPr>
        <w:t>future</w:t>
      </w:r>
      <w:r>
        <w:rPr>
          <w:rFonts w:ascii="Calibri"/>
          <w:sz w:val="20"/>
        </w:rPr>
        <w:t>:</w:t>
      </w:r>
      <w:r>
        <w:rPr>
          <w:rFonts w:ascii="Calibri"/>
          <w:spacing w:val="-8"/>
          <w:sz w:val="20"/>
        </w:rPr>
        <w:t> </w:t>
      </w:r>
      <w:r>
        <w:rPr>
          <w:rFonts w:ascii="Calibri"/>
          <w:i/>
          <w:sz w:val="20"/>
        </w:rPr>
        <w:t>Strategic</w:t>
      </w:r>
      <w:r>
        <w:rPr>
          <w:rFonts w:ascii="Calibri"/>
          <w:i/>
          <w:spacing w:val="-9"/>
          <w:sz w:val="20"/>
        </w:rPr>
        <w:t> </w:t>
      </w:r>
      <w:r>
        <w:rPr>
          <w:rFonts w:ascii="Calibri"/>
          <w:i/>
          <w:sz w:val="20"/>
        </w:rPr>
        <w:t>Plan</w:t>
      </w:r>
      <w:r>
        <w:rPr>
          <w:rFonts w:ascii="Calibri"/>
          <w:i/>
          <w:spacing w:val="-7"/>
          <w:sz w:val="20"/>
        </w:rPr>
        <w:t> </w:t>
      </w:r>
      <w:r>
        <w:rPr>
          <w:rFonts w:ascii="Calibri"/>
          <w:i/>
          <w:sz w:val="20"/>
        </w:rPr>
        <w:t>for</w:t>
      </w:r>
      <w:r>
        <w:rPr>
          <w:rFonts w:ascii="Calibri"/>
          <w:i/>
          <w:spacing w:val="-9"/>
          <w:sz w:val="20"/>
        </w:rPr>
        <w:t> </w:t>
      </w:r>
      <w:r>
        <w:rPr>
          <w:rFonts w:ascii="Calibri"/>
          <w:i/>
          <w:sz w:val="20"/>
        </w:rPr>
        <w:t>the</w:t>
      </w:r>
      <w:r>
        <w:rPr>
          <w:rFonts w:ascii="Calibri"/>
          <w:i/>
          <w:spacing w:val="-7"/>
          <w:sz w:val="20"/>
        </w:rPr>
        <w:t> </w:t>
      </w:r>
      <w:r>
        <w:rPr>
          <w:rFonts w:ascii="Calibri"/>
          <w:i/>
          <w:sz w:val="20"/>
        </w:rPr>
        <w:t>development </w:t>
      </w:r>
      <w:r>
        <w:rPr>
          <w:rFonts w:ascii="Calibri"/>
          <w:i/>
          <w:sz w:val="20"/>
        </w:rPr>
      </w:r>
      <w:r>
        <w:rPr>
          <w:rFonts w:ascii="Calibri"/>
          <w:i/>
          <w:w w:val="95"/>
          <w:sz w:val="20"/>
        </w:rPr>
        <w:t>of</w:t>
        <w:tab/>
      </w:r>
      <w:r>
        <w:rPr>
          <w:rFonts w:ascii="Calibri"/>
          <w:i/>
          <w:spacing w:val="-1"/>
          <w:sz w:val="20"/>
        </w:rPr>
        <w:t>Tourism</w:t>
      </w:r>
      <w:r>
        <w:rPr>
          <w:rFonts w:ascii="Calibri"/>
          <w:spacing w:val="-1"/>
          <w:sz w:val="20"/>
        </w:rPr>
        <w:t>.</w:t>
        <w:tab/>
      </w:r>
      <w:r>
        <w:rPr>
          <w:rFonts w:ascii="Calibri"/>
          <w:w w:val="95"/>
          <w:sz w:val="20"/>
        </w:rPr>
        <w:t>Retrieved</w:t>
        <w:tab/>
      </w:r>
      <w:r>
        <w:rPr>
          <w:rFonts w:ascii="Calibri"/>
          <w:spacing w:val="-1"/>
          <w:sz w:val="20"/>
        </w:rPr>
        <w:t>from</w:t>
        <w:tab/>
      </w:r>
      <w:r>
        <w:rPr>
          <w:rFonts w:ascii="Calibri"/>
          <w:w w:val="95"/>
          <w:sz w:val="20"/>
        </w:rPr>
        <w:t>digital</w:t>
        <w:tab/>
        <w:t>library</w:t>
        <w:tab/>
      </w:r>
      <w:r>
        <w:rPr>
          <w:rFonts w:ascii="Calibri"/>
          <w:spacing w:val="-1"/>
          <w:w w:val="95"/>
          <w:sz w:val="20"/>
        </w:rPr>
        <w:t>UCF</w:t>
        <w:tab/>
      </w:r>
      <w:r>
        <w:rPr>
          <w:rFonts w:ascii="Calibri"/>
          <w:spacing w:val="-1"/>
          <w:sz w:val="20"/>
        </w:rPr>
        <w:t>website:</w:t>
      </w:r>
      <w:r>
        <w:rPr>
          <w:rFonts w:ascii="Calibri"/>
          <w:sz w:val="20"/>
        </w:rPr>
        <w:t> </w:t>
      </w:r>
      <w:r>
        <w:rPr>
          <w:rFonts w:ascii="Calibri"/>
          <w:sz w:val="20"/>
        </w:rPr>
      </w:r>
      <w:r>
        <w:rPr>
          <w:rFonts w:ascii="Calibri"/>
          <w:color w:val="0462C1"/>
          <w:sz w:val="20"/>
        </w:rPr>
      </w:r>
      <w:hyperlink r:id="rId83">
        <w:r>
          <w:rPr>
            <w:rFonts w:ascii="Calibri"/>
            <w:color w:val="0462C1"/>
            <w:sz w:val="20"/>
            <w:u w:val="single" w:color="0462C1"/>
          </w:rPr>
          <w:t>http://digital.library.ucf.edu/cdm/ref/collection/DPI/id/17</w:t>
        </w:r>
        <w:r>
          <w:rPr>
            <w:rFonts w:ascii="Calibri"/>
            <w:color w:val="0462C1"/>
            <w:sz w:val="20"/>
          </w:rPr>
        </w:r>
        <w:r>
          <w:rPr>
            <w:rFonts w:ascii="Calibri"/>
            <w:sz w:val="20"/>
          </w:rPr>
        </w:r>
      </w:hyperlink>
    </w:p>
    <w:p>
      <w:pPr>
        <w:spacing w:before="0"/>
        <w:ind w:left="2160" w:right="1440" w:hanging="720"/>
        <w:jc w:val="both"/>
        <w:rPr>
          <w:rFonts w:ascii="Calibri" w:hAnsi="Calibri" w:cs="Calibri" w:eastAsia="Calibri" w:hint="default"/>
          <w:sz w:val="20"/>
          <w:szCs w:val="20"/>
        </w:rPr>
      </w:pPr>
      <w:r>
        <w:rPr>
          <w:rFonts w:ascii="Calibri"/>
          <w:sz w:val="20"/>
        </w:rPr>
        <w:t>Croes, R., Rivera, R., Semrad, K., Dickson, D., Pizam, A., Shapoval, V., and Orlowski, M. (2014). </w:t>
      </w:r>
      <w:r>
        <w:rPr>
          <w:rFonts w:ascii="Calibri"/>
          <w:i/>
          <w:sz w:val="20"/>
        </w:rPr>
        <w:t>From Attribute orientation</w:t>
      </w:r>
      <w:r>
        <w:rPr>
          <w:rFonts w:ascii="Calibri"/>
          <w:i/>
          <w:spacing w:val="-4"/>
          <w:sz w:val="20"/>
        </w:rPr>
        <w:t> </w:t>
      </w:r>
      <w:r>
        <w:rPr>
          <w:rFonts w:ascii="Calibri"/>
          <w:i/>
          <w:sz w:val="20"/>
        </w:rPr>
        <w:t>to</w:t>
      </w:r>
      <w:r>
        <w:rPr>
          <w:rFonts w:ascii="Calibri"/>
          <w:i/>
          <w:spacing w:val="-4"/>
          <w:sz w:val="20"/>
        </w:rPr>
        <w:t> </w:t>
      </w:r>
      <w:r>
        <w:rPr>
          <w:rFonts w:ascii="Calibri"/>
          <w:i/>
          <w:sz w:val="20"/>
        </w:rPr>
        <w:t>experiential</w:t>
      </w:r>
      <w:r>
        <w:rPr>
          <w:rFonts w:ascii="Calibri"/>
          <w:i/>
          <w:spacing w:val="-5"/>
          <w:sz w:val="20"/>
        </w:rPr>
        <w:t> </w:t>
      </w:r>
      <w:r>
        <w:rPr>
          <w:rFonts w:ascii="Calibri"/>
          <w:i/>
          <w:sz w:val="20"/>
        </w:rPr>
        <w:t>consumption:</w:t>
      </w:r>
      <w:r>
        <w:rPr>
          <w:rFonts w:ascii="Calibri"/>
          <w:i/>
          <w:spacing w:val="-5"/>
          <w:sz w:val="20"/>
        </w:rPr>
        <w:t> </w:t>
      </w:r>
      <w:r>
        <w:rPr>
          <w:rFonts w:ascii="Calibri"/>
          <w:i/>
          <w:sz w:val="20"/>
        </w:rPr>
        <w:t>the</w:t>
      </w:r>
      <w:r>
        <w:rPr>
          <w:rFonts w:ascii="Calibri"/>
          <w:i/>
          <w:spacing w:val="-4"/>
          <w:sz w:val="20"/>
        </w:rPr>
        <w:t> </w:t>
      </w:r>
      <w:r>
        <w:rPr>
          <w:rFonts w:ascii="Calibri"/>
          <w:i/>
          <w:sz w:val="20"/>
        </w:rPr>
        <w:t>future</w:t>
      </w:r>
      <w:r>
        <w:rPr>
          <w:rFonts w:ascii="Calibri"/>
          <w:i/>
          <w:spacing w:val="-4"/>
          <w:sz w:val="20"/>
        </w:rPr>
        <w:t> </w:t>
      </w:r>
      <w:r>
        <w:rPr>
          <w:rFonts w:ascii="Calibri"/>
          <w:i/>
          <w:sz w:val="20"/>
        </w:rPr>
        <w:t>of</w:t>
      </w:r>
      <w:r>
        <w:rPr>
          <w:rFonts w:ascii="Calibri"/>
          <w:i/>
          <w:spacing w:val="-6"/>
          <w:sz w:val="20"/>
        </w:rPr>
        <w:t> </w:t>
      </w:r>
      <w:r>
        <w:rPr>
          <w:rFonts w:ascii="Calibri"/>
          <w:i/>
          <w:sz w:val="20"/>
        </w:rPr>
        <w:t>tourism</w:t>
      </w:r>
      <w:r>
        <w:rPr>
          <w:rFonts w:ascii="Calibri"/>
          <w:i/>
          <w:spacing w:val="-4"/>
          <w:sz w:val="20"/>
        </w:rPr>
        <w:t> </w:t>
      </w:r>
      <w:r>
        <w:rPr>
          <w:rFonts w:ascii="Calibri"/>
          <w:i/>
          <w:sz w:val="20"/>
        </w:rPr>
        <w:t>in</w:t>
      </w:r>
      <w:r>
        <w:rPr>
          <w:rFonts w:ascii="Calibri"/>
          <w:i/>
          <w:spacing w:val="3"/>
          <w:sz w:val="20"/>
        </w:rPr>
        <w:t> </w:t>
      </w:r>
      <w:r>
        <w:rPr>
          <w:rFonts w:ascii="Calibri"/>
          <w:i/>
          <w:sz w:val="20"/>
        </w:rPr>
        <w:t>Curacao.</w:t>
      </w:r>
      <w:r>
        <w:rPr>
          <w:rFonts w:ascii="Calibri"/>
          <w:i/>
          <w:spacing w:val="-3"/>
          <w:sz w:val="20"/>
        </w:rPr>
        <w:t> </w:t>
      </w:r>
      <w:r>
        <w:rPr>
          <w:rFonts w:ascii="Calibri"/>
          <w:sz w:val="20"/>
        </w:rPr>
        <w:t>Curacao</w:t>
      </w:r>
      <w:r>
        <w:rPr>
          <w:rFonts w:ascii="Calibri"/>
          <w:spacing w:val="-4"/>
          <w:sz w:val="20"/>
        </w:rPr>
        <w:t> </w:t>
      </w:r>
      <w:r>
        <w:rPr>
          <w:rFonts w:ascii="Calibri"/>
          <w:sz w:val="20"/>
        </w:rPr>
        <w:t>Tourism</w:t>
      </w:r>
      <w:r>
        <w:rPr>
          <w:rFonts w:ascii="Calibri"/>
          <w:spacing w:val="-5"/>
          <w:sz w:val="20"/>
        </w:rPr>
        <w:t> </w:t>
      </w:r>
      <w:r>
        <w:rPr>
          <w:rFonts w:ascii="Calibri"/>
          <w:sz w:val="20"/>
        </w:rPr>
        <w:t>Board.</w:t>
      </w:r>
    </w:p>
    <w:p>
      <w:pPr>
        <w:pStyle w:val="BodyText"/>
        <w:spacing w:line="240" w:lineRule="auto"/>
        <w:ind w:left="2160" w:right="1448" w:hanging="720"/>
        <w:jc w:val="both"/>
      </w:pPr>
      <w:r>
        <w:rPr/>
        <w:t>Crompton, J. L. (1979). An assessment of the image of Mexico as a vacation destination and the influence of geographical location upon that image. Journal of Travel Research</w:t>
      </w:r>
      <w:r>
        <w:rPr>
          <w:spacing w:val="-27"/>
        </w:rPr>
        <w:t> </w:t>
      </w:r>
      <w:r>
        <w:rPr/>
        <w:t>17(1):18-23.</w:t>
      </w:r>
    </w:p>
    <w:p>
      <w:pPr>
        <w:pStyle w:val="BodyText"/>
        <w:spacing w:line="240" w:lineRule="auto"/>
        <w:ind w:left="2160" w:right="1436" w:hanging="720"/>
        <w:jc w:val="both"/>
      </w:pPr>
      <w:r>
        <w:rPr/>
        <w:t>Curacao Central Bureau of Statistics (2002). </w:t>
      </w:r>
      <w:r>
        <w:rPr>
          <w:rFonts w:ascii="Calibri"/>
          <w:i/>
        </w:rPr>
        <w:t>Income from direct taxes</w:t>
      </w:r>
      <w:r>
        <w:rPr/>
        <w:t>. Retrieved from </w:t>
      </w:r>
      <w:r>
        <w:rPr>
          <w:color w:val="0462C1"/>
        </w:rPr>
      </w:r>
      <w:hyperlink r:id="rId36">
        <w:r>
          <w:rPr>
            <w:color w:val="0462C1"/>
            <w:u w:val="single" w:color="0462C1"/>
          </w:rPr>
          <w:t>http://www.cbs.cw/cbs/themes/Economy/DataEconomy-2014062794434.pdf</w:t>
        </w:r>
        <w:r>
          <w:rPr>
            <w:color w:val="0462C1"/>
          </w:rPr>
        </w:r>
        <w:r>
          <w:rPr/>
        </w:r>
      </w:hyperlink>
    </w:p>
    <w:p>
      <w:pPr>
        <w:pStyle w:val="BodyText"/>
        <w:spacing w:line="240" w:lineRule="auto"/>
        <w:ind w:left="2160" w:right="1439" w:hanging="675"/>
        <w:jc w:val="both"/>
      </w:pPr>
      <w:r>
        <w:rPr/>
        <w:t>Curacao Central Bureau of Statistics (2014). </w:t>
      </w:r>
      <w:r>
        <w:rPr>
          <w:rFonts w:ascii="Calibri"/>
          <w:i/>
        </w:rPr>
        <w:t>Income from direct taxes</w:t>
      </w:r>
      <w:r>
        <w:rPr/>
        <w:t>. Retrieved from </w:t>
      </w:r>
      <w:r>
        <w:rPr>
          <w:color w:val="0462C1"/>
        </w:rPr>
      </w:r>
      <w:hyperlink r:id="rId38">
        <w:r>
          <w:rPr>
            <w:color w:val="0462C1"/>
            <w:u w:val="single" w:color="0462C1"/>
          </w:rPr>
          <w:t>http://www.cbs.cw/cbs/themes/Economy/DataEconomy-2014062794515.pdf</w:t>
        </w:r>
        <w:r>
          <w:rPr>
            <w:color w:val="0462C1"/>
          </w:rPr>
        </w:r>
        <w:r>
          <w:rPr/>
        </w:r>
      </w:hyperlink>
    </w:p>
    <w:p>
      <w:pPr>
        <w:pStyle w:val="BodyText"/>
        <w:spacing w:line="243" w:lineRule="exact"/>
        <w:ind w:right="0"/>
        <w:jc w:val="left"/>
      </w:pPr>
      <w:r>
        <w:rPr/>
        <w:t>Dadgostar, B. and Isotalo, R.  M. (1992).  Factors affecting  time  spent by near-home tourists in  city  </w:t>
      </w:r>
      <w:r>
        <w:rPr>
          <w:spacing w:val="42"/>
        </w:rPr>
        <w:t> </w:t>
      </w:r>
      <w:r>
        <w:rPr/>
        <w:t>destinations.</w:t>
      </w:r>
    </w:p>
    <w:p>
      <w:pPr>
        <w:spacing w:line="243" w:lineRule="exact" w:before="0"/>
        <w:ind w:left="2160" w:right="0" w:firstLine="0"/>
        <w:jc w:val="left"/>
        <w:rPr>
          <w:rFonts w:ascii="Calibri" w:hAnsi="Calibri" w:cs="Calibri" w:eastAsia="Calibri" w:hint="default"/>
          <w:sz w:val="20"/>
          <w:szCs w:val="20"/>
        </w:rPr>
      </w:pPr>
      <w:r>
        <w:rPr>
          <w:rFonts w:ascii="Calibri"/>
          <w:i/>
          <w:sz w:val="20"/>
        </w:rPr>
        <w:t>Journal of Travel Research </w:t>
      </w:r>
      <w:r>
        <w:rPr>
          <w:rFonts w:ascii="Calibri"/>
          <w:sz w:val="20"/>
        </w:rPr>
        <w:t>30 (Fall),</w:t>
      </w:r>
      <w:r>
        <w:rPr>
          <w:rFonts w:ascii="Calibri"/>
          <w:spacing w:val="-21"/>
          <w:sz w:val="20"/>
        </w:rPr>
        <w:t> </w:t>
      </w:r>
      <w:r>
        <w:rPr>
          <w:rFonts w:ascii="Calibri"/>
          <w:sz w:val="20"/>
        </w:rPr>
        <w:t>34-39.</w:t>
      </w:r>
    </w:p>
    <w:p>
      <w:pPr>
        <w:pStyle w:val="BodyText"/>
        <w:spacing w:line="240" w:lineRule="auto"/>
        <w:ind w:left="2160" w:right="1438" w:hanging="720"/>
        <w:jc w:val="both"/>
      </w:pPr>
      <w:r>
        <w:rPr>
          <w:rFonts w:ascii="Calibri" w:hAnsi="Calibri" w:cs="Calibri" w:eastAsia="Calibri" w:hint="default"/>
        </w:rPr>
        <w:t>Dann, G. M. S. (1996). Tourists’ images of a destination</w:t>
      </w:r>
      <w:r>
        <w:rPr/>
        <w:t>-An alternative analysis. Recent Advances in Tourism Marketing Research</w:t>
      </w:r>
      <w:r>
        <w:rPr>
          <w:spacing w:val="-13"/>
        </w:rPr>
        <w:t> </w:t>
      </w:r>
      <w:r>
        <w:rPr/>
        <w:t>5(1/2):41-55.</w:t>
      </w:r>
    </w:p>
    <w:p>
      <w:pPr>
        <w:pStyle w:val="BodyText"/>
        <w:tabs>
          <w:tab w:pos="2436" w:val="left" w:leader="none"/>
          <w:tab w:pos="3052" w:val="left" w:leader="none"/>
          <w:tab w:pos="4038" w:val="left" w:leader="none"/>
          <w:tab w:pos="5093" w:val="left" w:leader="none"/>
          <w:tab w:pos="6075" w:val="left" w:leader="none"/>
          <w:tab w:pos="7367" w:val="left" w:leader="none"/>
          <w:tab w:pos="8135" w:val="left" w:leader="none"/>
          <w:tab w:pos="9140" w:val="left" w:leader="none"/>
          <w:tab w:pos="10404" w:val="left" w:leader="none"/>
        </w:tabs>
        <w:spacing w:line="240" w:lineRule="auto"/>
        <w:ind w:left="2160" w:right="1439" w:hanging="720"/>
        <w:jc w:val="both"/>
      </w:pPr>
      <w:r>
        <w:rPr>
          <w:spacing w:val="-1"/>
        </w:rPr>
        <w:t>Ernest</w:t>
        <w:tab/>
        <w:tab/>
      </w:r>
      <w:r>
        <w:rPr>
          <w:w w:val="95"/>
        </w:rPr>
        <w:t>&amp;</w:t>
        <w:tab/>
      </w:r>
      <w:r>
        <w:rPr>
          <w:spacing w:val="-1"/>
        </w:rPr>
        <w:t>Young</w:t>
        <w:tab/>
        <w:t>(2013).</w:t>
        <w:tab/>
      </w:r>
      <w:r>
        <w:rPr>
          <w:rFonts w:ascii="Calibri"/>
          <w:i/>
          <w:w w:val="95"/>
        </w:rPr>
        <w:t>World</w:t>
        <w:tab/>
      </w:r>
      <w:r>
        <w:rPr>
          <w:rFonts w:ascii="Calibri"/>
          <w:i/>
          <w:spacing w:val="-1"/>
        </w:rPr>
        <w:t>Corporate</w:t>
        <w:tab/>
        <w:t>Tax</w:t>
        <w:tab/>
      </w:r>
      <w:r>
        <w:rPr>
          <w:rFonts w:ascii="Calibri"/>
          <w:i/>
        </w:rPr>
        <w:t> </w:t>
      </w:r>
      <w:r>
        <w:rPr>
          <w:rFonts w:ascii="Calibri"/>
          <w:i/>
          <w:w w:val="95"/>
        </w:rPr>
        <w:t>Guide</w:t>
      </w:r>
      <w:r>
        <w:rPr>
          <w:w w:val="95"/>
        </w:rPr>
        <w:t>.</w:t>
        <w:tab/>
      </w:r>
      <w:r>
        <w:rPr>
          <w:spacing w:val="-1"/>
        </w:rPr>
        <w:t>Retrieved</w:t>
        <w:tab/>
        <w:t>from</w:t>
      </w:r>
      <w:r>
        <w:rPr/>
        <w:t> </w:t>
      </w:r>
      <w:r>
        <w:rPr/>
      </w:r>
      <w:r>
        <w:rPr>
          <w:color w:val="0462C1"/>
        </w:rPr>
      </w:r>
      <w:hyperlink r:id="rId35">
        <w:r>
          <w:rPr>
            <w:color w:val="0462C1"/>
            <w:u w:val="single" w:color="0462C1"/>
          </w:rPr>
          <w:t>http://www.ey.com/Publication/vwLUAssets/Worldwide_corporate_tax_guide_2013/$FILE/Worldwide_c </w:t>
        </w:r>
        <w:r>
          <w:rPr>
            <w:color w:val="0462C1"/>
          </w:rPr>
        </w:r>
      </w:hyperlink>
      <w:r>
        <w:rPr>
          <w:color w:val="0462C1"/>
        </w:rPr>
      </w:r>
      <w:hyperlink r:id="rId35">
        <w:r>
          <w:rPr>
            <w:color w:val="0462C1"/>
          </w:rPr>
        </w:r>
        <w:r>
          <w:rPr>
            <w:color w:val="0462C1"/>
            <w:u w:val="single" w:color="0462C1"/>
          </w:rPr>
          <w:t>orporate_tax_guide_2013.pdf</w:t>
        </w:r>
        <w:r>
          <w:rPr>
            <w:color w:val="0462C1"/>
          </w:rPr>
        </w:r>
        <w:r>
          <w:rPr/>
        </w:r>
      </w:hyperlink>
    </w:p>
    <w:p>
      <w:pPr>
        <w:pStyle w:val="BodyText"/>
        <w:spacing w:line="240" w:lineRule="auto"/>
        <w:ind w:left="2160" w:right="1443" w:hanging="720"/>
        <w:jc w:val="both"/>
      </w:pPr>
      <w:r>
        <w:rPr/>
        <w:t>Fakeye, P. C. and Crompton, J. L. (1991). Image differences between prospective, first-time, and repeat visitors to the</w:t>
      </w:r>
      <w:r>
        <w:rPr>
          <w:spacing w:val="-6"/>
        </w:rPr>
        <w:t> </w:t>
      </w:r>
      <w:r>
        <w:rPr/>
        <w:t>Lower</w:t>
      </w:r>
      <w:r>
        <w:rPr>
          <w:spacing w:val="-5"/>
        </w:rPr>
        <w:t> </w:t>
      </w:r>
      <w:r>
        <w:rPr/>
        <w:t>Rio</w:t>
      </w:r>
      <w:r>
        <w:rPr>
          <w:spacing w:val="-3"/>
        </w:rPr>
        <w:t> </w:t>
      </w:r>
      <w:r>
        <w:rPr/>
        <w:t>Grande</w:t>
      </w:r>
      <w:r>
        <w:rPr>
          <w:spacing w:val="-6"/>
        </w:rPr>
        <w:t> </w:t>
      </w:r>
      <w:r>
        <w:rPr/>
        <w:t>Valley. </w:t>
      </w:r>
      <w:r>
        <w:rPr>
          <w:rFonts w:ascii="Calibri"/>
          <w:i/>
        </w:rPr>
        <w:t>Journal</w:t>
      </w:r>
      <w:r>
        <w:rPr>
          <w:rFonts w:ascii="Calibri"/>
          <w:i/>
          <w:spacing w:val="-6"/>
        </w:rPr>
        <w:t> </w:t>
      </w:r>
      <w:r>
        <w:rPr>
          <w:rFonts w:ascii="Calibri"/>
          <w:i/>
        </w:rPr>
        <w:t>of</w:t>
      </w:r>
      <w:r>
        <w:rPr>
          <w:rFonts w:ascii="Calibri"/>
          <w:i/>
          <w:spacing w:val="-7"/>
        </w:rPr>
        <w:t> </w:t>
      </w:r>
      <w:r>
        <w:rPr>
          <w:rFonts w:ascii="Calibri"/>
          <w:i/>
        </w:rPr>
        <w:t>Travel</w:t>
      </w:r>
      <w:r>
        <w:rPr>
          <w:rFonts w:ascii="Calibri"/>
          <w:i/>
          <w:spacing w:val="-6"/>
        </w:rPr>
        <w:t> </w:t>
      </w:r>
      <w:r>
        <w:rPr>
          <w:rFonts w:ascii="Calibri"/>
          <w:i/>
        </w:rPr>
        <w:t>Research.</w:t>
      </w:r>
      <w:r>
        <w:rPr>
          <w:rFonts w:ascii="Calibri"/>
          <w:i/>
          <w:spacing w:val="-2"/>
        </w:rPr>
        <w:t> </w:t>
      </w:r>
      <w:r>
        <w:rPr/>
        <w:t>30(Fall):10-16.</w:t>
      </w:r>
    </w:p>
    <w:p>
      <w:pPr>
        <w:spacing w:before="1"/>
        <w:ind w:left="1440" w:right="0" w:firstLine="0"/>
        <w:jc w:val="left"/>
        <w:rPr>
          <w:rFonts w:ascii="Calibri" w:hAnsi="Calibri" w:cs="Calibri" w:eastAsia="Calibri" w:hint="default"/>
          <w:sz w:val="20"/>
          <w:szCs w:val="20"/>
        </w:rPr>
      </w:pPr>
      <w:r>
        <w:rPr>
          <w:rFonts w:ascii="Calibri"/>
          <w:sz w:val="20"/>
        </w:rPr>
        <w:t>Gartner,</w:t>
      </w:r>
      <w:r>
        <w:rPr>
          <w:rFonts w:ascii="Calibri"/>
          <w:spacing w:val="-4"/>
          <w:sz w:val="20"/>
        </w:rPr>
        <w:t> </w:t>
      </w:r>
      <w:r>
        <w:rPr>
          <w:rFonts w:ascii="Calibri"/>
          <w:sz w:val="20"/>
        </w:rPr>
        <w:t>W.</w:t>
      </w:r>
      <w:r>
        <w:rPr>
          <w:rFonts w:ascii="Calibri"/>
          <w:spacing w:val="-4"/>
          <w:sz w:val="20"/>
        </w:rPr>
        <w:t> </w:t>
      </w:r>
      <w:r>
        <w:rPr>
          <w:rFonts w:ascii="Calibri"/>
          <w:sz w:val="20"/>
        </w:rPr>
        <w:t>C.</w:t>
      </w:r>
      <w:r>
        <w:rPr>
          <w:rFonts w:ascii="Calibri"/>
          <w:spacing w:val="-5"/>
          <w:sz w:val="20"/>
        </w:rPr>
        <w:t> </w:t>
      </w:r>
      <w:r>
        <w:rPr>
          <w:rFonts w:ascii="Calibri"/>
          <w:sz w:val="20"/>
        </w:rPr>
        <w:t>(1993).</w:t>
      </w:r>
      <w:r>
        <w:rPr>
          <w:rFonts w:ascii="Calibri"/>
          <w:spacing w:val="-4"/>
          <w:sz w:val="20"/>
        </w:rPr>
        <w:t> </w:t>
      </w:r>
      <w:r>
        <w:rPr>
          <w:rFonts w:ascii="Calibri"/>
          <w:sz w:val="20"/>
        </w:rPr>
        <w:t>Image formation</w:t>
      </w:r>
      <w:r>
        <w:rPr>
          <w:rFonts w:ascii="Calibri"/>
          <w:spacing w:val="-4"/>
          <w:sz w:val="20"/>
        </w:rPr>
        <w:t> </w:t>
      </w:r>
      <w:r>
        <w:rPr>
          <w:rFonts w:ascii="Calibri"/>
          <w:sz w:val="20"/>
        </w:rPr>
        <w:t>process.</w:t>
      </w:r>
      <w:r>
        <w:rPr>
          <w:rFonts w:ascii="Calibri"/>
          <w:spacing w:val="-2"/>
          <w:sz w:val="20"/>
        </w:rPr>
        <w:t> </w:t>
      </w:r>
      <w:r>
        <w:rPr>
          <w:rFonts w:ascii="Calibri"/>
          <w:i/>
          <w:sz w:val="20"/>
        </w:rPr>
        <w:t>Journal</w:t>
      </w:r>
      <w:r>
        <w:rPr>
          <w:rFonts w:ascii="Calibri"/>
          <w:i/>
          <w:spacing w:val="-5"/>
          <w:sz w:val="20"/>
        </w:rPr>
        <w:t> </w:t>
      </w:r>
      <w:r>
        <w:rPr>
          <w:rFonts w:ascii="Calibri"/>
          <w:i/>
          <w:sz w:val="20"/>
        </w:rPr>
        <w:t>of</w:t>
      </w:r>
      <w:r>
        <w:rPr>
          <w:rFonts w:ascii="Calibri"/>
          <w:i/>
          <w:spacing w:val="-3"/>
          <w:sz w:val="20"/>
        </w:rPr>
        <w:t> </w:t>
      </w:r>
      <w:r>
        <w:rPr>
          <w:rFonts w:ascii="Calibri"/>
          <w:i/>
          <w:sz w:val="20"/>
        </w:rPr>
        <w:t>Travel</w:t>
      </w:r>
      <w:r>
        <w:rPr>
          <w:rFonts w:ascii="Calibri"/>
          <w:i/>
          <w:spacing w:val="-5"/>
          <w:sz w:val="20"/>
        </w:rPr>
        <w:t> </w:t>
      </w:r>
      <w:r>
        <w:rPr>
          <w:rFonts w:ascii="Calibri"/>
          <w:i/>
          <w:sz w:val="20"/>
        </w:rPr>
        <w:t>and</w:t>
      </w:r>
      <w:r>
        <w:rPr>
          <w:rFonts w:ascii="Calibri"/>
          <w:i/>
          <w:spacing w:val="-4"/>
          <w:sz w:val="20"/>
        </w:rPr>
        <w:t> </w:t>
      </w:r>
      <w:r>
        <w:rPr>
          <w:rFonts w:ascii="Calibri"/>
          <w:i/>
          <w:sz w:val="20"/>
        </w:rPr>
        <w:t>Tourism</w:t>
      </w:r>
      <w:r>
        <w:rPr>
          <w:rFonts w:ascii="Calibri"/>
          <w:i/>
          <w:spacing w:val="-4"/>
          <w:sz w:val="20"/>
        </w:rPr>
        <w:t> </w:t>
      </w:r>
      <w:r>
        <w:rPr>
          <w:rFonts w:ascii="Calibri"/>
          <w:i/>
          <w:sz w:val="20"/>
        </w:rPr>
        <w:t>Marketing,</w:t>
      </w:r>
      <w:r>
        <w:rPr>
          <w:rFonts w:ascii="Calibri"/>
          <w:i/>
          <w:spacing w:val="1"/>
          <w:sz w:val="20"/>
        </w:rPr>
        <w:t> </w:t>
      </w:r>
      <w:r>
        <w:rPr>
          <w:rFonts w:ascii="Calibri"/>
          <w:sz w:val="20"/>
        </w:rPr>
        <w:t>2(2/3),</w:t>
      </w:r>
      <w:r>
        <w:rPr>
          <w:rFonts w:ascii="Calibri"/>
          <w:spacing w:val="-4"/>
          <w:sz w:val="20"/>
        </w:rPr>
        <w:t> </w:t>
      </w:r>
      <w:r>
        <w:rPr>
          <w:rFonts w:ascii="Calibri"/>
          <w:sz w:val="20"/>
        </w:rPr>
        <w:t>191-215.</w:t>
      </w:r>
    </w:p>
    <w:p>
      <w:pPr>
        <w:spacing w:before="0"/>
        <w:ind w:left="2160" w:right="1439" w:hanging="720"/>
        <w:jc w:val="both"/>
        <w:rPr>
          <w:rFonts w:ascii="Calibri" w:hAnsi="Calibri" w:cs="Calibri" w:eastAsia="Calibri" w:hint="default"/>
          <w:sz w:val="20"/>
          <w:szCs w:val="20"/>
        </w:rPr>
      </w:pPr>
      <w:r>
        <w:rPr>
          <w:rFonts w:ascii="Calibri"/>
          <w:sz w:val="20"/>
        </w:rPr>
        <w:t>Glass, A. (2007). Understanding generational differences for competitive success. </w:t>
      </w:r>
      <w:r>
        <w:rPr>
          <w:rFonts w:ascii="Calibri"/>
          <w:i/>
          <w:sz w:val="20"/>
        </w:rPr>
        <w:t>Industrial and Commercial Training</w:t>
      </w:r>
      <w:r>
        <w:rPr>
          <w:rFonts w:ascii="Calibri"/>
          <w:sz w:val="20"/>
        </w:rPr>
        <w:t>, 39(2),</w:t>
      </w:r>
      <w:r>
        <w:rPr>
          <w:rFonts w:ascii="Calibri"/>
          <w:spacing w:val="-14"/>
          <w:sz w:val="20"/>
        </w:rPr>
        <w:t> </w:t>
      </w:r>
      <w:r>
        <w:rPr>
          <w:rFonts w:ascii="Calibri"/>
          <w:sz w:val="20"/>
        </w:rPr>
        <w:t>98-103.</w:t>
      </w:r>
    </w:p>
    <w:p>
      <w:pPr>
        <w:spacing w:line="242" w:lineRule="exact" w:before="0"/>
        <w:ind w:left="1440" w:right="0" w:firstLine="0"/>
        <w:jc w:val="left"/>
        <w:rPr>
          <w:rFonts w:ascii="Calibri" w:hAnsi="Calibri" w:cs="Calibri" w:eastAsia="Calibri" w:hint="default"/>
          <w:sz w:val="20"/>
          <w:szCs w:val="20"/>
        </w:rPr>
      </w:pPr>
      <w:r>
        <w:rPr>
          <w:rFonts w:ascii="Calibri" w:hAnsi="Calibri" w:cs="Calibri" w:eastAsia="Calibri" w:hint="default"/>
          <w:sz w:val="20"/>
          <w:szCs w:val="20"/>
        </w:rPr>
        <w:t>Integra Reality Resources. </w:t>
      </w:r>
      <w:r>
        <w:rPr>
          <w:rFonts w:ascii="Calibri" w:hAnsi="Calibri" w:cs="Calibri" w:eastAsia="Calibri" w:hint="default"/>
          <w:i/>
          <w:sz w:val="20"/>
          <w:szCs w:val="20"/>
        </w:rPr>
        <w:t>Caribbean Market Update   </w:t>
      </w:r>
      <w:r>
        <w:rPr>
          <w:rFonts w:ascii="Calibri" w:hAnsi="Calibri" w:cs="Calibri" w:eastAsia="Calibri" w:hint="default"/>
          <w:i/>
          <w:spacing w:val="4"/>
          <w:sz w:val="20"/>
          <w:szCs w:val="20"/>
        </w:rPr>
        <w:t> </w:t>
      </w:r>
      <w:r>
        <w:rPr>
          <w:rFonts w:ascii="Calibri" w:hAnsi="Calibri" w:cs="Calibri" w:eastAsia="Calibri" w:hint="default"/>
          <w:i/>
          <w:sz w:val="20"/>
          <w:szCs w:val="20"/>
        </w:rPr>
        <w:t>– </w:t>
      </w:r>
      <w:r>
        <w:rPr>
          <w:rFonts w:ascii="Calibri" w:hAnsi="Calibri" w:cs="Calibri" w:eastAsia="Calibri" w:hint="default"/>
          <w:i/>
          <w:sz w:val="20"/>
          <w:szCs w:val="20"/>
        </w:rPr>
        <w:t>Annual Report (2015). Repost of IRR on Caribbean Market.</w:t>
      </w:r>
      <w:r>
        <w:rPr>
          <w:rFonts w:ascii="Calibri" w:hAnsi="Calibri" w:cs="Calibri" w:eastAsia="Calibri" w:hint="default"/>
          <w:sz w:val="20"/>
          <w:szCs w:val="20"/>
        </w:rPr>
      </w:r>
    </w:p>
    <w:p>
      <w:pPr>
        <w:pStyle w:val="BodyText"/>
        <w:tabs>
          <w:tab w:pos="10405" w:val="left" w:leader="none"/>
        </w:tabs>
        <w:spacing w:line="240" w:lineRule="auto"/>
        <w:ind w:left="2160" w:right="0"/>
        <w:jc w:val="left"/>
      </w:pPr>
      <w:r>
        <w:rPr>
          <w:spacing w:val="-1"/>
        </w:rPr>
        <w:t>Retrieved</w:t>
        <w:tab/>
        <w:t>from</w:t>
      </w:r>
    </w:p>
    <w:p>
      <w:pPr>
        <w:pStyle w:val="BodyText"/>
        <w:spacing w:line="240" w:lineRule="auto"/>
        <w:ind w:left="2160" w:right="1640"/>
        <w:jc w:val="left"/>
      </w:pPr>
      <w:r>
        <w:rPr>
          <w:color w:val="0462C1"/>
          <w:w w:val="99"/>
        </w:rPr>
      </w:r>
      <w:hyperlink r:id="rId84">
        <w:r>
          <w:rPr>
            <w:color w:val="0462C1"/>
            <w:w w:val="95"/>
            <w:u w:val="single" w:color="0462C1"/>
          </w:rPr>
          <w:t>http://www.irr.com/_FileLibrary/Office/M1509/IRR_Caribbean_Market_Update_2015_Annual_With_Cou </w:t>
        </w:r>
        <w:r>
          <w:rPr>
            <w:color w:val="0462C1"/>
            <w:w w:val="95"/>
          </w:rPr>
        </w:r>
      </w:hyperlink>
      <w:r>
        <w:rPr>
          <w:color w:val="0462C1"/>
          <w:w w:val="95"/>
        </w:rPr>
      </w:r>
      <w:hyperlink r:id="rId84">
        <w:r>
          <w:rPr>
            <w:color w:val="0462C1"/>
            <w:w w:val="95"/>
          </w:rPr>
        </w:r>
        <w:r>
          <w:rPr>
            <w:color w:val="0462C1"/>
            <w:u w:val="single" w:color="0462C1"/>
          </w:rPr>
          <w:t>ntry_Reports_LR.pdf</w:t>
        </w:r>
        <w:r>
          <w:rPr>
            <w:color w:val="0462C1"/>
          </w:rPr>
        </w:r>
        <w:r>
          <w:rPr/>
        </w:r>
      </w:hyperlink>
    </w:p>
    <w:p>
      <w:pPr>
        <w:pStyle w:val="BodyText"/>
        <w:spacing w:line="240" w:lineRule="auto"/>
        <w:ind w:left="2160" w:right="1441" w:hanging="720"/>
        <w:jc w:val="both"/>
      </w:pPr>
      <w:r>
        <w:rPr/>
        <w:t>International Monetary Fund (2014). Article IV Consultation Discussions </w:t>
      </w:r>
      <w:r>
        <w:rPr>
          <w:rFonts w:ascii="Calibri" w:hAnsi="Calibri" w:cs="Calibri" w:eastAsia="Calibri" w:hint="default"/>
        </w:rPr>
        <w:t>–</w:t>
      </w:r>
      <w:r>
        <w:rPr/>
        <w:t>Stuff Report and Press Release (IMF Country</w:t>
      </w:r>
      <w:r>
        <w:rPr>
          <w:spacing w:val="-7"/>
        </w:rPr>
        <w:t> </w:t>
      </w:r>
      <w:r>
        <w:rPr/>
        <w:t>Report</w:t>
      </w:r>
      <w:r>
        <w:rPr>
          <w:spacing w:val="-8"/>
        </w:rPr>
        <w:t> </w:t>
      </w:r>
      <w:r>
        <w:rPr/>
        <w:t>No.</w:t>
      </w:r>
      <w:r>
        <w:rPr>
          <w:spacing w:val="-8"/>
        </w:rPr>
        <w:t> </w:t>
      </w:r>
      <w:r>
        <w:rPr/>
        <w:t>14/239).</w:t>
      </w:r>
      <w:r>
        <w:rPr>
          <w:spacing w:val="-6"/>
        </w:rPr>
        <w:t> </w:t>
      </w:r>
      <w:r>
        <w:rPr/>
        <w:t>Retrieved</w:t>
      </w:r>
      <w:r>
        <w:rPr>
          <w:spacing w:val="-8"/>
        </w:rPr>
        <w:t> </w:t>
      </w:r>
      <w:r>
        <w:rPr/>
        <w:t>from:</w:t>
      </w:r>
      <w:r>
        <w:rPr>
          <w:spacing w:val="-5"/>
        </w:rPr>
        <w:t> </w:t>
      </w:r>
      <w:r>
        <w:rPr>
          <w:color w:val="0462C1"/>
          <w:spacing w:val="-5"/>
        </w:rPr>
      </w:r>
      <w:hyperlink r:id="rId85">
        <w:r>
          <w:rPr>
            <w:color w:val="0462C1"/>
            <w:u w:val="single" w:color="0462C1"/>
          </w:rPr>
          <w:t>http://www.imf.org/external/pubs/ft/scr/2014/cr14239.pdf</w:t>
        </w:r>
        <w:r>
          <w:rPr>
            <w:color w:val="0462C1"/>
          </w:rPr>
        </w:r>
        <w:r>
          <w:rPr/>
        </w:r>
      </w:hyperlink>
    </w:p>
    <w:p>
      <w:pPr>
        <w:spacing w:after="0" w:line="240" w:lineRule="auto"/>
        <w:jc w:val="both"/>
        <w:sectPr>
          <w:footerReference w:type="default" r:id="rId81"/>
          <w:pgSz w:w="12240" w:h="15840"/>
          <w:pgMar w:footer="533" w:header="0" w:top="840" w:bottom="720" w:left="0" w:right="0"/>
          <w:pgNumType w:start="101"/>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BodyText"/>
        <w:spacing w:line="240" w:lineRule="auto" w:before="59"/>
        <w:ind w:right="0"/>
        <w:jc w:val="left"/>
      </w:pPr>
      <w:r>
        <w:rPr/>
        <w:t>Kapteyn,</w:t>
      </w:r>
      <w:r>
        <w:rPr>
          <w:spacing w:val="22"/>
        </w:rPr>
        <w:t> </w:t>
      </w:r>
      <w:r>
        <w:rPr/>
        <w:t>A.,</w:t>
      </w:r>
      <w:r>
        <w:rPr>
          <w:spacing w:val="22"/>
        </w:rPr>
        <w:t> </w:t>
      </w:r>
      <w:r>
        <w:rPr/>
        <w:t>Smith,</w:t>
      </w:r>
      <w:r>
        <w:rPr>
          <w:spacing w:val="22"/>
        </w:rPr>
        <w:t> </w:t>
      </w:r>
      <w:r>
        <w:rPr/>
        <w:t>J.</w:t>
      </w:r>
      <w:r>
        <w:rPr>
          <w:spacing w:val="22"/>
        </w:rPr>
        <w:t> </w:t>
      </w:r>
      <w:r>
        <w:rPr/>
        <w:t>and</w:t>
      </w:r>
      <w:r>
        <w:rPr>
          <w:spacing w:val="23"/>
        </w:rPr>
        <w:t> </w:t>
      </w:r>
      <w:r>
        <w:rPr/>
        <w:t>Soest,</w:t>
      </w:r>
      <w:r>
        <w:rPr>
          <w:spacing w:val="23"/>
        </w:rPr>
        <w:t> </w:t>
      </w:r>
      <w:r>
        <w:rPr/>
        <w:t>A.</w:t>
      </w:r>
      <w:r>
        <w:rPr>
          <w:spacing w:val="22"/>
        </w:rPr>
        <w:t> </w:t>
      </w:r>
      <w:r>
        <w:rPr/>
        <w:t>(2010).</w:t>
      </w:r>
      <w:r>
        <w:rPr>
          <w:spacing w:val="22"/>
        </w:rPr>
        <w:t> </w:t>
      </w:r>
      <w:r>
        <w:rPr/>
        <w:t>Life</w:t>
      </w:r>
      <w:r>
        <w:rPr>
          <w:spacing w:val="21"/>
        </w:rPr>
        <w:t> </w:t>
      </w:r>
      <w:r>
        <w:rPr/>
        <w:t>satisfaction.</w:t>
      </w:r>
      <w:r>
        <w:rPr>
          <w:spacing w:val="22"/>
        </w:rPr>
        <w:t> </w:t>
      </w:r>
      <w:r>
        <w:rPr/>
        <w:t>In</w:t>
      </w:r>
      <w:r>
        <w:rPr>
          <w:spacing w:val="23"/>
        </w:rPr>
        <w:t> </w:t>
      </w:r>
      <w:r>
        <w:rPr/>
        <w:t>Diener,</w:t>
      </w:r>
      <w:r>
        <w:rPr>
          <w:spacing w:val="22"/>
        </w:rPr>
        <w:t> </w:t>
      </w:r>
      <w:r>
        <w:rPr/>
        <w:t>E.</w:t>
      </w:r>
      <w:r>
        <w:rPr>
          <w:spacing w:val="20"/>
        </w:rPr>
        <w:t> </w:t>
      </w:r>
      <w:r>
        <w:rPr/>
        <w:t>Kahneman,</w:t>
      </w:r>
      <w:r>
        <w:rPr>
          <w:spacing w:val="22"/>
        </w:rPr>
        <w:t> </w:t>
      </w:r>
      <w:r>
        <w:rPr/>
        <w:t>D.,</w:t>
      </w:r>
      <w:r>
        <w:rPr>
          <w:spacing w:val="22"/>
        </w:rPr>
        <w:t> </w:t>
      </w:r>
      <w:r>
        <w:rPr/>
        <w:t>and</w:t>
      </w:r>
      <w:r>
        <w:rPr>
          <w:spacing w:val="20"/>
        </w:rPr>
        <w:t> </w:t>
      </w:r>
      <w:r>
        <w:rPr/>
        <w:t>Helliwell,</w:t>
      </w:r>
      <w:r>
        <w:rPr>
          <w:spacing w:val="22"/>
        </w:rPr>
        <w:t> </w:t>
      </w:r>
      <w:r>
        <w:rPr/>
        <w:t>J.</w:t>
      </w:r>
      <w:r>
        <w:rPr>
          <w:spacing w:val="22"/>
        </w:rPr>
        <w:t> </w:t>
      </w:r>
      <w:r>
        <w:rPr/>
        <w:t>(Eds.),</w:t>
      </w:r>
    </w:p>
    <w:p>
      <w:pPr>
        <w:spacing w:line="243" w:lineRule="exact" w:before="0"/>
        <w:ind w:left="2160" w:right="0" w:firstLine="0"/>
        <w:jc w:val="left"/>
        <w:rPr>
          <w:rFonts w:ascii="Calibri" w:hAnsi="Calibri" w:cs="Calibri" w:eastAsia="Calibri" w:hint="default"/>
          <w:sz w:val="20"/>
          <w:szCs w:val="20"/>
        </w:rPr>
      </w:pPr>
      <w:r>
        <w:rPr>
          <w:rFonts w:ascii="Calibri"/>
          <w:i/>
          <w:sz w:val="20"/>
        </w:rPr>
        <w:t>International</w:t>
      </w:r>
      <w:r>
        <w:rPr>
          <w:rFonts w:ascii="Calibri"/>
          <w:i/>
          <w:spacing w:val="-5"/>
          <w:sz w:val="20"/>
        </w:rPr>
        <w:t> </w:t>
      </w:r>
      <w:r>
        <w:rPr>
          <w:rFonts w:ascii="Calibri"/>
          <w:i/>
          <w:sz w:val="20"/>
        </w:rPr>
        <w:t>differences</w:t>
      </w:r>
      <w:r>
        <w:rPr>
          <w:rFonts w:ascii="Calibri"/>
          <w:i/>
          <w:spacing w:val="-5"/>
          <w:sz w:val="20"/>
        </w:rPr>
        <w:t> </w:t>
      </w:r>
      <w:r>
        <w:rPr>
          <w:rFonts w:ascii="Calibri"/>
          <w:i/>
          <w:sz w:val="20"/>
        </w:rPr>
        <w:t>in</w:t>
      </w:r>
      <w:r>
        <w:rPr>
          <w:rFonts w:ascii="Calibri"/>
          <w:i/>
          <w:spacing w:val="-4"/>
          <w:sz w:val="20"/>
        </w:rPr>
        <w:t> </w:t>
      </w:r>
      <w:r>
        <w:rPr>
          <w:rFonts w:ascii="Calibri"/>
          <w:i/>
          <w:sz w:val="20"/>
        </w:rPr>
        <w:t>well-being</w:t>
      </w:r>
      <w:r>
        <w:rPr>
          <w:rFonts w:ascii="Calibri"/>
          <w:sz w:val="20"/>
        </w:rPr>
        <w:t>.</w:t>
      </w:r>
      <w:r>
        <w:rPr>
          <w:rFonts w:ascii="Calibri"/>
          <w:spacing w:val="-4"/>
          <w:sz w:val="20"/>
        </w:rPr>
        <w:t> </w:t>
      </w:r>
      <w:r>
        <w:rPr>
          <w:rFonts w:ascii="Calibri"/>
          <w:sz w:val="20"/>
        </w:rPr>
        <w:t>Published</w:t>
      </w:r>
      <w:r>
        <w:rPr>
          <w:rFonts w:ascii="Calibri"/>
          <w:spacing w:val="-4"/>
          <w:sz w:val="20"/>
        </w:rPr>
        <w:t> </w:t>
      </w:r>
      <w:r>
        <w:rPr>
          <w:rFonts w:ascii="Calibri"/>
          <w:sz w:val="20"/>
        </w:rPr>
        <w:t>to</w:t>
      </w:r>
      <w:r>
        <w:rPr>
          <w:rFonts w:ascii="Calibri"/>
          <w:spacing w:val="-4"/>
          <w:sz w:val="20"/>
        </w:rPr>
        <w:t> </w:t>
      </w:r>
      <w:r>
        <w:rPr>
          <w:rFonts w:ascii="Calibri"/>
          <w:sz w:val="20"/>
        </w:rPr>
        <w:t>Oxford</w:t>
      </w:r>
      <w:r>
        <w:rPr>
          <w:rFonts w:ascii="Calibri"/>
          <w:spacing w:val="-4"/>
          <w:sz w:val="20"/>
        </w:rPr>
        <w:t> </w:t>
      </w:r>
      <w:r>
        <w:rPr>
          <w:rFonts w:ascii="Calibri"/>
          <w:sz w:val="20"/>
        </w:rPr>
        <w:t>Scholarship</w:t>
      </w:r>
      <w:r>
        <w:rPr>
          <w:rFonts w:ascii="Calibri"/>
          <w:spacing w:val="-4"/>
          <w:sz w:val="20"/>
        </w:rPr>
        <w:t> </w:t>
      </w:r>
      <w:r>
        <w:rPr>
          <w:rFonts w:ascii="Calibri"/>
          <w:sz w:val="20"/>
        </w:rPr>
        <w:t>Online:</w:t>
      </w:r>
      <w:r>
        <w:rPr>
          <w:rFonts w:ascii="Calibri"/>
          <w:spacing w:val="-6"/>
          <w:sz w:val="20"/>
        </w:rPr>
        <w:t> </w:t>
      </w:r>
      <w:r>
        <w:rPr>
          <w:rFonts w:ascii="Calibri"/>
          <w:sz w:val="20"/>
        </w:rPr>
        <w:t>May</w:t>
      </w:r>
      <w:r>
        <w:rPr>
          <w:rFonts w:ascii="Calibri"/>
          <w:spacing w:val="-3"/>
          <w:sz w:val="20"/>
        </w:rPr>
        <w:t> </w:t>
      </w:r>
      <w:r>
        <w:rPr>
          <w:rFonts w:ascii="Calibri"/>
          <w:sz w:val="20"/>
        </w:rPr>
        <w:t>2010,</w:t>
      </w:r>
      <w:r>
        <w:rPr>
          <w:rFonts w:ascii="Calibri"/>
          <w:spacing w:val="-4"/>
          <w:sz w:val="20"/>
        </w:rPr>
        <w:t> </w:t>
      </w:r>
      <w:r>
        <w:rPr>
          <w:rFonts w:ascii="Calibri"/>
          <w:sz w:val="20"/>
        </w:rPr>
        <w:t>pp.70-104.</w:t>
      </w:r>
    </w:p>
    <w:p>
      <w:pPr>
        <w:spacing w:before="0"/>
        <w:ind w:left="2160" w:right="1437" w:hanging="720"/>
        <w:jc w:val="both"/>
        <w:rPr>
          <w:rFonts w:ascii="Calibri" w:hAnsi="Calibri" w:cs="Calibri" w:eastAsia="Calibri" w:hint="default"/>
          <w:sz w:val="20"/>
          <w:szCs w:val="20"/>
        </w:rPr>
      </w:pPr>
      <w:r>
        <w:rPr>
          <w:rFonts w:ascii="Calibri"/>
          <w:sz w:val="20"/>
        </w:rPr>
        <w:t>KPMG (2014). </w:t>
      </w:r>
      <w:r>
        <w:rPr>
          <w:rFonts w:ascii="Calibri"/>
          <w:i/>
          <w:sz w:val="20"/>
        </w:rPr>
        <w:t>2013 Caribbean Hotel Benchmarking Survey</w:t>
      </w:r>
      <w:r>
        <w:rPr>
          <w:rFonts w:ascii="Calibri"/>
          <w:sz w:val="20"/>
        </w:rPr>
        <w:t>. Retrieved from </w:t>
      </w:r>
      <w:r>
        <w:rPr>
          <w:rFonts w:ascii="Calibri"/>
          <w:color w:val="0462C1"/>
          <w:sz w:val="20"/>
        </w:rPr>
      </w:r>
      <w:hyperlink r:id="rId86">
        <w:r>
          <w:rPr>
            <w:rFonts w:ascii="Calibri"/>
            <w:color w:val="0462C1"/>
            <w:sz w:val="20"/>
            <w:u w:val="single" w:color="0462C1"/>
          </w:rPr>
          <w:t>https://www.kpmg.com/dutchcaribbean/en/Documents/2013%20Hotel%20Benchmarking%20Survey%20 </w:t>
        </w:r>
        <w:r>
          <w:rPr>
            <w:rFonts w:ascii="Calibri"/>
            <w:color w:val="0462C1"/>
            <w:sz w:val="20"/>
          </w:rPr>
        </w:r>
      </w:hyperlink>
      <w:r>
        <w:rPr>
          <w:rFonts w:ascii="Calibri"/>
          <w:color w:val="0462C1"/>
          <w:sz w:val="20"/>
        </w:rPr>
      </w:r>
      <w:hyperlink r:id="rId86">
        <w:r>
          <w:rPr>
            <w:rFonts w:ascii="Calibri"/>
            <w:color w:val="0462C1"/>
            <w:sz w:val="20"/>
          </w:rPr>
        </w:r>
        <w:r>
          <w:rPr>
            <w:rFonts w:ascii="Calibri"/>
            <w:color w:val="0462C1"/>
            <w:sz w:val="20"/>
            <w:u w:val="single" w:color="0462C1"/>
          </w:rPr>
        </w:r>
        <w:r>
          <w:rPr>
            <w:rFonts w:ascii="Calibri"/>
            <w:color w:val="0462C1"/>
            <w:sz w:val="20"/>
            <w:u w:val="single" w:color="0462C1"/>
          </w:rPr>
          <w:t>Final.pdf</w:t>
        </w:r>
        <w:r>
          <w:rPr>
            <w:rFonts w:ascii="Calibri"/>
            <w:color w:val="0462C1"/>
            <w:sz w:val="20"/>
          </w:rPr>
        </w:r>
        <w:r>
          <w:rPr>
            <w:rFonts w:ascii="Calibri"/>
            <w:sz w:val="20"/>
          </w:rPr>
        </w:r>
      </w:hyperlink>
    </w:p>
    <w:p>
      <w:pPr>
        <w:pStyle w:val="BodyText"/>
        <w:spacing w:line="240" w:lineRule="auto"/>
        <w:ind w:left="2160" w:right="1435" w:hanging="720"/>
        <w:jc w:val="left"/>
      </w:pPr>
      <w:r>
        <w:rPr/>
        <w:t>Kenny, C. (2005). Does development make you happy? Subjective well-being and economic growth in developing countries. </w:t>
      </w:r>
      <w:r>
        <w:rPr>
          <w:rFonts w:ascii="Calibri"/>
          <w:i/>
        </w:rPr>
        <w:t>Social Indicators Research </w:t>
      </w:r>
      <w:r>
        <w:rPr/>
        <w:t>73,</w:t>
      </w:r>
      <w:r>
        <w:rPr>
          <w:spacing w:val="-19"/>
        </w:rPr>
        <w:t> </w:t>
      </w:r>
      <w:r>
        <w:rPr/>
        <w:t>199-219.</w:t>
      </w:r>
    </w:p>
    <w:p>
      <w:pPr>
        <w:spacing w:before="0"/>
        <w:ind w:left="1440" w:right="0" w:firstLine="0"/>
        <w:jc w:val="left"/>
        <w:rPr>
          <w:rFonts w:ascii="Calibri" w:hAnsi="Calibri" w:cs="Calibri" w:eastAsia="Calibri" w:hint="default"/>
          <w:sz w:val="20"/>
          <w:szCs w:val="20"/>
        </w:rPr>
      </w:pPr>
      <w:r>
        <w:rPr>
          <w:rFonts w:ascii="Calibri"/>
          <w:sz w:val="20"/>
        </w:rPr>
        <w:t>Layard,</w:t>
      </w:r>
      <w:r>
        <w:rPr>
          <w:rFonts w:ascii="Calibri"/>
          <w:spacing w:val="-3"/>
          <w:sz w:val="20"/>
        </w:rPr>
        <w:t> </w:t>
      </w:r>
      <w:r>
        <w:rPr>
          <w:rFonts w:ascii="Calibri"/>
          <w:sz w:val="20"/>
        </w:rPr>
        <w:t>R.</w:t>
      </w:r>
      <w:r>
        <w:rPr>
          <w:rFonts w:ascii="Calibri"/>
          <w:spacing w:val="-3"/>
          <w:sz w:val="20"/>
        </w:rPr>
        <w:t> </w:t>
      </w:r>
      <w:r>
        <w:rPr>
          <w:rFonts w:ascii="Calibri"/>
          <w:sz w:val="20"/>
        </w:rPr>
        <w:t>(2005).</w:t>
      </w:r>
      <w:r>
        <w:rPr>
          <w:rFonts w:ascii="Calibri"/>
          <w:spacing w:val="-3"/>
          <w:sz w:val="20"/>
        </w:rPr>
        <w:t> </w:t>
      </w:r>
      <w:r>
        <w:rPr>
          <w:rFonts w:ascii="Calibri"/>
          <w:i/>
          <w:sz w:val="20"/>
        </w:rPr>
        <w:t>Happiness:</w:t>
      </w:r>
      <w:r>
        <w:rPr>
          <w:rFonts w:ascii="Calibri"/>
          <w:i/>
          <w:spacing w:val="-4"/>
          <w:sz w:val="20"/>
        </w:rPr>
        <w:t> </w:t>
      </w:r>
      <w:r>
        <w:rPr>
          <w:rFonts w:ascii="Calibri"/>
          <w:i/>
          <w:sz w:val="20"/>
        </w:rPr>
        <w:t>lessons</w:t>
      </w:r>
      <w:r>
        <w:rPr>
          <w:rFonts w:ascii="Calibri"/>
          <w:i/>
          <w:spacing w:val="-4"/>
          <w:sz w:val="20"/>
        </w:rPr>
        <w:t> </w:t>
      </w:r>
      <w:r>
        <w:rPr>
          <w:rFonts w:ascii="Calibri"/>
          <w:i/>
          <w:sz w:val="20"/>
        </w:rPr>
        <w:t>from</w:t>
      </w:r>
      <w:r>
        <w:rPr>
          <w:rFonts w:ascii="Calibri"/>
          <w:i/>
          <w:spacing w:val="-3"/>
          <w:sz w:val="20"/>
        </w:rPr>
        <w:t> </w:t>
      </w:r>
      <w:r>
        <w:rPr>
          <w:rFonts w:ascii="Calibri"/>
          <w:i/>
          <w:sz w:val="20"/>
        </w:rPr>
        <w:t>a</w:t>
      </w:r>
      <w:r>
        <w:rPr>
          <w:rFonts w:ascii="Calibri"/>
          <w:i/>
          <w:spacing w:val="-3"/>
          <w:sz w:val="20"/>
        </w:rPr>
        <w:t> </w:t>
      </w:r>
      <w:r>
        <w:rPr>
          <w:rFonts w:ascii="Calibri"/>
          <w:i/>
          <w:sz w:val="20"/>
        </w:rPr>
        <w:t>new</w:t>
      </w:r>
      <w:r>
        <w:rPr>
          <w:rFonts w:ascii="Calibri"/>
          <w:i/>
          <w:spacing w:val="-4"/>
          <w:sz w:val="20"/>
        </w:rPr>
        <w:t> </w:t>
      </w:r>
      <w:r>
        <w:rPr>
          <w:rFonts w:ascii="Calibri"/>
          <w:i/>
          <w:sz w:val="20"/>
        </w:rPr>
        <w:t>science</w:t>
      </w:r>
      <w:r>
        <w:rPr>
          <w:rFonts w:ascii="Calibri"/>
          <w:sz w:val="20"/>
        </w:rPr>
        <w:t>.</w:t>
      </w:r>
      <w:r>
        <w:rPr>
          <w:rFonts w:ascii="Calibri"/>
          <w:spacing w:val="-3"/>
          <w:sz w:val="20"/>
        </w:rPr>
        <w:t> </w:t>
      </w:r>
      <w:r>
        <w:rPr>
          <w:rFonts w:ascii="Calibri"/>
          <w:sz w:val="20"/>
        </w:rPr>
        <w:t>Penguin:</w:t>
      </w:r>
      <w:r>
        <w:rPr>
          <w:rFonts w:ascii="Calibri"/>
          <w:spacing w:val="-4"/>
          <w:sz w:val="20"/>
        </w:rPr>
        <w:t> </w:t>
      </w:r>
      <w:r>
        <w:rPr>
          <w:rFonts w:ascii="Calibri"/>
          <w:sz w:val="20"/>
        </w:rPr>
        <w:t>New</w:t>
      </w:r>
      <w:r>
        <w:rPr>
          <w:rFonts w:ascii="Calibri"/>
          <w:spacing w:val="-4"/>
          <w:sz w:val="20"/>
        </w:rPr>
        <w:t> </w:t>
      </w:r>
      <w:r>
        <w:rPr>
          <w:rFonts w:ascii="Calibri"/>
          <w:sz w:val="20"/>
        </w:rPr>
        <w:t>York.</w:t>
      </w:r>
    </w:p>
    <w:p>
      <w:pPr>
        <w:spacing w:before="0"/>
        <w:ind w:left="2160" w:right="1435" w:hanging="720"/>
        <w:jc w:val="left"/>
        <w:rPr>
          <w:rFonts w:ascii="Calibri" w:hAnsi="Calibri" w:cs="Calibri" w:eastAsia="Calibri" w:hint="default"/>
          <w:sz w:val="20"/>
          <w:szCs w:val="20"/>
        </w:rPr>
      </w:pPr>
      <w:r>
        <w:rPr>
          <w:rFonts w:ascii="Calibri" w:hAnsi="Calibri" w:cs="Calibri" w:eastAsia="Calibri" w:hint="default"/>
          <w:sz w:val="20"/>
          <w:szCs w:val="20"/>
        </w:rPr>
        <w:t>Lehto, X., Choi, S., Lin, Y. &amp; MacDermid, S. (2009). Vacation and family functioning. </w:t>
      </w:r>
      <w:r>
        <w:rPr>
          <w:rFonts w:ascii="Calibri" w:hAnsi="Calibri" w:cs="Calibri" w:eastAsia="Calibri" w:hint="default"/>
          <w:i/>
          <w:sz w:val="20"/>
          <w:szCs w:val="20"/>
        </w:rPr>
        <w:t>Annals of Tourism Research, </w:t>
      </w:r>
      <w:r>
        <w:rPr>
          <w:rFonts w:ascii="Calibri" w:hAnsi="Calibri" w:cs="Calibri" w:eastAsia="Calibri" w:hint="default"/>
          <w:sz w:val="20"/>
          <w:szCs w:val="20"/>
        </w:rPr>
        <w:t>36 (3),</w:t>
      </w:r>
      <w:r>
        <w:rPr>
          <w:rFonts w:ascii="Calibri" w:hAnsi="Calibri" w:cs="Calibri" w:eastAsia="Calibri" w:hint="default"/>
          <w:spacing w:val="-11"/>
          <w:sz w:val="20"/>
          <w:szCs w:val="20"/>
        </w:rPr>
        <w:t> </w:t>
      </w:r>
      <w:r>
        <w:rPr>
          <w:rFonts w:ascii="Calibri" w:hAnsi="Calibri" w:cs="Calibri" w:eastAsia="Calibri" w:hint="default"/>
          <w:sz w:val="20"/>
          <w:szCs w:val="20"/>
        </w:rPr>
        <w:t>459</w:t>
      </w:r>
      <w:r>
        <w:rPr>
          <w:rFonts w:ascii="Calibri" w:hAnsi="Calibri" w:cs="Calibri" w:eastAsia="Calibri" w:hint="default"/>
          <w:sz w:val="20"/>
          <w:szCs w:val="20"/>
        </w:rPr>
        <w:t>–</w:t>
      </w:r>
      <w:r>
        <w:rPr>
          <w:rFonts w:ascii="Calibri" w:hAnsi="Calibri" w:cs="Calibri" w:eastAsia="Calibri" w:hint="default"/>
          <w:sz w:val="20"/>
          <w:szCs w:val="20"/>
        </w:rPr>
        <w:t>479.</w:t>
      </w:r>
    </w:p>
    <w:p>
      <w:pPr>
        <w:spacing w:before="0"/>
        <w:ind w:left="2160" w:right="1640" w:hanging="720"/>
        <w:jc w:val="left"/>
        <w:rPr>
          <w:rFonts w:ascii="Calibri" w:hAnsi="Calibri" w:cs="Calibri" w:eastAsia="Calibri" w:hint="default"/>
          <w:sz w:val="20"/>
          <w:szCs w:val="20"/>
        </w:rPr>
      </w:pPr>
      <w:r>
        <w:rPr>
          <w:rFonts w:ascii="Calibri"/>
          <w:sz w:val="20"/>
        </w:rPr>
        <w:t>Ministry of General Affairs of Curacao (2013) </w:t>
      </w:r>
      <w:r>
        <w:rPr>
          <w:rFonts w:ascii="Calibri"/>
          <w:i/>
          <w:sz w:val="20"/>
        </w:rPr>
        <w:t>Strategies for sustainable Long Term Economic Development in Curacao. </w:t>
      </w:r>
      <w:r>
        <w:rPr>
          <w:rFonts w:ascii="Calibri"/>
          <w:sz w:val="20"/>
        </w:rPr>
        <w:t>Retrieved from:</w:t>
      </w:r>
      <w:r>
        <w:rPr>
          <w:rFonts w:ascii="Calibri"/>
          <w:spacing w:val="-29"/>
          <w:sz w:val="20"/>
        </w:rPr>
        <w:t> </w:t>
      </w:r>
      <w:r>
        <w:rPr>
          <w:rFonts w:ascii="Calibri"/>
          <w:color w:val="0462C1"/>
          <w:spacing w:val="-29"/>
          <w:sz w:val="20"/>
        </w:rPr>
      </w:r>
      <w:hyperlink r:id="rId87">
        <w:r>
          <w:rPr>
            <w:rFonts w:ascii="Calibri"/>
            <w:color w:val="0462C1"/>
            <w:sz w:val="20"/>
            <w:u w:val="single" w:color="0462C1"/>
          </w:rPr>
          <w:t>http://www.tac-financial.com/tacie/2013.05.14_Curacao-Report.pdf</w:t>
        </w:r>
        <w:r>
          <w:rPr>
            <w:rFonts w:ascii="Calibri"/>
            <w:color w:val="0462C1"/>
            <w:sz w:val="20"/>
          </w:rPr>
        </w:r>
        <w:r>
          <w:rPr>
            <w:rFonts w:ascii="Calibri"/>
            <w:sz w:val="20"/>
          </w:rPr>
        </w:r>
      </w:hyperlink>
    </w:p>
    <w:p>
      <w:pPr>
        <w:spacing w:before="0"/>
        <w:ind w:left="2160" w:right="1435" w:hanging="720"/>
        <w:jc w:val="left"/>
        <w:rPr>
          <w:rFonts w:ascii="Calibri" w:hAnsi="Calibri" w:cs="Calibri" w:eastAsia="Calibri" w:hint="default"/>
          <w:sz w:val="20"/>
          <w:szCs w:val="20"/>
        </w:rPr>
      </w:pPr>
      <w:r>
        <w:rPr>
          <w:rFonts w:ascii="Calibri"/>
          <w:sz w:val="20"/>
        </w:rPr>
        <w:t>Rivera, M., Croes, R., &amp; Semrad, K. (2014). </w:t>
      </w:r>
      <w:r>
        <w:rPr>
          <w:rFonts w:ascii="Calibri"/>
          <w:i/>
          <w:sz w:val="20"/>
        </w:rPr>
        <w:t>The Curacao North Sea Jazz Festival: A lustrum churning economic and promotional</w:t>
      </w:r>
      <w:r>
        <w:rPr>
          <w:rFonts w:ascii="Calibri"/>
          <w:i/>
          <w:spacing w:val="-5"/>
          <w:sz w:val="20"/>
        </w:rPr>
        <w:t> </w:t>
      </w:r>
      <w:r>
        <w:rPr>
          <w:rFonts w:ascii="Calibri"/>
          <w:i/>
          <w:sz w:val="20"/>
        </w:rPr>
        <w:t>opportunities</w:t>
      </w:r>
      <w:r>
        <w:rPr>
          <w:rFonts w:ascii="Calibri"/>
          <w:i/>
          <w:spacing w:val="-5"/>
          <w:sz w:val="20"/>
        </w:rPr>
        <w:t> </w:t>
      </w:r>
      <w:r>
        <w:rPr>
          <w:rFonts w:ascii="Calibri"/>
          <w:i/>
          <w:sz w:val="20"/>
        </w:rPr>
        <w:t>for</w:t>
      </w:r>
      <w:r>
        <w:rPr>
          <w:rFonts w:ascii="Calibri"/>
          <w:i/>
          <w:spacing w:val="-6"/>
          <w:sz w:val="20"/>
        </w:rPr>
        <w:t> </w:t>
      </w:r>
      <w:r>
        <w:rPr>
          <w:rFonts w:ascii="Calibri"/>
          <w:i/>
          <w:sz w:val="20"/>
        </w:rPr>
        <w:t>Curacao. </w:t>
      </w:r>
      <w:r>
        <w:rPr>
          <w:rFonts w:ascii="Calibri"/>
          <w:sz w:val="20"/>
        </w:rPr>
        <w:t>Dick</w:t>
      </w:r>
      <w:r>
        <w:rPr>
          <w:rFonts w:ascii="Calibri"/>
          <w:spacing w:val="-4"/>
          <w:sz w:val="20"/>
        </w:rPr>
        <w:t> </w:t>
      </w:r>
      <w:r>
        <w:rPr>
          <w:rFonts w:ascii="Calibri"/>
          <w:sz w:val="20"/>
        </w:rPr>
        <w:t>Pope</w:t>
      </w:r>
      <w:r>
        <w:rPr>
          <w:rFonts w:ascii="Calibri"/>
          <w:spacing w:val="-5"/>
          <w:sz w:val="20"/>
        </w:rPr>
        <w:t> </w:t>
      </w:r>
      <w:r>
        <w:rPr>
          <w:rFonts w:ascii="Calibri"/>
          <w:sz w:val="20"/>
        </w:rPr>
        <w:t>Sr.</w:t>
      </w:r>
      <w:r>
        <w:rPr>
          <w:rFonts w:ascii="Calibri"/>
          <w:spacing w:val="-4"/>
          <w:sz w:val="20"/>
        </w:rPr>
        <w:t> </w:t>
      </w:r>
      <w:r>
        <w:rPr>
          <w:rFonts w:ascii="Calibri"/>
          <w:sz w:val="20"/>
        </w:rPr>
        <w:t>Institute</w:t>
      </w:r>
      <w:r>
        <w:rPr>
          <w:rFonts w:ascii="Calibri"/>
          <w:spacing w:val="-3"/>
          <w:sz w:val="20"/>
        </w:rPr>
        <w:t> </w:t>
      </w:r>
      <w:r>
        <w:rPr>
          <w:rFonts w:ascii="Calibri"/>
          <w:i/>
          <w:sz w:val="20"/>
        </w:rPr>
        <w:t>for</w:t>
      </w:r>
      <w:r>
        <w:rPr>
          <w:rFonts w:ascii="Calibri"/>
          <w:i/>
          <w:spacing w:val="-3"/>
          <w:sz w:val="20"/>
        </w:rPr>
        <w:t> </w:t>
      </w:r>
      <w:r>
        <w:rPr>
          <w:rFonts w:ascii="Calibri"/>
          <w:sz w:val="20"/>
        </w:rPr>
        <w:t>Tourism</w:t>
      </w:r>
      <w:r>
        <w:rPr>
          <w:rFonts w:ascii="Calibri"/>
          <w:spacing w:val="-5"/>
          <w:sz w:val="20"/>
        </w:rPr>
        <w:t> </w:t>
      </w:r>
      <w:r>
        <w:rPr>
          <w:rFonts w:ascii="Calibri"/>
          <w:sz w:val="20"/>
        </w:rPr>
        <w:t>Studies:</w:t>
      </w:r>
      <w:r>
        <w:rPr>
          <w:rFonts w:ascii="Calibri"/>
          <w:spacing w:val="-5"/>
          <w:sz w:val="20"/>
        </w:rPr>
        <w:t> </w:t>
      </w:r>
      <w:r>
        <w:rPr>
          <w:rFonts w:ascii="Calibri"/>
          <w:sz w:val="20"/>
        </w:rPr>
        <w:t>Orlando,</w:t>
      </w:r>
      <w:r>
        <w:rPr>
          <w:rFonts w:ascii="Calibri"/>
          <w:spacing w:val="-4"/>
          <w:sz w:val="20"/>
        </w:rPr>
        <w:t> </w:t>
      </w:r>
      <w:r>
        <w:rPr>
          <w:rFonts w:ascii="Calibri"/>
          <w:sz w:val="20"/>
        </w:rPr>
        <w:t>FL.</w:t>
      </w:r>
    </w:p>
    <w:p>
      <w:pPr>
        <w:pStyle w:val="BodyText"/>
        <w:spacing w:line="240" w:lineRule="auto"/>
        <w:ind w:right="0"/>
        <w:jc w:val="left"/>
      </w:pPr>
      <w:r>
        <w:rPr/>
        <w:t>Thacker,</w:t>
      </w:r>
      <w:r>
        <w:rPr>
          <w:spacing w:val="13"/>
        </w:rPr>
        <w:t> </w:t>
      </w:r>
      <w:r>
        <w:rPr/>
        <w:t>N.,</w:t>
      </w:r>
      <w:r>
        <w:rPr>
          <w:spacing w:val="13"/>
        </w:rPr>
        <w:t> </w:t>
      </w:r>
      <w:r>
        <w:rPr/>
        <w:t>&amp;</w:t>
      </w:r>
      <w:r>
        <w:rPr>
          <w:spacing w:val="13"/>
        </w:rPr>
        <w:t> </w:t>
      </w:r>
      <w:r>
        <w:rPr/>
        <w:t>Perrelli,</w:t>
      </w:r>
      <w:r>
        <w:rPr>
          <w:spacing w:val="13"/>
        </w:rPr>
        <w:t> </w:t>
      </w:r>
      <w:r>
        <w:rPr/>
        <w:t>R.</w:t>
      </w:r>
      <w:r>
        <w:rPr>
          <w:spacing w:val="12"/>
        </w:rPr>
        <w:t> </w:t>
      </w:r>
      <w:r>
        <w:rPr/>
        <w:t>(2012).</w:t>
      </w:r>
      <w:r>
        <w:rPr>
          <w:spacing w:val="13"/>
        </w:rPr>
        <w:t> </w:t>
      </w:r>
      <w:r>
        <w:rPr/>
        <w:t>Caribbean</w:t>
      </w:r>
      <w:r>
        <w:rPr>
          <w:spacing w:val="14"/>
        </w:rPr>
        <w:t> </w:t>
      </w:r>
      <w:r>
        <w:rPr/>
        <w:t>growth</w:t>
      </w:r>
      <w:r>
        <w:rPr>
          <w:spacing w:val="13"/>
        </w:rPr>
        <w:t> </w:t>
      </w:r>
      <w:r>
        <w:rPr/>
        <w:t>in</w:t>
      </w:r>
      <w:r>
        <w:rPr>
          <w:spacing w:val="13"/>
        </w:rPr>
        <w:t> </w:t>
      </w:r>
      <w:r>
        <w:rPr/>
        <w:t>an</w:t>
      </w:r>
      <w:r>
        <w:rPr>
          <w:spacing w:val="14"/>
        </w:rPr>
        <w:t> </w:t>
      </w:r>
      <w:r>
        <w:rPr/>
        <w:t>international</w:t>
      </w:r>
      <w:r>
        <w:rPr>
          <w:spacing w:val="13"/>
        </w:rPr>
        <w:t> </w:t>
      </w:r>
      <w:r>
        <w:rPr/>
        <w:t>perspective:</w:t>
      </w:r>
      <w:r>
        <w:rPr>
          <w:spacing w:val="12"/>
        </w:rPr>
        <w:t> </w:t>
      </w:r>
      <w:r>
        <w:rPr/>
        <w:t>The</w:t>
      </w:r>
      <w:r>
        <w:rPr>
          <w:spacing w:val="14"/>
        </w:rPr>
        <w:t> </w:t>
      </w:r>
      <w:r>
        <w:rPr/>
        <w:t>role</w:t>
      </w:r>
      <w:r>
        <w:rPr>
          <w:spacing w:val="12"/>
        </w:rPr>
        <w:t> </w:t>
      </w:r>
      <w:r>
        <w:rPr/>
        <w:t>of</w:t>
      </w:r>
      <w:r>
        <w:rPr>
          <w:spacing w:val="12"/>
        </w:rPr>
        <w:t> </w:t>
      </w:r>
      <w:r>
        <w:rPr/>
        <w:t>tourism</w:t>
      </w:r>
      <w:r>
        <w:rPr>
          <w:spacing w:val="12"/>
        </w:rPr>
        <w:t> </w:t>
      </w:r>
      <w:r>
        <w:rPr/>
        <w:t>and</w:t>
      </w:r>
      <w:r>
        <w:rPr>
          <w:spacing w:val="13"/>
        </w:rPr>
        <w:t> </w:t>
      </w:r>
      <w:r>
        <w:rPr/>
        <w:t>size.</w:t>
      </w:r>
    </w:p>
    <w:p>
      <w:pPr>
        <w:pStyle w:val="BodyText"/>
        <w:spacing w:line="240" w:lineRule="auto" w:before="1"/>
        <w:ind w:left="2160" w:right="0"/>
        <w:jc w:val="left"/>
      </w:pPr>
      <w:r>
        <w:rPr/>
        <w:t>Retrieved from:</w:t>
      </w:r>
      <w:r>
        <w:rPr>
          <w:spacing w:val="-24"/>
        </w:rPr>
        <w:t> </w:t>
      </w:r>
      <w:r>
        <w:rPr>
          <w:color w:val="0462C1"/>
          <w:spacing w:val="-24"/>
        </w:rPr>
      </w:r>
      <w:hyperlink r:id="rId88">
        <w:r>
          <w:rPr>
            <w:color w:val="0462C1"/>
            <w:u w:val="single" w:color="0462C1"/>
          </w:rPr>
          <w:t>http://www10.iadb.org/intal/intalcdi/pe/2012/10338.pdf</w:t>
        </w:r>
        <w:r>
          <w:rPr>
            <w:color w:val="0462C1"/>
          </w:rPr>
        </w:r>
        <w:r>
          <w:rPr/>
        </w:r>
      </w:hyperlink>
    </w:p>
    <w:p>
      <w:pPr>
        <w:spacing w:before="0"/>
        <w:ind w:left="2160" w:right="1435" w:hanging="720"/>
        <w:jc w:val="left"/>
        <w:rPr>
          <w:rFonts w:ascii="Calibri" w:hAnsi="Calibri" w:cs="Calibri" w:eastAsia="Calibri" w:hint="default"/>
          <w:sz w:val="20"/>
          <w:szCs w:val="20"/>
        </w:rPr>
      </w:pPr>
      <w:r>
        <w:rPr>
          <w:rFonts w:ascii="Calibri" w:hAnsi="Calibri"/>
          <w:sz w:val="20"/>
        </w:rPr>
        <w:t>Tromp,</w:t>
      </w:r>
      <w:r>
        <w:rPr>
          <w:rFonts w:ascii="Calibri" w:hAnsi="Calibri"/>
          <w:spacing w:val="-14"/>
          <w:sz w:val="20"/>
        </w:rPr>
        <w:t> </w:t>
      </w:r>
      <w:r>
        <w:rPr>
          <w:rFonts w:ascii="Calibri" w:hAnsi="Calibri"/>
          <w:sz w:val="20"/>
        </w:rPr>
        <w:t>E.,</w:t>
      </w:r>
      <w:r>
        <w:rPr>
          <w:rFonts w:ascii="Calibri" w:hAnsi="Calibri"/>
          <w:spacing w:val="-14"/>
          <w:sz w:val="20"/>
        </w:rPr>
        <w:t> </w:t>
      </w:r>
      <w:r>
        <w:rPr>
          <w:rFonts w:ascii="Calibri" w:hAnsi="Calibri"/>
          <w:sz w:val="20"/>
        </w:rPr>
        <w:t>(2015,</w:t>
      </w:r>
      <w:r>
        <w:rPr>
          <w:rFonts w:ascii="Calibri" w:hAnsi="Calibri"/>
          <w:spacing w:val="-14"/>
          <w:sz w:val="20"/>
        </w:rPr>
        <w:t> </w:t>
      </w:r>
      <w:r>
        <w:rPr>
          <w:rFonts w:ascii="Calibri" w:hAnsi="Calibri"/>
          <w:sz w:val="20"/>
        </w:rPr>
        <w:t>March</w:t>
      </w:r>
      <w:r>
        <w:rPr>
          <w:rFonts w:ascii="Calibri" w:hAnsi="Calibri"/>
          <w:spacing w:val="-14"/>
          <w:sz w:val="20"/>
        </w:rPr>
        <w:t> </w:t>
      </w:r>
      <w:r>
        <w:rPr>
          <w:rFonts w:ascii="Calibri" w:hAnsi="Calibri"/>
          <w:sz w:val="20"/>
        </w:rPr>
        <w:t>25)</w:t>
      </w:r>
      <w:r>
        <w:rPr>
          <w:rFonts w:ascii="Calibri" w:hAnsi="Calibri"/>
          <w:spacing w:val="-14"/>
          <w:sz w:val="20"/>
        </w:rPr>
        <w:t> </w:t>
      </w:r>
      <w:r>
        <w:rPr>
          <w:rFonts w:ascii="Calibri" w:hAnsi="Calibri"/>
          <w:sz w:val="20"/>
        </w:rPr>
        <w:t>Written</w:t>
      </w:r>
      <w:r>
        <w:rPr>
          <w:rFonts w:ascii="Calibri" w:hAnsi="Calibri"/>
          <w:spacing w:val="-14"/>
          <w:sz w:val="20"/>
        </w:rPr>
        <w:t> </w:t>
      </w:r>
      <w:r>
        <w:rPr>
          <w:rFonts w:ascii="Calibri" w:hAnsi="Calibri"/>
          <w:sz w:val="20"/>
        </w:rPr>
        <w:t>speech.</w:t>
      </w:r>
      <w:r>
        <w:rPr>
          <w:rFonts w:ascii="Calibri" w:hAnsi="Calibri"/>
          <w:spacing w:val="-9"/>
          <w:sz w:val="20"/>
        </w:rPr>
        <w:t> </w:t>
      </w:r>
      <w:r>
        <w:rPr>
          <w:rFonts w:ascii="Calibri" w:hAnsi="Calibri"/>
          <w:i/>
          <w:sz w:val="20"/>
        </w:rPr>
        <w:t>On</w:t>
      </w:r>
      <w:r>
        <w:rPr>
          <w:rFonts w:ascii="Calibri" w:hAnsi="Calibri"/>
          <w:i/>
          <w:spacing w:val="-14"/>
          <w:sz w:val="20"/>
        </w:rPr>
        <w:t> </w:t>
      </w:r>
      <w:r>
        <w:rPr>
          <w:rFonts w:ascii="Calibri" w:hAnsi="Calibri"/>
          <w:i/>
          <w:sz w:val="20"/>
        </w:rPr>
        <w:t>the</w:t>
      </w:r>
      <w:r>
        <w:rPr>
          <w:rFonts w:ascii="Calibri" w:hAnsi="Calibri"/>
          <w:i/>
          <w:spacing w:val="-14"/>
          <w:sz w:val="20"/>
        </w:rPr>
        <w:t> </w:t>
      </w:r>
      <w:r>
        <w:rPr>
          <w:rFonts w:ascii="Calibri" w:hAnsi="Calibri"/>
          <w:i/>
          <w:sz w:val="20"/>
        </w:rPr>
        <w:t>occasion</w:t>
      </w:r>
      <w:r>
        <w:rPr>
          <w:rFonts w:ascii="Calibri" w:hAnsi="Calibri"/>
          <w:i/>
          <w:spacing w:val="-14"/>
          <w:sz w:val="20"/>
        </w:rPr>
        <w:t> </w:t>
      </w:r>
      <w:r>
        <w:rPr>
          <w:rFonts w:ascii="Calibri" w:hAnsi="Calibri"/>
          <w:i/>
          <w:sz w:val="20"/>
        </w:rPr>
        <w:t>of</w:t>
      </w:r>
      <w:r>
        <w:rPr>
          <w:rFonts w:ascii="Calibri" w:hAnsi="Calibri"/>
          <w:i/>
          <w:spacing w:val="-15"/>
          <w:sz w:val="20"/>
        </w:rPr>
        <w:t> </w:t>
      </w:r>
      <w:r>
        <w:rPr>
          <w:rFonts w:ascii="Calibri" w:hAnsi="Calibri"/>
          <w:i/>
          <w:sz w:val="20"/>
        </w:rPr>
        <w:t>the</w:t>
      </w:r>
      <w:r>
        <w:rPr>
          <w:rFonts w:ascii="Calibri" w:hAnsi="Calibri"/>
          <w:i/>
          <w:spacing w:val="-14"/>
          <w:sz w:val="20"/>
        </w:rPr>
        <w:t> </w:t>
      </w:r>
      <w:r>
        <w:rPr>
          <w:rFonts w:ascii="Calibri" w:hAnsi="Calibri"/>
          <w:i/>
          <w:sz w:val="20"/>
        </w:rPr>
        <w:t>annual</w:t>
      </w:r>
      <w:r>
        <w:rPr>
          <w:rFonts w:ascii="Calibri" w:hAnsi="Calibri"/>
          <w:i/>
          <w:spacing w:val="-14"/>
          <w:sz w:val="20"/>
        </w:rPr>
        <w:t> </w:t>
      </w:r>
      <w:r>
        <w:rPr>
          <w:rFonts w:ascii="Calibri" w:hAnsi="Calibri"/>
          <w:i/>
          <w:sz w:val="20"/>
        </w:rPr>
        <w:t>general</w:t>
      </w:r>
      <w:r>
        <w:rPr>
          <w:rFonts w:ascii="Calibri" w:hAnsi="Calibri"/>
          <w:i/>
          <w:spacing w:val="-14"/>
          <w:sz w:val="20"/>
        </w:rPr>
        <w:t> </w:t>
      </w:r>
      <w:r>
        <w:rPr>
          <w:rFonts w:ascii="Calibri" w:hAnsi="Calibri"/>
          <w:i/>
          <w:sz w:val="20"/>
        </w:rPr>
        <w:t>meeting</w:t>
      </w:r>
      <w:r>
        <w:rPr>
          <w:rFonts w:ascii="Calibri" w:hAnsi="Calibri"/>
          <w:i/>
          <w:spacing w:val="-16"/>
          <w:sz w:val="20"/>
        </w:rPr>
        <w:t> </w:t>
      </w:r>
      <w:r>
        <w:rPr>
          <w:rFonts w:ascii="Calibri" w:hAnsi="Calibri"/>
          <w:i/>
          <w:sz w:val="20"/>
        </w:rPr>
        <w:t>organized</w:t>
      </w:r>
      <w:r>
        <w:rPr>
          <w:rFonts w:ascii="Calibri" w:hAnsi="Calibri"/>
          <w:i/>
          <w:spacing w:val="-14"/>
          <w:sz w:val="20"/>
        </w:rPr>
        <w:t> </w:t>
      </w:r>
      <w:r>
        <w:rPr>
          <w:rFonts w:ascii="Calibri" w:hAnsi="Calibri"/>
          <w:i/>
          <w:sz w:val="20"/>
        </w:rPr>
        <w:t>by</w:t>
      </w:r>
      <w:r>
        <w:rPr>
          <w:rFonts w:ascii="Calibri" w:hAnsi="Calibri"/>
          <w:i/>
          <w:spacing w:val="-14"/>
          <w:sz w:val="20"/>
        </w:rPr>
        <w:t> </w:t>
      </w:r>
      <w:r>
        <w:rPr>
          <w:rFonts w:ascii="Calibri" w:hAnsi="Calibri"/>
          <w:i/>
          <w:sz w:val="20"/>
        </w:rPr>
        <w:t>the</w:t>
      </w:r>
      <w:r>
        <w:rPr>
          <w:rFonts w:ascii="Calibri" w:hAnsi="Calibri"/>
          <w:i/>
          <w:spacing w:val="-14"/>
          <w:sz w:val="20"/>
        </w:rPr>
        <w:t> </w:t>
      </w:r>
      <w:r>
        <w:rPr>
          <w:rFonts w:ascii="Calibri" w:hAnsi="Calibri"/>
          <w:i/>
          <w:sz w:val="20"/>
        </w:rPr>
        <w:t>Curaçao </w:t>
      </w:r>
      <w:r>
        <w:rPr>
          <w:rFonts w:ascii="Calibri" w:hAnsi="Calibri"/>
          <w:i/>
          <w:sz w:val="20"/>
        </w:rPr>
        <w:t>Hospitality and Tourism</w:t>
      </w:r>
      <w:r>
        <w:rPr>
          <w:rFonts w:ascii="Calibri" w:hAnsi="Calibri"/>
          <w:i/>
          <w:spacing w:val="-14"/>
          <w:sz w:val="20"/>
        </w:rPr>
        <w:t> </w:t>
      </w:r>
      <w:r>
        <w:rPr>
          <w:rFonts w:ascii="Calibri" w:hAnsi="Calibri"/>
          <w:i/>
          <w:sz w:val="20"/>
        </w:rPr>
        <w:t>Association</w:t>
      </w:r>
      <w:r>
        <w:rPr>
          <w:rFonts w:ascii="Calibri" w:hAnsi="Calibri"/>
          <w:sz w:val="20"/>
        </w:rPr>
        <w:t>.</w:t>
      </w:r>
    </w:p>
    <w:p>
      <w:pPr>
        <w:pStyle w:val="BodyText"/>
        <w:spacing w:line="240" w:lineRule="auto"/>
        <w:ind w:left="2160" w:right="1437" w:hanging="720"/>
        <w:jc w:val="both"/>
      </w:pPr>
      <w:r>
        <w:rPr/>
        <w:t>Tourism generate $35.2 Million for Curacao Economy in January 2014 (2014, March). </w:t>
      </w:r>
      <w:r>
        <w:rPr>
          <w:rFonts w:ascii="Calibri"/>
          <w:i/>
        </w:rPr>
        <w:t>The Caribbean digital News. </w:t>
      </w:r>
      <w:r>
        <w:rPr/>
        <w:t>Retrieved from </w:t>
      </w:r>
      <w:r>
        <w:rPr>
          <w:color w:val="0462C1"/>
        </w:rPr>
      </w:r>
      <w:hyperlink r:id="rId89">
        <w:r>
          <w:rPr>
            <w:color w:val="0462C1"/>
            <w:u w:val="single" w:color="0462C1"/>
          </w:rPr>
          <w:t>http://www.caribbeannewsdigital.com/en/noticia/tourism-generated-352-million- </w:t>
        </w:r>
        <w:r>
          <w:rPr>
            <w:color w:val="0462C1"/>
          </w:rPr>
        </w:r>
      </w:hyperlink>
      <w:r>
        <w:rPr>
          <w:color w:val="0462C1"/>
        </w:rPr>
      </w:r>
      <w:hyperlink r:id="rId89">
        <w:r>
          <w:rPr>
            <w:color w:val="0462C1"/>
          </w:rPr>
        </w:r>
        <w:r>
          <w:rPr>
            <w:color w:val="0462C1"/>
            <w:u w:val="single" w:color="0462C1"/>
          </w:rPr>
        </w:r>
        <w:r>
          <w:rPr>
            <w:color w:val="0462C1"/>
            <w:u w:val="single" w:color="0462C1"/>
          </w:rPr>
          <w:t>curacao-economy-january-2014</w:t>
        </w:r>
        <w:r>
          <w:rPr>
            <w:color w:val="0462C1"/>
          </w:rPr>
        </w:r>
        <w:r>
          <w:rPr/>
        </w:r>
      </w:hyperlink>
    </w:p>
    <w:p>
      <w:pPr>
        <w:pStyle w:val="BodyText"/>
        <w:spacing w:line="240" w:lineRule="auto"/>
        <w:ind w:left="2160" w:right="0" w:hanging="720"/>
        <w:jc w:val="left"/>
      </w:pPr>
      <w:r>
        <w:rPr>
          <w:rFonts w:ascii="Calibri"/>
          <w:i/>
        </w:rPr>
        <w:t>Tourism Price Indices help us out</w:t>
      </w:r>
      <w:r>
        <w:rPr/>
        <w:t>? SEO economisch onderzoek economic reserch. Retrieved from: </w:t>
      </w:r>
      <w:r>
        <w:rPr>
          <w:color w:val="0462C1"/>
        </w:rPr>
      </w:r>
      <w:hyperlink r:id="rId90">
        <w:r>
          <w:rPr>
            <w:color w:val="0462C1"/>
            <w:u w:val="single" w:color="0462C1"/>
          </w:rPr>
          <w:t>http://www.seo.nl/fileadmin/site/discussion- </w:t>
        </w:r>
        <w:r>
          <w:rPr>
            <w:color w:val="0462C1"/>
          </w:rPr>
        </w:r>
      </w:hyperlink>
      <w:r>
        <w:rPr>
          <w:color w:val="0462C1"/>
        </w:rPr>
      </w:r>
      <w:hyperlink r:id="rId90">
        <w:r>
          <w:rPr>
            <w:color w:val="0462C1"/>
          </w:rPr>
        </w:r>
        <w:r>
          <w:rPr>
            <w:color w:val="0462C1"/>
            <w:u w:val="single" w:color="0462C1"/>
          </w:rPr>
          <w:t>papers/2007/dp54_an_econometric_analysis_of_tourism_inflow_in_Curacao.pdf</w:t>
        </w:r>
        <w:r>
          <w:rPr>
            <w:color w:val="0462C1"/>
          </w:rPr>
        </w:r>
        <w:r>
          <w:rPr/>
        </w:r>
      </w:hyperlink>
    </w:p>
    <w:p>
      <w:pPr>
        <w:spacing w:before="0"/>
        <w:ind w:left="2160" w:right="1435" w:hanging="720"/>
        <w:jc w:val="left"/>
        <w:rPr>
          <w:rFonts w:ascii="Calibri" w:hAnsi="Calibri" w:cs="Calibri" w:eastAsia="Calibri" w:hint="default"/>
          <w:sz w:val="20"/>
          <w:szCs w:val="20"/>
        </w:rPr>
      </w:pPr>
      <w:r>
        <w:rPr>
          <w:rFonts w:ascii="Calibri"/>
          <w:sz w:val="20"/>
        </w:rPr>
        <w:t>UNESCO and Ministry of Education, Culture and Science of the Netherlands (2014) </w:t>
      </w:r>
      <w:r>
        <w:rPr>
          <w:rFonts w:ascii="Calibri"/>
          <w:i/>
          <w:sz w:val="20"/>
        </w:rPr>
        <w:t>Culture &amp; Development, World Heritage</w:t>
      </w:r>
      <w:r>
        <w:rPr>
          <w:rFonts w:ascii="Calibri"/>
          <w:i/>
          <w:spacing w:val="-8"/>
          <w:sz w:val="20"/>
        </w:rPr>
        <w:t> </w:t>
      </w:r>
      <w:r>
        <w:rPr>
          <w:rFonts w:ascii="Calibri"/>
          <w:i/>
          <w:sz w:val="20"/>
        </w:rPr>
        <w:t>in</w:t>
      </w:r>
      <w:r>
        <w:rPr>
          <w:rFonts w:ascii="Calibri"/>
          <w:i/>
          <w:spacing w:val="-8"/>
          <w:sz w:val="20"/>
        </w:rPr>
        <w:t> </w:t>
      </w:r>
      <w:r>
        <w:rPr>
          <w:rFonts w:ascii="Calibri"/>
          <w:i/>
          <w:sz w:val="20"/>
        </w:rPr>
        <w:t>the</w:t>
      </w:r>
      <w:r>
        <w:rPr>
          <w:rFonts w:ascii="Calibri"/>
          <w:i/>
          <w:spacing w:val="-8"/>
          <w:sz w:val="20"/>
        </w:rPr>
        <w:t> </w:t>
      </w:r>
      <w:r>
        <w:rPr>
          <w:rFonts w:ascii="Calibri"/>
          <w:i/>
          <w:sz w:val="20"/>
        </w:rPr>
        <w:t>Caribbean.</w:t>
      </w:r>
      <w:r>
        <w:rPr>
          <w:rFonts w:ascii="Calibri"/>
          <w:i/>
          <w:spacing w:val="-5"/>
          <w:sz w:val="20"/>
        </w:rPr>
        <w:t> </w:t>
      </w:r>
      <w:r>
        <w:rPr>
          <w:rFonts w:ascii="Calibri"/>
          <w:sz w:val="20"/>
        </w:rPr>
        <w:t>Retrieved</w:t>
      </w:r>
      <w:r>
        <w:rPr>
          <w:rFonts w:ascii="Calibri"/>
          <w:spacing w:val="-8"/>
          <w:sz w:val="20"/>
        </w:rPr>
        <w:t> </w:t>
      </w:r>
      <w:r>
        <w:rPr>
          <w:rFonts w:ascii="Calibri"/>
          <w:sz w:val="20"/>
        </w:rPr>
        <w:t>from</w:t>
      </w:r>
      <w:r>
        <w:rPr>
          <w:rFonts w:ascii="Calibri"/>
          <w:spacing w:val="-5"/>
          <w:sz w:val="20"/>
        </w:rPr>
        <w:t> </w:t>
      </w:r>
      <w:r>
        <w:rPr>
          <w:rFonts w:ascii="Calibri"/>
          <w:color w:val="0462C1"/>
          <w:spacing w:val="-5"/>
          <w:sz w:val="20"/>
        </w:rPr>
      </w:r>
      <w:hyperlink r:id="rId91">
        <w:r>
          <w:rPr>
            <w:rFonts w:ascii="Calibri"/>
            <w:color w:val="0462C1"/>
            <w:sz w:val="20"/>
            <w:u w:val="single" w:color="0462C1"/>
          </w:rPr>
          <w:t>file:///C:/Users/vshapova/Downloads/activity-842-1.pdf</w:t>
        </w:r>
        <w:r>
          <w:rPr>
            <w:rFonts w:ascii="Calibri"/>
            <w:color w:val="0462C1"/>
            <w:sz w:val="20"/>
          </w:rPr>
        </w:r>
        <w:r>
          <w:rPr>
            <w:rFonts w:ascii="Calibri"/>
            <w:sz w:val="20"/>
          </w:rPr>
        </w:r>
      </w:hyperlink>
    </w:p>
    <w:p>
      <w:pPr>
        <w:pStyle w:val="BodyText"/>
        <w:spacing w:line="240" w:lineRule="auto"/>
        <w:ind w:right="1435"/>
        <w:jc w:val="left"/>
      </w:pPr>
      <w:r>
        <w:rPr/>
        <w:t>United Nation Development Programme (2015). </w:t>
      </w:r>
      <w:r>
        <w:rPr>
          <w:rFonts w:ascii="Calibri"/>
          <w:i/>
        </w:rPr>
        <w:t>Curacao National Development Plan. </w:t>
      </w:r>
      <w:r>
        <w:rPr/>
        <w:t>Unpublished manuscript. United</w:t>
      </w:r>
      <w:r>
        <w:rPr>
          <w:spacing w:val="-14"/>
        </w:rPr>
        <w:t> </w:t>
      </w:r>
      <w:r>
        <w:rPr/>
        <w:t>Nation</w:t>
      </w:r>
      <w:r>
        <w:rPr>
          <w:spacing w:val="-13"/>
        </w:rPr>
        <w:t> </w:t>
      </w:r>
      <w:r>
        <w:rPr/>
        <w:t>Environment</w:t>
      </w:r>
      <w:r>
        <w:rPr>
          <w:spacing w:val="-13"/>
        </w:rPr>
        <w:t> </w:t>
      </w:r>
      <w:r>
        <w:rPr/>
        <w:t>Programme</w:t>
      </w:r>
      <w:r>
        <w:rPr>
          <w:spacing w:val="-14"/>
        </w:rPr>
        <w:t> </w:t>
      </w:r>
      <w:r>
        <w:rPr/>
        <w:t>(2011)</w:t>
      </w:r>
      <w:r>
        <w:rPr>
          <w:spacing w:val="-14"/>
        </w:rPr>
        <w:t> </w:t>
      </w:r>
      <w:r>
        <w:rPr/>
        <w:t>Tourism:</w:t>
      </w:r>
      <w:r>
        <w:rPr>
          <w:spacing w:val="-14"/>
        </w:rPr>
        <w:t> </w:t>
      </w:r>
      <w:r>
        <w:rPr/>
        <w:t>Investing</w:t>
      </w:r>
      <w:r>
        <w:rPr>
          <w:spacing w:val="-14"/>
        </w:rPr>
        <w:t> </w:t>
      </w:r>
      <w:r>
        <w:rPr/>
        <w:t>in</w:t>
      </w:r>
      <w:r>
        <w:rPr>
          <w:spacing w:val="-13"/>
        </w:rPr>
        <w:t> </w:t>
      </w:r>
      <w:r>
        <w:rPr/>
        <w:t>Energy</w:t>
      </w:r>
      <w:r>
        <w:rPr>
          <w:spacing w:val="-13"/>
        </w:rPr>
        <w:t> </w:t>
      </w:r>
      <w:r>
        <w:rPr/>
        <w:t>and</w:t>
      </w:r>
      <w:r>
        <w:rPr>
          <w:spacing w:val="-15"/>
        </w:rPr>
        <w:t> </w:t>
      </w:r>
      <w:r>
        <w:rPr/>
        <w:t>Resource</w:t>
      </w:r>
      <w:r>
        <w:rPr>
          <w:spacing w:val="-15"/>
        </w:rPr>
        <w:t> </w:t>
      </w:r>
      <w:r>
        <w:rPr/>
        <w:t>Efficiency.</w:t>
      </w:r>
      <w:r>
        <w:rPr>
          <w:spacing w:val="-14"/>
        </w:rPr>
        <w:t> </w:t>
      </w:r>
      <w:r>
        <w:rPr/>
        <w:t>Retrieved</w:t>
      </w:r>
      <w:r>
        <w:rPr>
          <w:spacing w:val="-13"/>
        </w:rPr>
        <w:t> </w:t>
      </w:r>
      <w:r>
        <w:rPr/>
        <w:t>from:</w:t>
      </w:r>
    </w:p>
    <w:p>
      <w:pPr>
        <w:pStyle w:val="BodyText"/>
        <w:spacing w:line="240" w:lineRule="auto"/>
        <w:ind w:left="2160" w:right="1817"/>
        <w:jc w:val="left"/>
      </w:pPr>
      <w:r>
        <w:rPr>
          <w:color w:val="0462C1"/>
          <w:w w:val="99"/>
        </w:rPr>
      </w:r>
      <w:hyperlink r:id="rId92">
        <w:r>
          <w:rPr>
            <w:color w:val="0462C1"/>
            <w:w w:val="95"/>
            <w:u w:val="single" w:color="0462C1"/>
          </w:rPr>
          <w:t>http://www.unep.org/resourceefficiency/Portals/24147/scp/business/tourism/greeneconomy_tourism.p      </w:t>
        </w:r>
        <w:r>
          <w:rPr>
            <w:color w:val="0462C1"/>
            <w:w w:val="95"/>
          </w:rPr>
        </w:r>
      </w:hyperlink>
      <w:r>
        <w:rPr>
          <w:color w:val="0462C1"/>
          <w:w w:val="95"/>
        </w:rPr>
      </w:r>
      <w:hyperlink r:id="rId92">
        <w:r>
          <w:rPr>
            <w:color w:val="0462C1"/>
            <w:w w:val="95"/>
          </w:rPr>
        </w:r>
        <w:r>
          <w:rPr>
            <w:color w:val="0462C1"/>
            <w:w w:val="95"/>
            <w:u w:val="single" w:color="0462C1"/>
          </w:rPr>
        </w:r>
        <w:r>
          <w:rPr>
            <w:color w:val="0462C1"/>
            <w:u w:val="single" w:color="0462C1"/>
          </w:rPr>
          <w:t>df</w:t>
        </w:r>
        <w:r>
          <w:rPr>
            <w:color w:val="0462C1"/>
          </w:rPr>
        </w:r>
        <w:r>
          <w:rPr/>
        </w:r>
      </w:hyperlink>
    </w:p>
    <w:p>
      <w:pPr>
        <w:pStyle w:val="BodyText"/>
        <w:spacing w:line="240" w:lineRule="auto"/>
        <w:ind w:right="1435"/>
        <w:jc w:val="left"/>
        <w:rPr>
          <w:rFonts w:ascii="Calibri" w:hAnsi="Calibri" w:cs="Calibri" w:eastAsia="Calibri" w:hint="default"/>
        </w:rPr>
      </w:pPr>
      <w:r>
        <w:rPr/>
        <w:t>University of Curaçao (2015). Attitude of local residents towards sustainable tourism. UoC, Curaçao, February. Vanegas, M. (2009). Tourism Demand Response by Residents of Latin American Countries. </w:t>
      </w:r>
      <w:r>
        <w:rPr>
          <w:rFonts w:ascii="Calibri" w:hAnsi="Calibri"/>
          <w:i/>
        </w:rPr>
        <w:t>International Journal </w:t>
      </w:r>
      <w:r>
        <w:rPr>
          <w:rFonts w:ascii="Calibri" w:hAnsi="Calibri"/>
          <w:i/>
          <w:spacing w:val="15"/>
        </w:rPr>
        <w:t> </w:t>
      </w:r>
      <w:r>
        <w:rPr>
          <w:rFonts w:ascii="Calibri" w:hAnsi="Calibri"/>
          <w:i/>
        </w:rPr>
        <w:t>of</w:t>
      </w:r>
      <w:r>
        <w:rPr>
          <w:rFonts w:ascii="Calibri" w:hAnsi="Calibri"/>
        </w:rPr>
      </w:r>
    </w:p>
    <w:p>
      <w:pPr>
        <w:spacing w:before="0"/>
        <w:ind w:left="2160" w:right="0" w:firstLine="0"/>
        <w:jc w:val="left"/>
        <w:rPr>
          <w:rFonts w:ascii="Calibri" w:hAnsi="Calibri" w:cs="Calibri" w:eastAsia="Calibri" w:hint="default"/>
          <w:sz w:val="20"/>
          <w:szCs w:val="20"/>
        </w:rPr>
      </w:pPr>
      <w:r>
        <w:rPr>
          <w:rFonts w:ascii="Calibri"/>
          <w:i/>
          <w:sz w:val="20"/>
        </w:rPr>
        <w:t>Tourism Research </w:t>
      </w:r>
      <w:r>
        <w:rPr>
          <w:rFonts w:ascii="Calibri"/>
          <w:sz w:val="20"/>
        </w:rPr>
        <w:t>11,</w:t>
      </w:r>
      <w:r>
        <w:rPr>
          <w:rFonts w:ascii="Calibri"/>
          <w:spacing w:val="-14"/>
          <w:sz w:val="20"/>
        </w:rPr>
        <w:t> </w:t>
      </w:r>
      <w:r>
        <w:rPr>
          <w:rFonts w:ascii="Calibri"/>
          <w:sz w:val="20"/>
        </w:rPr>
        <w:t>17-29.</w:t>
      </w:r>
    </w:p>
    <w:p>
      <w:pPr>
        <w:spacing w:before="0"/>
        <w:ind w:left="1440" w:right="0" w:firstLine="0"/>
        <w:jc w:val="left"/>
        <w:rPr>
          <w:rFonts w:ascii="Calibri" w:hAnsi="Calibri" w:cs="Calibri" w:eastAsia="Calibri" w:hint="default"/>
          <w:sz w:val="20"/>
          <w:szCs w:val="20"/>
        </w:rPr>
      </w:pPr>
      <w:r>
        <w:rPr>
          <w:rFonts w:ascii="Calibri"/>
          <w:color w:val="212121"/>
          <w:sz w:val="20"/>
        </w:rPr>
        <w:t>van Soest, J. (1978). </w:t>
      </w:r>
      <w:r>
        <w:rPr>
          <w:rFonts w:ascii="Calibri"/>
          <w:i/>
          <w:color w:val="212121"/>
          <w:sz w:val="20"/>
        </w:rPr>
        <w:t>Trustee of the Netherlands</w:t>
      </w:r>
      <w:r>
        <w:rPr>
          <w:rFonts w:ascii="Calibri"/>
          <w:i/>
          <w:color w:val="212121"/>
          <w:spacing w:val="-21"/>
          <w:sz w:val="20"/>
        </w:rPr>
        <w:t> </w:t>
      </w:r>
      <w:r>
        <w:rPr>
          <w:rFonts w:ascii="Calibri"/>
          <w:i/>
          <w:color w:val="212121"/>
          <w:sz w:val="20"/>
        </w:rPr>
        <w:t>Antilles</w:t>
      </w:r>
      <w:r>
        <w:rPr>
          <w:rFonts w:ascii="Calibri"/>
          <w:color w:val="212121"/>
          <w:sz w:val="20"/>
        </w:rPr>
        <w:t>.</w:t>
      </w:r>
      <w:r>
        <w:rPr>
          <w:rFonts w:ascii="Calibri"/>
          <w:sz w:val="20"/>
        </w:rPr>
      </w:r>
    </w:p>
    <w:p>
      <w:pPr>
        <w:pStyle w:val="BodyText"/>
        <w:tabs>
          <w:tab w:pos="3636" w:val="left" w:leader="none"/>
          <w:tab w:pos="4873" w:val="left" w:leader="none"/>
          <w:tab w:pos="5780" w:val="left" w:leader="none"/>
          <w:tab w:pos="7334" w:val="left" w:leader="none"/>
          <w:tab w:pos="8740" w:val="left" w:leader="none"/>
          <w:tab w:pos="9757" w:val="left" w:leader="none"/>
        </w:tabs>
        <w:spacing w:line="240" w:lineRule="auto"/>
        <w:ind w:left="2160" w:right="1435" w:hanging="720"/>
        <w:jc w:val="left"/>
      </w:pPr>
      <w:r>
        <w:rPr/>
        <w:t>World</w:t>
      </w:r>
      <w:r>
        <w:rPr>
          <w:spacing w:val="-6"/>
        </w:rPr>
        <w:t> </w:t>
      </w:r>
      <w:r>
        <w:rPr/>
        <w:t>Bank</w:t>
      </w:r>
      <w:r>
        <w:rPr>
          <w:spacing w:val="-6"/>
        </w:rPr>
        <w:t> </w:t>
      </w:r>
      <w:r>
        <w:rPr/>
        <w:t>Latin</w:t>
      </w:r>
      <w:r>
        <w:rPr>
          <w:spacing w:val="-8"/>
        </w:rPr>
        <w:t> </w:t>
      </w:r>
      <w:r>
        <w:rPr/>
        <w:t>American</w:t>
      </w:r>
      <w:r>
        <w:rPr>
          <w:spacing w:val="-6"/>
        </w:rPr>
        <w:t> </w:t>
      </w:r>
      <w:r>
        <w:rPr/>
        <w:t>and</w:t>
      </w:r>
      <w:r>
        <w:rPr>
          <w:spacing w:val="-6"/>
        </w:rPr>
        <w:t> </w:t>
      </w:r>
      <w:r>
        <w:rPr/>
        <w:t>the</w:t>
      </w:r>
      <w:r>
        <w:rPr>
          <w:spacing w:val="-7"/>
        </w:rPr>
        <w:t> </w:t>
      </w:r>
      <w:r>
        <w:rPr/>
        <w:t>Caribbean</w:t>
      </w:r>
      <w:r>
        <w:rPr>
          <w:spacing w:val="-7"/>
        </w:rPr>
        <w:t> </w:t>
      </w:r>
      <w:r>
        <w:rPr/>
        <w:t>Regional</w:t>
      </w:r>
      <w:r>
        <w:rPr>
          <w:spacing w:val="-6"/>
        </w:rPr>
        <w:t> </w:t>
      </w:r>
      <w:r>
        <w:rPr/>
        <w:t>Office</w:t>
      </w:r>
      <w:r>
        <w:rPr>
          <w:spacing w:val="-7"/>
        </w:rPr>
        <w:t> </w:t>
      </w:r>
      <w:r>
        <w:rPr/>
        <w:t>(1986).</w:t>
      </w:r>
      <w:r>
        <w:rPr>
          <w:spacing w:val="-3"/>
        </w:rPr>
        <w:t> </w:t>
      </w:r>
      <w:r>
        <w:rPr>
          <w:rFonts w:ascii="Calibri"/>
          <w:i/>
        </w:rPr>
        <w:t>The</w:t>
      </w:r>
      <w:r>
        <w:rPr>
          <w:rFonts w:ascii="Calibri"/>
          <w:i/>
          <w:spacing w:val="-6"/>
        </w:rPr>
        <w:t> </w:t>
      </w:r>
      <w:r>
        <w:rPr>
          <w:rFonts w:ascii="Calibri"/>
          <w:i/>
        </w:rPr>
        <w:t>Economy</w:t>
      </w:r>
      <w:r>
        <w:rPr>
          <w:rFonts w:ascii="Calibri"/>
          <w:i/>
          <w:spacing w:val="-7"/>
        </w:rPr>
        <w:t> </w:t>
      </w:r>
      <w:r>
        <w:rPr>
          <w:rFonts w:ascii="Calibri"/>
          <w:i/>
        </w:rPr>
        <w:t>of</w:t>
      </w:r>
      <w:r>
        <w:rPr>
          <w:rFonts w:ascii="Calibri"/>
          <w:i/>
          <w:spacing w:val="-7"/>
        </w:rPr>
        <w:t> </w:t>
      </w:r>
      <w:r>
        <w:rPr>
          <w:rFonts w:ascii="Calibri"/>
          <w:i/>
        </w:rPr>
        <w:t>Aruba:</w:t>
      </w:r>
      <w:r>
        <w:rPr>
          <w:rFonts w:ascii="Calibri"/>
          <w:i/>
          <w:spacing w:val="-7"/>
        </w:rPr>
        <w:t> </w:t>
      </w:r>
      <w:r>
        <w:rPr>
          <w:rFonts w:ascii="Calibri"/>
          <w:i/>
        </w:rPr>
        <w:t>Adjusting</w:t>
      </w:r>
      <w:r>
        <w:rPr>
          <w:rFonts w:ascii="Calibri"/>
          <w:i/>
          <w:spacing w:val="-6"/>
        </w:rPr>
        <w:t> </w:t>
      </w:r>
      <w:r>
        <w:rPr>
          <w:rFonts w:ascii="Calibri"/>
          <w:i/>
        </w:rPr>
        <w:t>to</w:t>
      </w:r>
      <w:r>
        <w:rPr>
          <w:rFonts w:ascii="Calibri"/>
          <w:i/>
          <w:spacing w:val="-8"/>
        </w:rPr>
        <w:t> </w:t>
      </w:r>
      <w:r>
        <w:rPr>
          <w:rFonts w:ascii="Calibri"/>
          <w:i/>
        </w:rPr>
        <w:t>Changing </w:t>
      </w:r>
      <w:r>
        <w:rPr>
          <w:rFonts w:ascii="Calibri"/>
          <w:i/>
        </w:rPr>
      </w:r>
      <w:r>
        <w:rPr>
          <w:rFonts w:ascii="Calibri"/>
          <w:i/>
          <w:spacing w:val="-1"/>
        </w:rPr>
        <w:t>Conditions</w:t>
        <w:tab/>
      </w:r>
      <w:r>
        <w:rPr>
          <w:spacing w:val="-1"/>
        </w:rPr>
        <w:t>(Report</w:t>
        <w:tab/>
      </w:r>
      <w:r>
        <w:rPr>
          <w:w w:val="95"/>
        </w:rPr>
        <w:t>No.</w:t>
        <w:tab/>
      </w:r>
      <w:r>
        <w:rPr/>
        <w:t>6299-ARU).</w:t>
        <w:tab/>
      </w:r>
      <w:r>
        <w:rPr>
          <w:spacing w:val="-1"/>
        </w:rPr>
        <w:t>Retrieved</w:t>
        <w:tab/>
      </w:r>
      <w:r>
        <w:rPr>
          <w:w w:val="95"/>
        </w:rPr>
        <w:t>from</w:t>
        <w:tab/>
      </w:r>
      <w:hyperlink r:id="rId21">
        <w:r>
          <w:rPr/>
          <w:t>http://www-</w:t>
        </w:r>
      </w:hyperlink>
      <w:r>
        <w:rPr/>
        <w:t> </w:t>
      </w:r>
      <w:r>
        <w:rPr/>
        <w:t>wds.worldbank.org/external/default/WDSContentServer/WDSP/IB/1986/08/26/000009265_3960926032 140/Rendered/INDEX/multi0page.txt</w:t>
      </w:r>
    </w:p>
    <w:p>
      <w:pPr>
        <w:spacing w:after="0" w:line="240" w:lineRule="auto"/>
        <w:jc w:val="left"/>
        <w:sectPr>
          <w:pgSz w:w="12240" w:h="15840"/>
          <w:pgMar w:header="0" w:footer="533" w:top="840" w:bottom="720" w:left="0" w:right="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1"/>
        <w:ind w:right="0"/>
        <w:rPr>
          <w:rFonts w:ascii="Calibri" w:hAnsi="Calibri" w:cs="Calibri" w:eastAsia="Calibri" w:hint="default"/>
          <w:sz w:val="25"/>
          <w:szCs w:val="25"/>
        </w:rPr>
      </w:pPr>
    </w:p>
    <w:p>
      <w:pPr>
        <w:spacing w:before="19"/>
        <w:ind w:left="3346" w:right="0" w:firstLine="0"/>
        <w:jc w:val="left"/>
        <w:rPr>
          <w:rFonts w:ascii="Calibri" w:hAnsi="Calibri" w:cs="Calibri" w:eastAsia="Calibri" w:hint="default"/>
          <w:sz w:val="40"/>
          <w:szCs w:val="40"/>
        </w:rPr>
      </w:pPr>
      <w:bookmarkStart w:name="_bookmark177" w:id="178"/>
      <w:bookmarkEnd w:id="178"/>
      <w:r>
        <w:rPr/>
      </w:r>
      <w:r>
        <w:rPr>
          <w:rFonts w:ascii="Calibri"/>
          <w:b/>
          <w:sz w:val="40"/>
        </w:rPr>
        <w:t>ANNEX A:</w:t>
      </w:r>
      <w:r>
        <w:rPr>
          <w:rFonts w:ascii="Calibri"/>
          <w:b/>
          <w:spacing w:val="-6"/>
          <w:sz w:val="40"/>
        </w:rPr>
        <w:t> </w:t>
      </w:r>
      <w:r>
        <w:rPr>
          <w:rFonts w:ascii="Calibri"/>
          <w:b/>
          <w:sz w:val="40"/>
        </w:rPr>
        <w:t>ACKNOWLEDGEMENTS</w:t>
      </w:r>
      <w:r>
        <w:rPr>
          <w:rFonts w:ascii="Calibri"/>
          <w:sz w:val="40"/>
        </w:rPr>
      </w:r>
    </w:p>
    <w:p>
      <w:pPr>
        <w:spacing w:after="0"/>
        <w:jc w:val="left"/>
        <w:rPr>
          <w:rFonts w:ascii="Calibri" w:hAnsi="Calibri" w:cs="Calibri" w:eastAsia="Calibri" w:hint="default"/>
          <w:sz w:val="40"/>
          <w:szCs w:val="40"/>
        </w:rPr>
        <w:sectPr>
          <w:headerReference w:type="default" r:id="rId93"/>
          <w:footerReference w:type="default" r:id="rId94"/>
          <w:pgSz w:w="12240" w:h="15840"/>
          <w:pgMar w:header="0" w:footer="533" w:top="840" w:bottom="720" w:left="0" w:right="0"/>
        </w:sectPr>
      </w:pPr>
    </w:p>
    <w:p>
      <w:pPr>
        <w:spacing w:line="240" w:lineRule="auto" w:before="0"/>
        <w:ind w:right="0"/>
        <w:rPr>
          <w:rFonts w:ascii="Calibri" w:hAnsi="Calibri" w:cs="Calibri" w:eastAsia="Calibri" w:hint="default"/>
          <w:b/>
          <w:bCs/>
          <w:sz w:val="20"/>
          <w:szCs w:val="20"/>
        </w:rPr>
      </w:pPr>
      <w:r>
        <w:rPr/>
        <w:pict>
          <v:shape style="position:absolute;margin-left:.72pt;margin-top:755.279907pt;width:611.28pt;height:36.7201pt;mso-position-horizontal-relative:page;mso-position-vertical-relative:page;z-index:3496" type="#_x0000_t75" stroked="false">
            <v:imagedata r:id="rId96" o:title=""/>
          </v:shape>
        </w:pict>
      </w:r>
    </w:p>
    <w:p>
      <w:pPr>
        <w:spacing w:line="240" w:lineRule="auto" w:before="1"/>
        <w:ind w:right="0"/>
        <w:rPr>
          <w:rFonts w:ascii="Calibri" w:hAnsi="Calibri" w:cs="Calibri" w:eastAsia="Calibri" w:hint="default"/>
          <w:b/>
          <w:bCs/>
          <w:sz w:val="23"/>
          <w:szCs w:val="23"/>
        </w:rPr>
      </w:pPr>
    </w:p>
    <w:p>
      <w:pPr>
        <w:pStyle w:val="BodyText"/>
        <w:spacing w:line="240" w:lineRule="auto" w:before="59"/>
        <w:ind w:right="1436"/>
        <w:jc w:val="both"/>
      </w:pPr>
      <w:r>
        <w:rPr/>
        <w:t>Thank</w:t>
      </w:r>
      <w:r>
        <w:rPr>
          <w:spacing w:val="-3"/>
        </w:rPr>
        <w:t> </w:t>
      </w:r>
      <w:r>
        <w:rPr/>
        <w:t>you</w:t>
      </w:r>
      <w:r>
        <w:rPr>
          <w:spacing w:val="-5"/>
        </w:rPr>
        <w:t> </w:t>
      </w:r>
      <w:r>
        <w:rPr/>
        <w:t>to</w:t>
      </w:r>
      <w:r>
        <w:rPr>
          <w:spacing w:val="-3"/>
        </w:rPr>
        <w:t> </w:t>
      </w:r>
      <w:r>
        <w:rPr/>
        <w:t>everyone</w:t>
      </w:r>
      <w:r>
        <w:rPr>
          <w:spacing w:val="-4"/>
        </w:rPr>
        <w:t> </w:t>
      </w:r>
      <w:r>
        <w:rPr/>
        <w:t>involved</w:t>
      </w:r>
      <w:r>
        <w:rPr>
          <w:spacing w:val="-3"/>
        </w:rPr>
        <w:t> </w:t>
      </w:r>
      <w:r>
        <w:rPr/>
        <w:t>in</w:t>
      </w:r>
      <w:r>
        <w:rPr>
          <w:spacing w:val="-3"/>
        </w:rPr>
        <w:t> </w:t>
      </w:r>
      <w:r>
        <w:rPr/>
        <w:t>creating</w:t>
      </w:r>
      <w:r>
        <w:rPr>
          <w:spacing w:val="-4"/>
        </w:rPr>
        <w:t> </w:t>
      </w:r>
      <w:r>
        <w:rPr/>
        <w:t>and</w:t>
      </w:r>
      <w:r>
        <w:rPr>
          <w:spacing w:val="-5"/>
        </w:rPr>
        <w:t> </w:t>
      </w:r>
      <w:r>
        <w:rPr/>
        <w:t>developing</w:t>
      </w:r>
      <w:r>
        <w:rPr>
          <w:spacing w:val="-4"/>
        </w:rPr>
        <w:t> </w:t>
      </w:r>
      <w:r>
        <w:rPr/>
        <w:t>the</w:t>
      </w:r>
      <w:r>
        <w:rPr>
          <w:spacing w:val="-4"/>
        </w:rPr>
        <w:t> </w:t>
      </w:r>
      <w:r>
        <w:rPr/>
        <w:t>Strategic</w:t>
      </w:r>
      <w:r>
        <w:rPr>
          <w:spacing w:val="2"/>
        </w:rPr>
        <w:t> </w:t>
      </w:r>
      <w:r>
        <w:rPr/>
        <w:t>Tourism</w:t>
      </w:r>
      <w:r>
        <w:rPr>
          <w:spacing w:val="-4"/>
        </w:rPr>
        <w:t> </w:t>
      </w:r>
      <w:r>
        <w:rPr/>
        <w:t>Master</w:t>
      </w:r>
      <w:r>
        <w:rPr>
          <w:spacing w:val="-1"/>
        </w:rPr>
        <w:t> </w:t>
      </w:r>
      <w:r>
        <w:rPr/>
        <w:t>Plan,</w:t>
      </w:r>
      <w:r>
        <w:rPr>
          <w:spacing w:val="-3"/>
        </w:rPr>
        <w:t> </w:t>
      </w:r>
      <w:r>
        <w:rPr/>
        <w:t>2015-2020.</w:t>
      </w:r>
      <w:r>
        <w:rPr>
          <w:spacing w:val="-3"/>
        </w:rPr>
        <w:t> </w:t>
      </w:r>
      <w:r>
        <w:rPr/>
        <w:t>A</w:t>
      </w:r>
      <w:r>
        <w:rPr>
          <w:spacing w:val="-4"/>
        </w:rPr>
        <w:t> </w:t>
      </w:r>
      <w:r>
        <w:rPr/>
        <w:t>special </w:t>
      </w:r>
      <w:r>
        <w:rPr/>
        <w:t>thank</w:t>
      </w:r>
      <w:r>
        <w:rPr>
          <w:spacing w:val="-10"/>
        </w:rPr>
        <w:t> </w:t>
      </w:r>
      <w:r>
        <w:rPr/>
        <w:t>you</w:t>
      </w:r>
      <w:r>
        <w:rPr>
          <w:spacing w:val="-10"/>
        </w:rPr>
        <w:t> </w:t>
      </w:r>
      <w:r>
        <w:rPr/>
        <w:t>goes</w:t>
      </w:r>
      <w:r>
        <w:rPr>
          <w:spacing w:val="-12"/>
        </w:rPr>
        <w:t> </w:t>
      </w:r>
      <w:r>
        <w:rPr/>
        <w:t>to</w:t>
      </w:r>
      <w:r>
        <w:rPr>
          <w:spacing w:val="-10"/>
        </w:rPr>
        <w:t> </w:t>
      </w:r>
      <w:r>
        <w:rPr/>
        <w:t>the</w:t>
      </w:r>
      <w:r>
        <w:rPr>
          <w:spacing w:val="-11"/>
        </w:rPr>
        <w:t> </w:t>
      </w:r>
      <w:r>
        <w:rPr/>
        <w:t>stakeholders,</w:t>
      </w:r>
      <w:r>
        <w:rPr>
          <w:spacing w:val="-10"/>
        </w:rPr>
        <w:t> </w:t>
      </w:r>
      <w:r>
        <w:rPr/>
        <w:t>the</w:t>
      </w:r>
      <w:r>
        <w:rPr>
          <w:spacing w:val="-11"/>
        </w:rPr>
        <w:t> </w:t>
      </w:r>
      <w:r>
        <w:rPr/>
        <w:t>community,</w:t>
      </w:r>
      <w:r>
        <w:rPr>
          <w:spacing w:val="-10"/>
        </w:rPr>
        <w:t> </w:t>
      </w:r>
      <w:r>
        <w:rPr/>
        <w:t>and</w:t>
      </w:r>
      <w:r>
        <w:rPr>
          <w:spacing w:val="-10"/>
        </w:rPr>
        <w:t> </w:t>
      </w:r>
      <w:r>
        <w:rPr/>
        <w:t>the</w:t>
      </w:r>
      <w:r>
        <w:rPr>
          <w:spacing w:val="-11"/>
        </w:rPr>
        <w:t> </w:t>
      </w:r>
      <w:r>
        <w:rPr/>
        <w:t>tourism</w:t>
      </w:r>
      <w:r>
        <w:rPr>
          <w:spacing w:val="-9"/>
        </w:rPr>
        <w:t> </w:t>
      </w:r>
      <w:r>
        <w:rPr/>
        <w:t>industry</w:t>
      </w:r>
      <w:r>
        <w:rPr>
          <w:spacing w:val="-9"/>
        </w:rPr>
        <w:t> </w:t>
      </w:r>
      <w:r>
        <w:rPr/>
        <w:t>for</w:t>
      </w:r>
      <w:r>
        <w:rPr>
          <w:spacing w:val="-10"/>
        </w:rPr>
        <w:t> </w:t>
      </w:r>
      <w:r>
        <w:rPr/>
        <w:t>their</w:t>
      </w:r>
      <w:r>
        <w:rPr>
          <w:spacing w:val="-10"/>
        </w:rPr>
        <w:t> </w:t>
      </w:r>
      <w:r>
        <w:rPr/>
        <w:t>thoughts</w:t>
      </w:r>
      <w:r>
        <w:rPr>
          <w:spacing w:val="-11"/>
        </w:rPr>
        <w:t> </w:t>
      </w:r>
      <w:r>
        <w:rPr/>
        <w:t>and</w:t>
      </w:r>
      <w:r>
        <w:rPr>
          <w:spacing w:val="-10"/>
        </w:rPr>
        <w:t> </w:t>
      </w:r>
      <w:r>
        <w:rPr/>
        <w:t>feedback</w:t>
      </w:r>
      <w:r>
        <w:rPr>
          <w:spacing w:val="-10"/>
        </w:rPr>
        <w:t> </w:t>
      </w:r>
      <w:r>
        <w:rPr/>
        <w:t>during </w:t>
      </w:r>
      <w:r>
        <w:rPr/>
        <w:t>the process. We are grateful to the president and members of Parliament for their insightful comments. In particular,</w:t>
      </w:r>
      <w:r>
        <w:rPr>
          <w:spacing w:val="-9"/>
        </w:rPr>
        <w:t> </w:t>
      </w:r>
      <w:r>
        <w:rPr/>
        <w:t>we</w:t>
      </w:r>
      <w:r>
        <w:rPr>
          <w:spacing w:val="-11"/>
        </w:rPr>
        <w:t> </w:t>
      </w:r>
      <w:r>
        <w:rPr/>
        <w:t>are</w:t>
      </w:r>
      <w:r>
        <w:rPr>
          <w:spacing w:val="-11"/>
        </w:rPr>
        <w:t> </w:t>
      </w:r>
      <w:r>
        <w:rPr/>
        <w:t>thankful</w:t>
      </w:r>
      <w:r>
        <w:rPr>
          <w:spacing w:val="-10"/>
        </w:rPr>
        <w:t> </w:t>
      </w:r>
      <w:r>
        <w:rPr/>
        <w:t>to</w:t>
      </w:r>
      <w:r>
        <w:rPr>
          <w:spacing w:val="-10"/>
        </w:rPr>
        <w:t> </w:t>
      </w:r>
      <w:r>
        <w:rPr/>
        <w:t>Christine</w:t>
      </w:r>
      <w:r>
        <w:rPr>
          <w:spacing w:val="-11"/>
        </w:rPr>
        <w:t> </w:t>
      </w:r>
      <w:r>
        <w:rPr/>
        <w:t>Campagnard</w:t>
      </w:r>
      <w:r>
        <w:rPr>
          <w:spacing w:val="-8"/>
        </w:rPr>
        <w:t> </w:t>
      </w:r>
      <w:r>
        <w:rPr/>
        <w:t>from</w:t>
      </w:r>
      <w:r>
        <w:rPr>
          <w:spacing w:val="-11"/>
        </w:rPr>
        <w:t> </w:t>
      </w:r>
      <w:r>
        <w:rPr/>
        <w:t>CTB</w:t>
      </w:r>
      <w:r>
        <w:rPr>
          <w:spacing w:val="-10"/>
        </w:rPr>
        <w:t> </w:t>
      </w:r>
      <w:r>
        <w:rPr/>
        <w:t>who</w:t>
      </w:r>
      <w:r>
        <w:rPr>
          <w:spacing w:val="-10"/>
        </w:rPr>
        <w:t> </w:t>
      </w:r>
      <w:r>
        <w:rPr/>
        <w:t>was</w:t>
      </w:r>
      <w:r>
        <w:rPr>
          <w:spacing w:val="-11"/>
        </w:rPr>
        <w:t> </w:t>
      </w:r>
      <w:r>
        <w:rPr/>
        <w:t>essential</w:t>
      </w:r>
      <w:r>
        <w:rPr>
          <w:spacing w:val="-10"/>
        </w:rPr>
        <w:t> </w:t>
      </w:r>
      <w:r>
        <w:rPr/>
        <w:t>in</w:t>
      </w:r>
      <w:r>
        <w:rPr>
          <w:spacing w:val="-10"/>
        </w:rPr>
        <w:t> </w:t>
      </w:r>
      <w:r>
        <w:rPr/>
        <w:t>the</w:t>
      </w:r>
      <w:r>
        <w:rPr>
          <w:spacing w:val="-11"/>
        </w:rPr>
        <w:t> </w:t>
      </w:r>
      <w:r>
        <w:rPr/>
        <w:t>preparation</w:t>
      </w:r>
      <w:r>
        <w:rPr>
          <w:spacing w:val="-9"/>
        </w:rPr>
        <w:t> </w:t>
      </w:r>
      <w:r>
        <w:rPr/>
        <w:t>of</w:t>
      </w:r>
      <w:r>
        <w:rPr>
          <w:spacing w:val="-11"/>
        </w:rPr>
        <w:t> </w:t>
      </w:r>
      <w:r>
        <w:rPr/>
        <w:t>this</w:t>
      </w:r>
      <w:r>
        <w:rPr>
          <w:spacing w:val="-12"/>
        </w:rPr>
        <w:t> </w:t>
      </w:r>
      <w:r>
        <w:rPr/>
        <w:t>document </w:t>
      </w:r>
      <w:r>
        <w:rPr/>
        <w:t>and the coordination of the project. Additionally, we are thankful to Zulaika Mook and Chiquita Groenewoud- Kotzebue from MEO for their valuable contribution. A special thank you to Vincent Vanderpool-Wallace, Milaika Capella,</w:t>
      </w:r>
      <w:r>
        <w:rPr>
          <w:spacing w:val="-5"/>
        </w:rPr>
        <w:t> </w:t>
      </w:r>
      <w:r>
        <w:rPr/>
        <w:t>Kenneth</w:t>
      </w:r>
      <w:r>
        <w:rPr>
          <w:spacing w:val="-4"/>
        </w:rPr>
        <w:t> </w:t>
      </w:r>
      <w:r>
        <w:rPr/>
        <w:t>Valpoort,</w:t>
      </w:r>
      <w:r>
        <w:rPr>
          <w:spacing w:val="-5"/>
        </w:rPr>
        <w:t> </w:t>
      </w:r>
      <w:r>
        <w:rPr/>
        <w:t>Paul</w:t>
      </w:r>
      <w:r>
        <w:rPr>
          <w:spacing w:val="-6"/>
        </w:rPr>
        <w:t> </w:t>
      </w:r>
      <w:r>
        <w:rPr/>
        <w:t>Stokkermans,</w:t>
      </w:r>
      <w:r>
        <w:rPr>
          <w:spacing w:val="-5"/>
        </w:rPr>
        <w:t> </w:t>
      </w:r>
      <w:r>
        <w:rPr/>
        <w:t>Mahesh</w:t>
      </w:r>
      <w:r>
        <w:rPr>
          <w:spacing w:val="-5"/>
        </w:rPr>
        <w:t> </w:t>
      </w:r>
      <w:r>
        <w:rPr/>
        <w:t>Mukhi,</w:t>
      </w:r>
      <w:r>
        <w:rPr>
          <w:spacing w:val="-5"/>
        </w:rPr>
        <w:t> </w:t>
      </w:r>
      <w:r>
        <w:rPr/>
        <w:t>and</w:t>
      </w:r>
      <w:r>
        <w:rPr>
          <w:spacing w:val="-5"/>
        </w:rPr>
        <w:t> </w:t>
      </w:r>
      <w:r>
        <w:rPr/>
        <w:t>Stuart</w:t>
      </w:r>
      <w:r>
        <w:rPr>
          <w:spacing w:val="-5"/>
        </w:rPr>
        <w:t> </w:t>
      </w:r>
      <w:r>
        <w:rPr/>
        <w:t>Till,</w:t>
      </w:r>
      <w:r>
        <w:rPr>
          <w:spacing w:val="-5"/>
        </w:rPr>
        <w:t> </w:t>
      </w:r>
      <w:r>
        <w:rPr/>
        <w:t>and</w:t>
      </w:r>
      <w:r>
        <w:rPr>
          <w:spacing w:val="-5"/>
        </w:rPr>
        <w:t> </w:t>
      </w:r>
      <w:r>
        <w:rPr/>
        <w:t>Angelo</w:t>
      </w:r>
      <w:r>
        <w:rPr>
          <w:spacing w:val="-8"/>
        </w:rPr>
        <w:t> </w:t>
      </w:r>
      <w:r>
        <w:rPr/>
        <w:t>Martes.</w:t>
      </w:r>
      <w:r>
        <w:rPr>
          <w:spacing w:val="-5"/>
        </w:rPr>
        <w:t> </w:t>
      </w:r>
      <w:r>
        <w:rPr/>
        <w:t>If</w:t>
      </w:r>
      <w:r>
        <w:rPr>
          <w:spacing w:val="-4"/>
        </w:rPr>
        <w:t> </w:t>
      </w:r>
      <w:r>
        <w:rPr/>
        <w:t>we</w:t>
      </w:r>
      <w:r>
        <w:rPr>
          <w:spacing w:val="-6"/>
        </w:rPr>
        <w:t> </w:t>
      </w:r>
      <w:r>
        <w:rPr/>
        <w:t>neglected</w:t>
      </w:r>
      <w:r>
        <w:rPr>
          <w:spacing w:val="-5"/>
        </w:rPr>
        <w:t> </w:t>
      </w:r>
      <w:r>
        <w:rPr/>
        <w:t>to </w:t>
      </w:r>
      <w:r>
        <w:rPr/>
        <w:t>include your name on the list, we most humbly</w:t>
      </w:r>
      <w:r>
        <w:rPr>
          <w:spacing w:val="-22"/>
        </w:rPr>
        <w:t> </w:t>
      </w:r>
      <w:r>
        <w:rPr/>
        <w:t>apologize.</w:t>
      </w:r>
    </w:p>
    <w:p>
      <w:pPr>
        <w:spacing w:line="240" w:lineRule="auto" w:before="6" w:after="0"/>
        <w:ind w:right="0"/>
        <w:rPr>
          <w:rFonts w:ascii="Calibri" w:hAnsi="Calibri" w:cs="Calibri" w:eastAsia="Calibri" w:hint="default"/>
          <w:sz w:val="24"/>
          <w:szCs w:val="24"/>
        </w:rPr>
      </w:pPr>
    </w:p>
    <w:tbl>
      <w:tblPr>
        <w:tblW w:w="0" w:type="auto"/>
        <w:jc w:val="left"/>
        <w:tblInd w:w="2281" w:type="dxa"/>
        <w:tblLayout w:type="fixed"/>
        <w:tblCellMar>
          <w:top w:w="0" w:type="dxa"/>
          <w:left w:w="0" w:type="dxa"/>
          <w:bottom w:w="0" w:type="dxa"/>
          <w:right w:w="0" w:type="dxa"/>
        </w:tblCellMar>
        <w:tblLook w:val="01E0"/>
      </w:tblPr>
      <w:tblGrid>
        <w:gridCol w:w="4274"/>
        <w:gridCol w:w="2742"/>
      </w:tblGrid>
      <w:tr>
        <w:trPr>
          <w:trHeight w:val="234" w:hRule="exact"/>
        </w:trPr>
        <w:tc>
          <w:tcPr>
            <w:tcW w:w="7017" w:type="dxa"/>
            <w:gridSpan w:val="2"/>
            <w:tcBorders>
              <w:top w:val="nil" w:sz="6" w:space="0" w:color="auto"/>
              <w:left w:val="nil" w:sz="6" w:space="0" w:color="auto"/>
              <w:bottom w:val="nil" w:sz="6" w:space="0" w:color="auto"/>
              <w:right w:val="nil" w:sz="6" w:space="0" w:color="auto"/>
            </w:tcBorders>
          </w:tcPr>
          <w:p>
            <w:pPr>
              <w:pStyle w:val="TableParagraph"/>
              <w:spacing w:line="203" w:lineRule="exact"/>
              <w:ind w:left="3313" w:right="0"/>
              <w:jc w:val="left"/>
              <w:rPr>
                <w:rFonts w:ascii="Calibri" w:hAnsi="Calibri" w:cs="Calibri" w:eastAsia="Calibri" w:hint="default"/>
                <w:sz w:val="20"/>
                <w:szCs w:val="20"/>
              </w:rPr>
            </w:pPr>
            <w:r>
              <w:rPr>
                <w:rFonts w:ascii="Calibri" w:hAnsi="Calibri"/>
                <w:b/>
                <w:w w:val="99"/>
                <w:sz w:val="20"/>
              </w:rPr>
            </w:r>
            <w:r>
              <w:rPr>
                <w:rFonts w:ascii="Calibri" w:hAnsi="Calibri"/>
                <w:b/>
                <w:sz w:val="20"/>
                <w:u w:val="single" w:color="000000"/>
              </w:rPr>
              <w:t>Government of</w:t>
            </w:r>
            <w:r>
              <w:rPr>
                <w:rFonts w:ascii="Calibri" w:hAnsi="Calibri"/>
                <w:b/>
                <w:spacing w:val="-13"/>
                <w:sz w:val="20"/>
                <w:u w:val="single" w:color="000000"/>
              </w:rPr>
              <w:t> </w:t>
            </w:r>
            <w:r>
              <w:rPr>
                <w:rFonts w:ascii="Calibri" w:hAnsi="Calibri"/>
                <w:b/>
                <w:sz w:val="20"/>
                <w:u w:val="single" w:color="000000"/>
              </w:rPr>
              <w:t>Curaçao</w:t>
            </w:r>
            <w:r>
              <w:rPr>
                <w:rFonts w:ascii="Calibri" w:hAnsi="Calibri"/>
                <w:b/>
                <w:sz w:val="20"/>
              </w:rPr>
            </w:r>
            <w:r>
              <w:rPr>
                <w:rFonts w:ascii="Calibri" w:hAnsi="Calibri"/>
                <w:sz w:val="20"/>
              </w:rPr>
            </w:r>
          </w:p>
        </w:tc>
      </w:tr>
      <w:tr>
        <w:trPr>
          <w:trHeight w:val="270" w:hRule="exact"/>
        </w:trPr>
        <w:tc>
          <w:tcPr>
            <w:tcW w:w="7017" w:type="dxa"/>
            <w:gridSpan w:val="2"/>
            <w:tcBorders>
              <w:top w:val="nil" w:sz="6" w:space="0" w:color="auto"/>
              <w:left w:val="nil" w:sz="6" w:space="0" w:color="auto"/>
              <w:bottom w:val="nil" w:sz="6" w:space="0" w:color="auto"/>
              <w:right w:val="nil" w:sz="6" w:space="0" w:color="auto"/>
            </w:tcBorders>
          </w:tcPr>
          <w:p>
            <w:pPr>
              <w:pStyle w:val="TableParagraph"/>
              <w:spacing w:line="238" w:lineRule="exact"/>
              <w:ind w:left="2094" w:right="0"/>
              <w:jc w:val="left"/>
              <w:rPr>
                <w:rFonts w:ascii="Calibri" w:hAnsi="Calibri" w:cs="Calibri" w:eastAsia="Calibri" w:hint="default"/>
                <w:sz w:val="20"/>
                <w:szCs w:val="20"/>
              </w:rPr>
            </w:pPr>
            <w:r>
              <w:rPr>
                <w:rFonts w:ascii="Calibri"/>
                <w:sz w:val="20"/>
              </w:rPr>
              <w:t>Mr. Stanley Palm (Minister of Economic</w:t>
            </w:r>
            <w:r>
              <w:rPr>
                <w:rFonts w:ascii="Calibri"/>
                <w:spacing w:val="-25"/>
                <w:sz w:val="20"/>
              </w:rPr>
              <w:t> </w:t>
            </w:r>
            <w:r>
              <w:rPr>
                <w:rFonts w:ascii="Calibri"/>
                <w:sz w:val="20"/>
              </w:rPr>
              <w:t>Development)</w:t>
            </w:r>
          </w:p>
        </w:tc>
      </w:tr>
      <w:tr>
        <w:trPr>
          <w:trHeight w:val="270"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39" w:lineRule="exact"/>
              <w:ind w:left="200" w:right="0"/>
              <w:jc w:val="left"/>
              <w:rPr>
                <w:rFonts w:ascii="Calibri" w:hAnsi="Calibri" w:cs="Calibri" w:eastAsia="Calibri" w:hint="default"/>
                <w:sz w:val="20"/>
                <w:szCs w:val="20"/>
              </w:rPr>
            </w:pPr>
            <w:r>
              <w:rPr>
                <w:rFonts w:ascii="Calibri" w:hAnsi="Calibri"/>
                <w:b/>
                <w:w w:val="99"/>
                <w:sz w:val="20"/>
              </w:rPr>
            </w:r>
            <w:r>
              <w:rPr>
                <w:rFonts w:ascii="Calibri" w:hAnsi="Calibri"/>
                <w:b/>
                <w:sz w:val="20"/>
                <w:u w:val="single" w:color="000000"/>
              </w:rPr>
              <w:t>Curaçao Tourist Development</w:t>
            </w:r>
            <w:r>
              <w:rPr>
                <w:rFonts w:ascii="Calibri" w:hAnsi="Calibri"/>
                <w:b/>
                <w:spacing w:val="-20"/>
                <w:sz w:val="20"/>
                <w:u w:val="single" w:color="000000"/>
              </w:rPr>
              <w:t> </w:t>
            </w:r>
            <w:r>
              <w:rPr>
                <w:rFonts w:ascii="Calibri" w:hAnsi="Calibri"/>
                <w:b/>
                <w:sz w:val="20"/>
                <w:u w:val="single" w:color="000000"/>
              </w:rPr>
              <w:t>Foundation</w:t>
            </w:r>
            <w:r>
              <w:rPr>
                <w:rFonts w:ascii="Calibri" w:hAnsi="Calibri"/>
                <w:b/>
                <w:sz w:val="20"/>
              </w:rPr>
            </w:r>
            <w:r>
              <w:rPr>
                <w:rFonts w:ascii="Calibri" w:hAnsi="Calibri"/>
                <w:sz w:val="20"/>
              </w:rPr>
            </w:r>
          </w:p>
        </w:tc>
        <w:tc>
          <w:tcPr>
            <w:tcW w:w="2742" w:type="dxa"/>
            <w:tcBorders>
              <w:top w:val="nil" w:sz="6" w:space="0" w:color="auto"/>
              <w:left w:val="nil" w:sz="6" w:space="0" w:color="auto"/>
              <w:bottom w:val="nil" w:sz="6" w:space="0" w:color="auto"/>
              <w:right w:val="nil" w:sz="6" w:space="0" w:color="auto"/>
            </w:tcBorders>
          </w:tcPr>
          <w:p>
            <w:pPr>
              <w:pStyle w:val="TableParagraph"/>
              <w:spacing w:line="239" w:lineRule="exact"/>
              <w:ind w:left="606" w:right="0"/>
              <w:jc w:val="left"/>
              <w:rPr>
                <w:rFonts w:ascii="Calibri" w:hAnsi="Calibri" w:cs="Calibri" w:eastAsia="Calibri" w:hint="default"/>
                <w:sz w:val="20"/>
                <w:szCs w:val="20"/>
              </w:rPr>
            </w:pPr>
            <w:r>
              <w:rPr>
                <w:rFonts w:ascii="Calibri" w:hAnsi="Calibri"/>
                <w:b/>
                <w:w w:val="99"/>
                <w:sz w:val="20"/>
              </w:rPr>
            </w:r>
            <w:r>
              <w:rPr>
                <w:rFonts w:ascii="Calibri" w:hAnsi="Calibri"/>
                <w:b/>
                <w:sz w:val="20"/>
                <w:u w:val="single" w:color="000000"/>
              </w:rPr>
              <w:t>Curaçao Tourism</w:t>
            </w:r>
            <w:r>
              <w:rPr>
                <w:rFonts w:ascii="Calibri" w:hAnsi="Calibri"/>
                <w:b/>
                <w:spacing w:val="-11"/>
                <w:sz w:val="20"/>
                <w:u w:val="single" w:color="000000"/>
              </w:rPr>
              <w:t> </w:t>
            </w:r>
            <w:r>
              <w:rPr>
                <w:rFonts w:ascii="Calibri" w:hAnsi="Calibri"/>
                <w:b/>
                <w:sz w:val="20"/>
                <w:u w:val="single" w:color="000000"/>
              </w:rPr>
              <w:t>Board</w:t>
            </w:r>
            <w:r>
              <w:rPr>
                <w:rFonts w:ascii="Calibri" w:hAnsi="Calibri"/>
                <w:b/>
                <w:sz w:val="20"/>
              </w:rPr>
            </w:r>
            <w:r>
              <w:rPr>
                <w:rFonts w:ascii="Calibri" w:hAnsi="Calibri"/>
                <w:sz w:val="20"/>
              </w:rPr>
            </w:r>
          </w:p>
        </w:tc>
      </w:tr>
      <w:tr>
        <w:trPr>
          <w:trHeight w:val="270"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38" w:lineRule="exact"/>
              <w:ind w:left="200" w:right="0"/>
              <w:jc w:val="left"/>
              <w:rPr>
                <w:rFonts w:ascii="Calibri" w:hAnsi="Calibri" w:cs="Calibri" w:eastAsia="Calibri" w:hint="default"/>
                <w:sz w:val="20"/>
                <w:szCs w:val="20"/>
              </w:rPr>
            </w:pPr>
            <w:r>
              <w:rPr>
                <w:rFonts w:ascii="Calibri"/>
                <w:sz w:val="20"/>
              </w:rPr>
              <w:t>Jeanette Bonet</w:t>
            </w:r>
            <w:r>
              <w:rPr>
                <w:rFonts w:ascii="Calibri"/>
                <w:spacing w:val="34"/>
                <w:sz w:val="20"/>
              </w:rPr>
              <w:t> </w:t>
            </w:r>
            <w:r>
              <w:rPr>
                <w:rFonts w:ascii="Calibri"/>
                <w:sz w:val="20"/>
              </w:rPr>
              <w:t>(Chair)</w:t>
            </w:r>
          </w:p>
        </w:tc>
        <w:tc>
          <w:tcPr>
            <w:tcW w:w="2742" w:type="dxa"/>
            <w:tcBorders>
              <w:top w:val="nil" w:sz="6" w:space="0" w:color="auto"/>
              <w:left w:val="nil" w:sz="6" w:space="0" w:color="auto"/>
              <w:bottom w:val="nil" w:sz="6" w:space="0" w:color="auto"/>
              <w:right w:val="nil" w:sz="6" w:space="0" w:color="auto"/>
            </w:tcBorders>
          </w:tcPr>
          <w:p>
            <w:pPr>
              <w:pStyle w:val="TableParagraph"/>
              <w:spacing w:line="238" w:lineRule="exact"/>
              <w:ind w:left="606" w:right="0"/>
              <w:jc w:val="left"/>
              <w:rPr>
                <w:rFonts w:ascii="Calibri" w:hAnsi="Calibri" w:cs="Calibri" w:eastAsia="Calibri" w:hint="default"/>
                <w:sz w:val="20"/>
                <w:szCs w:val="20"/>
              </w:rPr>
            </w:pPr>
            <w:r>
              <w:rPr>
                <w:rFonts w:ascii="Calibri"/>
                <w:sz w:val="20"/>
              </w:rPr>
              <w:t>Hugo</w:t>
            </w:r>
            <w:r>
              <w:rPr>
                <w:rFonts w:ascii="Calibri"/>
                <w:spacing w:val="-7"/>
                <w:sz w:val="20"/>
              </w:rPr>
              <w:t> </w:t>
            </w:r>
            <w:r>
              <w:rPr>
                <w:rFonts w:ascii="Calibri"/>
                <w:sz w:val="20"/>
              </w:rPr>
              <w:t>Clarinda</w:t>
            </w:r>
          </w:p>
        </w:tc>
      </w:tr>
      <w:tr>
        <w:trPr>
          <w:trHeight w:val="270"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39" w:lineRule="exact"/>
              <w:ind w:left="200" w:right="0"/>
              <w:jc w:val="left"/>
              <w:rPr>
                <w:rFonts w:ascii="Calibri" w:hAnsi="Calibri" w:cs="Calibri" w:eastAsia="Calibri" w:hint="default"/>
                <w:sz w:val="20"/>
                <w:szCs w:val="20"/>
              </w:rPr>
            </w:pPr>
            <w:r>
              <w:rPr>
                <w:rFonts w:ascii="Calibri"/>
                <w:sz w:val="20"/>
              </w:rPr>
              <w:t>Aubrey</w:t>
            </w:r>
            <w:r>
              <w:rPr>
                <w:rFonts w:ascii="Calibri"/>
                <w:spacing w:val="-7"/>
                <w:sz w:val="20"/>
              </w:rPr>
              <w:t> </w:t>
            </w:r>
            <w:r>
              <w:rPr>
                <w:rFonts w:ascii="Calibri"/>
                <w:sz w:val="20"/>
              </w:rPr>
              <w:t>Pasial</w:t>
            </w:r>
          </w:p>
        </w:tc>
        <w:tc>
          <w:tcPr>
            <w:tcW w:w="2742" w:type="dxa"/>
            <w:tcBorders>
              <w:top w:val="nil" w:sz="6" w:space="0" w:color="auto"/>
              <w:left w:val="nil" w:sz="6" w:space="0" w:color="auto"/>
              <w:bottom w:val="nil" w:sz="6" w:space="0" w:color="auto"/>
              <w:right w:val="nil" w:sz="6" w:space="0" w:color="auto"/>
            </w:tcBorders>
          </w:tcPr>
          <w:p>
            <w:pPr>
              <w:pStyle w:val="TableParagraph"/>
              <w:spacing w:line="239" w:lineRule="exact"/>
              <w:ind w:left="606" w:right="0"/>
              <w:jc w:val="left"/>
              <w:rPr>
                <w:rFonts w:ascii="Calibri" w:hAnsi="Calibri" w:cs="Calibri" w:eastAsia="Calibri" w:hint="default"/>
                <w:sz w:val="20"/>
                <w:szCs w:val="20"/>
              </w:rPr>
            </w:pPr>
            <w:r>
              <w:rPr>
                <w:rFonts w:ascii="Calibri"/>
                <w:sz w:val="20"/>
              </w:rPr>
              <w:t>Brenda</w:t>
            </w:r>
            <w:r>
              <w:rPr>
                <w:rFonts w:ascii="Calibri"/>
                <w:spacing w:val="-11"/>
                <w:sz w:val="20"/>
              </w:rPr>
              <w:t> </w:t>
            </w:r>
            <w:r>
              <w:rPr>
                <w:rFonts w:ascii="Calibri"/>
                <w:sz w:val="20"/>
              </w:rPr>
              <w:t>Benjamin</w:t>
            </w:r>
          </w:p>
        </w:tc>
      </w:tr>
      <w:tr>
        <w:trPr>
          <w:trHeight w:val="270"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38" w:lineRule="exact"/>
              <w:ind w:left="200" w:right="0"/>
              <w:jc w:val="left"/>
              <w:rPr>
                <w:rFonts w:ascii="Calibri" w:hAnsi="Calibri" w:cs="Calibri" w:eastAsia="Calibri" w:hint="default"/>
                <w:sz w:val="20"/>
                <w:szCs w:val="20"/>
              </w:rPr>
            </w:pPr>
            <w:r>
              <w:rPr>
                <w:rFonts w:ascii="Calibri"/>
                <w:sz w:val="20"/>
              </w:rPr>
              <w:t>Merrill</w:t>
            </w:r>
            <w:r>
              <w:rPr>
                <w:rFonts w:ascii="Calibri"/>
                <w:spacing w:val="-8"/>
                <w:sz w:val="20"/>
              </w:rPr>
              <w:t> </w:t>
            </w:r>
            <w:r>
              <w:rPr>
                <w:rFonts w:ascii="Calibri"/>
                <w:sz w:val="20"/>
              </w:rPr>
              <w:t>Sulvaran</w:t>
            </w:r>
          </w:p>
        </w:tc>
        <w:tc>
          <w:tcPr>
            <w:tcW w:w="2742" w:type="dxa"/>
            <w:tcBorders>
              <w:top w:val="nil" w:sz="6" w:space="0" w:color="auto"/>
              <w:left w:val="nil" w:sz="6" w:space="0" w:color="auto"/>
              <w:bottom w:val="nil" w:sz="6" w:space="0" w:color="auto"/>
              <w:right w:val="nil" w:sz="6" w:space="0" w:color="auto"/>
            </w:tcBorders>
          </w:tcPr>
          <w:p>
            <w:pPr>
              <w:pStyle w:val="TableParagraph"/>
              <w:spacing w:line="238" w:lineRule="exact"/>
              <w:ind w:left="606" w:right="0"/>
              <w:jc w:val="left"/>
              <w:rPr>
                <w:rFonts w:ascii="Calibri" w:hAnsi="Calibri" w:cs="Calibri" w:eastAsia="Calibri" w:hint="default"/>
                <w:sz w:val="20"/>
                <w:szCs w:val="20"/>
              </w:rPr>
            </w:pPr>
            <w:r>
              <w:rPr>
                <w:rFonts w:ascii="Calibri"/>
                <w:sz w:val="20"/>
              </w:rPr>
              <w:t>Dino</w:t>
            </w:r>
            <w:r>
              <w:rPr>
                <w:rFonts w:ascii="Calibri"/>
                <w:spacing w:val="-6"/>
                <w:sz w:val="20"/>
              </w:rPr>
              <w:t> </w:t>
            </w:r>
            <w:r>
              <w:rPr>
                <w:rFonts w:ascii="Calibri"/>
                <w:sz w:val="20"/>
              </w:rPr>
              <w:t>Daal</w:t>
            </w:r>
          </w:p>
        </w:tc>
      </w:tr>
      <w:tr>
        <w:trPr>
          <w:trHeight w:val="270"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39" w:lineRule="exact"/>
              <w:ind w:left="200" w:right="0"/>
              <w:jc w:val="left"/>
              <w:rPr>
                <w:rFonts w:ascii="Calibri" w:hAnsi="Calibri" w:cs="Calibri" w:eastAsia="Calibri" w:hint="default"/>
                <w:sz w:val="20"/>
                <w:szCs w:val="20"/>
              </w:rPr>
            </w:pPr>
            <w:r>
              <w:rPr>
                <w:rFonts w:ascii="Calibri"/>
                <w:sz w:val="20"/>
              </w:rPr>
              <w:t>Glenn</w:t>
            </w:r>
            <w:r>
              <w:rPr>
                <w:rFonts w:ascii="Calibri"/>
                <w:spacing w:val="-9"/>
                <w:sz w:val="20"/>
              </w:rPr>
              <w:t> </w:t>
            </w:r>
            <w:r>
              <w:rPr>
                <w:rFonts w:ascii="Calibri"/>
                <w:sz w:val="20"/>
              </w:rPr>
              <w:t>Richardson</w:t>
            </w:r>
          </w:p>
        </w:tc>
        <w:tc>
          <w:tcPr>
            <w:tcW w:w="2742" w:type="dxa"/>
            <w:tcBorders>
              <w:top w:val="nil" w:sz="6" w:space="0" w:color="auto"/>
              <w:left w:val="nil" w:sz="6" w:space="0" w:color="auto"/>
              <w:bottom w:val="nil" w:sz="6" w:space="0" w:color="auto"/>
              <w:right w:val="nil" w:sz="6" w:space="0" w:color="auto"/>
            </w:tcBorders>
          </w:tcPr>
          <w:p>
            <w:pPr>
              <w:pStyle w:val="TableParagraph"/>
              <w:spacing w:line="239" w:lineRule="exact"/>
              <w:ind w:left="606" w:right="0"/>
              <w:jc w:val="left"/>
              <w:rPr>
                <w:rFonts w:ascii="Calibri" w:hAnsi="Calibri" w:cs="Calibri" w:eastAsia="Calibri" w:hint="default"/>
                <w:sz w:val="20"/>
                <w:szCs w:val="20"/>
              </w:rPr>
            </w:pPr>
            <w:r>
              <w:rPr>
                <w:rFonts w:ascii="Calibri"/>
                <w:sz w:val="20"/>
              </w:rPr>
              <w:t>Faisol</w:t>
            </w:r>
            <w:r>
              <w:rPr>
                <w:rFonts w:ascii="Calibri"/>
                <w:spacing w:val="-9"/>
                <w:sz w:val="20"/>
              </w:rPr>
              <w:t> </w:t>
            </w:r>
            <w:r>
              <w:rPr>
                <w:rFonts w:ascii="Calibri"/>
                <w:sz w:val="20"/>
              </w:rPr>
              <w:t>Ayoubi</w:t>
            </w:r>
          </w:p>
        </w:tc>
      </w:tr>
      <w:tr>
        <w:trPr>
          <w:trHeight w:val="270"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38" w:lineRule="exact"/>
              <w:ind w:left="200" w:right="0"/>
              <w:jc w:val="left"/>
              <w:rPr>
                <w:rFonts w:ascii="Calibri" w:hAnsi="Calibri" w:cs="Calibri" w:eastAsia="Calibri" w:hint="default"/>
                <w:sz w:val="20"/>
                <w:szCs w:val="20"/>
              </w:rPr>
            </w:pPr>
            <w:r>
              <w:rPr>
                <w:rFonts w:ascii="Calibri"/>
                <w:sz w:val="20"/>
              </w:rPr>
              <w:t>Erwin</w:t>
            </w:r>
            <w:r>
              <w:rPr>
                <w:rFonts w:ascii="Calibri"/>
                <w:spacing w:val="-6"/>
                <w:sz w:val="20"/>
              </w:rPr>
              <w:t> </w:t>
            </w:r>
            <w:r>
              <w:rPr>
                <w:rFonts w:ascii="Calibri"/>
                <w:sz w:val="20"/>
              </w:rPr>
              <w:t>Eustacia</w:t>
            </w:r>
          </w:p>
        </w:tc>
        <w:tc>
          <w:tcPr>
            <w:tcW w:w="2742" w:type="dxa"/>
            <w:tcBorders>
              <w:top w:val="nil" w:sz="6" w:space="0" w:color="auto"/>
              <w:left w:val="nil" w:sz="6" w:space="0" w:color="auto"/>
              <w:bottom w:val="nil" w:sz="6" w:space="0" w:color="auto"/>
              <w:right w:val="nil" w:sz="6" w:space="0" w:color="auto"/>
            </w:tcBorders>
          </w:tcPr>
          <w:p>
            <w:pPr>
              <w:pStyle w:val="TableParagraph"/>
              <w:spacing w:line="238" w:lineRule="exact"/>
              <w:ind w:left="606" w:right="0"/>
              <w:jc w:val="left"/>
              <w:rPr>
                <w:rFonts w:ascii="Calibri" w:hAnsi="Calibri" w:cs="Calibri" w:eastAsia="Calibri" w:hint="default"/>
                <w:sz w:val="20"/>
                <w:szCs w:val="20"/>
              </w:rPr>
            </w:pPr>
            <w:r>
              <w:rPr>
                <w:rFonts w:ascii="Calibri"/>
                <w:sz w:val="20"/>
              </w:rPr>
              <w:t>Edward</w:t>
            </w:r>
            <w:r>
              <w:rPr>
                <w:rFonts w:ascii="Calibri"/>
                <w:spacing w:val="-7"/>
                <w:sz w:val="20"/>
              </w:rPr>
              <w:t> </w:t>
            </w:r>
            <w:r>
              <w:rPr>
                <w:rFonts w:ascii="Calibri"/>
                <w:sz w:val="20"/>
              </w:rPr>
              <w:t>Suares</w:t>
            </w:r>
          </w:p>
        </w:tc>
      </w:tr>
      <w:tr>
        <w:trPr>
          <w:trHeight w:val="270"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39" w:lineRule="exact"/>
              <w:ind w:left="200" w:right="0"/>
              <w:jc w:val="left"/>
              <w:rPr>
                <w:rFonts w:ascii="Calibri" w:hAnsi="Calibri" w:cs="Calibri" w:eastAsia="Calibri" w:hint="default"/>
                <w:sz w:val="20"/>
                <w:szCs w:val="20"/>
              </w:rPr>
            </w:pPr>
            <w:r>
              <w:rPr>
                <w:rFonts w:ascii="Calibri"/>
                <w:b/>
                <w:w w:val="99"/>
                <w:sz w:val="20"/>
              </w:rPr>
            </w:r>
            <w:r>
              <w:rPr>
                <w:rFonts w:ascii="Calibri"/>
                <w:b/>
                <w:sz w:val="20"/>
                <w:u w:val="single" w:color="000000"/>
              </w:rPr>
              <w:t>Central Bureau of</w:t>
            </w:r>
            <w:r>
              <w:rPr>
                <w:rFonts w:ascii="Calibri"/>
                <w:b/>
                <w:spacing w:val="-14"/>
                <w:sz w:val="20"/>
                <w:u w:val="single" w:color="000000"/>
              </w:rPr>
              <w:t> </w:t>
            </w:r>
            <w:r>
              <w:rPr>
                <w:rFonts w:ascii="Calibri"/>
                <w:b/>
                <w:sz w:val="20"/>
                <w:u w:val="single" w:color="000000"/>
              </w:rPr>
              <w:t>Statistics</w:t>
            </w:r>
            <w:r>
              <w:rPr>
                <w:rFonts w:ascii="Calibri"/>
                <w:b/>
                <w:sz w:val="20"/>
              </w:rPr>
            </w:r>
            <w:r>
              <w:rPr>
                <w:rFonts w:ascii="Calibri"/>
                <w:sz w:val="20"/>
              </w:rPr>
            </w:r>
          </w:p>
        </w:tc>
        <w:tc>
          <w:tcPr>
            <w:tcW w:w="2742" w:type="dxa"/>
            <w:tcBorders>
              <w:top w:val="nil" w:sz="6" w:space="0" w:color="auto"/>
              <w:left w:val="nil" w:sz="6" w:space="0" w:color="auto"/>
              <w:bottom w:val="nil" w:sz="6" w:space="0" w:color="auto"/>
              <w:right w:val="nil" w:sz="6" w:space="0" w:color="auto"/>
            </w:tcBorders>
          </w:tcPr>
          <w:p>
            <w:pPr>
              <w:pStyle w:val="TableParagraph"/>
              <w:spacing w:line="239" w:lineRule="exact"/>
              <w:ind w:left="606" w:right="0"/>
              <w:jc w:val="left"/>
              <w:rPr>
                <w:rFonts w:ascii="Calibri" w:hAnsi="Calibri" w:cs="Calibri" w:eastAsia="Calibri" w:hint="default"/>
                <w:sz w:val="20"/>
                <w:szCs w:val="20"/>
              </w:rPr>
            </w:pPr>
            <w:r>
              <w:rPr>
                <w:rFonts w:ascii="Calibri"/>
                <w:sz w:val="20"/>
              </w:rPr>
              <w:t>Andre</w:t>
            </w:r>
            <w:r>
              <w:rPr>
                <w:rFonts w:ascii="Calibri"/>
                <w:spacing w:val="-6"/>
                <w:sz w:val="20"/>
              </w:rPr>
              <w:t> </w:t>
            </w:r>
            <w:r>
              <w:rPr>
                <w:rFonts w:ascii="Calibri"/>
                <w:sz w:val="20"/>
              </w:rPr>
              <w:t>Rojer</w:t>
            </w:r>
          </w:p>
        </w:tc>
      </w:tr>
      <w:tr>
        <w:trPr>
          <w:trHeight w:val="270"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38" w:lineRule="exact"/>
              <w:ind w:left="200" w:right="0"/>
              <w:jc w:val="left"/>
              <w:rPr>
                <w:rFonts w:ascii="Calibri" w:hAnsi="Calibri" w:cs="Calibri" w:eastAsia="Calibri" w:hint="default"/>
                <w:sz w:val="20"/>
                <w:szCs w:val="20"/>
              </w:rPr>
            </w:pPr>
            <w:r>
              <w:rPr>
                <w:rFonts w:ascii="Calibri"/>
                <w:sz w:val="20"/>
              </w:rPr>
              <w:t>Roeland</w:t>
            </w:r>
            <w:r>
              <w:rPr>
                <w:rFonts w:ascii="Calibri"/>
                <w:spacing w:val="-8"/>
                <w:sz w:val="20"/>
              </w:rPr>
              <w:t> </w:t>
            </w:r>
            <w:r>
              <w:rPr>
                <w:rFonts w:ascii="Calibri"/>
                <w:sz w:val="20"/>
              </w:rPr>
              <w:t>Dreischor</w:t>
            </w:r>
          </w:p>
        </w:tc>
        <w:tc>
          <w:tcPr>
            <w:tcW w:w="2742" w:type="dxa"/>
            <w:tcBorders>
              <w:top w:val="nil" w:sz="6" w:space="0" w:color="auto"/>
              <w:left w:val="nil" w:sz="6" w:space="0" w:color="auto"/>
              <w:bottom w:val="nil" w:sz="6" w:space="0" w:color="auto"/>
              <w:right w:val="nil" w:sz="6" w:space="0" w:color="auto"/>
            </w:tcBorders>
          </w:tcPr>
          <w:p>
            <w:pPr>
              <w:pStyle w:val="TableParagraph"/>
              <w:spacing w:line="238" w:lineRule="exact"/>
              <w:ind w:left="606" w:right="0"/>
              <w:jc w:val="left"/>
              <w:rPr>
                <w:rFonts w:ascii="Calibri" w:hAnsi="Calibri" w:cs="Calibri" w:eastAsia="Calibri" w:hint="default"/>
                <w:sz w:val="20"/>
                <w:szCs w:val="20"/>
              </w:rPr>
            </w:pPr>
            <w:r>
              <w:rPr>
                <w:rFonts w:ascii="Calibri"/>
                <w:sz w:val="20"/>
              </w:rPr>
              <w:t>Angelo</w:t>
            </w:r>
            <w:r>
              <w:rPr>
                <w:rFonts w:ascii="Calibri"/>
                <w:spacing w:val="-5"/>
                <w:sz w:val="20"/>
              </w:rPr>
              <w:t> </w:t>
            </w:r>
            <w:r>
              <w:rPr>
                <w:rFonts w:ascii="Calibri"/>
                <w:sz w:val="20"/>
              </w:rPr>
              <w:t>Harms</w:t>
            </w:r>
          </w:p>
        </w:tc>
      </w:tr>
      <w:tr>
        <w:trPr>
          <w:trHeight w:val="270"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39" w:lineRule="exact"/>
              <w:ind w:left="200" w:right="0"/>
              <w:jc w:val="left"/>
              <w:rPr>
                <w:rFonts w:ascii="Calibri" w:hAnsi="Calibri" w:cs="Calibri" w:eastAsia="Calibri" w:hint="default"/>
                <w:sz w:val="20"/>
                <w:szCs w:val="20"/>
              </w:rPr>
            </w:pPr>
            <w:r>
              <w:rPr>
                <w:rFonts w:ascii="Calibri"/>
                <w:sz w:val="20"/>
              </w:rPr>
              <w:t>Glenda</w:t>
            </w:r>
            <w:r>
              <w:rPr>
                <w:rFonts w:ascii="Calibri"/>
                <w:spacing w:val="-7"/>
                <w:sz w:val="20"/>
              </w:rPr>
              <w:t> </w:t>
            </w:r>
            <w:r>
              <w:rPr>
                <w:rFonts w:ascii="Calibri"/>
                <w:sz w:val="20"/>
              </w:rPr>
              <w:t>Varlack</w:t>
            </w:r>
          </w:p>
        </w:tc>
        <w:tc>
          <w:tcPr>
            <w:tcW w:w="2742" w:type="dxa"/>
            <w:tcBorders>
              <w:top w:val="nil" w:sz="6" w:space="0" w:color="auto"/>
              <w:left w:val="nil" w:sz="6" w:space="0" w:color="auto"/>
              <w:bottom w:val="nil" w:sz="6" w:space="0" w:color="auto"/>
              <w:right w:val="nil" w:sz="6" w:space="0" w:color="auto"/>
            </w:tcBorders>
          </w:tcPr>
          <w:p>
            <w:pPr>
              <w:pStyle w:val="TableParagraph"/>
              <w:spacing w:line="239" w:lineRule="exact"/>
              <w:ind w:left="606" w:right="0"/>
              <w:jc w:val="left"/>
              <w:rPr>
                <w:rFonts w:ascii="Calibri" w:hAnsi="Calibri" w:cs="Calibri" w:eastAsia="Calibri" w:hint="default"/>
                <w:sz w:val="20"/>
                <w:szCs w:val="20"/>
              </w:rPr>
            </w:pPr>
            <w:r>
              <w:rPr>
                <w:rFonts w:ascii="Calibri"/>
                <w:sz w:val="20"/>
              </w:rPr>
              <w:t>Ritzel</w:t>
            </w:r>
            <w:r>
              <w:rPr>
                <w:rFonts w:ascii="Calibri"/>
                <w:spacing w:val="-7"/>
                <w:sz w:val="20"/>
              </w:rPr>
              <w:t> </w:t>
            </w:r>
            <w:r>
              <w:rPr>
                <w:rFonts w:ascii="Calibri"/>
                <w:sz w:val="20"/>
              </w:rPr>
              <w:t>Godfried</w:t>
            </w:r>
          </w:p>
        </w:tc>
      </w:tr>
      <w:tr>
        <w:trPr>
          <w:trHeight w:val="270"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38" w:lineRule="exact"/>
              <w:ind w:left="200" w:right="0"/>
              <w:jc w:val="left"/>
              <w:rPr>
                <w:rFonts w:ascii="Calibri" w:hAnsi="Calibri" w:cs="Calibri" w:eastAsia="Calibri" w:hint="default"/>
                <w:sz w:val="20"/>
                <w:szCs w:val="20"/>
              </w:rPr>
            </w:pPr>
            <w:r>
              <w:rPr>
                <w:rFonts w:ascii="Calibri"/>
                <w:b/>
                <w:w w:val="99"/>
                <w:sz w:val="20"/>
              </w:rPr>
            </w:r>
            <w:r>
              <w:rPr>
                <w:rFonts w:ascii="Calibri"/>
                <w:b/>
                <w:sz w:val="20"/>
                <w:u w:val="single" w:color="000000"/>
              </w:rPr>
              <w:t>MEO</w:t>
            </w:r>
            <w:r>
              <w:rPr>
                <w:rFonts w:ascii="Calibri"/>
                <w:b/>
                <w:sz w:val="20"/>
              </w:rPr>
            </w:r>
            <w:r>
              <w:rPr>
                <w:rFonts w:ascii="Calibri"/>
                <w:sz w:val="20"/>
              </w:rPr>
            </w:r>
          </w:p>
        </w:tc>
        <w:tc>
          <w:tcPr>
            <w:tcW w:w="2742" w:type="dxa"/>
            <w:tcBorders>
              <w:top w:val="nil" w:sz="6" w:space="0" w:color="auto"/>
              <w:left w:val="nil" w:sz="6" w:space="0" w:color="auto"/>
              <w:bottom w:val="nil" w:sz="6" w:space="0" w:color="auto"/>
              <w:right w:val="nil" w:sz="6" w:space="0" w:color="auto"/>
            </w:tcBorders>
          </w:tcPr>
          <w:p>
            <w:pPr>
              <w:pStyle w:val="TableParagraph"/>
              <w:spacing w:line="238" w:lineRule="exact"/>
              <w:ind w:left="606" w:right="0"/>
              <w:jc w:val="left"/>
              <w:rPr>
                <w:rFonts w:ascii="Calibri" w:hAnsi="Calibri" w:cs="Calibri" w:eastAsia="Calibri" w:hint="default"/>
                <w:sz w:val="20"/>
                <w:szCs w:val="20"/>
              </w:rPr>
            </w:pPr>
            <w:r>
              <w:rPr>
                <w:rFonts w:ascii="Calibri"/>
                <w:sz w:val="20"/>
              </w:rPr>
              <w:t>Sonairie</w:t>
            </w:r>
            <w:r>
              <w:rPr>
                <w:rFonts w:ascii="Calibri"/>
                <w:spacing w:val="-10"/>
                <w:sz w:val="20"/>
              </w:rPr>
              <w:t> </w:t>
            </w:r>
            <w:r>
              <w:rPr>
                <w:rFonts w:ascii="Calibri"/>
                <w:sz w:val="20"/>
              </w:rPr>
              <w:t>Kleinmoedig</w:t>
            </w:r>
          </w:p>
        </w:tc>
      </w:tr>
      <w:tr>
        <w:trPr>
          <w:trHeight w:val="270"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39" w:lineRule="exact"/>
              <w:ind w:left="200" w:right="0"/>
              <w:jc w:val="left"/>
              <w:rPr>
                <w:rFonts w:ascii="Calibri" w:hAnsi="Calibri" w:cs="Calibri" w:eastAsia="Calibri" w:hint="default"/>
                <w:sz w:val="20"/>
                <w:szCs w:val="20"/>
              </w:rPr>
            </w:pPr>
            <w:r>
              <w:rPr>
                <w:rFonts w:ascii="Calibri"/>
                <w:sz w:val="20"/>
              </w:rPr>
              <w:t>Luelo</w:t>
            </w:r>
            <w:r>
              <w:rPr>
                <w:rFonts w:ascii="Calibri"/>
                <w:spacing w:val="-5"/>
                <w:sz w:val="20"/>
              </w:rPr>
              <w:t> </w:t>
            </w:r>
            <w:r>
              <w:rPr>
                <w:rFonts w:ascii="Calibri"/>
                <w:sz w:val="20"/>
              </w:rPr>
              <w:t>Girigorie</w:t>
            </w:r>
          </w:p>
        </w:tc>
        <w:tc>
          <w:tcPr>
            <w:tcW w:w="2742" w:type="dxa"/>
            <w:tcBorders>
              <w:top w:val="nil" w:sz="6" w:space="0" w:color="auto"/>
              <w:left w:val="nil" w:sz="6" w:space="0" w:color="auto"/>
              <w:bottom w:val="nil" w:sz="6" w:space="0" w:color="auto"/>
              <w:right w:val="nil" w:sz="6" w:space="0" w:color="auto"/>
            </w:tcBorders>
          </w:tcPr>
          <w:p>
            <w:pPr>
              <w:pStyle w:val="TableParagraph"/>
              <w:spacing w:line="239" w:lineRule="exact"/>
              <w:ind w:left="606" w:right="0"/>
              <w:jc w:val="left"/>
              <w:rPr>
                <w:rFonts w:ascii="Calibri" w:hAnsi="Calibri" w:cs="Calibri" w:eastAsia="Calibri" w:hint="default"/>
                <w:sz w:val="20"/>
                <w:szCs w:val="20"/>
              </w:rPr>
            </w:pPr>
            <w:r>
              <w:rPr>
                <w:rFonts w:ascii="Calibri"/>
                <w:sz w:val="20"/>
              </w:rPr>
              <w:t>Christine</w:t>
            </w:r>
            <w:r>
              <w:rPr>
                <w:rFonts w:ascii="Calibri"/>
                <w:spacing w:val="-12"/>
                <w:sz w:val="20"/>
              </w:rPr>
              <w:t> </w:t>
            </w:r>
            <w:r>
              <w:rPr>
                <w:rFonts w:ascii="Calibri"/>
                <w:sz w:val="20"/>
              </w:rPr>
              <w:t>Campagnard</w:t>
            </w:r>
          </w:p>
        </w:tc>
      </w:tr>
      <w:tr>
        <w:trPr>
          <w:trHeight w:val="270"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38" w:lineRule="exact"/>
              <w:ind w:left="200" w:right="0"/>
              <w:jc w:val="left"/>
              <w:rPr>
                <w:rFonts w:ascii="Calibri" w:hAnsi="Calibri" w:cs="Calibri" w:eastAsia="Calibri" w:hint="default"/>
                <w:sz w:val="20"/>
                <w:szCs w:val="20"/>
              </w:rPr>
            </w:pPr>
            <w:r>
              <w:rPr>
                <w:rFonts w:ascii="Calibri"/>
                <w:sz w:val="20"/>
              </w:rPr>
              <w:t>Zulaika</w:t>
            </w:r>
            <w:r>
              <w:rPr>
                <w:rFonts w:ascii="Calibri"/>
                <w:spacing w:val="-5"/>
                <w:sz w:val="20"/>
              </w:rPr>
              <w:t> </w:t>
            </w:r>
            <w:r>
              <w:rPr>
                <w:rFonts w:ascii="Calibri"/>
                <w:sz w:val="20"/>
              </w:rPr>
              <w:t>Mook</w:t>
            </w:r>
          </w:p>
        </w:tc>
        <w:tc>
          <w:tcPr>
            <w:tcW w:w="2742" w:type="dxa"/>
            <w:tcBorders>
              <w:top w:val="nil" w:sz="6" w:space="0" w:color="auto"/>
              <w:left w:val="nil" w:sz="6" w:space="0" w:color="auto"/>
              <w:bottom w:val="nil" w:sz="6" w:space="0" w:color="auto"/>
              <w:right w:val="nil" w:sz="6" w:space="0" w:color="auto"/>
            </w:tcBorders>
          </w:tcPr>
          <w:p>
            <w:pPr>
              <w:pStyle w:val="TableParagraph"/>
              <w:spacing w:line="238" w:lineRule="exact"/>
              <w:ind w:left="606" w:right="0"/>
              <w:jc w:val="left"/>
              <w:rPr>
                <w:rFonts w:ascii="Calibri" w:hAnsi="Calibri" w:cs="Calibri" w:eastAsia="Calibri" w:hint="default"/>
                <w:sz w:val="20"/>
                <w:szCs w:val="20"/>
              </w:rPr>
            </w:pPr>
            <w:r>
              <w:rPr>
                <w:rFonts w:ascii="Calibri"/>
                <w:b/>
                <w:w w:val="99"/>
                <w:sz w:val="20"/>
              </w:rPr>
            </w:r>
            <w:r>
              <w:rPr>
                <w:rFonts w:ascii="Calibri"/>
                <w:b/>
                <w:sz w:val="20"/>
                <w:u w:val="single" w:color="000000"/>
              </w:rPr>
              <w:t>Central</w:t>
            </w:r>
            <w:r>
              <w:rPr>
                <w:rFonts w:ascii="Calibri"/>
                <w:b/>
                <w:spacing w:val="-6"/>
                <w:sz w:val="20"/>
                <w:u w:val="single" w:color="000000"/>
              </w:rPr>
              <w:t> </w:t>
            </w:r>
            <w:r>
              <w:rPr>
                <w:rFonts w:ascii="Calibri"/>
                <w:b/>
                <w:sz w:val="20"/>
                <w:u w:val="single" w:color="000000"/>
              </w:rPr>
              <w:t>Bank:</w:t>
            </w:r>
            <w:r>
              <w:rPr>
                <w:rFonts w:ascii="Calibri"/>
                <w:b/>
                <w:sz w:val="20"/>
              </w:rPr>
            </w:r>
            <w:r>
              <w:rPr>
                <w:rFonts w:ascii="Calibri"/>
                <w:sz w:val="20"/>
              </w:rPr>
            </w:r>
          </w:p>
        </w:tc>
      </w:tr>
      <w:tr>
        <w:trPr>
          <w:trHeight w:val="270"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39" w:lineRule="exact"/>
              <w:ind w:left="200" w:right="0"/>
              <w:jc w:val="left"/>
              <w:rPr>
                <w:rFonts w:ascii="Calibri" w:hAnsi="Calibri" w:cs="Calibri" w:eastAsia="Calibri" w:hint="default"/>
                <w:sz w:val="20"/>
                <w:szCs w:val="20"/>
              </w:rPr>
            </w:pPr>
            <w:r>
              <w:rPr>
                <w:rFonts w:ascii="Calibri"/>
                <w:sz w:val="20"/>
              </w:rPr>
              <w:t>Chiquita</w:t>
            </w:r>
            <w:r>
              <w:rPr>
                <w:rFonts w:ascii="Calibri"/>
                <w:spacing w:val="-8"/>
                <w:sz w:val="20"/>
              </w:rPr>
              <w:t> </w:t>
            </w:r>
            <w:r>
              <w:rPr>
                <w:rFonts w:ascii="Calibri"/>
                <w:sz w:val="20"/>
              </w:rPr>
              <w:t>Groenewoud-Kotzebue</w:t>
            </w:r>
          </w:p>
        </w:tc>
        <w:tc>
          <w:tcPr>
            <w:tcW w:w="2742" w:type="dxa"/>
            <w:tcBorders>
              <w:top w:val="nil" w:sz="6" w:space="0" w:color="auto"/>
              <w:left w:val="nil" w:sz="6" w:space="0" w:color="auto"/>
              <w:bottom w:val="nil" w:sz="6" w:space="0" w:color="auto"/>
              <w:right w:val="nil" w:sz="6" w:space="0" w:color="auto"/>
            </w:tcBorders>
          </w:tcPr>
          <w:p>
            <w:pPr>
              <w:pStyle w:val="TableParagraph"/>
              <w:spacing w:line="239" w:lineRule="exact"/>
              <w:ind w:left="606" w:right="0"/>
              <w:jc w:val="left"/>
              <w:rPr>
                <w:rFonts w:ascii="Calibri" w:hAnsi="Calibri" w:cs="Calibri" w:eastAsia="Calibri" w:hint="default"/>
                <w:sz w:val="20"/>
                <w:szCs w:val="20"/>
              </w:rPr>
            </w:pPr>
            <w:r>
              <w:rPr>
                <w:rFonts w:ascii="Calibri"/>
                <w:sz w:val="20"/>
              </w:rPr>
              <w:t>Shekinah</w:t>
            </w:r>
            <w:r>
              <w:rPr>
                <w:rFonts w:ascii="Calibri"/>
                <w:spacing w:val="-6"/>
                <w:sz w:val="20"/>
              </w:rPr>
              <w:t> </w:t>
            </w:r>
            <w:r>
              <w:rPr>
                <w:rFonts w:ascii="Calibri"/>
                <w:sz w:val="20"/>
              </w:rPr>
              <w:t>Dare</w:t>
            </w:r>
          </w:p>
        </w:tc>
      </w:tr>
      <w:tr>
        <w:trPr>
          <w:trHeight w:val="270"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38" w:lineRule="exact"/>
              <w:ind w:left="200" w:right="0"/>
              <w:jc w:val="left"/>
              <w:rPr>
                <w:rFonts w:ascii="Calibri" w:hAnsi="Calibri" w:cs="Calibri" w:eastAsia="Calibri" w:hint="default"/>
                <w:sz w:val="20"/>
                <w:szCs w:val="20"/>
              </w:rPr>
            </w:pPr>
            <w:r>
              <w:rPr>
                <w:rFonts w:ascii="Calibri"/>
                <w:sz w:val="20"/>
              </w:rPr>
              <w:t>Irainety</w:t>
            </w:r>
            <w:r>
              <w:rPr>
                <w:rFonts w:ascii="Calibri"/>
                <w:spacing w:val="-6"/>
                <w:sz w:val="20"/>
              </w:rPr>
              <w:t> </w:t>
            </w:r>
            <w:r>
              <w:rPr>
                <w:rFonts w:ascii="Calibri"/>
                <w:sz w:val="20"/>
              </w:rPr>
              <w:t>Copra</w:t>
            </w:r>
          </w:p>
        </w:tc>
        <w:tc>
          <w:tcPr>
            <w:tcW w:w="2742" w:type="dxa"/>
            <w:tcBorders>
              <w:top w:val="nil" w:sz="6" w:space="0" w:color="auto"/>
              <w:left w:val="nil" w:sz="6" w:space="0" w:color="auto"/>
              <w:bottom w:val="nil" w:sz="6" w:space="0" w:color="auto"/>
              <w:right w:val="nil" w:sz="6" w:space="0" w:color="auto"/>
            </w:tcBorders>
          </w:tcPr>
          <w:p>
            <w:pPr>
              <w:pStyle w:val="TableParagraph"/>
              <w:spacing w:line="238" w:lineRule="exact"/>
              <w:ind w:left="606" w:right="0"/>
              <w:jc w:val="left"/>
              <w:rPr>
                <w:rFonts w:ascii="Calibri" w:hAnsi="Calibri" w:cs="Calibri" w:eastAsia="Calibri" w:hint="default"/>
                <w:sz w:val="20"/>
                <w:szCs w:val="20"/>
              </w:rPr>
            </w:pPr>
            <w:r>
              <w:rPr>
                <w:rFonts w:ascii="Calibri"/>
                <w:sz w:val="20"/>
              </w:rPr>
              <w:t>Leonie</w:t>
            </w:r>
            <w:r>
              <w:rPr>
                <w:rFonts w:ascii="Calibri"/>
                <w:spacing w:val="-11"/>
                <w:sz w:val="20"/>
              </w:rPr>
              <w:t> </w:t>
            </w:r>
            <w:r>
              <w:rPr>
                <w:rFonts w:ascii="Calibri"/>
                <w:sz w:val="20"/>
              </w:rPr>
              <w:t>Linderhof</w:t>
            </w:r>
          </w:p>
        </w:tc>
      </w:tr>
      <w:tr>
        <w:trPr>
          <w:trHeight w:val="264"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39" w:lineRule="exact"/>
              <w:ind w:left="200" w:right="0"/>
              <w:jc w:val="left"/>
              <w:rPr>
                <w:rFonts w:ascii="Calibri" w:hAnsi="Calibri" w:cs="Calibri" w:eastAsia="Calibri" w:hint="default"/>
                <w:sz w:val="20"/>
                <w:szCs w:val="20"/>
              </w:rPr>
            </w:pPr>
            <w:r>
              <w:rPr>
                <w:rFonts w:ascii="Calibri"/>
                <w:b/>
                <w:sz w:val="20"/>
              </w:rPr>
              <w:t>CHATA</w:t>
            </w:r>
            <w:r>
              <w:rPr>
                <w:rFonts w:ascii="Calibri"/>
                <w:sz w:val="20"/>
              </w:rPr>
            </w:r>
          </w:p>
        </w:tc>
        <w:tc>
          <w:tcPr>
            <w:tcW w:w="2742" w:type="dxa"/>
            <w:tcBorders>
              <w:top w:val="nil" w:sz="6" w:space="0" w:color="auto"/>
              <w:left w:val="nil" w:sz="6" w:space="0" w:color="auto"/>
              <w:bottom w:val="nil" w:sz="6" w:space="0" w:color="auto"/>
              <w:right w:val="nil" w:sz="6" w:space="0" w:color="auto"/>
            </w:tcBorders>
          </w:tcPr>
          <w:p>
            <w:pPr>
              <w:pStyle w:val="TableParagraph"/>
              <w:spacing w:line="239" w:lineRule="exact"/>
              <w:ind w:left="606" w:right="0"/>
              <w:jc w:val="left"/>
              <w:rPr>
                <w:rFonts w:ascii="Calibri" w:hAnsi="Calibri" w:cs="Calibri" w:eastAsia="Calibri" w:hint="default"/>
                <w:sz w:val="20"/>
                <w:szCs w:val="20"/>
              </w:rPr>
            </w:pPr>
            <w:r>
              <w:rPr>
                <w:rFonts w:ascii="Calibri"/>
                <w:b/>
                <w:w w:val="99"/>
                <w:sz w:val="20"/>
              </w:rPr>
            </w:r>
            <w:r>
              <w:rPr>
                <w:rFonts w:ascii="Calibri"/>
                <w:b/>
                <w:sz w:val="20"/>
                <w:u w:val="single" w:color="000000"/>
              </w:rPr>
              <w:t>Ontvanger:</w:t>
            </w:r>
            <w:r>
              <w:rPr>
                <w:rFonts w:ascii="Calibri"/>
                <w:b/>
                <w:sz w:val="20"/>
              </w:rPr>
            </w:r>
            <w:r>
              <w:rPr>
                <w:rFonts w:ascii="Calibri"/>
                <w:sz w:val="20"/>
              </w:rPr>
            </w:r>
          </w:p>
        </w:tc>
      </w:tr>
      <w:tr>
        <w:trPr>
          <w:trHeight w:val="275"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54" w:lineRule="exact"/>
              <w:ind w:left="200" w:right="0"/>
              <w:jc w:val="left"/>
              <w:rPr>
                <w:rFonts w:ascii="Calibri" w:hAnsi="Calibri" w:cs="Calibri" w:eastAsia="Calibri" w:hint="default"/>
                <w:sz w:val="22"/>
                <w:szCs w:val="22"/>
              </w:rPr>
            </w:pPr>
            <w:r>
              <w:rPr>
                <w:rFonts w:ascii="Calibri"/>
                <w:sz w:val="22"/>
              </w:rPr>
              <w:t>Lizanne</w:t>
            </w:r>
            <w:r>
              <w:rPr>
                <w:rFonts w:ascii="Calibri"/>
                <w:spacing w:val="-3"/>
                <w:sz w:val="22"/>
              </w:rPr>
              <w:t> </w:t>
            </w:r>
            <w:r>
              <w:rPr>
                <w:rFonts w:ascii="Calibri"/>
                <w:sz w:val="22"/>
              </w:rPr>
              <w:t>Dindial</w:t>
            </w:r>
          </w:p>
        </w:tc>
        <w:tc>
          <w:tcPr>
            <w:tcW w:w="2742" w:type="dxa"/>
            <w:tcBorders>
              <w:top w:val="nil" w:sz="6" w:space="0" w:color="auto"/>
              <w:left w:val="nil" w:sz="6" w:space="0" w:color="auto"/>
              <w:bottom w:val="nil" w:sz="6" w:space="0" w:color="auto"/>
              <w:right w:val="nil" w:sz="6" w:space="0" w:color="auto"/>
            </w:tcBorders>
          </w:tcPr>
          <w:p>
            <w:pPr>
              <w:pStyle w:val="TableParagraph"/>
              <w:spacing w:line="244" w:lineRule="exact"/>
              <w:ind w:left="606" w:right="0"/>
              <w:jc w:val="left"/>
              <w:rPr>
                <w:rFonts w:ascii="Calibri" w:hAnsi="Calibri" w:cs="Calibri" w:eastAsia="Calibri" w:hint="default"/>
                <w:sz w:val="20"/>
                <w:szCs w:val="20"/>
              </w:rPr>
            </w:pPr>
            <w:r>
              <w:rPr>
                <w:rFonts w:ascii="Calibri"/>
                <w:sz w:val="20"/>
              </w:rPr>
              <w:t>Anthony</w:t>
            </w:r>
            <w:r>
              <w:rPr>
                <w:rFonts w:ascii="Calibri"/>
                <w:spacing w:val="-6"/>
                <w:sz w:val="20"/>
              </w:rPr>
              <w:t> </w:t>
            </w:r>
            <w:r>
              <w:rPr>
                <w:rFonts w:ascii="Calibri"/>
                <w:sz w:val="20"/>
              </w:rPr>
              <w:t>Dandare</w:t>
            </w:r>
          </w:p>
        </w:tc>
      </w:tr>
      <w:tr>
        <w:trPr>
          <w:trHeight w:val="246" w:hRule="exact"/>
        </w:trPr>
        <w:tc>
          <w:tcPr>
            <w:tcW w:w="4274" w:type="dxa"/>
            <w:tcBorders>
              <w:top w:val="nil" w:sz="6" w:space="0" w:color="auto"/>
              <w:left w:val="nil" w:sz="6" w:space="0" w:color="auto"/>
              <w:bottom w:val="nil" w:sz="6" w:space="0" w:color="auto"/>
              <w:right w:val="nil" w:sz="6" w:space="0" w:color="auto"/>
            </w:tcBorders>
          </w:tcPr>
          <w:p>
            <w:pPr>
              <w:pStyle w:val="TableParagraph"/>
              <w:spacing w:line="250" w:lineRule="exact"/>
              <w:ind w:left="200" w:right="0"/>
              <w:jc w:val="left"/>
              <w:rPr>
                <w:rFonts w:ascii="Calibri" w:hAnsi="Calibri" w:cs="Calibri" w:eastAsia="Calibri" w:hint="default"/>
                <w:sz w:val="22"/>
                <w:szCs w:val="22"/>
              </w:rPr>
            </w:pPr>
            <w:r>
              <w:rPr>
                <w:rFonts w:ascii="Calibri"/>
                <w:sz w:val="22"/>
              </w:rPr>
              <w:t>Miles</w:t>
            </w:r>
            <w:r>
              <w:rPr>
                <w:rFonts w:ascii="Calibri"/>
                <w:spacing w:val="-2"/>
                <w:sz w:val="22"/>
              </w:rPr>
              <w:t> </w:t>
            </w:r>
            <w:r>
              <w:rPr>
                <w:rFonts w:ascii="Calibri"/>
                <w:sz w:val="22"/>
              </w:rPr>
              <w:t>Mercera</w:t>
            </w:r>
          </w:p>
        </w:tc>
        <w:tc>
          <w:tcPr>
            <w:tcW w:w="2742" w:type="dxa"/>
            <w:tcBorders>
              <w:top w:val="nil" w:sz="6" w:space="0" w:color="auto"/>
              <w:left w:val="nil" w:sz="6" w:space="0" w:color="auto"/>
              <w:bottom w:val="nil" w:sz="6" w:space="0" w:color="auto"/>
              <w:right w:val="nil" w:sz="6" w:space="0" w:color="auto"/>
            </w:tcBorders>
          </w:tcPr>
          <w:p>
            <w:pPr>
              <w:pStyle w:val="TableParagraph"/>
              <w:spacing w:line="240" w:lineRule="exact"/>
              <w:ind w:left="606" w:right="0"/>
              <w:jc w:val="left"/>
              <w:rPr>
                <w:rFonts w:ascii="Calibri" w:hAnsi="Calibri" w:cs="Calibri" w:eastAsia="Calibri" w:hint="default"/>
                <w:sz w:val="20"/>
                <w:szCs w:val="20"/>
              </w:rPr>
            </w:pPr>
            <w:r>
              <w:rPr>
                <w:rFonts w:ascii="Calibri"/>
                <w:sz w:val="20"/>
              </w:rPr>
              <w:t>Reina</w:t>
            </w:r>
            <w:r>
              <w:rPr>
                <w:rFonts w:ascii="Calibri"/>
                <w:spacing w:val="-9"/>
                <w:sz w:val="20"/>
              </w:rPr>
              <w:t> </w:t>
            </w:r>
            <w:r>
              <w:rPr>
                <w:rFonts w:ascii="Calibri"/>
                <w:sz w:val="20"/>
              </w:rPr>
              <w:t>Sambo</w:t>
            </w:r>
          </w:p>
        </w:tc>
      </w:tr>
    </w:tbl>
    <w:p>
      <w:pPr>
        <w:spacing w:after="0" w:line="240" w:lineRule="exact"/>
        <w:jc w:val="left"/>
        <w:rPr>
          <w:rFonts w:ascii="Calibri" w:hAnsi="Calibri" w:cs="Calibri" w:eastAsia="Calibri" w:hint="default"/>
          <w:sz w:val="20"/>
          <w:szCs w:val="20"/>
        </w:rPr>
        <w:sectPr>
          <w:footerReference w:type="default" r:id="rId95"/>
          <w:pgSz w:w="12240" w:h="15840"/>
          <w:pgMar w:footer="0" w:header="0" w:top="840" w:bottom="0" w:left="0" w:right="0"/>
        </w:sect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3"/>
          <w:szCs w:val="23"/>
        </w:rPr>
      </w:pPr>
    </w:p>
    <w:p>
      <w:pPr>
        <w:pStyle w:val="Heading9"/>
        <w:spacing w:line="240" w:lineRule="auto" w:before="59" w:after="46"/>
        <w:ind w:left="1440" w:right="0"/>
        <w:jc w:val="left"/>
        <w:rPr>
          <w:b w:val="0"/>
          <w:bCs w:val="0"/>
        </w:rPr>
      </w:pPr>
      <w:r>
        <w:rPr/>
        <w:t>Other:</w:t>
      </w:r>
      <w:r>
        <w:rPr>
          <w:b w:val="0"/>
        </w:rPr>
      </w:r>
    </w:p>
    <w:tbl>
      <w:tblPr>
        <w:tblW w:w="0" w:type="auto"/>
        <w:jc w:val="left"/>
        <w:tblInd w:w="1293" w:type="dxa"/>
        <w:tblLayout w:type="fixed"/>
        <w:tblCellMar>
          <w:top w:w="0" w:type="dxa"/>
          <w:left w:w="0" w:type="dxa"/>
          <w:bottom w:w="0" w:type="dxa"/>
          <w:right w:w="0" w:type="dxa"/>
        </w:tblCellMar>
        <w:tblLook w:val="01E0"/>
      </w:tblPr>
      <w:tblGrid>
        <w:gridCol w:w="2231"/>
        <w:gridCol w:w="2184"/>
        <w:gridCol w:w="2691"/>
        <w:gridCol w:w="1906"/>
      </w:tblGrid>
      <w:tr>
        <w:trPr>
          <w:trHeight w:val="211"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183" w:lineRule="exact"/>
              <w:ind w:left="200" w:right="0"/>
              <w:jc w:val="left"/>
              <w:rPr>
                <w:rFonts w:ascii="Calibri" w:hAnsi="Calibri" w:cs="Calibri" w:eastAsia="Calibri" w:hint="default"/>
                <w:sz w:val="18"/>
                <w:szCs w:val="18"/>
              </w:rPr>
            </w:pPr>
            <w:r>
              <w:rPr>
                <w:rFonts w:ascii="Calibri"/>
                <w:sz w:val="18"/>
              </w:rPr>
              <w:t>Alfredo</w:t>
            </w:r>
            <w:r>
              <w:rPr>
                <w:rFonts w:ascii="Calibri"/>
                <w:spacing w:val="-8"/>
                <w:sz w:val="18"/>
              </w:rPr>
              <w:t> </w:t>
            </w:r>
            <w:r>
              <w:rPr>
                <w:rFonts w:ascii="Calibri"/>
                <w:sz w:val="18"/>
              </w:rPr>
              <w:t>Lowenstein</w:t>
            </w:r>
          </w:p>
        </w:tc>
        <w:tc>
          <w:tcPr>
            <w:tcW w:w="2184" w:type="dxa"/>
            <w:tcBorders>
              <w:top w:val="nil" w:sz="6" w:space="0" w:color="auto"/>
              <w:left w:val="nil" w:sz="6" w:space="0" w:color="auto"/>
              <w:bottom w:val="nil" w:sz="6" w:space="0" w:color="auto"/>
              <w:right w:val="nil" w:sz="6" w:space="0" w:color="auto"/>
            </w:tcBorders>
          </w:tcPr>
          <w:p>
            <w:pPr>
              <w:pStyle w:val="TableParagraph"/>
              <w:spacing w:line="183" w:lineRule="exact"/>
              <w:ind w:left="268" w:right="0"/>
              <w:jc w:val="left"/>
              <w:rPr>
                <w:rFonts w:ascii="Calibri" w:hAnsi="Calibri" w:cs="Calibri" w:eastAsia="Calibri" w:hint="default"/>
                <w:sz w:val="18"/>
                <w:szCs w:val="18"/>
              </w:rPr>
            </w:pPr>
            <w:r>
              <w:rPr>
                <w:rFonts w:ascii="Calibri"/>
                <w:sz w:val="18"/>
              </w:rPr>
              <w:t>Father</w:t>
            </w:r>
            <w:r>
              <w:rPr>
                <w:rFonts w:ascii="Calibri"/>
                <w:spacing w:val="-5"/>
                <w:sz w:val="18"/>
              </w:rPr>
              <w:t> </w:t>
            </w:r>
            <w:r>
              <w:rPr>
                <w:rFonts w:ascii="Calibri"/>
                <w:sz w:val="18"/>
              </w:rPr>
              <w:t>Curtis</w:t>
            </w:r>
          </w:p>
        </w:tc>
        <w:tc>
          <w:tcPr>
            <w:tcW w:w="2691" w:type="dxa"/>
            <w:tcBorders>
              <w:top w:val="nil" w:sz="6" w:space="0" w:color="auto"/>
              <w:left w:val="nil" w:sz="6" w:space="0" w:color="auto"/>
              <w:bottom w:val="nil" w:sz="6" w:space="0" w:color="auto"/>
              <w:right w:val="nil" w:sz="6" w:space="0" w:color="auto"/>
            </w:tcBorders>
          </w:tcPr>
          <w:p>
            <w:pPr>
              <w:pStyle w:val="TableParagraph"/>
              <w:spacing w:line="183" w:lineRule="exact"/>
              <w:ind w:left="340" w:right="0"/>
              <w:jc w:val="left"/>
              <w:rPr>
                <w:rFonts w:ascii="Calibri" w:hAnsi="Calibri" w:cs="Calibri" w:eastAsia="Calibri" w:hint="default"/>
                <w:sz w:val="18"/>
                <w:szCs w:val="18"/>
              </w:rPr>
            </w:pPr>
            <w:r>
              <w:rPr>
                <w:rFonts w:ascii="Calibri"/>
                <w:sz w:val="18"/>
              </w:rPr>
              <w:t>Leo</w:t>
            </w:r>
            <w:r>
              <w:rPr>
                <w:rFonts w:ascii="Calibri"/>
                <w:spacing w:val="-3"/>
                <w:sz w:val="18"/>
              </w:rPr>
              <w:t> </w:t>
            </w:r>
            <w:r>
              <w:rPr>
                <w:rFonts w:ascii="Calibri"/>
                <w:sz w:val="18"/>
              </w:rPr>
              <w:t>Rigaud</w:t>
            </w:r>
          </w:p>
        </w:tc>
        <w:tc>
          <w:tcPr>
            <w:tcW w:w="1906" w:type="dxa"/>
            <w:tcBorders>
              <w:top w:val="nil" w:sz="6" w:space="0" w:color="auto"/>
              <w:left w:val="nil" w:sz="6" w:space="0" w:color="auto"/>
              <w:bottom w:val="nil" w:sz="6" w:space="0" w:color="auto"/>
              <w:right w:val="nil" w:sz="6" w:space="0" w:color="auto"/>
            </w:tcBorders>
          </w:tcPr>
          <w:p>
            <w:pPr>
              <w:pStyle w:val="TableParagraph"/>
              <w:spacing w:line="183" w:lineRule="exact"/>
              <w:ind w:left="309" w:right="0"/>
              <w:jc w:val="left"/>
              <w:rPr>
                <w:rFonts w:ascii="Calibri" w:hAnsi="Calibri" w:cs="Calibri" w:eastAsia="Calibri" w:hint="default"/>
                <w:sz w:val="18"/>
                <w:szCs w:val="18"/>
              </w:rPr>
            </w:pPr>
            <w:r>
              <w:rPr>
                <w:rFonts w:ascii="Calibri"/>
                <w:sz w:val="18"/>
              </w:rPr>
              <w:t>Ralph</w:t>
            </w:r>
            <w:r>
              <w:rPr>
                <w:rFonts w:ascii="Calibri"/>
                <w:spacing w:val="-4"/>
                <w:sz w:val="18"/>
              </w:rPr>
              <w:t> </w:t>
            </w:r>
            <w:r>
              <w:rPr>
                <w:rFonts w:ascii="Calibri"/>
                <w:sz w:val="18"/>
              </w:rPr>
              <w:t>Blanchard</w:t>
            </w:r>
          </w:p>
        </w:tc>
      </w:tr>
      <w:tr>
        <w:trPr>
          <w:trHeight w:val="242"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Albert</w:t>
            </w:r>
            <w:r>
              <w:rPr>
                <w:rFonts w:ascii="Calibri"/>
                <w:spacing w:val="-6"/>
                <w:sz w:val="18"/>
              </w:rPr>
              <w:t> </w:t>
            </w:r>
            <w:r>
              <w:rPr>
                <w:rFonts w:ascii="Calibri"/>
                <w:sz w:val="18"/>
              </w:rPr>
              <w:t>Kluyver</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Frank</w:t>
            </w:r>
            <w:r>
              <w:rPr>
                <w:rFonts w:ascii="Calibri"/>
                <w:spacing w:val="-5"/>
                <w:sz w:val="18"/>
              </w:rPr>
              <w:t> </w:t>
            </w:r>
            <w:r>
              <w:rPr>
                <w:rFonts w:ascii="Calibri"/>
                <w:sz w:val="18"/>
              </w:rPr>
              <w:t>Holstag</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Leonie</w:t>
            </w:r>
            <w:r>
              <w:rPr>
                <w:rFonts w:ascii="Calibri"/>
                <w:spacing w:val="-6"/>
                <w:sz w:val="18"/>
              </w:rPr>
              <w:t> </w:t>
            </w:r>
            <w:r>
              <w:rPr>
                <w:rFonts w:ascii="Calibri"/>
                <w:sz w:val="18"/>
              </w:rPr>
              <w:t>Linderhof</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Ram</w:t>
            </w:r>
            <w:r>
              <w:rPr>
                <w:rFonts w:ascii="Calibri"/>
                <w:spacing w:val="-4"/>
                <w:sz w:val="18"/>
              </w:rPr>
              <w:t> </w:t>
            </w:r>
            <w:r>
              <w:rPr>
                <w:rFonts w:ascii="Calibri"/>
                <w:sz w:val="18"/>
              </w:rPr>
              <w:t>Nandwani</w:t>
            </w:r>
          </w:p>
        </w:tc>
      </w:tr>
      <w:tr>
        <w:trPr>
          <w:trHeight w:val="242"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Andres</w:t>
            </w:r>
            <w:r>
              <w:rPr>
                <w:rFonts w:ascii="Calibri"/>
                <w:spacing w:val="-7"/>
                <w:sz w:val="18"/>
              </w:rPr>
              <w:t> </w:t>
            </w:r>
            <w:r>
              <w:rPr>
                <w:rFonts w:ascii="Calibri"/>
                <w:sz w:val="18"/>
              </w:rPr>
              <w:t>Casimiri</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Fred van</w:t>
            </w:r>
            <w:r>
              <w:rPr>
                <w:rFonts w:ascii="Calibri"/>
                <w:spacing w:val="-5"/>
                <w:sz w:val="18"/>
              </w:rPr>
              <w:t> </w:t>
            </w:r>
            <w:r>
              <w:rPr>
                <w:rFonts w:ascii="Calibri"/>
                <w:sz w:val="18"/>
              </w:rPr>
              <w:t>Romondt</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Lizanne</w:t>
            </w:r>
            <w:r>
              <w:rPr>
                <w:rFonts w:ascii="Calibri"/>
                <w:spacing w:val="-6"/>
                <w:sz w:val="18"/>
              </w:rPr>
              <w:t> </w:t>
            </w:r>
            <w:r>
              <w:rPr>
                <w:rFonts w:ascii="Calibri"/>
                <w:sz w:val="18"/>
              </w:rPr>
              <w:t>Dindial</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Raoul</w:t>
            </w:r>
            <w:r>
              <w:rPr>
                <w:rFonts w:ascii="Calibri"/>
                <w:spacing w:val="-6"/>
                <w:sz w:val="18"/>
              </w:rPr>
              <w:t> </w:t>
            </w:r>
            <w:r>
              <w:rPr>
                <w:rFonts w:ascii="Calibri"/>
                <w:sz w:val="18"/>
              </w:rPr>
              <w:t>Hooftman</w:t>
            </w:r>
          </w:p>
        </w:tc>
      </w:tr>
      <w:tr>
        <w:trPr>
          <w:trHeight w:val="242"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Angelo</w:t>
            </w:r>
            <w:r>
              <w:rPr>
                <w:rFonts w:ascii="Calibri"/>
                <w:spacing w:val="-5"/>
                <w:sz w:val="18"/>
              </w:rPr>
              <w:t> </w:t>
            </w:r>
            <w:r>
              <w:rPr>
                <w:rFonts w:ascii="Calibri"/>
                <w:sz w:val="18"/>
              </w:rPr>
              <w:t>Martes</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G.</w:t>
            </w:r>
            <w:r>
              <w:rPr>
                <w:rFonts w:ascii="Calibri"/>
                <w:spacing w:val="-5"/>
                <w:sz w:val="18"/>
              </w:rPr>
              <w:t> </w:t>
            </w:r>
            <w:r>
              <w:rPr>
                <w:rFonts w:ascii="Calibri"/>
                <w:sz w:val="18"/>
              </w:rPr>
              <w:t>Felida</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Loes van der</w:t>
            </w:r>
            <w:r>
              <w:rPr>
                <w:rFonts w:ascii="Calibri"/>
                <w:spacing w:val="-6"/>
                <w:sz w:val="18"/>
              </w:rPr>
              <w:t> </w:t>
            </w:r>
            <w:r>
              <w:rPr>
                <w:rFonts w:ascii="Calibri"/>
                <w:sz w:val="18"/>
              </w:rPr>
              <w:t>Woude</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Raygen</w:t>
            </w:r>
            <w:r>
              <w:rPr>
                <w:rFonts w:ascii="Calibri"/>
                <w:spacing w:val="-7"/>
                <w:sz w:val="18"/>
              </w:rPr>
              <w:t> </w:t>
            </w:r>
            <w:r>
              <w:rPr>
                <w:rFonts w:ascii="Calibri"/>
                <w:sz w:val="18"/>
              </w:rPr>
              <w:t>Zuiverloon</w:t>
            </w:r>
          </w:p>
        </w:tc>
      </w:tr>
      <w:tr>
        <w:trPr>
          <w:trHeight w:val="242"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Anthony</w:t>
            </w:r>
            <w:r>
              <w:rPr>
                <w:rFonts w:ascii="Calibri"/>
                <w:spacing w:val="-6"/>
                <w:sz w:val="18"/>
              </w:rPr>
              <w:t> </w:t>
            </w:r>
            <w:r>
              <w:rPr>
                <w:rFonts w:ascii="Calibri"/>
                <w:sz w:val="18"/>
              </w:rPr>
              <w:t>Owers</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Giovanni de</w:t>
            </w:r>
            <w:r>
              <w:rPr>
                <w:rFonts w:ascii="Calibri"/>
                <w:spacing w:val="-7"/>
                <w:sz w:val="18"/>
              </w:rPr>
              <w:t> </w:t>
            </w:r>
            <w:r>
              <w:rPr>
                <w:rFonts w:ascii="Calibri"/>
                <w:sz w:val="18"/>
              </w:rPr>
              <w:t>Haseth</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Lou</w:t>
            </w:r>
            <w:r>
              <w:rPr>
                <w:rFonts w:ascii="Calibri"/>
                <w:spacing w:val="-1"/>
                <w:sz w:val="18"/>
              </w:rPr>
              <w:t> </w:t>
            </w:r>
            <w:r>
              <w:rPr>
                <w:rFonts w:ascii="Calibri"/>
                <w:sz w:val="18"/>
              </w:rPr>
              <w:t>Garcia</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Remco</w:t>
            </w:r>
            <w:r>
              <w:rPr>
                <w:rFonts w:ascii="Calibri"/>
                <w:spacing w:val="-6"/>
                <w:sz w:val="18"/>
              </w:rPr>
              <w:t> </w:t>
            </w:r>
            <w:r>
              <w:rPr>
                <w:rFonts w:ascii="Calibri"/>
                <w:sz w:val="18"/>
              </w:rPr>
              <w:t>Ernandes</w:t>
            </w:r>
          </w:p>
        </w:tc>
      </w:tr>
      <w:tr>
        <w:trPr>
          <w:trHeight w:val="241"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Arlene</w:t>
            </w:r>
            <w:r>
              <w:rPr>
                <w:rFonts w:ascii="Calibri"/>
                <w:spacing w:val="-2"/>
                <w:sz w:val="18"/>
              </w:rPr>
              <w:t> </w:t>
            </w:r>
            <w:r>
              <w:rPr>
                <w:rFonts w:ascii="Calibri"/>
                <w:sz w:val="18"/>
              </w:rPr>
              <w:t>Tromp</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Gisgar</w:t>
            </w:r>
            <w:r>
              <w:rPr>
                <w:rFonts w:ascii="Calibri"/>
                <w:spacing w:val="-6"/>
                <w:sz w:val="18"/>
              </w:rPr>
              <w:t> </w:t>
            </w:r>
            <w:r>
              <w:rPr>
                <w:rFonts w:ascii="Calibri"/>
                <w:sz w:val="18"/>
              </w:rPr>
              <w:t>Felida</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Lucita Moenir</w:t>
            </w:r>
            <w:r>
              <w:rPr>
                <w:rFonts w:ascii="Calibri"/>
                <w:spacing w:val="-8"/>
                <w:sz w:val="18"/>
              </w:rPr>
              <w:t> </w:t>
            </w:r>
            <w:r>
              <w:rPr>
                <w:rFonts w:ascii="Calibri"/>
                <w:sz w:val="18"/>
              </w:rPr>
              <w:t>Alam</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Remko</w:t>
            </w:r>
            <w:r>
              <w:rPr>
                <w:rFonts w:ascii="Calibri"/>
                <w:spacing w:val="-4"/>
                <w:sz w:val="18"/>
              </w:rPr>
              <w:t> </w:t>
            </w:r>
            <w:r>
              <w:rPr>
                <w:rFonts w:ascii="Calibri"/>
                <w:sz w:val="18"/>
              </w:rPr>
              <w:t>Tevreden</w:t>
            </w:r>
          </w:p>
        </w:tc>
      </w:tr>
      <w:tr>
        <w:trPr>
          <w:trHeight w:val="241"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3" w:lineRule="exact"/>
              <w:ind w:left="200" w:right="0"/>
              <w:jc w:val="left"/>
              <w:rPr>
                <w:rFonts w:ascii="Calibri" w:hAnsi="Calibri" w:cs="Calibri" w:eastAsia="Calibri" w:hint="default"/>
                <w:sz w:val="18"/>
                <w:szCs w:val="18"/>
              </w:rPr>
            </w:pPr>
            <w:r>
              <w:rPr>
                <w:rFonts w:ascii="Calibri"/>
                <w:sz w:val="18"/>
              </w:rPr>
              <w:t>Arthur</w:t>
            </w:r>
            <w:r>
              <w:rPr>
                <w:rFonts w:ascii="Calibri"/>
                <w:spacing w:val="-3"/>
                <w:sz w:val="18"/>
              </w:rPr>
              <w:t> </w:t>
            </w:r>
            <w:r>
              <w:rPr>
                <w:rFonts w:ascii="Calibri"/>
                <w:sz w:val="18"/>
              </w:rPr>
              <w:t>Adams</w:t>
            </w:r>
          </w:p>
        </w:tc>
        <w:tc>
          <w:tcPr>
            <w:tcW w:w="2184" w:type="dxa"/>
            <w:tcBorders>
              <w:top w:val="nil" w:sz="6" w:space="0" w:color="auto"/>
              <w:left w:val="nil" w:sz="6" w:space="0" w:color="auto"/>
              <w:bottom w:val="nil" w:sz="6" w:space="0" w:color="auto"/>
              <w:right w:val="nil" w:sz="6" w:space="0" w:color="auto"/>
            </w:tcBorders>
          </w:tcPr>
          <w:p>
            <w:pPr>
              <w:pStyle w:val="TableParagraph"/>
              <w:spacing w:line="213" w:lineRule="exact"/>
              <w:ind w:left="268" w:right="0"/>
              <w:jc w:val="left"/>
              <w:rPr>
                <w:rFonts w:ascii="Calibri" w:hAnsi="Calibri" w:cs="Calibri" w:eastAsia="Calibri" w:hint="default"/>
                <w:sz w:val="18"/>
                <w:szCs w:val="18"/>
              </w:rPr>
            </w:pPr>
            <w:r>
              <w:rPr>
                <w:rFonts w:ascii="Calibri"/>
                <w:sz w:val="18"/>
              </w:rPr>
              <w:t>Gregory</w:t>
            </w:r>
            <w:r>
              <w:rPr>
                <w:rFonts w:ascii="Calibri"/>
                <w:spacing w:val="-6"/>
                <w:sz w:val="18"/>
              </w:rPr>
              <w:t> </w:t>
            </w:r>
            <w:r>
              <w:rPr>
                <w:rFonts w:ascii="Calibri"/>
                <w:sz w:val="18"/>
              </w:rPr>
              <w:t>Elias</w:t>
            </w:r>
          </w:p>
        </w:tc>
        <w:tc>
          <w:tcPr>
            <w:tcW w:w="2691" w:type="dxa"/>
            <w:tcBorders>
              <w:top w:val="nil" w:sz="6" w:space="0" w:color="auto"/>
              <w:left w:val="nil" w:sz="6" w:space="0" w:color="auto"/>
              <w:bottom w:val="nil" w:sz="6" w:space="0" w:color="auto"/>
              <w:right w:val="nil" w:sz="6" w:space="0" w:color="auto"/>
            </w:tcBorders>
          </w:tcPr>
          <w:p>
            <w:pPr>
              <w:pStyle w:val="TableParagraph"/>
              <w:spacing w:line="213" w:lineRule="exact"/>
              <w:ind w:left="340" w:right="0"/>
              <w:jc w:val="left"/>
              <w:rPr>
                <w:rFonts w:ascii="Calibri" w:hAnsi="Calibri" w:cs="Calibri" w:eastAsia="Calibri" w:hint="default"/>
                <w:sz w:val="18"/>
                <w:szCs w:val="18"/>
              </w:rPr>
            </w:pPr>
            <w:r>
              <w:rPr>
                <w:rFonts w:ascii="Calibri"/>
                <w:sz w:val="18"/>
              </w:rPr>
              <w:t>Luqui</w:t>
            </w:r>
            <w:r>
              <w:rPr>
                <w:rFonts w:ascii="Calibri"/>
                <w:spacing w:val="-6"/>
                <w:sz w:val="18"/>
              </w:rPr>
              <w:t> </w:t>
            </w:r>
            <w:r>
              <w:rPr>
                <w:rFonts w:ascii="Calibri"/>
                <w:sz w:val="18"/>
              </w:rPr>
              <w:t>Pijnacker-Booi</w:t>
            </w:r>
          </w:p>
        </w:tc>
        <w:tc>
          <w:tcPr>
            <w:tcW w:w="1906" w:type="dxa"/>
            <w:tcBorders>
              <w:top w:val="nil" w:sz="6" w:space="0" w:color="auto"/>
              <w:left w:val="nil" w:sz="6" w:space="0" w:color="auto"/>
              <w:bottom w:val="nil" w:sz="6" w:space="0" w:color="auto"/>
              <w:right w:val="nil" w:sz="6" w:space="0" w:color="auto"/>
            </w:tcBorders>
          </w:tcPr>
          <w:p>
            <w:pPr>
              <w:pStyle w:val="TableParagraph"/>
              <w:spacing w:line="213" w:lineRule="exact"/>
              <w:ind w:left="309" w:right="0"/>
              <w:jc w:val="left"/>
              <w:rPr>
                <w:rFonts w:ascii="Calibri" w:hAnsi="Calibri" w:cs="Calibri" w:eastAsia="Calibri" w:hint="default"/>
                <w:sz w:val="18"/>
                <w:szCs w:val="18"/>
              </w:rPr>
            </w:pPr>
            <w:r>
              <w:rPr>
                <w:rFonts w:ascii="Calibri"/>
                <w:sz w:val="18"/>
              </w:rPr>
              <w:t>Ric</w:t>
            </w:r>
            <w:r>
              <w:rPr>
                <w:rFonts w:ascii="Calibri"/>
                <w:spacing w:val="-6"/>
                <w:sz w:val="18"/>
              </w:rPr>
              <w:t> </w:t>
            </w:r>
            <w:r>
              <w:rPr>
                <w:rFonts w:ascii="Calibri"/>
                <w:sz w:val="18"/>
              </w:rPr>
              <w:t>Boolchand</w:t>
            </w:r>
          </w:p>
        </w:tc>
      </w:tr>
      <w:tr>
        <w:trPr>
          <w:trHeight w:val="242"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Barry van</w:t>
            </w:r>
            <w:r>
              <w:rPr>
                <w:rFonts w:ascii="Calibri"/>
                <w:spacing w:val="-3"/>
                <w:sz w:val="18"/>
              </w:rPr>
              <w:t> </w:t>
            </w:r>
            <w:r>
              <w:rPr>
                <w:rFonts w:ascii="Calibri"/>
                <w:sz w:val="18"/>
              </w:rPr>
              <w:t>Zwol</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Gregory</w:t>
            </w:r>
            <w:r>
              <w:rPr>
                <w:rFonts w:ascii="Calibri"/>
                <w:spacing w:val="-7"/>
                <w:sz w:val="18"/>
              </w:rPr>
              <w:t> </w:t>
            </w:r>
            <w:r>
              <w:rPr>
                <w:rFonts w:ascii="Calibri"/>
                <w:sz w:val="18"/>
              </w:rPr>
              <w:t>Teunissen</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M.</w:t>
            </w:r>
            <w:r>
              <w:rPr>
                <w:rFonts w:ascii="Calibri"/>
                <w:spacing w:val="-4"/>
                <w:sz w:val="18"/>
              </w:rPr>
              <w:t> </w:t>
            </w:r>
            <w:r>
              <w:rPr>
                <w:rFonts w:ascii="Calibri"/>
                <w:sz w:val="18"/>
              </w:rPr>
              <w:t>Marugg</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Ringo</w:t>
            </w:r>
            <w:r>
              <w:rPr>
                <w:rFonts w:ascii="Calibri"/>
                <w:spacing w:val="-6"/>
                <w:sz w:val="18"/>
              </w:rPr>
              <w:t> </w:t>
            </w:r>
            <w:r>
              <w:rPr>
                <w:rFonts w:ascii="Calibri"/>
                <w:sz w:val="18"/>
              </w:rPr>
              <w:t>Harrigan</w:t>
            </w:r>
          </w:p>
        </w:tc>
      </w:tr>
      <w:tr>
        <w:trPr>
          <w:trHeight w:val="242"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Billy</w:t>
            </w:r>
            <w:r>
              <w:rPr>
                <w:rFonts w:ascii="Calibri"/>
                <w:spacing w:val="-6"/>
                <w:sz w:val="18"/>
              </w:rPr>
              <w:t> </w:t>
            </w:r>
            <w:r>
              <w:rPr>
                <w:rFonts w:ascii="Calibri"/>
                <w:sz w:val="18"/>
              </w:rPr>
              <w:t>Jonckheer</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Haitham</w:t>
            </w:r>
            <w:r>
              <w:rPr>
                <w:rFonts w:ascii="Calibri"/>
                <w:spacing w:val="-4"/>
                <w:sz w:val="18"/>
              </w:rPr>
              <w:t> </w:t>
            </w:r>
            <w:r>
              <w:rPr>
                <w:rFonts w:ascii="Calibri"/>
                <w:sz w:val="18"/>
              </w:rPr>
              <w:t>Metry</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Mahesh</w:t>
            </w:r>
            <w:r>
              <w:rPr>
                <w:rFonts w:ascii="Calibri"/>
                <w:spacing w:val="-4"/>
                <w:sz w:val="18"/>
              </w:rPr>
              <w:t> </w:t>
            </w:r>
            <w:r>
              <w:rPr>
                <w:rFonts w:ascii="Calibri"/>
                <w:sz w:val="18"/>
              </w:rPr>
              <w:t>Muhki</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Rob</w:t>
            </w:r>
            <w:r>
              <w:rPr>
                <w:rFonts w:ascii="Calibri"/>
                <w:spacing w:val="-3"/>
                <w:sz w:val="18"/>
              </w:rPr>
              <w:t> </w:t>
            </w:r>
            <w:r>
              <w:rPr>
                <w:rFonts w:ascii="Calibri"/>
                <w:sz w:val="18"/>
              </w:rPr>
              <w:t>Blauw</w:t>
            </w:r>
          </w:p>
        </w:tc>
      </w:tr>
      <w:tr>
        <w:trPr>
          <w:trHeight w:val="242"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Caroline</w:t>
            </w:r>
            <w:r>
              <w:rPr>
                <w:rFonts w:ascii="Calibri"/>
                <w:spacing w:val="-9"/>
                <w:sz w:val="18"/>
              </w:rPr>
              <w:t> </w:t>
            </w:r>
            <w:r>
              <w:rPr>
                <w:rFonts w:ascii="Calibri"/>
                <w:sz w:val="18"/>
              </w:rPr>
              <w:t>Hartel</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Hans de</w:t>
            </w:r>
            <w:r>
              <w:rPr>
                <w:rFonts w:ascii="Calibri"/>
                <w:spacing w:val="-4"/>
                <w:sz w:val="18"/>
              </w:rPr>
              <w:t> </w:t>
            </w:r>
            <w:r>
              <w:rPr>
                <w:rFonts w:ascii="Calibri"/>
                <w:sz w:val="18"/>
              </w:rPr>
              <w:t>Kruif</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Margareth</w:t>
            </w:r>
            <w:r>
              <w:rPr>
                <w:rFonts w:ascii="Calibri"/>
                <w:spacing w:val="-6"/>
                <w:sz w:val="18"/>
              </w:rPr>
              <w:t> </w:t>
            </w:r>
            <w:r>
              <w:rPr>
                <w:rFonts w:ascii="Calibri"/>
                <w:sz w:val="18"/>
              </w:rPr>
              <w:t>Wille</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Roeland</w:t>
            </w:r>
            <w:r>
              <w:rPr>
                <w:rFonts w:ascii="Calibri"/>
                <w:spacing w:val="-8"/>
                <w:sz w:val="18"/>
              </w:rPr>
              <w:t> </w:t>
            </w:r>
            <w:r>
              <w:rPr>
                <w:rFonts w:ascii="Calibri"/>
                <w:sz w:val="18"/>
              </w:rPr>
              <w:t>Dreischor</w:t>
            </w:r>
          </w:p>
        </w:tc>
      </w:tr>
      <w:tr>
        <w:trPr>
          <w:trHeight w:val="242"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Cathline</w:t>
            </w:r>
            <w:r>
              <w:rPr>
                <w:rFonts w:ascii="Calibri"/>
                <w:spacing w:val="-11"/>
                <w:sz w:val="18"/>
              </w:rPr>
              <w:t> </w:t>
            </w:r>
            <w:r>
              <w:rPr>
                <w:rFonts w:ascii="Calibri"/>
                <w:sz w:val="18"/>
              </w:rPr>
              <w:t>Cecilia</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Harm</w:t>
            </w:r>
            <w:r>
              <w:rPr>
                <w:rFonts w:ascii="Calibri"/>
                <w:spacing w:val="-6"/>
                <w:sz w:val="18"/>
              </w:rPr>
              <w:t> </w:t>
            </w:r>
            <w:r>
              <w:rPr>
                <w:rFonts w:ascii="Calibri"/>
                <w:sz w:val="18"/>
              </w:rPr>
              <w:t>Rooijakkers</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Maritza</w:t>
            </w:r>
            <w:r>
              <w:rPr>
                <w:rFonts w:ascii="Calibri"/>
                <w:spacing w:val="-5"/>
                <w:sz w:val="18"/>
              </w:rPr>
              <w:t> </w:t>
            </w:r>
            <w:r>
              <w:rPr>
                <w:rFonts w:ascii="Calibri"/>
                <w:sz w:val="18"/>
              </w:rPr>
              <w:t>Molina</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Rolf</w:t>
            </w:r>
            <w:r>
              <w:rPr>
                <w:rFonts w:ascii="Calibri"/>
                <w:spacing w:val="-7"/>
                <w:sz w:val="18"/>
              </w:rPr>
              <w:t> </w:t>
            </w:r>
            <w:r>
              <w:rPr>
                <w:rFonts w:ascii="Calibri"/>
                <w:sz w:val="18"/>
              </w:rPr>
              <w:t>Spechter</w:t>
            </w:r>
          </w:p>
        </w:tc>
      </w:tr>
      <w:tr>
        <w:trPr>
          <w:trHeight w:val="241"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Chiquita</w:t>
            </w:r>
            <w:r>
              <w:rPr>
                <w:rFonts w:ascii="Calibri"/>
                <w:spacing w:val="-8"/>
                <w:sz w:val="18"/>
              </w:rPr>
              <w:t> </w:t>
            </w:r>
            <w:r>
              <w:rPr>
                <w:rFonts w:ascii="Calibri"/>
                <w:sz w:val="18"/>
              </w:rPr>
              <w:t>Kotzebeu</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Herman</w:t>
            </w:r>
            <w:r>
              <w:rPr>
                <w:rFonts w:ascii="Calibri"/>
                <w:spacing w:val="-4"/>
                <w:sz w:val="18"/>
              </w:rPr>
              <w:t> </w:t>
            </w:r>
            <w:r>
              <w:rPr>
                <w:rFonts w:ascii="Calibri"/>
                <w:sz w:val="18"/>
              </w:rPr>
              <w:t>Behr</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Marlon</w:t>
            </w:r>
            <w:r>
              <w:rPr>
                <w:rFonts w:ascii="Calibri"/>
                <w:spacing w:val="-4"/>
                <w:sz w:val="18"/>
              </w:rPr>
              <w:t> </w:t>
            </w:r>
            <w:r>
              <w:rPr>
                <w:rFonts w:ascii="Calibri"/>
                <w:sz w:val="18"/>
              </w:rPr>
              <w:t>Mambi</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Ronald</w:t>
            </w:r>
            <w:r>
              <w:rPr>
                <w:rFonts w:ascii="Calibri"/>
                <w:spacing w:val="-5"/>
                <w:sz w:val="18"/>
              </w:rPr>
              <w:t> </w:t>
            </w:r>
            <w:r>
              <w:rPr>
                <w:rFonts w:ascii="Calibri"/>
                <w:sz w:val="18"/>
              </w:rPr>
              <w:t>Kooistra</w:t>
            </w:r>
          </w:p>
        </w:tc>
      </w:tr>
      <w:tr>
        <w:trPr>
          <w:trHeight w:val="241"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3" w:lineRule="exact"/>
              <w:ind w:left="200" w:right="0"/>
              <w:jc w:val="left"/>
              <w:rPr>
                <w:rFonts w:ascii="Calibri" w:hAnsi="Calibri" w:cs="Calibri" w:eastAsia="Calibri" w:hint="default"/>
                <w:sz w:val="18"/>
                <w:szCs w:val="18"/>
              </w:rPr>
            </w:pPr>
            <w:r>
              <w:rPr>
                <w:rFonts w:ascii="Calibri"/>
                <w:sz w:val="18"/>
              </w:rPr>
              <w:t>Curtis</w:t>
            </w:r>
            <w:r>
              <w:rPr>
                <w:rFonts w:ascii="Calibri"/>
                <w:spacing w:val="-5"/>
                <w:sz w:val="18"/>
              </w:rPr>
              <w:t> </w:t>
            </w:r>
            <w:r>
              <w:rPr>
                <w:rFonts w:ascii="Calibri"/>
                <w:sz w:val="18"/>
              </w:rPr>
              <w:t>Meris</w:t>
            </w:r>
          </w:p>
        </w:tc>
        <w:tc>
          <w:tcPr>
            <w:tcW w:w="2184" w:type="dxa"/>
            <w:tcBorders>
              <w:top w:val="nil" w:sz="6" w:space="0" w:color="auto"/>
              <w:left w:val="nil" w:sz="6" w:space="0" w:color="auto"/>
              <w:bottom w:val="nil" w:sz="6" w:space="0" w:color="auto"/>
              <w:right w:val="nil" w:sz="6" w:space="0" w:color="auto"/>
            </w:tcBorders>
          </w:tcPr>
          <w:p>
            <w:pPr>
              <w:pStyle w:val="TableParagraph"/>
              <w:spacing w:line="213" w:lineRule="exact"/>
              <w:ind w:left="268" w:right="0"/>
              <w:jc w:val="left"/>
              <w:rPr>
                <w:rFonts w:ascii="Calibri" w:hAnsi="Calibri" w:cs="Calibri" w:eastAsia="Calibri" w:hint="default"/>
                <w:sz w:val="18"/>
                <w:szCs w:val="18"/>
              </w:rPr>
            </w:pPr>
            <w:r>
              <w:rPr>
                <w:rFonts w:ascii="Calibri"/>
                <w:sz w:val="18"/>
              </w:rPr>
              <w:t>Humberto de</w:t>
            </w:r>
            <w:r>
              <w:rPr>
                <w:rFonts w:ascii="Calibri"/>
                <w:spacing w:val="-7"/>
                <w:sz w:val="18"/>
              </w:rPr>
              <w:t> </w:t>
            </w:r>
            <w:r>
              <w:rPr>
                <w:rFonts w:ascii="Calibri"/>
                <w:sz w:val="18"/>
              </w:rPr>
              <w:t>Castro</w:t>
            </w:r>
          </w:p>
        </w:tc>
        <w:tc>
          <w:tcPr>
            <w:tcW w:w="2691" w:type="dxa"/>
            <w:tcBorders>
              <w:top w:val="nil" w:sz="6" w:space="0" w:color="auto"/>
              <w:left w:val="nil" w:sz="6" w:space="0" w:color="auto"/>
              <w:bottom w:val="nil" w:sz="6" w:space="0" w:color="auto"/>
              <w:right w:val="nil" w:sz="6" w:space="0" w:color="auto"/>
            </w:tcBorders>
          </w:tcPr>
          <w:p>
            <w:pPr>
              <w:pStyle w:val="TableParagraph"/>
              <w:spacing w:line="213" w:lineRule="exact"/>
              <w:ind w:left="340" w:right="0"/>
              <w:jc w:val="left"/>
              <w:rPr>
                <w:rFonts w:ascii="Calibri" w:hAnsi="Calibri" w:cs="Calibri" w:eastAsia="Calibri" w:hint="default"/>
                <w:sz w:val="18"/>
                <w:szCs w:val="18"/>
              </w:rPr>
            </w:pPr>
            <w:r>
              <w:rPr>
                <w:rFonts w:ascii="Calibri"/>
                <w:sz w:val="18"/>
              </w:rPr>
              <w:t>Maureen</w:t>
            </w:r>
            <w:r>
              <w:rPr>
                <w:rFonts w:ascii="Calibri"/>
                <w:spacing w:val="-9"/>
                <w:sz w:val="18"/>
              </w:rPr>
              <w:t> </w:t>
            </w:r>
            <w:r>
              <w:rPr>
                <w:rFonts w:ascii="Calibri"/>
                <w:sz w:val="18"/>
              </w:rPr>
              <w:t>Bergwijn-Blokland</w:t>
            </w:r>
          </w:p>
        </w:tc>
        <w:tc>
          <w:tcPr>
            <w:tcW w:w="1906" w:type="dxa"/>
            <w:tcBorders>
              <w:top w:val="nil" w:sz="6" w:space="0" w:color="auto"/>
              <w:left w:val="nil" w:sz="6" w:space="0" w:color="auto"/>
              <w:bottom w:val="nil" w:sz="6" w:space="0" w:color="auto"/>
              <w:right w:val="nil" w:sz="6" w:space="0" w:color="auto"/>
            </w:tcBorders>
          </w:tcPr>
          <w:p>
            <w:pPr>
              <w:pStyle w:val="TableParagraph"/>
              <w:spacing w:line="213" w:lineRule="exact"/>
              <w:ind w:left="309" w:right="0"/>
              <w:jc w:val="left"/>
              <w:rPr>
                <w:rFonts w:ascii="Calibri" w:hAnsi="Calibri" w:cs="Calibri" w:eastAsia="Calibri" w:hint="default"/>
                <w:sz w:val="18"/>
                <w:szCs w:val="18"/>
              </w:rPr>
            </w:pPr>
            <w:r>
              <w:rPr>
                <w:rFonts w:ascii="Calibri"/>
                <w:sz w:val="18"/>
              </w:rPr>
              <w:t>Sharin</w:t>
            </w:r>
            <w:r>
              <w:rPr>
                <w:rFonts w:ascii="Calibri"/>
                <w:spacing w:val="-6"/>
                <w:sz w:val="18"/>
              </w:rPr>
              <w:t> </w:t>
            </w:r>
            <w:r>
              <w:rPr>
                <w:rFonts w:ascii="Calibri"/>
                <w:sz w:val="18"/>
              </w:rPr>
              <w:t>Isabella</w:t>
            </w:r>
          </w:p>
        </w:tc>
      </w:tr>
      <w:tr>
        <w:trPr>
          <w:trHeight w:val="243"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Daivid</w:t>
            </w:r>
            <w:r>
              <w:rPr>
                <w:rFonts w:ascii="Calibri"/>
                <w:spacing w:val="-8"/>
                <w:sz w:val="18"/>
              </w:rPr>
              <w:t> </w:t>
            </w:r>
            <w:r>
              <w:rPr>
                <w:rFonts w:ascii="Calibri"/>
                <w:sz w:val="18"/>
              </w:rPr>
              <w:t>Maxfield</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Humphrey</w:t>
            </w:r>
            <w:r>
              <w:rPr>
                <w:rFonts w:ascii="Calibri"/>
                <w:spacing w:val="-6"/>
                <w:sz w:val="18"/>
              </w:rPr>
              <w:t> </w:t>
            </w:r>
            <w:r>
              <w:rPr>
                <w:rFonts w:ascii="Calibri"/>
                <w:sz w:val="18"/>
              </w:rPr>
              <w:t>Mongen</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Maurice</w:t>
            </w:r>
            <w:r>
              <w:rPr>
                <w:rFonts w:ascii="Calibri"/>
                <w:spacing w:val="-5"/>
                <w:sz w:val="18"/>
              </w:rPr>
              <w:t> </w:t>
            </w:r>
            <w:r>
              <w:rPr>
                <w:rFonts w:ascii="Calibri"/>
                <w:sz w:val="18"/>
              </w:rPr>
              <w:t>Adriaens</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Shekinah</w:t>
            </w:r>
            <w:r>
              <w:rPr>
                <w:rFonts w:ascii="Calibri"/>
                <w:spacing w:val="-6"/>
                <w:sz w:val="18"/>
              </w:rPr>
              <w:t> </w:t>
            </w:r>
            <w:r>
              <w:rPr>
                <w:rFonts w:ascii="Calibri"/>
                <w:sz w:val="18"/>
              </w:rPr>
              <w:t>Dare</w:t>
            </w:r>
          </w:p>
        </w:tc>
      </w:tr>
      <w:tr>
        <w:trPr>
          <w:trHeight w:val="243"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Darius</w:t>
            </w:r>
            <w:r>
              <w:rPr>
                <w:rFonts w:ascii="Calibri"/>
                <w:spacing w:val="-9"/>
                <w:sz w:val="18"/>
              </w:rPr>
              <w:t> </w:t>
            </w:r>
            <w:r>
              <w:rPr>
                <w:rFonts w:ascii="Calibri"/>
                <w:sz w:val="18"/>
              </w:rPr>
              <w:t>Plantijn</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I.</w:t>
            </w:r>
            <w:r>
              <w:rPr>
                <w:rFonts w:ascii="Calibri"/>
                <w:spacing w:val="-3"/>
                <w:sz w:val="18"/>
              </w:rPr>
              <w:t> </w:t>
            </w:r>
            <w:r>
              <w:rPr>
                <w:rFonts w:ascii="Calibri"/>
                <w:sz w:val="18"/>
              </w:rPr>
              <w:t>Moreno</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Maylin</w:t>
            </w:r>
            <w:r>
              <w:rPr>
                <w:rFonts w:ascii="Calibri"/>
                <w:spacing w:val="-5"/>
                <w:sz w:val="18"/>
              </w:rPr>
              <w:t> </w:t>
            </w:r>
            <w:r>
              <w:rPr>
                <w:rFonts w:ascii="Calibri"/>
                <w:sz w:val="18"/>
              </w:rPr>
              <w:t>Trenidad</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Stuart</w:t>
            </w:r>
            <w:r>
              <w:rPr>
                <w:rFonts w:ascii="Calibri"/>
                <w:spacing w:val="-6"/>
                <w:sz w:val="18"/>
              </w:rPr>
              <w:t> </w:t>
            </w:r>
            <w:r>
              <w:rPr>
                <w:rFonts w:ascii="Calibri"/>
                <w:sz w:val="18"/>
              </w:rPr>
              <w:t>Till</w:t>
            </w:r>
          </w:p>
        </w:tc>
      </w:tr>
      <w:tr>
        <w:trPr>
          <w:trHeight w:val="242"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Darren</w:t>
            </w:r>
            <w:r>
              <w:rPr>
                <w:rFonts w:ascii="Calibri"/>
                <w:spacing w:val="-5"/>
                <w:sz w:val="18"/>
              </w:rPr>
              <w:t> </w:t>
            </w:r>
            <w:r>
              <w:rPr>
                <w:rFonts w:ascii="Calibri"/>
                <w:sz w:val="18"/>
              </w:rPr>
              <w:t>Law</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Ingeborg</w:t>
            </w:r>
            <w:r>
              <w:rPr>
                <w:rFonts w:ascii="Calibri"/>
                <w:spacing w:val="-6"/>
                <w:sz w:val="18"/>
              </w:rPr>
              <w:t> </w:t>
            </w:r>
            <w:r>
              <w:rPr>
                <w:rFonts w:ascii="Calibri"/>
                <w:sz w:val="18"/>
              </w:rPr>
              <w:t>Boswinkel</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Michael</w:t>
            </w:r>
            <w:r>
              <w:rPr>
                <w:rFonts w:ascii="Calibri"/>
                <w:spacing w:val="-4"/>
                <w:sz w:val="18"/>
              </w:rPr>
              <w:t> </w:t>
            </w:r>
            <w:r>
              <w:rPr>
                <w:rFonts w:ascii="Calibri"/>
                <w:sz w:val="18"/>
              </w:rPr>
              <w:t>Samson</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Sydney</w:t>
            </w:r>
            <w:r>
              <w:rPr>
                <w:rFonts w:ascii="Calibri"/>
                <w:spacing w:val="-5"/>
                <w:sz w:val="18"/>
              </w:rPr>
              <w:t> </w:t>
            </w:r>
            <w:r>
              <w:rPr>
                <w:rFonts w:ascii="Calibri"/>
                <w:sz w:val="18"/>
              </w:rPr>
              <w:t>Justiana</w:t>
            </w:r>
          </w:p>
        </w:tc>
      </w:tr>
      <w:tr>
        <w:trPr>
          <w:trHeight w:val="242"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David</w:t>
            </w:r>
            <w:r>
              <w:rPr>
                <w:rFonts w:ascii="Calibri"/>
                <w:spacing w:val="-8"/>
                <w:sz w:val="18"/>
              </w:rPr>
              <w:t> </w:t>
            </w:r>
            <w:r>
              <w:rPr>
                <w:rFonts w:ascii="Calibri"/>
                <w:sz w:val="18"/>
              </w:rPr>
              <w:t>Dick</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Irvin</w:t>
            </w:r>
            <w:r>
              <w:rPr>
                <w:rFonts w:ascii="Calibri"/>
                <w:spacing w:val="-5"/>
                <w:sz w:val="18"/>
              </w:rPr>
              <w:t> </w:t>
            </w:r>
            <w:r>
              <w:rPr>
                <w:rFonts w:ascii="Calibri"/>
                <w:sz w:val="18"/>
              </w:rPr>
              <w:t>Moenir-Alam</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Mike</w:t>
            </w:r>
            <w:r>
              <w:rPr>
                <w:rFonts w:ascii="Calibri"/>
                <w:spacing w:val="-5"/>
                <w:sz w:val="18"/>
              </w:rPr>
              <w:t> </w:t>
            </w:r>
            <w:r>
              <w:rPr>
                <w:rFonts w:ascii="Calibri"/>
                <w:sz w:val="18"/>
              </w:rPr>
              <w:t>Willemse</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Tamira La</w:t>
            </w:r>
            <w:r>
              <w:rPr>
                <w:rFonts w:ascii="Calibri"/>
                <w:spacing w:val="-3"/>
                <w:sz w:val="18"/>
              </w:rPr>
              <w:t> </w:t>
            </w:r>
            <w:r>
              <w:rPr>
                <w:rFonts w:ascii="Calibri"/>
                <w:sz w:val="18"/>
              </w:rPr>
              <w:t>Cruz</w:t>
            </w:r>
          </w:p>
        </w:tc>
      </w:tr>
      <w:tr>
        <w:trPr>
          <w:trHeight w:val="241"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David</w:t>
            </w:r>
            <w:r>
              <w:rPr>
                <w:rFonts w:ascii="Calibri"/>
                <w:spacing w:val="-10"/>
                <w:sz w:val="18"/>
              </w:rPr>
              <w:t> </w:t>
            </w:r>
            <w:r>
              <w:rPr>
                <w:rFonts w:ascii="Calibri"/>
                <w:sz w:val="18"/>
              </w:rPr>
              <w:t>Maxfield</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Jaime de</w:t>
            </w:r>
            <w:r>
              <w:rPr>
                <w:rFonts w:ascii="Calibri"/>
                <w:spacing w:val="-5"/>
                <w:sz w:val="18"/>
              </w:rPr>
              <w:t> </w:t>
            </w:r>
            <w:r>
              <w:rPr>
                <w:rFonts w:ascii="Calibri"/>
                <w:sz w:val="18"/>
              </w:rPr>
              <w:t>Sola</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Mildred</w:t>
            </w:r>
            <w:r>
              <w:rPr>
                <w:rFonts w:ascii="Calibri"/>
                <w:spacing w:val="-7"/>
                <w:sz w:val="18"/>
              </w:rPr>
              <w:t> </w:t>
            </w:r>
            <w:r>
              <w:rPr>
                <w:rFonts w:ascii="Calibri"/>
                <w:sz w:val="18"/>
              </w:rPr>
              <w:t>Francisca</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Tarzeno</w:t>
            </w:r>
            <w:r>
              <w:rPr>
                <w:rFonts w:ascii="Calibri"/>
                <w:spacing w:val="-8"/>
                <w:sz w:val="18"/>
              </w:rPr>
              <w:t> </w:t>
            </w:r>
            <w:r>
              <w:rPr>
                <w:rFonts w:ascii="Calibri"/>
                <w:sz w:val="18"/>
              </w:rPr>
              <w:t>Ciskens</w:t>
            </w:r>
          </w:p>
        </w:tc>
      </w:tr>
      <w:tr>
        <w:trPr>
          <w:trHeight w:val="241"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3" w:lineRule="exact"/>
              <w:ind w:left="200" w:right="0"/>
              <w:jc w:val="left"/>
              <w:rPr>
                <w:rFonts w:ascii="Calibri" w:hAnsi="Calibri" w:cs="Calibri" w:eastAsia="Calibri" w:hint="default"/>
                <w:sz w:val="18"/>
                <w:szCs w:val="18"/>
              </w:rPr>
            </w:pPr>
            <w:r>
              <w:rPr>
                <w:rFonts w:ascii="Calibri"/>
                <w:sz w:val="18"/>
              </w:rPr>
              <w:t>Dimitri</w:t>
            </w:r>
            <w:r>
              <w:rPr>
                <w:rFonts w:ascii="Calibri"/>
                <w:spacing w:val="-7"/>
                <w:sz w:val="18"/>
              </w:rPr>
              <w:t> </w:t>
            </w:r>
            <w:r>
              <w:rPr>
                <w:rFonts w:ascii="Calibri"/>
                <w:sz w:val="18"/>
              </w:rPr>
              <w:t>Cloose</w:t>
            </w:r>
          </w:p>
        </w:tc>
        <w:tc>
          <w:tcPr>
            <w:tcW w:w="2184" w:type="dxa"/>
            <w:tcBorders>
              <w:top w:val="nil" w:sz="6" w:space="0" w:color="auto"/>
              <w:left w:val="nil" w:sz="6" w:space="0" w:color="auto"/>
              <w:bottom w:val="nil" w:sz="6" w:space="0" w:color="auto"/>
              <w:right w:val="nil" w:sz="6" w:space="0" w:color="auto"/>
            </w:tcBorders>
          </w:tcPr>
          <w:p>
            <w:pPr>
              <w:pStyle w:val="TableParagraph"/>
              <w:spacing w:line="213" w:lineRule="exact"/>
              <w:ind w:left="268" w:right="0"/>
              <w:jc w:val="left"/>
              <w:rPr>
                <w:rFonts w:ascii="Calibri" w:hAnsi="Calibri" w:cs="Calibri" w:eastAsia="Calibri" w:hint="default"/>
                <w:sz w:val="18"/>
                <w:szCs w:val="18"/>
              </w:rPr>
            </w:pPr>
            <w:r>
              <w:rPr>
                <w:rFonts w:ascii="Calibri"/>
                <w:sz w:val="18"/>
              </w:rPr>
              <w:t>Jair</w:t>
            </w:r>
            <w:r>
              <w:rPr>
                <w:rFonts w:ascii="Calibri"/>
                <w:spacing w:val="-6"/>
                <w:sz w:val="18"/>
              </w:rPr>
              <w:t> </w:t>
            </w:r>
            <w:r>
              <w:rPr>
                <w:rFonts w:ascii="Calibri"/>
                <w:sz w:val="18"/>
              </w:rPr>
              <w:t>Pietersz</w:t>
            </w:r>
          </w:p>
        </w:tc>
        <w:tc>
          <w:tcPr>
            <w:tcW w:w="2691" w:type="dxa"/>
            <w:tcBorders>
              <w:top w:val="nil" w:sz="6" w:space="0" w:color="auto"/>
              <w:left w:val="nil" w:sz="6" w:space="0" w:color="auto"/>
              <w:bottom w:val="nil" w:sz="6" w:space="0" w:color="auto"/>
              <w:right w:val="nil" w:sz="6" w:space="0" w:color="auto"/>
            </w:tcBorders>
          </w:tcPr>
          <w:p>
            <w:pPr>
              <w:pStyle w:val="TableParagraph"/>
              <w:spacing w:line="213" w:lineRule="exact"/>
              <w:ind w:left="340" w:right="0"/>
              <w:jc w:val="left"/>
              <w:rPr>
                <w:rFonts w:ascii="Calibri" w:hAnsi="Calibri" w:cs="Calibri" w:eastAsia="Calibri" w:hint="default"/>
                <w:sz w:val="18"/>
                <w:szCs w:val="18"/>
              </w:rPr>
            </w:pPr>
            <w:r>
              <w:rPr>
                <w:rFonts w:ascii="Calibri"/>
                <w:sz w:val="18"/>
              </w:rPr>
              <w:t>Miles</w:t>
            </w:r>
            <w:r>
              <w:rPr>
                <w:rFonts w:ascii="Calibri"/>
                <w:spacing w:val="-4"/>
                <w:sz w:val="18"/>
              </w:rPr>
              <w:t> </w:t>
            </w:r>
            <w:r>
              <w:rPr>
                <w:rFonts w:ascii="Calibri"/>
                <w:sz w:val="18"/>
              </w:rPr>
              <w:t>Mercera</w:t>
            </w:r>
          </w:p>
        </w:tc>
        <w:tc>
          <w:tcPr>
            <w:tcW w:w="1906" w:type="dxa"/>
            <w:tcBorders>
              <w:top w:val="nil" w:sz="6" w:space="0" w:color="auto"/>
              <w:left w:val="nil" w:sz="6" w:space="0" w:color="auto"/>
              <w:bottom w:val="nil" w:sz="6" w:space="0" w:color="auto"/>
              <w:right w:val="nil" w:sz="6" w:space="0" w:color="auto"/>
            </w:tcBorders>
          </w:tcPr>
          <w:p>
            <w:pPr>
              <w:pStyle w:val="TableParagraph"/>
              <w:spacing w:line="213" w:lineRule="exact"/>
              <w:ind w:left="309" w:right="0"/>
              <w:jc w:val="left"/>
              <w:rPr>
                <w:rFonts w:ascii="Calibri" w:hAnsi="Calibri" w:cs="Calibri" w:eastAsia="Calibri" w:hint="default"/>
                <w:sz w:val="18"/>
                <w:szCs w:val="18"/>
              </w:rPr>
            </w:pPr>
            <w:r>
              <w:rPr>
                <w:rFonts w:ascii="Calibri"/>
                <w:sz w:val="18"/>
              </w:rPr>
              <w:t>Terrence</w:t>
            </w:r>
            <w:r>
              <w:rPr>
                <w:rFonts w:ascii="Calibri"/>
                <w:spacing w:val="-5"/>
                <w:sz w:val="18"/>
              </w:rPr>
              <w:t> </w:t>
            </w:r>
            <w:r>
              <w:rPr>
                <w:rFonts w:ascii="Calibri"/>
                <w:sz w:val="18"/>
              </w:rPr>
              <w:t>Lacle</w:t>
            </w:r>
          </w:p>
        </w:tc>
      </w:tr>
      <w:tr>
        <w:trPr>
          <w:trHeight w:val="242"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Dinah</w:t>
            </w:r>
            <w:r>
              <w:rPr>
                <w:rFonts w:ascii="Calibri"/>
                <w:spacing w:val="-5"/>
                <w:sz w:val="18"/>
              </w:rPr>
              <w:t> </w:t>
            </w:r>
            <w:r>
              <w:rPr>
                <w:rFonts w:ascii="Calibri"/>
                <w:sz w:val="18"/>
              </w:rPr>
              <w:t>Veeris</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Johan</w:t>
            </w:r>
            <w:r>
              <w:rPr>
                <w:rFonts w:ascii="Calibri"/>
                <w:spacing w:val="-3"/>
                <w:sz w:val="18"/>
              </w:rPr>
              <w:t> </w:t>
            </w:r>
            <w:r>
              <w:rPr>
                <w:rFonts w:ascii="Calibri"/>
                <w:sz w:val="18"/>
              </w:rPr>
              <w:t>Lieuw</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Monica</w:t>
            </w:r>
            <w:r>
              <w:rPr>
                <w:rFonts w:ascii="Calibri"/>
                <w:spacing w:val="-5"/>
                <w:sz w:val="18"/>
              </w:rPr>
              <w:t> </w:t>
            </w:r>
            <w:r>
              <w:rPr>
                <w:rFonts w:ascii="Calibri"/>
                <w:sz w:val="18"/>
              </w:rPr>
              <w:t>Castano</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Van der</w:t>
            </w:r>
            <w:r>
              <w:rPr>
                <w:rFonts w:ascii="Calibri"/>
                <w:spacing w:val="-3"/>
                <w:sz w:val="18"/>
              </w:rPr>
              <w:t> </w:t>
            </w:r>
            <w:r>
              <w:rPr>
                <w:rFonts w:ascii="Calibri"/>
                <w:sz w:val="18"/>
              </w:rPr>
              <w:t>Valk</w:t>
            </w:r>
          </w:p>
        </w:tc>
      </w:tr>
      <w:tr>
        <w:trPr>
          <w:trHeight w:val="242"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Don</w:t>
            </w:r>
            <w:r>
              <w:rPr>
                <w:rFonts w:ascii="Calibri"/>
                <w:spacing w:val="-6"/>
                <w:sz w:val="18"/>
              </w:rPr>
              <w:t> </w:t>
            </w:r>
            <w:r>
              <w:rPr>
                <w:rFonts w:ascii="Calibri"/>
                <w:sz w:val="18"/>
              </w:rPr>
              <w:t>Hernandez</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John</w:t>
            </w:r>
            <w:r>
              <w:rPr>
                <w:rFonts w:ascii="Calibri"/>
                <w:spacing w:val="-8"/>
                <w:sz w:val="18"/>
              </w:rPr>
              <w:t> </w:t>
            </w:r>
            <w:r>
              <w:rPr>
                <w:rFonts w:ascii="Calibri"/>
                <w:sz w:val="18"/>
              </w:rPr>
              <w:t>Daryanani</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Myra</w:t>
            </w:r>
            <w:r>
              <w:rPr>
                <w:rFonts w:ascii="Calibri"/>
                <w:spacing w:val="-2"/>
                <w:sz w:val="18"/>
              </w:rPr>
              <w:t> </w:t>
            </w:r>
            <w:r>
              <w:rPr>
                <w:rFonts w:ascii="Calibri"/>
                <w:sz w:val="18"/>
              </w:rPr>
              <w:t>Yezek</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Vanessa</w:t>
            </w:r>
            <w:r>
              <w:rPr>
                <w:rFonts w:ascii="Calibri"/>
                <w:spacing w:val="-7"/>
                <w:sz w:val="18"/>
              </w:rPr>
              <w:t> </w:t>
            </w:r>
            <w:r>
              <w:rPr>
                <w:rFonts w:ascii="Calibri"/>
                <w:sz w:val="18"/>
              </w:rPr>
              <w:t>Gijsbertha</w:t>
            </w:r>
          </w:p>
        </w:tc>
      </w:tr>
      <w:tr>
        <w:trPr>
          <w:trHeight w:val="242"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Donate</w:t>
            </w:r>
            <w:r>
              <w:rPr>
                <w:rFonts w:ascii="Calibri"/>
                <w:spacing w:val="-8"/>
                <w:sz w:val="18"/>
              </w:rPr>
              <w:t> </w:t>
            </w:r>
            <w:r>
              <w:rPr>
                <w:rFonts w:ascii="Calibri"/>
                <w:sz w:val="18"/>
              </w:rPr>
              <w:t>Philbert-Nieveld</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John</w:t>
            </w:r>
            <w:r>
              <w:rPr>
                <w:rFonts w:ascii="Calibri"/>
                <w:spacing w:val="-2"/>
                <w:sz w:val="18"/>
              </w:rPr>
              <w:t> </w:t>
            </w:r>
            <w:r>
              <w:rPr>
                <w:rFonts w:ascii="Calibri"/>
                <w:sz w:val="18"/>
              </w:rPr>
              <w:t>Jacobs</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Nico van</w:t>
            </w:r>
            <w:r>
              <w:rPr>
                <w:rFonts w:ascii="Calibri"/>
                <w:spacing w:val="-3"/>
                <w:sz w:val="18"/>
              </w:rPr>
              <w:t> </w:t>
            </w:r>
            <w:r>
              <w:rPr>
                <w:rFonts w:ascii="Calibri"/>
                <w:sz w:val="18"/>
              </w:rPr>
              <w:t>Bockel</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Vincent van</w:t>
            </w:r>
            <w:r>
              <w:rPr>
                <w:rFonts w:ascii="Calibri"/>
                <w:spacing w:val="-6"/>
                <w:sz w:val="18"/>
              </w:rPr>
              <w:t> </w:t>
            </w:r>
            <w:r>
              <w:rPr>
                <w:rFonts w:ascii="Calibri"/>
                <w:sz w:val="18"/>
              </w:rPr>
              <w:t>Rutten</w:t>
            </w:r>
          </w:p>
        </w:tc>
      </w:tr>
      <w:tr>
        <w:trPr>
          <w:trHeight w:val="242"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Duncan</w:t>
            </w:r>
            <w:r>
              <w:rPr>
                <w:rFonts w:ascii="Calibri"/>
                <w:spacing w:val="-8"/>
                <w:sz w:val="18"/>
              </w:rPr>
              <w:t> </w:t>
            </w:r>
            <w:r>
              <w:rPr>
                <w:rFonts w:ascii="Calibri"/>
                <w:sz w:val="18"/>
              </w:rPr>
              <w:t>Pietersz</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John</w:t>
            </w:r>
            <w:r>
              <w:rPr>
                <w:rFonts w:ascii="Calibri"/>
                <w:spacing w:val="-1"/>
                <w:sz w:val="18"/>
              </w:rPr>
              <w:t> </w:t>
            </w:r>
            <w:r>
              <w:rPr>
                <w:rFonts w:ascii="Calibri"/>
                <w:sz w:val="18"/>
              </w:rPr>
              <w:t>Lobato</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Nico van der</w:t>
            </w:r>
            <w:r>
              <w:rPr>
                <w:rFonts w:ascii="Calibri"/>
                <w:spacing w:val="-7"/>
                <w:sz w:val="18"/>
              </w:rPr>
              <w:t> </w:t>
            </w:r>
            <w:r>
              <w:rPr>
                <w:rFonts w:ascii="Calibri"/>
                <w:sz w:val="18"/>
              </w:rPr>
              <w:t>Meer</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Wilbert</w:t>
            </w:r>
            <w:r>
              <w:rPr>
                <w:rFonts w:ascii="Calibri"/>
                <w:spacing w:val="-8"/>
                <w:sz w:val="18"/>
              </w:rPr>
              <w:t> </w:t>
            </w:r>
            <w:r>
              <w:rPr>
                <w:rFonts w:ascii="Calibri"/>
                <w:sz w:val="18"/>
              </w:rPr>
              <w:t>Geertuida</w:t>
            </w:r>
          </w:p>
        </w:tc>
      </w:tr>
      <w:tr>
        <w:trPr>
          <w:trHeight w:val="241"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Dwigno</w:t>
            </w:r>
            <w:r>
              <w:rPr>
                <w:rFonts w:ascii="Calibri"/>
                <w:spacing w:val="-7"/>
                <w:sz w:val="18"/>
              </w:rPr>
              <w:t> </w:t>
            </w:r>
            <w:r>
              <w:rPr>
                <w:rFonts w:ascii="Calibri"/>
                <w:sz w:val="18"/>
              </w:rPr>
              <w:t>Puriel</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Jurgen</w:t>
            </w:r>
            <w:r>
              <w:rPr>
                <w:rFonts w:ascii="Calibri"/>
                <w:spacing w:val="-7"/>
                <w:sz w:val="18"/>
              </w:rPr>
              <w:t> </w:t>
            </w:r>
            <w:r>
              <w:rPr>
                <w:rFonts w:ascii="Calibri"/>
                <w:sz w:val="18"/>
              </w:rPr>
              <w:t>Lippenkhof</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Orlando</w:t>
            </w:r>
            <w:r>
              <w:rPr>
                <w:rFonts w:ascii="Calibri"/>
                <w:spacing w:val="-6"/>
                <w:sz w:val="18"/>
              </w:rPr>
              <w:t> </w:t>
            </w:r>
            <w:r>
              <w:rPr>
                <w:rFonts w:ascii="Calibri"/>
                <w:sz w:val="18"/>
              </w:rPr>
              <w:t>Cuales</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Will</w:t>
            </w:r>
            <w:r>
              <w:rPr>
                <w:rFonts w:ascii="Calibri"/>
                <w:spacing w:val="-5"/>
                <w:sz w:val="18"/>
              </w:rPr>
              <w:t> </w:t>
            </w:r>
            <w:r>
              <w:rPr>
                <w:rFonts w:ascii="Calibri"/>
                <w:sz w:val="18"/>
              </w:rPr>
              <w:t>Vogels</w:t>
            </w:r>
          </w:p>
        </w:tc>
      </w:tr>
      <w:tr>
        <w:trPr>
          <w:trHeight w:val="241"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3" w:lineRule="exact"/>
              <w:ind w:left="200" w:right="0"/>
              <w:jc w:val="left"/>
              <w:rPr>
                <w:rFonts w:ascii="Calibri" w:hAnsi="Calibri" w:cs="Calibri" w:eastAsia="Calibri" w:hint="default"/>
                <w:sz w:val="18"/>
                <w:szCs w:val="18"/>
              </w:rPr>
            </w:pPr>
            <w:r>
              <w:rPr>
                <w:rFonts w:ascii="Calibri"/>
                <w:sz w:val="18"/>
              </w:rPr>
              <w:t>Edsel</w:t>
            </w:r>
            <w:r>
              <w:rPr>
                <w:rFonts w:ascii="Calibri"/>
                <w:spacing w:val="-5"/>
                <w:sz w:val="18"/>
              </w:rPr>
              <w:t> </w:t>
            </w:r>
            <w:r>
              <w:rPr>
                <w:rFonts w:ascii="Calibri"/>
                <w:sz w:val="18"/>
              </w:rPr>
              <w:t>Jeserun</w:t>
            </w:r>
          </w:p>
        </w:tc>
        <w:tc>
          <w:tcPr>
            <w:tcW w:w="2184" w:type="dxa"/>
            <w:tcBorders>
              <w:top w:val="nil" w:sz="6" w:space="0" w:color="auto"/>
              <w:left w:val="nil" w:sz="6" w:space="0" w:color="auto"/>
              <w:bottom w:val="nil" w:sz="6" w:space="0" w:color="auto"/>
              <w:right w:val="nil" w:sz="6" w:space="0" w:color="auto"/>
            </w:tcBorders>
          </w:tcPr>
          <w:p>
            <w:pPr>
              <w:pStyle w:val="TableParagraph"/>
              <w:spacing w:line="213" w:lineRule="exact"/>
              <w:ind w:left="268" w:right="0"/>
              <w:jc w:val="left"/>
              <w:rPr>
                <w:rFonts w:ascii="Calibri" w:hAnsi="Calibri" w:cs="Calibri" w:eastAsia="Calibri" w:hint="default"/>
                <w:sz w:val="18"/>
                <w:szCs w:val="18"/>
              </w:rPr>
            </w:pPr>
            <w:r>
              <w:rPr>
                <w:rFonts w:ascii="Calibri"/>
                <w:sz w:val="18"/>
              </w:rPr>
              <w:t>Kenneth</w:t>
            </w:r>
            <w:r>
              <w:rPr>
                <w:rFonts w:ascii="Calibri"/>
                <w:spacing w:val="-5"/>
                <w:sz w:val="18"/>
              </w:rPr>
              <w:t> </w:t>
            </w:r>
            <w:r>
              <w:rPr>
                <w:rFonts w:ascii="Calibri"/>
                <w:sz w:val="18"/>
              </w:rPr>
              <w:t>Valpoort</w:t>
            </w:r>
          </w:p>
        </w:tc>
        <w:tc>
          <w:tcPr>
            <w:tcW w:w="2691" w:type="dxa"/>
            <w:tcBorders>
              <w:top w:val="nil" w:sz="6" w:space="0" w:color="auto"/>
              <w:left w:val="nil" w:sz="6" w:space="0" w:color="auto"/>
              <w:bottom w:val="nil" w:sz="6" w:space="0" w:color="auto"/>
              <w:right w:val="nil" w:sz="6" w:space="0" w:color="auto"/>
            </w:tcBorders>
          </w:tcPr>
          <w:p>
            <w:pPr>
              <w:pStyle w:val="TableParagraph"/>
              <w:spacing w:line="213" w:lineRule="exact"/>
              <w:ind w:left="340" w:right="0"/>
              <w:jc w:val="left"/>
              <w:rPr>
                <w:rFonts w:ascii="Calibri" w:hAnsi="Calibri" w:cs="Calibri" w:eastAsia="Calibri" w:hint="default"/>
                <w:sz w:val="18"/>
                <w:szCs w:val="18"/>
              </w:rPr>
            </w:pPr>
            <w:r>
              <w:rPr>
                <w:rFonts w:ascii="Calibri"/>
                <w:sz w:val="18"/>
              </w:rPr>
              <w:t>Paul</w:t>
            </w:r>
            <w:r>
              <w:rPr>
                <w:rFonts w:ascii="Calibri"/>
                <w:spacing w:val="-1"/>
                <w:sz w:val="18"/>
              </w:rPr>
              <w:t> </w:t>
            </w:r>
            <w:r>
              <w:rPr>
                <w:rFonts w:ascii="Calibri"/>
                <w:sz w:val="18"/>
              </w:rPr>
              <w:t>Kok</w:t>
            </w:r>
          </w:p>
        </w:tc>
        <w:tc>
          <w:tcPr>
            <w:tcW w:w="1906" w:type="dxa"/>
            <w:tcBorders>
              <w:top w:val="nil" w:sz="6" w:space="0" w:color="auto"/>
              <w:left w:val="nil" w:sz="6" w:space="0" w:color="auto"/>
              <w:bottom w:val="nil" w:sz="6" w:space="0" w:color="auto"/>
              <w:right w:val="nil" w:sz="6" w:space="0" w:color="auto"/>
            </w:tcBorders>
          </w:tcPr>
          <w:p>
            <w:pPr>
              <w:pStyle w:val="TableParagraph"/>
              <w:spacing w:line="213" w:lineRule="exact"/>
              <w:ind w:left="309" w:right="0"/>
              <w:jc w:val="left"/>
              <w:rPr>
                <w:rFonts w:ascii="Calibri" w:hAnsi="Calibri" w:cs="Calibri" w:eastAsia="Calibri" w:hint="default"/>
                <w:sz w:val="18"/>
                <w:szCs w:val="18"/>
              </w:rPr>
            </w:pPr>
            <w:r>
              <w:rPr>
                <w:rFonts w:ascii="Calibri"/>
                <w:sz w:val="18"/>
              </w:rPr>
              <w:t>Willie</w:t>
            </w:r>
            <w:r>
              <w:rPr>
                <w:rFonts w:ascii="Calibri"/>
                <w:spacing w:val="-5"/>
                <w:sz w:val="18"/>
              </w:rPr>
              <w:t> </w:t>
            </w:r>
            <w:r>
              <w:rPr>
                <w:rFonts w:ascii="Calibri"/>
                <w:sz w:val="18"/>
              </w:rPr>
              <w:t>Maal</w:t>
            </w:r>
          </w:p>
        </w:tc>
      </w:tr>
      <w:tr>
        <w:trPr>
          <w:trHeight w:val="242"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Eduardo de</w:t>
            </w:r>
            <w:r>
              <w:rPr>
                <w:rFonts w:ascii="Calibri"/>
                <w:spacing w:val="-7"/>
                <w:sz w:val="18"/>
              </w:rPr>
              <w:t> </w:t>
            </w:r>
            <w:r>
              <w:rPr>
                <w:rFonts w:ascii="Calibri"/>
                <w:sz w:val="18"/>
              </w:rPr>
              <w:t>Veer</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Kevin</w:t>
            </w:r>
            <w:r>
              <w:rPr>
                <w:rFonts w:ascii="Calibri"/>
                <w:spacing w:val="-5"/>
                <w:sz w:val="18"/>
              </w:rPr>
              <w:t> </w:t>
            </w:r>
            <w:r>
              <w:rPr>
                <w:rFonts w:ascii="Calibri"/>
                <w:sz w:val="18"/>
              </w:rPr>
              <w:t>Jonckheer</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Paul</w:t>
            </w:r>
            <w:r>
              <w:rPr>
                <w:rFonts w:ascii="Calibri"/>
                <w:spacing w:val="-4"/>
                <w:sz w:val="18"/>
              </w:rPr>
              <w:t> </w:t>
            </w:r>
            <w:r>
              <w:rPr>
                <w:rFonts w:ascii="Calibri"/>
                <w:sz w:val="18"/>
              </w:rPr>
              <w:t>Stokkermans</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Yvonne di</w:t>
            </w:r>
            <w:r>
              <w:rPr>
                <w:rFonts w:ascii="Calibri"/>
                <w:spacing w:val="-6"/>
                <w:sz w:val="18"/>
              </w:rPr>
              <w:t> </w:t>
            </w:r>
            <w:r>
              <w:rPr>
                <w:rFonts w:ascii="Calibri"/>
                <w:sz w:val="18"/>
              </w:rPr>
              <w:t>Plasa</w:t>
            </w:r>
          </w:p>
        </w:tc>
      </w:tr>
      <w:tr>
        <w:trPr>
          <w:trHeight w:val="242"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Eduardo</w:t>
            </w:r>
            <w:r>
              <w:rPr>
                <w:rFonts w:ascii="Calibri"/>
                <w:spacing w:val="-7"/>
                <w:sz w:val="18"/>
              </w:rPr>
              <w:t> </w:t>
            </w:r>
            <w:r>
              <w:rPr>
                <w:rFonts w:ascii="Calibri"/>
                <w:sz w:val="18"/>
              </w:rPr>
              <w:t>Reple</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Koen</w:t>
            </w:r>
            <w:r>
              <w:rPr>
                <w:rFonts w:ascii="Calibri"/>
                <w:spacing w:val="-6"/>
                <w:sz w:val="18"/>
              </w:rPr>
              <w:t> </w:t>
            </w:r>
            <w:r>
              <w:rPr>
                <w:rFonts w:ascii="Calibri"/>
                <w:sz w:val="18"/>
              </w:rPr>
              <w:t>Hietbrink</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hAnsi="Calibri"/>
                <w:sz w:val="18"/>
              </w:rPr>
              <w:t>Paula</w:t>
            </w:r>
            <w:r>
              <w:rPr>
                <w:rFonts w:ascii="Calibri" w:hAnsi="Calibri"/>
                <w:spacing w:val="-6"/>
                <w:sz w:val="18"/>
              </w:rPr>
              <w:t> </w:t>
            </w:r>
            <w:r>
              <w:rPr>
                <w:rFonts w:ascii="Calibri" w:hAnsi="Calibri"/>
                <w:sz w:val="18"/>
              </w:rPr>
              <w:t>Castaño</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Zeno</w:t>
            </w:r>
            <w:r>
              <w:rPr>
                <w:rFonts w:ascii="Calibri"/>
                <w:spacing w:val="-7"/>
                <w:sz w:val="18"/>
              </w:rPr>
              <w:t> </w:t>
            </w:r>
            <w:r>
              <w:rPr>
                <w:rFonts w:ascii="Calibri"/>
                <w:sz w:val="18"/>
              </w:rPr>
              <w:t>Ciskens</w:t>
            </w:r>
          </w:p>
        </w:tc>
      </w:tr>
      <w:tr>
        <w:trPr>
          <w:trHeight w:val="243"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Edward</w:t>
            </w:r>
            <w:r>
              <w:rPr>
                <w:rFonts w:ascii="Calibri"/>
                <w:spacing w:val="-8"/>
                <w:sz w:val="18"/>
              </w:rPr>
              <w:t> </w:t>
            </w:r>
            <w:r>
              <w:rPr>
                <w:rFonts w:ascii="Calibri"/>
                <w:sz w:val="18"/>
              </w:rPr>
              <w:t>Heerenveen</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Korra</w:t>
            </w:r>
            <w:r>
              <w:rPr>
                <w:rFonts w:ascii="Calibri"/>
                <w:spacing w:val="-7"/>
                <w:sz w:val="18"/>
              </w:rPr>
              <w:t> </w:t>
            </w:r>
            <w:r>
              <w:rPr>
                <w:rFonts w:ascii="Calibri"/>
                <w:sz w:val="18"/>
              </w:rPr>
              <w:t>Pietersz-Juliana</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Peggy</w:t>
            </w:r>
            <w:r>
              <w:rPr>
                <w:rFonts w:ascii="Calibri"/>
                <w:spacing w:val="-5"/>
                <w:sz w:val="18"/>
              </w:rPr>
              <w:t> </w:t>
            </w:r>
            <w:r>
              <w:rPr>
                <w:rFonts w:ascii="Calibri"/>
                <w:sz w:val="18"/>
              </w:rPr>
              <w:t>Croes</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Zulaika</w:t>
            </w:r>
            <w:r>
              <w:rPr>
                <w:rFonts w:ascii="Calibri"/>
                <w:spacing w:val="-5"/>
                <w:sz w:val="18"/>
              </w:rPr>
              <w:t> </w:t>
            </w:r>
            <w:r>
              <w:rPr>
                <w:rFonts w:ascii="Calibri"/>
                <w:sz w:val="18"/>
              </w:rPr>
              <w:t>Mook</w:t>
            </w:r>
          </w:p>
        </w:tc>
      </w:tr>
      <w:tr>
        <w:trPr>
          <w:trHeight w:val="247"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Evita</w:t>
            </w:r>
            <w:r>
              <w:rPr>
                <w:rFonts w:ascii="Calibri"/>
                <w:spacing w:val="-3"/>
                <w:sz w:val="18"/>
              </w:rPr>
              <w:t> </w:t>
            </w:r>
            <w:r>
              <w:rPr>
                <w:rFonts w:ascii="Calibri"/>
                <w:sz w:val="18"/>
              </w:rPr>
              <w:t>Nita</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Lara</w:t>
            </w:r>
            <w:r>
              <w:rPr>
                <w:rFonts w:ascii="Calibri"/>
                <w:spacing w:val="-3"/>
                <w:sz w:val="18"/>
              </w:rPr>
              <w:t> </w:t>
            </w:r>
            <w:r>
              <w:rPr>
                <w:rFonts w:ascii="Calibri"/>
                <w:sz w:val="18"/>
              </w:rPr>
              <w:t>Soetekouw</w:t>
            </w:r>
          </w:p>
        </w:tc>
        <w:tc>
          <w:tcPr>
            <w:tcW w:w="2691" w:type="dxa"/>
            <w:tcBorders>
              <w:top w:val="nil" w:sz="6" w:space="0" w:color="auto"/>
              <w:left w:val="nil" w:sz="6" w:space="0" w:color="auto"/>
              <w:bottom w:val="nil" w:sz="6" w:space="0" w:color="auto"/>
              <w:right w:val="nil" w:sz="6" w:space="0" w:color="auto"/>
            </w:tcBorders>
          </w:tcPr>
          <w:p>
            <w:pPr>
              <w:pStyle w:val="TableParagraph"/>
              <w:spacing w:line="215" w:lineRule="exact"/>
              <w:ind w:left="340" w:right="0"/>
              <w:jc w:val="left"/>
              <w:rPr>
                <w:rFonts w:ascii="Calibri" w:hAnsi="Calibri" w:cs="Calibri" w:eastAsia="Calibri" w:hint="default"/>
                <w:sz w:val="18"/>
                <w:szCs w:val="18"/>
              </w:rPr>
            </w:pPr>
            <w:r>
              <w:rPr>
                <w:rFonts w:ascii="Calibri"/>
                <w:sz w:val="18"/>
              </w:rPr>
              <w:t>Percy</w:t>
            </w:r>
            <w:r>
              <w:rPr>
                <w:rFonts w:ascii="Calibri"/>
                <w:spacing w:val="-5"/>
                <w:sz w:val="18"/>
              </w:rPr>
              <w:t> </w:t>
            </w:r>
            <w:r>
              <w:rPr>
                <w:rFonts w:ascii="Calibri"/>
                <w:sz w:val="18"/>
              </w:rPr>
              <w:t>Pinedo</w:t>
            </w: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Zyta de</w:t>
            </w:r>
            <w:r>
              <w:rPr>
                <w:rFonts w:ascii="Calibri"/>
                <w:spacing w:val="-7"/>
                <w:sz w:val="18"/>
              </w:rPr>
              <w:t> </w:t>
            </w:r>
            <w:r>
              <w:rPr>
                <w:rFonts w:ascii="Calibri"/>
                <w:sz w:val="18"/>
              </w:rPr>
              <w:t>Koeiyers</w:t>
            </w:r>
          </w:p>
        </w:tc>
      </w:tr>
      <w:tr>
        <w:trPr>
          <w:trHeight w:val="247"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9" w:lineRule="exact"/>
              <w:ind w:left="200" w:right="0"/>
              <w:jc w:val="left"/>
              <w:rPr>
                <w:rFonts w:ascii="Calibri" w:hAnsi="Calibri" w:cs="Calibri" w:eastAsia="Calibri" w:hint="default"/>
                <w:sz w:val="18"/>
                <w:szCs w:val="18"/>
              </w:rPr>
            </w:pPr>
            <w:r>
              <w:rPr>
                <w:rFonts w:ascii="Calibri"/>
                <w:sz w:val="18"/>
              </w:rPr>
              <w:t>Haitham</w:t>
            </w:r>
            <w:r>
              <w:rPr>
                <w:rFonts w:ascii="Calibri"/>
                <w:spacing w:val="-4"/>
                <w:sz w:val="18"/>
              </w:rPr>
              <w:t> </w:t>
            </w:r>
            <w:r>
              <w:rPr>
                <w:rFonts w:ascii="Calibri"/>
                <w:sz w:val="18"/>
              </w:rPr>
              <w:t>Metry</w:t>
            </w:r>
          </w:p>
        </w:tc>
        <w:tc>
          <w:tcPr>
            <w:tcW w:w="2184" w:type="dxa"/>
            <w:tcBorders>
              <w:top w:val="nil" w:sz="6" w:space="0" w:color="auto"/>
              <w:left w:val="nil" w:sz="6" w:space="0" w:color="auto"/>
              <w:bottom w:val="nil" w:sz="6" w:space="0" w:color="auto"/>
              <w:right w:val="nil" w:sz="6" w:space="0" w:color="auto"/>
            </w:tcBorders>
          </w:tcPr>
          <w:p>
            <w:pPr>
              <w:pStyle w:val="TableParagraph"/>
              <w:spacing w:line="219" w:lineRule="exact"/>
              <w:ind w:left="268" w:right="0"/>
              <w:jc w:val="left"/>
              <w:rPr>
                <w:rFonts w:ascii="Calibri" w:hAnsi="Calibri" w:cs="Calibri" w:eastAsia="Calibri" w:hint="default"/>
                <w:sz w:val="18"/>
                <w:szCs w:val="18"/>
              </w:rPr>
            </w:pPr>
            <w:r>
              <w:rPr>
                <w:rFonts w:ascii="Calibri"/>
                <w:sz w:val="18"/>
              </w:rPr>
              <w:t>Rogier van der</w:t>
            </w:r>
            <w:r>
              <w:rPr>
                <w:rFonts w:ascii="Calibri"/>
                <w:spacing w:val="-7"/>
                <w:sz w:val="18"/>
              </w:rPr>
              <w:t> </w:t>
            </w:r>
            <w:r>
              <w:rPr>
                <w:rFonts w:ascii="Calibri"/>
                <w:sz w:val="18"/>
              </w:rPr>
              <w:t>Meer</w:t>
            </w:r>
          </w:p>
        </w:tc>
        <w:tc>
          <w:tcPr>
            <w:tcW w:w="2691" w:type="dxa"/>
            <w:tcBorders>
              <w:top w:val="nil" w:sz="6" w:space="0" w:color="auto"/>
              <w:left w:val="nil" w:sz="6" w:space="0" w:color="auto"/>
              <w:bottom w:val="nil" w:sz="6" w:space="0" w:color="auto"/>
              <w:right w:val="nil" w:sz="6" w:space="0" w:color="auto"/>
            </w:tcBorders>
          </w:tcPr>
          <w:p>
            <w:pPr>
              <w:pStyle w:val="TableParagraph"/>
              <w:spacing w:line="219" w:lineRule="exact"/>
              <w:ind w:left="340" w:right="0"/>
              <w:jc w:val="left"/>
              <w:rPr>
                <w:rFonts w:ascii="Calibri" w:hAnsi="Calibri" w:cs="Calibri" w:eastAsia="Calibri" w:hint="default"/>
                <w:sz w:val="18"/>
                <w:szCs w:val="18"/>
              </w:rPr>
            </w:pPr>
            <w:r>
              <w:rPr>
                <w:rFonts w:ascii="Calibri"/>
                <w:sz w:val="18"/>
              </w:rPr>
              <w:t>Phillippe</w:t>
            </w:r>
            <w:r>
              <w:rPr>
                <w:rFonts w:ascii="Calibri"/>
                <w:spacing w:val="-9"/>
                <w:sz w:val="18"/>
              </w:rPr>
              <w:t> </w:t>
            </w:r>
            <w:r>
              <w:rPr>
                <w:rFonts w:ascii="Calibri"/>
                <w:sz w:val="18"/>
              </w:rPr>
              <w:t>Eversdijk</w:t>
            </w:r>
          </w:p>
        </w:tc>
        <w:tc>
          <w:tcPr>
            <w:tcW w:w="1906" w:type="dxa"/>
            <w:tcBorders>
              <w:top w:val="nil" w:sz="6" w:space="0" w:color="auto"/>
              <w:left w:val="nil" w:sz="6" w:space="0" w:color="auto"/>
              <w:bottom w:val="nil" w:sz="6" w:space="0" w:color="auto"/>
              <w:right w:val="nil" w:sz="6" w:space="0" w:color="auto"/>
            </w:tcBorders>
          </w:tcPr>
          <w:p>
            <w:pPr>
              <w:pStyle w:val="TableParagraph"/>
              <w:spacing w:line="219" w:lineRule="exact"/>
              <w:ind w:left="309" w:right="0"/>
              <w:jc w:val="left"/>
              <w:rPr>
                <w:rFonts w:ascii="Calibri" w:hAnsi="Calibri" w:cs="Calibri" w:eastAsia="Calibri" w:hint="default"/>
                <w:sz w:val="18"/>
                <w:szCs w:val="18"/>
              </w:rPr>
            </w:pPr>
            <w:r>
              <w:rPr>
                <w:rFonts w:ascii="Calibri"/>
                <w:sz w:val="18"/>
              </w:rPr>
              <w:t>Steven</w:t>
            </w:r>
            <w:r>
              <w:rPr>
                <w:rFonts w:ascii="Calibri"/>
                <w:spacing w:val="-9"/>
                <w:sz w:val="18"/>
              </w:rPr>
              <w:t> </w:t>
            </w:r>
            <w:r>
              <w:rPr>
                <w:rFonts w:ascii="Calibri"/>
                <w:sz w:val="18"/>
              </w:rPr>
              <w:t>Damiana</w:t>
            </w:r>
          </w:p>
        </w:tc>
      </w:tr>
      <w:tr>
        <w:trPr>
          <w:trHeight w:val="211" w:hRule="exact"/>
        </w:trPr>
        <w:tc>
          <w:tcPr>
            <w:tcW w:w="2231" w:type="dxa"/>
            <w:tcBorders>
              <w:top w:val="nil" w:sz="6" w:space="0" w:color="auto"/>
              <w:left w:val="nil" w:sz="6" w:space="0" w:color="auto"/>
              <w:bottom w:val="nil" w:sz="6" w:space="0" w:color="auto"/>
              <w:right w:val="nil" w:sz="6" w:space="0" w:color="auto"/>
            </w:tcBorders>
          </w:tcPr>
          <w:p>
            <w:pPr>
              <w:pStyle w:val="TableParagraph"/>
              <w:spacing w:line="215" w:lineRule="exact"/>
              <w:ind w:left="200" w:right="0"/>
              <w:jc w:val="left"/>
              <w:rPr>
                <w:rFonts w:ascii="Calibri" w:hAnsi="Calibri" w:cs="Calibri" w:eastAsia="Calibri" w:hint="default"/>
                <w:sz w:val="18"/>
                <w:szCs w:val="18"/>
              </w:rPr>
            </w:pPr>
            <w:r>
              <w:rPr>
                <w:rFonts w:ascii="Calibri"/>
                <w:sz w:val="18"/>
              </w:rPr>
              <w:t>Doreen</w:t>
            </w:r>
            <w:r>
              <w:rPr>
                <w:rFonts w:ascii="Calibri"/>
                <w:spacing w:val="-8"/>
                <w:sz w:val="18"/>
              </w:rPr>
              <w:t> </w:t>
            </w:r>
            <w:r>
              <w:rPr>
                <w:rFonts w:ascii="Calibri"/>
                <w:sz w:val="18"/>
              </w:rPr>
              <w:t>Wilson</w:t>
            </w:r>
          </w:p>
        </w:tc>
        <w:tc>
          <w:tcPr>
            <w:tcW w:w="2184" w:type="dxa"/>
            <w:tcBorders>
              <w:top w:val="nil" w:sz="6" w:space="0" w:color="auto"/>
              <w:left w:val="nil" w:sz="6" w:space="0" w:color="auto"/>
              <w:bottom w:val="nil" w:sz="6" w:space="0" w:color="auto"/>
              <w:right w:val="nil" w:sz="6" w:space="0" w:color="auto"/>
            </w:tcBorders>
          </w:tcPr>
          <w:p>
            <w:pPr>
              <w:pStyle w:val="TableParagraph"/>
              <w:spacing w:line="215" w:lineRule="exact"/>
              <w:ind w:left="268" w:right="0"/>
              <w:jc w:val="left"/>
              <w:rPr>
                <w:rFonts w:ascii="Calibri" w:hAnsi="Calibri" w:cs="Calibri" w:eastAsia="Calibri" w:hint="default"/>
                <w:sz w:val="18"/>
                <w:szCs w:val="18"/>
              </w:rPr>
            </w:pPr>
            <w:r>
              <w:rPr>
                <w:rFonts w:ascii="Calibri"/>
                <w:sz w:val="18"/>
              </w:rPr>
              <w:t>Raynel</w:t>
            </w:r>
            <w:r>
              <w:rPr>
                <w:rFonts w:ascii="Calibri"/>
                <w:spacing w:val="-5"/>
                <w:sz w:val="18"/>
              </w:rPr>
              <w:t> </w:t>
            </w:r>
            <w:r>
              <w:rPr>
                <w:rFonts w:ascii="Calibri"/>
                <w:sz w:val="18"/>
              </w:rPr>
              <w:t>Martis</w:t>
            </w:r>
          </w:p>
        </w:tc>
        <w:tc>
          <w:tcPr>
            <w:tcW w:w="2691" w:type="dxa"/>
            <w:tcBorders>
              <w:top w:val="nil" w:sz="6" w:space="0" w:color="auto"/>
              <w:left w:val="nil" w:sz="6" w:space="0" w:color="auto"/>
              <w:bottom w:val="nil" w:sz="6" w:space="0" w:color="auto"/>
              <w:right w:val="nil" w:sz="6" w:space="0" w:color="auto"/>
            </w:tcBorders>
          </w:tcPr>
          <w:p>
            <w:pPr/>
          </w:p>
        </w:tc>
        <w:tc>
          <w:tcPr>
            <w:tcW w:w="1906" w:type="dxa"/>
            <w:tcBorders>
              <w:top w:val="nil" w:sz="6" w:space="0" w:color="auto"/>
              <w:left w:val="nil" w:sz="6" w:space="0" w:color="auto"/>
              <w:bottom w:val="nil" w:sz="6" w:space="0" w:color="auto"/>
              <w:right w:val="nil" w:sz="6" w:space="0" w:color="auto"/>
            </w:tcBorders>
          </w:tcPr>
          <w:p>
            <w:pPr>
              <w:pStyle w:val="TableParagraph"/>
              <w:spacing w:line="215" w:lineRule="exact"/>
              <w:ind w:left="309" w:right="0"/>
              <w:jc w:val="left"/>
              <w:rPr>
                <w:rFonts w:ascii="Calibri" w:hAnsi="Calibri" w:cs="Calibri" w:eastAsia="Calibri" w:hint="default"/>
                <w:sz w:val="18"/>
                <w:szCs w:val="18"/>
              </w:rPr>
            </w:pPr>
            <w:r>
              <w:rPr>
                <w:rFonts w:ascii="Calibri"/>
                <w:sz w:val="18"/>
              </w:rPr>
              <w:t>Glen</w:t>
            </w:r>
            <w:r>
              <w:rPr>
                <w:rFonts w:ascii="Calibri"/>
                <w:spacing w:val="-3"/>
                <w:sz w:val="18"/>
              </w:rPr>
              <w:t> </w:t>
            </w:r>
            <w:r>
              <w:rPr>
                <w:rFonts w:ascii="Calibri"/>
                <w:sz w:val="18"/>
              </w:rPr>
              <w:t>Garcia</w:t>
            </w:r>
          </w:p>
        </w:tc>
      </w:tr>
    </w:tbl>
    <w:p>
      <w:pPr>
        <w:spacing w:after="0" w:line="215" w:lineRule="exact"/>
        <w:jc w:val="left"/>
        <w:rPr>
          <w:rFonts w:ascii="Calibri" w:hAnsi="Calibri" w:cs="Calibri" w:eastAsia="Calibri" w:hint="default"/>
          <w:sz w:val="18"/>
          <w:szCs w:val="18"/>
        </w:rPr>
        <w:sectPr>
          <w:footerReference w:type="default" r:id="rId97"/>
          <w:pgSz w:w="12240" w:h="15840"/>
          <w:pgMar w:footer="534" w:header="0" w:top="840" w:bottom="720" w:left="0" w:right="0"/>
        </w:sectPr>
      </w:pPr>
    </w:p>
    <w:p>
      <w:pPr>
        <w:spacing w:line="240" w:lineRule="auto" w:before="0"/>
        <w:ind w:right="0"/>
        <w:rPr>
          <w:rFonts w:ascii="Calibri" w:hAnsi="Calibri" w:cs="Calibri" w:eastAsia="Calibri" w:hint="default"/>
          <w:b/>
          <w:bCs/>
          <w:sz w:val="20"/>
          <w:szCs w:val="20"/>
        </w:rPr>
      </w:pPr>
      <w:r>
        <w:rPr/>
        <w:pict>
          <v:shape style="position:absolute;margin-left:.84pt;margin-top:0pt;width:611.16pt;height:42.72pt;mso-position-horizontal-relative:page;mso-position-vertical-relative:page;z-index:3520" type="#_x0000_t75" stroked="false">
            <v:imagedata r:id="rId5" o:title=""/>
          </v:shape>
        </w:pict>
      </w: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before="190"/>
        <w:ind w:left="25" w:right="26" w:firstLine="0"/>
        <w:jc w:val="center"/>
        <w:rPr>
          <w:rFonts w:ascii="Calibri" w:hAnsi="Calibri" w:cs="Calibri" w:eastAsia="Calibri" w:hint="default"/>
          <w:sz w:val="40"/>
          <w:szCs w:val="40"/>
        </w:rPr>
      </w:pPr>
      <w:bookmarkStart w:name="_bookmark178" w:id="179"/>
      <w:bookmarkEnd w:id="179"/>
      <w:r>
        <w:rPr/>
      </w:r>
      <w:r>
        <w:rPr>
          <w:rFonts w:ascii="Calibri"/>
          <w:b/>
          <w:sz w:val="40"/>
        </w:rPr>
        <w:t>ANNEX B:</w:t>
      </w:r>
      <w:r>
        <w:rPr>
          <w:rFonts w:ascii="Calibri"/>
          <w:b/>
          <w:spacing w:val="-6"/>
          <w:sz w:val="40"/>
        </w:rPr>
        <w:t> </w:t>
      </w:r>
      <w:r>
        <w:rPr>
          <w:rFonts w:ascii="Calibri"/>
          <w:b/>
          <w:sz w:val="40"/>
        </w:rPr>
        <w:t>SURVEY</w:t>
      </w:r>
      <w:r>
        <w:rPr>
          <w:rFonts w:ascii="Calibri"/>
          <w:sz w:val="40"/>
        </w:rPr>
      </w: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10"/>
        <w:ind w:right="0"/>
        <w:rPr>
          <w:rFonts w:ascii="Calibri" w:hAnsi="Calibri" w:cs="Calibri" w:eastAsia="Calibri" w:hint="default"/>
          <w:b/>
          <w:bCs/>
          <w:sz w:val="26"/>
          <w:szCs w:val="26"/>
        </w:rPr>
      </w:pPr>
    </w:p>
    <w:p>
      <w:pPr>
        <w:spacing w:line="112" w:lineRule="exact" w:before="0"/>
        <w:ind w:left="0" w:right="1435" w:firstLine="0"/>
        <w:jc w:val="right"/>
        <w:rPr>
          <w:rFonts w:ascii="Calibri" w:hAnsi="Calibri" w:cs="Calibri" w:eastAsia="Calibri" w:hint="default"/>
          <w:sz w:val="24"/>
          <w:szCs w:val="24"/>
        </w:rPr>
      </w:pPr>
      <w:r>
        <w:rPr>
          <w:rFonts w:ascii="Calibri"/>
          <w:b/>
          <w:i/>
          <w:color w:val="FFFFFF"/>
          <w:sz w:val="24"/>
        </w:rPr>
        <w:t>Page |</w:t>
      </w:r>
      <w:r>
        <w:rPr>
          <w:rFonts w:ascii="Calibri"/>
          <w:b/>
          <w:i/>
          <w:color w:val="FFFFFF"/>
          <w:spacing w:val="-3"/>
          <w:sz w:val="24"/>
        </w:rPr>
        <w:t> </w:t>
      </w:r>
      <w:r>
        <w:rPr>
          <w:rFonts w:ascii="Calibri"/>
          <w:b/>
          <w:i/>
          <w:color w:val="FFFFFF"/>
          <w:sz w:val="24"/>
        </w:rPr>
        <w:t>B</w:t>
      </w:r>
      <w:r>
        <w:rPr>
          <w:rFonts w:ascii="Calibri"/>
          <w:sz w:val="24"/>
        </w:rPr>
      </w:r>
    </w:p>
    <w:p>
      <w:pPr>
        <w:spacing w:after="0" w:line="112" w:lineRule="exact"/>
        <w:jc w:val="right"/>
        <w:rPr>
          <w:rFonts w:ascii="Calibri" w:hAnsi="Calibri" w:cs="Calibri" w:eastAsia="Calibri" w:hint="default"/>
          <w:sz w:val="24"/>
          <w:szCs w:val="24"/>
        </w:rPr>
        <w:sectPr>
          <w:headerReference w:type="default" r:id="rId98"/>
          <w:footerReference w:type="default" r:id="rId99"/>
          <w:pgSz w:w="12240" w:h="15840"/>
          <w:pgMar w:header="0" w:footer="534" w:top="0" w:bottom="720" w:left="0" w:right="0"/>
        </w:sectPr>
      </w:pPr>
    </w:p>
    <w:p>
      <w:pPr>
        <w:spacing w:before="9" w:after="20"/>
        <w:ind w:left="140" w:right="0" w:firstLine="0"/>
        <w:jc w:val="left"/>
        <w:rPr>
          <w:rFonts w:ascii="Calibri" w:hAnsi="Calibri" w:cs="Calibri" w:eastAsia="Calibri" w:hint="default"/>
          <w:sz w:val="22"/>
          <w:szCs w:val="22"/>
        </w:rPr>
      </w:pPr>
      <w:r>
        <w:rPr>
          <w:rFonts w:ascii="Calibri"/>
          <w:b/>
          <w:sz w:val="22"/>
        </w:rPr>
        <w:t>SECTION 1: INFORMATION ABOUT YOUR</w:t>
      </w:r>
      <w:r>
        <w:rPr>
          <w:rFonts w:ascii="Calibri"/>
          <w:b/>
          <w:spacing w:val="-13"/>
          <w:sz w:val="22"/>
        </w:rPr>
        <w:t> </w:t>
      </w:r>
      <w:r>
        <w:rPr>
          <w:rFonts w:ascii="Calibri"/>
          <w:b/>
          <w:sz w:val="22"/>
        </w:rPr>
        <w:t>TRIP</w:t>
      </w:r>
      <w:r>
        <w:rPr>
          <w:rFonts w:ascii="Calibri"/>
          <w:sz w:val="22"/>
        </w:rPr>
      </w:r>
    </w:p>
    <w:p>
      <w:pPr>
        <w:spacing w:line="20" w:lineRule="exact"/>
        <w:ind w:left="105" w:right="0" w:firstLine="0"/>
        <w:rPr>
          <w:rFonts w:ascii="Calibri" w:hAnsi="Calibri" w:cs="Calibri" w:eastAsia="Calibri" w:hint="default"/>
          <w:sz w:val="2"/>
          <w:szCs w:val="2"/>
        </w:rPr>
      </w:pPr>
      <w:r>
        <w:rPr>
          <w:rFonts w:ascii="Calibri" w:hAnsi="Calibri" w:cs="Calibri" w:eastAsia="Calibri" w:hint="default"/>
          <w:sz w:val="2"/>
          <w:szCs w:val="2"/>
        </w:rPr>
        <w:pict>
          <v:group style="width:576pt;height:.5pt;mso-position-horizontal-relative:char;mso-position-vertical-relative:line" coordorigin="0,0" coordsize="11520,10">
            <v:group style="position:absolute;left:5;top:5;width:11510;height:2" coordorigin="5,5" coordsize="11510,2">
              <v:shape style="position:absolute;left:5;top:5;width:11510;height:2" coordorigin="5,5" coordsize="11510,0" path="m5,5l11514,5e" filled="false" stroked="true" strokeweight=".48pt" strokecolor="#000000">
                <v:path arrowok="t"/>
              </v:shape>
            </v:group>
          </v:group>
        </w:pict>
      </w:r>
      <w:r>
        <w:rPr>
          <w:rFonts w:ascii="Calibri" w:hAnsi="Calibri" w:cs="Calibri" w:eastAsia="Calibri" w:hint="default"/>
          <w:sz w:val="2"/>
          <w:szCs w:val="2"/>
        </w:rPr>
      </w:r>
    </w:p>
    <w:p>
      <w:pPr>
        <w:spacing w:line="240" w:lineRule="auto" w:before="7"/>
        <w:ind w:right="0"/>
        <w:rPr>
          <w:rFonts w:ascii="Calibri" w:hAnsi="Calibri" w:cs="Calibri" w:eastAsia="Calibri" w:hint="default"/>
          <w:b/>
          <w:bCs/>
          <w:sz w:val="16"/>
          <w:szCs w:val="16"/>
        </w:rPr>
      </w:pPr>
    </w:p>
    <w:p>
      <w:pPr>
        <w:pStyle w:val="ListParagraph"/>
        <w:numPr>
          <w:ilvl w:val="0"/>
          <w:numId w:val="22"/>
        </w:numPr>
        <w:tabs>
          <w:tab w:pos="612" w:val="left" w:leader="none"/>
        </w:tabs>
        <w:spacing w:line="240" w:lineRule="auto" w:before="55" w:after="36"/>
        <w:ind w:left="468" w:right="0" w:hanging="76"/>
        <w:jc w:val="left"/>
        <w:rPr>
          <w:rFonts w:ascii="Calibri" w:hAnsi="Calibri" w:cs="Calibri" w:eastAsia="Calibri" w:hint="default"/>
          <w:sz w:val="22"/>
          <w:szCs w:val="22"/>
        </w:rPr>
      </w:pPr>
      <w:r>
        <w:rPr>
          <w:rFonts w:ascii="Calibri" w:hAnsi="Calibri"/>
          <w:b/>
          <w:sz w:val="22"/>
        </w:rPr>
        <w:t>Have you been to Curaçao</w:t>
      </w:r>
      <w:r>
        <w:rPr>
          <w:rFonts w:ascii="Calibri" w:hAnsi="Calibri"/>
          <w:b/>
          <w:spacing w:val="-7"/>
          <w:sz w:val="22"/>
        </w:rPr>
        <w:t> </w:t>
      </w:r>
      <w:r>
        <w:rPr>
          <w:rFonts w:ascii="Calibri" w:hAnsi="Calibri"/>
          <w:b/>
          <w:sz w:val="22"/>
        </w:rPr>
        <w:t>before?</w:t>
      </w:r>
      <w:r>
        <w:rPr>
          <w:rFonts w:ascii="Calibri" w:hAnsi="Calibri"/>
          <w:sz w:val="22"/>
        </w:rPr>
      </w:r>
    </w:p>
    <w:tbl>
      <w:tblPr>
        <w:tblW w:w="0" w:type="auto"/>
        <w:jc w:val="left"/>
        <w:tblInd w:w="357" w:type="dxa"/>
        <w:tblLayout w:type="fixed"/>
        <w:tblCellMar>
          <w:top w:w="0" w:type="dxa"/>
          <w:left w:w="0" w:type="dxa"/>
          <w:bottom w:w="0" w:type="dxa"/>
          <w:right w:w="0" w:type="dxa"/>
        </w:tblCellMar>
        <w:tblLook w:val="01E0"/>
      </w:tblPr>
      <w:tblGrid>
        <w:gridCol w:w="322"/>
        <w:gridCol w:w="540"/>
        <w:gridCol w:w="456"/>
        <w:gridCol w:w="6498"/>
        <w:gridCol w:w="724"/>
        <w:gridCol w:w="646"/>
        <w:gridCol w:w="444"/>
      </w:tblGrid>
      <w:tr>
        <w:trPr>
          <w:trHeight w:val="565"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184" w:lineRule="exact"/>
              <w:ind w:left="35" w:right="0"/>
              <w:jc w:val="left"/>
              <w:rPr>
                <w:rFonts w:ascii="Calibri" w:hAnsi="Calibri" w:cs="Calibri" w:eastAsia="Calibri" w:hint="default"/>
                <w:sz w:val="18"/>
                <w:szCs w:val="18"/>
              </w:rPr>
            </w:pPr>
            <w:r>
              <w:rPr>
                <w:rFonts w:ascii="Calibri" w:hAnsi="Calibri" w:cs="Calibri" w:eastAsia="Calibri" w:hint="default"/>
                <w:sz w:val="18"/>
                <w:szCs w:val="18"/>
              </w:rPr>
              <w:t>⃝</w:t>
            </w:r>
          </w:p>
          <w:p>
            <w:pPr>
              <w:pStyle w:val="TableParagraph"/>
              <w:spacing w:line="240" w:lineRule="auto" w:before="68"/>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540" w:type="dxa"/>
            <w:tcBorders>
              <w:top w:val="nil" w:sz="6" w:space="0" w:color="auto"/>
              <w:left w:val="nil" w:sz="6" w:space="0" w:color="auto"/>
              <w:bottom w:val="nil" w:sz="6" w:space="0" w:color="auto"/>
              <w:right w:val="nil" w:sz="6" w:space="0" w:color="auto"/>
            </w:tcBorders>
          </w:tcPr>
          <w:p>
            <w:pPr>
              <w:pStyle w:val="TableParagraph"/>
              <w:spacing w:line="241" w:lineRule="exact"/>
              <w:ind w:left="108" w:right="0"/>
              <w:jc w:val="left"/>
              <w:rPr>
                <w:rFonts w:ascii="Calibri" w:hAnsi="Calibri" w:cs="Calibri" w:eastAsia="Calibri" w:hint="default"/>
                <w:sz w:val="22"/>
                <w:szCs w:val="22"/>
              </w:rPr>
            </w:pPr>
            <w:r>
              <w:rPr>
                <w:rFonts w:ascii="Calibri"/>
                <w:sz w:val="22"/>
              </w:rPr>
              <w:t>No</w:t>
            </w:r>
          </w:p>
          <w:p>
            <w:pPr>
              <w:pStyle w:val="TableParagraph"/>
              <w:spacing w:line="240" w:lineRule="auto" w:before="20"/>
              <w:ind w:left="108" w:right="0"/>
              <w:jc w:val="left"/>
              <w:rPr>
                <w:rFonts w:ascii="Calibri" w:hAnsi="Calibri" w:cs="Calibri" w:eastAsia="Calibri" w:hint="default"/>
                <w:sz w:val="22"/>
                <w:szCs w:val="22"/>
              </w:rPr>
            </w:pPr>
            <w:r>
              <w:rPr>
                <w:rFonts w:ascii="Calibri"/>
                <w:sz w:val="22"/>
              </w:rPr>
              <w:t>Yes</w:t>
            </w:r>
          </w:p>
        </w:tc>
        <w:tc>
          <w:tcPr>
            <w:tcW w:w="456" w:type="dxa"/>
            <w:tcBorders>
              <w:top w:val="nil" w:sz="6" w:space="0" w:color="auto"/>
              <w:left w:val="nil" w:sz="6" w:space="0" w:color="auto"/>
              <w:bottom w:val="nil" w:sz="6" w:space="0" w:color="auto"/>
              <w:right w:val="nil" w:sz="6" w:space="0" w:color="auto"/>
            </w:tcBorders>
          </w:tcPr>
          <w:p>
            <w:pPr>
              <w:pStyle w:val="TableParagraph"/>
              <w:spacing w:line="241" w:lineRule="exact"/>
              <w:ind w:left="129" w:right="0"/>
              <w:jc w:val="left"/>
              <w:rPr>
                <w:rFonts w:ascii="Calibri" w:hAnsi="Calibri" w:cs="Calibri" w:eastAsia="Calibri" w:hint="default"/>
                <w:sz w:val="22"/>
                <w:szCs w:val="22"/>
              </w:rPr>
            </w:pPr>
            <w:r>
              <w:rPr>
                <w:rFonts w:ascii="Calibri" w:hAnsi="Calibri" w:cs="Calibri" w:eastAsia="Calibri" w:hint="default"/>
                <w:sz w:val="22"/>
                <w:szCs w:val="22"/>
              </w:rPr>
              <w:t>→</w:t>
            </w:r>
          </w:p>
          <w:p>
            <w:pPr>
              <w:pStyle w:val="TableParagraph"/>
              <w:spacing w:line="240" w:lineRule="auto" w:before="20"/>
              <w:ind w:left="129" w:right="0"/>
              <w:jc w:val="left"/>
              <w:rPr>
                <w:rFonts w:ascii="Calibri" w:hAnsi="Calibri" w:cs="Calibri" w:eastAsia="Calibri" w:hint="default"/>
                <w:sz w:val="22"/>
                <w:szCs w:val="22"/>
              </w:rPr>
            </w:pPr>
            <w:r>
              <w:rPr>
                <w:rFonts w:ascii="Calibri" w:hAnsi="Calibri" w:cs="Calibri" w:eastAsia="Calibri" w:hint="default"/>
                <w:sz w:val="22"/>
                <w:szCs w:val="22"/>
              </w:rPr>
              <w:t>→</w:t>
            </w:r>
          </w:p>
        </w:tc>
        <w:tc>
          <w:tcPr>
            <w:tcW w:w="6498" w:type="dxa"/>
            <w:tcBorders>
              <w:top w:val="nil" w:sz="6" w:space="0" w:color="auto"/>
              <w:left w:val="nil" w:sz="6" w:space="0" w:color="auto"/>
              <w:bottom w:val="nil" w:sz="6" w:space="0" w:color="auto"/>
              <w:right w:val="nil" w:sz="6" w:space="0" w:color="auto"/>
            </w:tcBorders>
          </w:tcPr>
          <w:p>
            <w:pPr>
              <w:pStyle w:val="TableParagraph"/>
              <w:spacing w:line="241" w:lineRule="exact"/>
              <w:ind w:left="127" w:right="0"/>
              <w:jc w:val="left"/>
              <w:rPr>
                <w:rFonts w:ascii="Calibri" w:hAnsi="Calibri" w:cs="Calibri" w:eastAsia="Calibri" w:hint="default"/>
                <w:sz w:val="22"/>
                <w:szCs w:val="22"/>
              </w:rPr>
            </w:pPr>
            <w:r>
              <w:rPr>
                <w:rFonts w:ascii="Calibri"/>
                <w:sz w:val="22"/>
              </w:rPr>
              <w:t>If No, go to question</w:t>
            </w:r>
            <w:r>
              <w:rPr>
                <w:rFonts w:ascii="Calibri"/>
                <w:spacing w:val="-13"/>
                <w:sz w:val="22"/>
              </w:rPr>
              <w:t> </w:t>
            </w:r>
            <w:r>
              <w:rPr>
                <w:rFonts w:ascii="Calibri"/>
                <w:sz w:val="22"/>
              </w:rPr>
              <w:t>#2</w:t>
            </w:r>
          </w:p>
          <w:p>
            <w:pPr>
              <w:pStyle w:val="TableParagraph"/>
              <w:tabs>
                <w:tab w:pos="4109" w:val="left" w:leader="none"/>
                <w:tab w:pos="4820" w:val="left" w:leader="none"/>
              </w:tabs>
              <w:spacing w:line="240" w:lineRule="auto" w:before="20"/>
              <w:ind w:left="127" w:right="0"/>
              <w:jc w:val="left"/>
              <w:rPr>
                <w:rFonts w:ascii="Calibri" w:hAnsi="Calibri" w:cs="Calibri" w:eastAsia="Calibri" w:hint="default"/>
                <w:sz w:val="22"/>
                <w:szCs w:val="22"/>
              </w:rPr>
            </w:pPr>
            <w:r>
              <w:rPr>
                <w:rFonts w:ascii="Calibri"/>
                <w:sz w:val="22"/>
              </w:rPr>
              <w:t>If Yes, how many times in the last</w:t>
            </w:r>
            <w:r>
              <w:rPr>
                <w:rFonts w:ascii="Calibri"/>
                <w:spacing w:val="-15"/>
                <w:sz w:val="22"/>
              </w:rPr>
              <w:t> </w:t>
            </w:r>
            <w:r>
              <w:rPr>
                <w:rFonts w:ascii="Calibri"/>
                <w:sz w:val="22"/>
              </w:rPr>
              <w:t>5</w:t>
            </w:r>
            <w:r>
              <w:rPr>
                <w:rFonts w:ascii="Calibri"/>
                <w:spacing w:val="-1"/>
                <w:sz w:val="22"/>
              </w:rPr>
              <w:t> </w:t>
            </w:r>
            <w:r>
              <w:rPr>
                <w:rFonts w:ascii="Calibri"/>
                <w:sz w:val="22"/>
              </w:rPr>
              <w:t>years?</w:t>
              <w:tab/>
            </w:r>
            <w:r>
              <w:rPr>
                <w:rFonts w:ascii="Calibri"/>
                <w:sz w:val="22"/>
                <w:u w:val="single" w:color="000000"/>
              </w:rPr>
              <w:t> </w:t>
              <w:tab/>
            </w:r>
            <w:r>
              <w:rPr>
                <w:rFonts w:ascii="Calibri"/>
                <w:sz w:val="22"/>
              </w:rPr>
            </w:r>
            <w:r>
              <w:rPr>
                <w:rFonts w:ascii="Calibri"/>
                <w:b/>
                <w:i/>
                <w:sz w:val="22"/>
              </w:rPr>
              <w:t>(enter</w:t>
            </w:r>
            <w:r>
              <w:rPr>
                <w:rFonts w:ascii="Calibri"/>
                <w:b/>
                <w:i/>
                <w:spacing w:val="-8"/>
                <w:sz w:val="22"/>
              </w:rPr>
              <w:t> </w:t>
            </w:r>
            <w:r>
              <w:rPr>
                <w:rFonts w:ascii="Calibri"/>
                <w:b/>
                <w:i/>
                <w:sz w:val="22"/>
              </w:rPr>
              <w:t>number)</w:t>
            </w:r>
            <w:r>
              <w:rPr>
                <w:rFonts w:ascii="Calibri"/>
                <w:sz w:val="22"/>
              </w:rPr>
            </w:r>
          </w:p>
        </w:tc>
        <w:tc>
          <w:tcPr>
            <w:tcW w:w="1815" w:type="dxa"/>
            <w:gridSpan w:val="3"/>
            <w:tcBorders>
              <w:top w:val="nil" w:sz="6" w:space="0" w:color="auto"/>
              <w:left w:val="nil" w:sz="6" w:space="0" w:color="auto"/>
              <w:bottom w:val="nil" w:sz="6" w:space="0" w:color="auto"/>
              <w:right w:val="nil" w:sz="6" w:space="0" w:color="auto"/>
            </w:tcBorders>
          </w:tcPr>
          <w:p>
            <w:pPr/>
          </w:p>
        </w:tc>
      </w:tr>
      <w:tr>
        <w:trPr>
          <w:trHeight w:val="359" w:hRule="exact"/>
        </w:trPr>
        <w:tc>
          <w:tcPr>
            <w:tcW w:w="322" w:type="dxa"/>
            <w:tcBorders>
              <w:top w:val="nil" w:sz="6" w:space="0" w:color="auto"/>
              <w:left w:val="nil" w:sz="6" w:space="0" w:color="auto"/>
              <w:bottom w:val="nil" w:sz="6" w:space="0" w:color="auto"/>
              <w:right w:val="nil" w:sz="6" w:space="0" w:color="auto"/>
            </w:tcBorders>
          </w:tcPr>
          <w:p>
            <w:pPr/>
          </w:p>
        </w:tc>
        <w:tc>
          <w:tcPr>
            <w:tcW w:w="540" w:type="dxa"/>
            <w:tcBorders>
              <w:top w:val="nil" w:sz="6" w:space="0" w:color="auto"/>
              <w:left w:val="nil" w:sz="6" w:space="0" w:color="auto"/>
              <w:bottom w:val="nil" w:sz="6" w:space="0" w:color="auto"/>
              <w:right w:val="nil" w:sz="6" w:space="0" w:color="auto"/>
            </w:tcBorders>
          </w:tcPr>
          <w:p>
            <w:pPr/>
          </w:p>
        </w:tc>
        <w:tc>
          <w:tcPr>
            <w:tcW w:w="456" w:type="dxa"/>
            <w:tcBorders>
              <w:top w:val="nil" w:sz="6" w:space="0" w:color="auto"/>
              <w:left w:val="nil" w:sz="6" w:space="0" w:color="auto"/>
              <w:bottom w:val="nil" w:sz="6" w:space="0" w:color="auto"/>
              <w:right w:val="nil" w:sz="6" w:space="0" w:color="auto"/>
            </w:tcBorders>
          </w:tcPr>
          <w:p>
            <w:pPr>
              <w:pStyle w:val="TableParagraph"/>
              <w:spacing w:line="263" w:lineRule="exact"/>
              <w:ind w:left="129" w:right="0"/>
              <w:jc w:val="left"/>
              <w:rPr>
                <w:rFonts w:ascii="Calibri" w:hAnsi="Calibri" w:cs="Calibri" w:eastAsia="Calibri" w:hint="default"/>
                <w:sz w:val="22"/>
                <w:szCs w:val="22"/>
              </w:rPr>
            </w:pPr>
            <w:r>
              <w:rPr>
                <w:rFonts w:ascii="Calibri" w:hAnsi="Calibri" w:cs="Calibri" w:eastAsia="Calibri" w:hint="default"/>
                <w:sz w:val="22"/>
                <w:szCs w:val="22"/>
              </w:rPr>
              <w:t>→</w:t>
            </w:r>
          </w:p>
        </w:tc>
        <w:tc>
          <w:tcPr>
            <w:tcW w:w="6498" w:type="dxa"/>
            <w:tcBorders>
              <w:top w:val="nil" w:sz="6" w:space="0" w:color="auto"/>
              <w:left w:val="nil" w:sz="6" w:space="0" w:color="auto"/>
              <w:bottom w:val="nil" w:sz="6" w:space="0" w:color="auto"/>
              <w:right w:val="nil" w:sz="6" w:space="0" w:color="auto"/>
            </w:tcBorders>
          </w:tcPr>
          <w:p>
            <w:pPr>
              <w:pStyle w:val="TableParagraph"/>
              <w:tabs>
                <w:tab w:pos="6210" w:val="left" w:leader="none"/>
              </w:tabs>
              <w:spacing w:line="263" w:lineRule="exact"/>
              <w:ind w:left="127" w:right="0"/>
              <w:jc w:val="left"/>
              <w:rPr>
                <w:rFonts w:ascii="Calibri" w:hAnsi="Calibri" w:cs="Calibri" w:eastAsia="Calibri" w:hint="default"/>
                <w:sz w:val="18"/>
                <w:szCs w:val="18"/>
              </w:rPr>
            </w:pPr>
            <w:r>
              <w:rPr>
                <w:rFonts w:ascii="Calibri" w:hAnsi="Calibri" w:cs="Calibri" w:eastAsia="Calibri" w:hint="default"/>
                <w:sz w:val="22"/>
                <w:szCs w:val="22"/>
              </w:rPr>
              <w:t>Were any of these previous visits to Curaçao from</w:t>
            </w:r>
            <w:r>
              <w:rPr>
                <w:rFonts w:ascii="Calibri" w:hAnsi="Calibri" w:cs="Calibri" w:eastAsia="Calibri" w:hint="default"/>
                <w:spacing w:val="-21"/>
                <w:sz w:val="22"/>
                <w:szCs w:val="22"/>
              </w:rPr>
              <w:t> </w:t>
            </w:r>
            <w:r>
              <w:rPr>
                <w:rFonts w:ascii="Calibri" w:hAnsi="Calibri" w:cs="Calibri" w:eastAsia="Calibri" w:hint="default"/>
                <w:sz w:val="22"/>
                <w:szCs w:val="22"/>
              </w:rPr>
              <w:t>a</w:t>
            </w:r>
            <w:r>
              <w:rPr>
                <w:rFonts w:ascii="Calibri" w:hAnsi="Calibri" w:cs="Calibri" w:eastAsia="Calibri" w:hint="default"/>
                <w:spacing w:val="-3"/>
                <w:sz w:val="22"/>
                <w:szCs w:val="22"/>
              </w:rPr>
              <w:t> </w:t>
            </w:r>
            <w:r>
              <w:rPr>
                <w:rFonts w:ascii="Calibri" w:hAnsi="Calibri" w:cs="Calibri" w:eastAsia="Calibri" w:hint="default"/>
                <w:sz w:val="22"/>
                <w:szCs w:val="22"/>
              </w:rPr>
              <w:t>cruise?</w:t>
              <w:tab/>
            </w:r>
            <w:r>
              <w:rPr>
                <w:rFonts w:ascii="Calibri" w:hAnsi="Calibri" w:cs="Calibri" w:eastAsia="Calibri" w:hint="default"/>
                <w:position w:val="1"/>
                <w:sz w:val="18"/>
                <w:szCs w:val="18"/>
              </w:rPr>
              <w:t>⃝</w:t>
            </w:r>
            <w:r>
              <w:rPr>
                <w:rFonts w:ascii="Calibri" w:hAnsi="Calibri" w:cs="Calibri" w:eastAsia="Calibri" w:hint="default"/>
                <w:sz w:val="18"/>
                <w:szCs w:val="18"/>
              </w:rPr>
            </w:r>
          </w:p>
        </w:tc>
        <w:tc>
          <w:tcPr>
            <w:tcW w:w="724" w:type="dxa"/>
            <w:tcBorders>
              <w:top w:val="nil" w:sz="6" w:space="0" w:color="auto"/>
              <w:left w:val="nil" w:sz="6" w:space="0" w:color="auto"/>
              <w:bottom w:val="nil" w:sz="6" w:space="0" w:color="auto"/>
              <w:right w:val="nil" w:sz="6" w:space="0" w:color="auto"/>
            </w:tcBorders>
          </w:tcPr>
          <w:p>
            <w:pPr>
              <w:pStyle w:val="TableParagraph"/>
              <w:spacing w:line="263" w:lineRule="exact"/>
              <w:ind w:left="107" w:right="0"/>
              <w:jc w:val="left"/>
              <w:rPr>
                <w:rFonts w:ascii="Calibri" w:hAnsi="Calibri" w:cs="Calibri" w:eastAsia="Calibri" w:hint="default"/>
                <w:sz w:val="22"/>
                <w:szCs w:val="22"/>
              </w:rPr>
            </w:pPr>
            <w:r>
              <w:rPr>
                <w:rFonts w:ascii="Calibri"/>
                <w:sz w:val="22"/>
              </w:rPr>
              <w:t>No</w:t>
            </w:r>
          </w:p>
        </w:tc>
        <w:tc>
          <w:tcPr>
            <w:tcW w:w="646" w:type="dxa"/>
            <w:tcBorders>
              <w:top w:val="nil" w:sz="6" w:space="0" w:color="auto"/>
              <w:left w:val="nil" w:sz="6" w:space="0" w:color="auto"/>
              <w:bottom w:val="nil" w:sz="6" w:space="0" w:color="auto"/>
              <w:right w:val="nil" w:sz="6" w:space="0" w:color="auto"/>
            </w:tcBorders>
          </w:tcPr>
          <w:p>
            <w:pPr>
              <w:pStyle w:val="TableParagraph"/>
              <w:spacing w:line="240" w:lineRule="auto" w:before="19"/>
              <w:ind w:left="359"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444" w:type="dxa"/>
            <w:tcBorders>
              <w:top w:val="nil" w:sz="6" w:space="0" w:color="auto"/>
              <w:left w:val="nil" w:sz="6" w:space="0" w:color="auto"/>
              <w:bottom w:val="nil" w:sz="6" w:space="0" w:color="auto"/>
              <w:right w:val="nil" w:sz="6" w:space="0" w:color="auto"/>
            </w:tcBorders>
          </w:tcPr>
          <w:p>
            <w:pPr>
              <w:pStyle w:val="TableParagraph"/>
              <w:spacing w:line="263" w:lineRule="exact"/>
              <w:ind w:left="107" w:right="0"/>
              <w:jc w:val="left"/>
              <w:rPr>
                <w:rFonts w:ascii="Calibri" w:hAnsi="Calibri" w:cs="Calibri" w:eastAsia="Calibri" w:hint="default"/>
                <w:sz w:val="22"/>
                <w:szCs w:val="22"/>
              </w:rPr>
            </w:pPr>
            <w:r>
              <w:rPr>
                <w:rFonts w:ascii="Calibri"/>
                <w:sz w:val="22"/>
              </w:rPr>
              <w:t>Yes</w:t>
            </w:r>
          </w:p>
        </w:tc>
      </w:tr>
    </w:tbl>
    <w:p>
      <w:pPr>
        <w:spacing w:line="240" w:lineRule="auto" w:before="6"/>
        <w:ind w:right="0"/>
        <w:rPr>
          <w:rFonts w:ascii="Calibri" w:hAnsi="Calibri" w:cs="Calibri" w:eastAsia="Calibri" w:hint="default"/>
          <w:b/>
          <w:bCs/>
          <w:sz w:val="10"/>
          <w:szCs w:val="10"/>
        </w:rPr>
      </w:pPr>
    </w:p>
    <w:p>
      <w:pPr>
        <w:pStyle w:val="ListParagraph"/>
        <w:numPr>
          <w:ilvl w:val="0"/>
          <w:numId w:val="22"/>
        </w:numPr>
        <w:tabs>
          <w:tab w:pos="620" w:val="left" w:leader="none"/>
          <w:tab w:pos="4811" w:val="left" w:leader="none"/>
          <w:tab w:pos="6551" w:val="left" w:leader="none"/>
        </w:tabs>
        <w:spacing w:line="240" w:lineRule="auto" w:before="55" w:after="0"/>
        <w:ind w:left="619" w:right="0" w:hanging="220"/>
        <w:jc w:val="left"/>
        <w:rPr>
          <w:rFonts w:ascii="Calibri" w:hAnsi="Calibri" w:cs="Calibri" w:eastAsia="Calibri" w:hint="default"/>
          <w:sz w:val="22"/>
          <w:szCs w:val="22"/>
        </w:rPr>
      </w:pPr>
      <w:r>
        <w:rPr>
          <w:rFonts w:ascii="Calibri" w:hAnsi="Calibri"/>
          <w:b/>
          <w:position w:val="1"/>
          <w:sz w:val="22"/>
        </w:rPr>
        <w:t>How many nights did you stay</w:t>
      </w:r>
      <w:r>
        <w:rPr>
          <w:rFonts w:ascii="Calibri" w:hAnsi="Calibri"/>
          <w:b/>
          <w:spacing w:val="-14"/>
          <w:position w:val="1"/>
          <w:sz w:val="22"/>
        </w:rPr>
        <w:t> </w:t>
      </w:r>
      <w:r>
        <w:rPr>
          <w:rFonts w:ascii="Calibri" w:hAnsi="Calibri"/>
          <w:b/>
          <w:position w:val="1"/>
          <w:sz w:val="22"/>
        </w:rPr>
        <w:t>in</w:t>
      </w:r>
      <w:r>
        <w:rPr>
          <w:rFonts w:ascii="Calibri" w:hAnsi="Calibri"/>
          <w:b/>
          <w:spacing w:val="-1"/>
          <w:position w:val="1"/>
          <w:sz w:val="22"/>
        </w:rPr>
        <w:t> </w:t>
      </w:r>
      <w:r>
        <w:rPr>
          <w:rFonts w:ascii="Calibri" w:hAnsi="Calibri"/>
          <w:b/>
          <w:position w:val="1"/>
          <w:sz w:val="22"/>
        </w:rPr>
        <w:t>Curaçao?</w:t>
        <w:tab/>
      </w:r>
      <w:r>
        <w:rPr>
          <w:rFonts w:ascii="Calibri" w:hAnsi="Calibri"/>
          <w:b/>
          <w:position w:val="1"/>
          <w:sz w:val="22"/>
          <w:u w:val="single" w:color="000000"/>
        </w:rPr>
        <w:t> </w:t>
        <w:tab/>
      </w:r>
      <w:r>
        <w:rPr>
          <w:rFonts w:ascii="Calibri" w:hAnsi="Calibri"/>
          <w:b/>
          <w:position w:val="1"/>
          <w:sz w:val="22"/>
        </w:rPr>
      </w:r>
      <w:r>
        <w:rPr>
          <w:rFonts w:ascii="Calibri" w:hAnsi="Calibri"/>
          <w:i/>
          <w:sz w:val="22"/>
        </w:rPr>
        <w:t>(</w:t>
      </w:r>
      <w:r>
        <w:rPr>
          <w:rFonts w:ascii="Calibri" w:hAnsi="Calibri"/>
          <w:b/>
          <w:i/>
          <w:sz w:val="22"/>
        </w:rPr>
        <w:t>Please enter number of</w:t>
      </w:r>
      <w:r>
        <w:rPr>
          <w:rFonts w:ascii="Calibri" w:hAnsi="Calibri"/>
          <w:b/>
          <w:i/>
          <w:spacing w:val="-16"/>
          <w:sz w:val="22"/>
        </w:rPr>
        <w:t> </w:t>
      </w:r>
      <w:r>
        <w:rPr>
          <w:rFonts w:ascii="Calibri" w:hAnsi="Calibri"/>
          <w:b/>
          <w:i/>
          <w:sz w:val="22"/>
        </w:rPr>
        <w:t>nights)</w:t>
      </w:r>
      <w:r>
        <w:rPr>
          <w:rFonts w:ascii="Calibri" w:hAnsi="Calibri"/>
          <w:sz w:val="22"/>
        </w:rPr>
      </w:r>
    </w:p>
    <w:p>
      <w:pPr>
        <w:spacing w:line="240" w:lineRule="auto" w:before="11"/>
        <w:ind w:right="0"/>
        <w:rPr>
          <w:rFonts w:ascii="Calibri" w:hAnsi="Calibri" w:cs="Calibri" w:eastAsia="Calibri" w:hint="default"/>
          <w:b/>
          <w:bCs/>
          <w:i/>
          <w:sz w:val="19"/>
          <w:szCs w:val="19"/>
        </w:rPr>
      </w:pPr>
    </w:p>
    <w:p>
      <w:pPr>
        <w:pStyle w:val="ListParagraph"/>
        <w:numPr>
          <w:ilvl w:val="0"/>
          <w:numId w:val="22"/>
        </w:numPr>
        <w:tabs>
          <w:tab w:pos="619" w:val="left" w:leader="none"/>
        </w:tabs>
        <w:spacing w:line="240" w:lineRule="auto" w:before="55" w:after="36"/>
        <w:ind w:left="618" w:right="0" w:hanging="219"/>
        <w:jc w:val="left"/>
        <w:rPr>
          <w:rFonts w:ascii="Calibri" w:hAnsi="Calibri" w:cs="Calibri" w:eastAsia="Calibri" w:hint="default"/>
          <w:sz w:val="22"/>
          <w:szCs w:val="22"/>
        </w:rPr>
      </w:pPr>
      <w:r>
        <w:rPr>
          <w:rFonts w:ascii="Calibri" w:hAnsi="Calibri"/>
          <w:b/>
          <w:sz w:val="22"/>
        </w:rPr>
        <w:t>Where did you </w:t>
      </w:r>
      <w:r>
        <w:rPr>
          <w:rFonts w:ascii="Calibri" w:hAnsi="Calibri"/>
          <w:b/>
          <w:spacing w:val="-3"/>
          <w:sz w:val="22"/>
        </w:rPr>
        <w:t>stay </w:t>
      </w:r>
      <w:r>
        <w:rPr>
          <w:rFonts w:ascii="Calibri" w:hAnsi="Calibri"/>
          <w:b/>
          <w:sz w:val="22"/>
        </w:rPr>
        <w:t>during your visit in Curaçao? </w:t>
      </w:r>
      <w:r>
        <w:rPr>
          <w:rFonts w:ascii="Calibri" w:hAnsi="Calibri"/>
          <w:b/>
          <w:i/>
          <w:sz w:val="22"/>
        </w:rPr>
        <w:t>(Please check only</w:t>
      </w:r>
      <w:r>
        <w:rPr>
          <w:rFonts w:ascii="Calibri" w:hAnsi="Calibri"/>
          <w:b/>
          <w:i/>
          <w:spacing w:val="-30"/>
          <w:sz w:val="22"/>
        </w:rPr>
        <w:t> </w:t>
      </w:r>
      <w:r>
        <w:rPr>
          <w:rFonts w:ascii="Calibri" w:hAnsi="Calibri"/>
          <w:b/>
          <w:i/>
          <w:sz w:val="22"/>
        </w:rPr>
        <w:t>one)</w:t>
      </w:r>
      <w:r>
        <w:rPr>
          <w:rFonts w:ascii="Calibri" w:hAnsi="Calibri"/>
          <w:sz w:val="22"/>
        </w:rPr>
      </w:r>
    </w:p>
    <w:tbl>
      <w:tblPr>
        <w:tblW w:w="0" w:type="auto"/>
        <w:jc w:val="left"/>
        <w:tblInd w:w="364" w:type="dxa"/>
        <w:tblLayout w:type="fixed"/>
        <w:tblCellMar>
          <w:top w:w="0" w:type="dxa"/>
          <w:left w:w="0" w:type="dxa"/>
          <w:bottom w:w="0" w:type="dxa"/>
          <w:right w:w="0" w:type="dxa"/>
        </w:tblCellMar>
        <w:tblLook w:val="01E0"/>
      </w:tblPr>
      <w:tblGrid>
        <w:gridCol w:w="322"/>
        <w:gridCol w:w="3789"/>
        <w:gridCol w:w="1486"/>
        <w:gridCol w:w="4021"/>
      </w:tblGrid>
      <w:tr>
        <w:trPr>
          <w:trHeight w:val="274"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195"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789"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Hotel</w:t>
            </w:r>
          </w:p>
        </w:tc>
        <w:tc>
          <w:tcPr>
            <w:tcW w:w="1486" w:type="dxa"/>
            <w:tcBorders>
              <w:top w:val="nil" w:sz="6" w:space="0" w:color="auto"/>
              <w:left w:val="nil" w:sz="6" w:space="0" w:color="auto"/>
              <w:bottom w:val="nil" w:sz="6" w:space="0" w:color="auto"/>
              <w:right w:val="nil" w:sz="6" w:space="0" w:color="auto"/>
            </w:tcBorders>
          </w:tcPr>
          <w:p>
            <w:pPr>
              <w:pStyle w:val="TableParagraph"/>
              <w:spacing w:line="195"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4021"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Bed &amp; breakfast/room in a particular</w:t>
            </w:r>
            <w:r>
              <w:rPr>
                <w:rFonts w:ascii="Calibri"/>
                <w:spacing w:val="-24"/>
                <w:sz w:val="22"/>
              </w:rPr>
              <w:t> </w:t>
            </w:r>
            <w:r>
              <w:rPr>
                <w:rFonts w:ascii="Calibri"/>
                <w:sz w:val="22"/>
              </w:rPr>
              <w:t>house</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09"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789"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Your own</w:t>
            </w:r>
            <w:r>
              <w:rPr>
                <w:rFonts w:ascii="Calibri"/>
                <w:spacing w:val="-17"/>
                <w:sz w:val="22"/>
              </w:rPr>
              <w:t> </w:t>
            </w:r>
            <w:r>
              <w:rPr>
                <w:rFonts w:ascii="Calibri"/>
                <w:sz w:val="22"/>
              </w:rPr>
              <w:t>house/apartment</w:t>
            </w:r>
          </w:p>
        </w:tc>
        <w:tc>
          <w:tcPr>
            <w:tcW w:w="1486" w:type="dxa"/>
            <w:tcBorders>
              <w:top w:val="nil" w:sz="6" w:space="0" w:color="auto"/>
              <w:left w:val="nil" w:sz="6" w:space="0" w:color="auto"/>
              <w:bottom w:val="nil" w:sz="6" w:space="0" w:color="auto"/>
              <w:right w:val="nil" w:sz="6" w:space="0" w:color="auto"/>
            </w:tcBorders>
          </w:tcPr>
          <w:p>
            <w:pPr>
              <w:pStyle w:val="TableParagraph"/>
              <w:spacing w:line="209"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4021"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Rented</w:t>
            </w:r>
            <w:r>
              <w:rPr>
                <w:rFonts w:ascii="Calibri"/>
                <w:spacing w:val="-14"/>
                <w:sz w:val="22"/>
              </w:rPr>
              <w:t> </w:t>
            </w:r>
            <w:r>
              <w:rPr>
                <w:rFonts w:ascii="Calibri"/>
                <w:sz w:val="22"/>
              </w:rPr>
              <w:t>house/apartment</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09"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789"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Timeshare</w:t>
            </w:r>
          </w:p>
        </w:tc>
        <w:tc>
          <w:tcPr>
            <w:tcW w:w="1486" w:type="dxa"/>
            <w:tcBorders>
              <w:top w:val="nil" w:sz="6" w:space="0" w:color="auto"/>
              <w:left w:val="nil" w:sz="6" w:space="0" w:color="auto"/>
              <w:bottom w:val="nil" w:sz="6" w:space="0" w:color="auto"/>
              <w:right w:val="nil" w:sz="6" w:space="0" w:color="auto"/>
            </w:tcBorders>
          </w:tcPr>
          <w:p>
            <w:pPr>
              <w:pStyle w:val="TableParagraph"/>
              <w:spacing w:line="209"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4021"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All inclusive</w:t>
            </w:r>
            <w:r>
              <w:rPr>
                <w:rFonts w:ascii="Calibri"/>
                <w:spacing w:val="-7"/>
                <w:sz w:val="22"/>
              </w:rPr>
              <w:t> </w:t>
            </w:r>
            <w:r>
              <w:rPr>
                <w:rFonts w:ascii="Calibri"/>
                <w:sz w:val="22"/>
              </w:rPr>
              <w:t>resort</w:t>
            </w:r>
          </w:p>
        </w:tc>
      </w:tr>
      <w:tr>
        <w:trPr>
          <w:trHeight w:val="362"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09"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789"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With friends and</w:t>
            </w:r>
            <w:r>
              <w:rPr>
                <w:rFonts w:ascii="Calibri"/>
                <w:spacing w:val="-17"/>
                <w:sz w:val="22"/>
              </w:rPr>
              <w:t> </w:t>
            </w:r>
            <w:r>
              <w:rPr>
                <w:rFonts w:ascii="Calibri"/>
                <w:sz w:val="22"/>
              </w:rPr>
              <w:t>family</w:t>
            </w:r>
          </w:p>
        </w:tc>
        <w:tc>
          <w:tcPr>
            <w:tcW w:w="1486" w:type="dxa"/>
            <w:tcBorders>
              <w:top w:val="nil" w:sz="6" w:space="0" w:color="auto"/>
              <w:left w:val="nil" w:sz="6" w:space="0" w:color="auto"/>
              <w:bottom w:val="nil" w:sz="6" w:space="0" w:color="auto"/>
              <w:right w:val="nil" w:sz="6" w:space="0" w:color="auto"/>
            </w:tcBorders>
          </w:tcPr>
          <w:p>
            <w:pPr>
              <w:pStyle w:val="TableParagraph"/>
              <w:spacing w:line="209"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4021" w:type="dxa"/>
            <w:tcBorders>
              <w:top w:val="nil" w:sz="6" w:space="0" w:color="auto"/>
              <w:left w:val="nil" w:sz="6" w:space="0" w:color="auto"/>
              <w:bottom w:val="nil" w:sz="6" w:space="0" w:color="auto"/>
              <w:right w:val="nil" w:sz="6" w:space="0" w:color="auto"/>
            </w:tcBorders>
          </w:tcPr>
          <w:p>
            <w:pPr>
              <w:pStyle w:val="TableParagraph"/>
              <w:tabs>
                <w:tab w:pos="3021" w:val="left" w:leader="none"/>
              </w:tabs>
              <w:spacing w:line="267" w:lineRule="exact"/>
              <w:ind w:left="107" w:right="0"/>
              <w:jc w:val="left"/>
              <w:rPr>
                <w:rFonts w:ascii="Calibri" w:hAnsi="Calibri" w:cs="Calibri" w:eastAsia="Calibri" w:hint="default"/>
                <w:sz w:val="22"/>
                <w:szCs w:val="22"/>
              </w:rPr>
            </w:pPr>
            <w:r>
              <w:rPr>
                <w:rFonts w:ascii="Calibri"/>
                <w:sz w:val="22"/>
              </w:rPr>
              <w:t>Other</w:t>
            </w:r>
            <w:r>
              <w:rPr>
                <w:rFonts w:ascii="Calibri"/>
                <w:spacing w:val="1"/>
                <w:sz w:val="22"/>
              </w:rPr>
              <w:t> </w:t>
            </w:r>
            <w:r>
              <w:rPr>
                <w:rFonts w:ascii="Calibri"/>
                <w:spacing w:val="1"/>
                <w:w w:val="99"/>
                <w:sz w:val="22"/>
              </w:rPr>
            </w:r>
            <w:r>
              <w:rPr>
                <w:rFonts w:ascii="Calibri"/>
                <w:w w:val="99"/>
                <w:sz w:val="22"/>
                <w:u w:val="single" w:color="000000"/>
              </w:rPr>
              <w:t> </w:t>
            </w:r>
            <w:r>
              <w:rPr>
                <w:rFonts w:ascii="Calibri"/>
                <w:sz w:val="22"/>
                <w:u w:val="single" w:color="000000"/>
              </w:rPr>
              <w:tab/>
            </w:r>
            <w:r>
              <w:rPr>
                <w:rFonts w:ascii="Calibri"/>
                <w:sz w:val="22"/>
              </w:rPr>
            </w:r>
          </w:p>
        </w:tc>
      </w:tr>
    </w:tbl>
    <w:p>
      <w:pPr>
        <w:spacing w:line="240" w:lineRule="auto" w:before="3"/>
        <w:ind w:right="0"/>
        <w:rPr>
          <w:rFonts w:ascii="Calibri" w:hAnsi="Calibri" w:cs="Calibri" w:eastAsia="Calibri" w:hint="default"/>
          <w:b/>
          <w:bCs/>
          <w:i/>
          <w:sz w:val="11"/>
          <w:szCs w:val="11"/>
        </w:rPr>
      </w:pPr>
    </w:p>
    <w:p>
      <w:pPr>
        <w:pStyle w:val="ListParagraph"/>
        <w:numPr>
          <w:ilvl w:val="0"/>
          <w:numId w:val="22"/>
        </w:numPr>
        <w:tabs>
          <w:tab w:pos="618" w:val="left" w:leader="none"/>
          <w:tab w:pos="5738" w:val="left" w:leader="none"/>
          <w:tab w:pos="8957" w:val="left" w:leader="none"/>
        </w:tabs>
        <w:spacing w:line="240" w:lineRule="auto" w:before="55" w:after="0"/>
        <w:ind w:left="617" w:right="0" w:hanging="219"/>
        <w:jc w:val="left"/>
        <w:rPr>
          <w:rFonts w:ascii="Calibri" w:hAnsi="Calibri" w:cs="Calibri" w:eastAsia="Calibri" w:hint="default"/>
          <w:sz w:val="22"/>
          <w:szCs w:val="22"/>
        </w:rPr>
      </w:pPr>
      <w:r>
        <w:rPr>
          <w:rFonts w:ascii="Calibri"/>
          <w:b/>
          <w:sz w:val="22"/>
        </w:rPr>
        <w:t>What was the name of the</w:t>
      </w:r>
      <w:r>
        <w:rPr>
          <w:rFonts w:ascii="Calibri"/>
          <w:b/>
          <w:spacing w:val="-15"/>
          <w:sz w:val="22"/>
        </w:rPr>
        <w:t> </w:t>
      </w:r>
      <w:r>
        <w:rPr>
          <w:rFonts w:ascii="Calibri"/>
          <w:b/>
          <w:sz w:val="22"/>
        </w:rPr>
        <w:t>accommodation?</w:t>
        <w:tab/>
      </w:r>
      <w:r>
        <w:rPr>
          <w:rFonts w:ascii="Calibri"/>
          <w:b/>
          <w:w w:val="99"/>
          <w:sz w:val="22"/>
        </w:rPr>
      </w:r>
      <w:r>
        <w:rPr>
          <w:rFonts w:ascii="Calibri"/>
          <w:b/>
          <w:w w:val="99"/>
          <w:sz w:val="22"/>
          <w:u w:val="single" w:color="000000"/>
        </w:rPr>
        <w:t> </w:t>
      </w:r>
      <w:r>
        <w:rPr>
          <w:rFonts w:ascii="Calibri"/>
          <w:b/>
          <w:sz w:val="22"/>
          <w:u w:val="single" w:color="000000"/>
        </w:rPr>
        <w:tab/>
      </w:r>
      <w:r>
        <w:rPr>
          <w:rFonts w:ascii="Calibri"/>
          <w:b/>
          <w:sz w:val="22"/>
        </w:rPr>
      </w:r>
      <w:r>
        <w:rPr>
          <w:rFonts w:ascii="Calibri"/>
          <w:sz w:val="22"/>
        </w:rPr>
      </w:r>
    </w:p>
    <w:p>
      <w:pPr>
        <w:spacing w:line="240" w:lineRule="auto" w:before="12"/>
        <w:ind w:right="0"/>
        <w:rPr>
          <w:rFonts w:ascii="Calibri" w:hAnsi="Calibri" w:cs="Calibri" w:eastAsia="Calibri" w:hint="default"/>
          <w:b/>
          <w:bCs/>
          <w:sz w:val="18"/>
          <w:szCs w:val="18"/>
        </w:rPr>
      </w:pPr>
    </w:p>
    <w:p>
      <w:pPr>
        <w:pStyle w:val="ListParagraph"/>
        <w:numPr>
          <w:ilvl w:val="0"/>
          <w:numId w:val="22"/>
        </w:numPr>
        <w:tabs>
          <w:tab w:pos="612" w:val="left" w:leader="none"/>
        </w:tabs>
        <w:spacing w:line="240" w:lineRule="auto" w:before="55" w:after="36"/>
        <w:ind w:left="611" w:right="0" w:hanging="219"/>
        <w:jc w:val="left"/>
        <w:rPr>
          <w:rFonts w:ascii="Calibri" w:hAnsi="Calibri" w:cs="Calibri" w:eastAsia="Calibri" w:hint="default"/>
          <w:sz w:val="22"/>
          <w:szCs w:val="22"/>
        </w:rPr>
      </w:pPr>
      <w:r>
        <w:rPr>
          <w:rFonts w:ascii="Calibri"/>
          <w:b/>
          <w:sz w:val="22"/>
        </w:rPr>
        <w:t>Which of the following best describes the purpose of your trip? </w:t>
      </w:r>
      <w:r>
        <w:rPr>
          <w:rFonts w:ascii="Calibri"/>
          <w:i/>
          <w:sz w:val="22"/>
        </w:rPr>
        <w:t>(Please check only</w:t>
      </w:r>
      <w:r>
        <w:rPr>
          <w:rFonts w:ascii="Calibri"/>
          <w:i/>
          <w:spacing w:val="-31"/>
          <w:sz w:val="22"/>
        </w:rPr>
        <w:t> </w:t>
      </w:r>
      <w:r>
        <w:rPr>
          <w:rFonts w:ascii="Calibri"/>
          <w:i/>
          <w:sz w:val="22"/>
        </w:rPr>
        <w:t>one)</w:t>
      </w:r>
      <w:r>
        <w:rPr>
          <w:rFonts w:ascii="Calibri"/>
          <w:sz w:val="22"/>
        </w:rPr>
      </w:r>
    </w:p>
    <w:tbl>
      <w:tblPr>
        <w:tblW w:w="0" w:type="auto"/>
        <w:jc w:val="left"/>
        <w:tblInd w:w="357" w:type="dxa"/>
        <w:tblLayout w:type="fixed"/>
        <w:tblCellMar>
          <w:top w:w="0" w:type="dxa"/>
          <w:left w:w="0" w:type="dxa"/>
          <w:bottom w:w="0" w:type="dxa"/>
          <w:right w:w="0" w:type="dxa"/>
        </w:tblCellMar>
        <w:tblLook w:val="01E0"/>
      </w:tblPr>
      <w:tblGrid>
        <w:gridCol w:w="322"/>
        <w:gridCol w:w="3560"/>
        <w:gridCol w:w="1691"/>
        <w:gridCol w:w="3057"/>
      </w:tblGrid>
      <w:tr>
        <w:trPr>
          <w:trHeight w:val="274"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195"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560"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Business</w:t>
            </w:r>
          </w:p>
        </w:tc>
        <w:tc>
          <w:tcPr>
            <w:tcW w:w="1691" w:type="dxa"/>
            <w:tcBorders>
              <w:top w:val="nil" w:sz="6" w:space="0" w:color="auto"/>
              <w:left w:val="nil" w:sz="6" w:space="0" w:color="auto"/>
              <w:bottom w:val="nil" w:sz="6" w:space="0" w:color="auto"/>
              <w:right w:val="nil" w:sz="6" w:space="0" w:color="auto"/>
            </w:tcBorders>
          </w:tcPr>
          <w:p>
            <w:pPr>
              <w:pStyle w:val="TableParagraph"/>
              <w:spacing w:line="195"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057"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Wedding/honeymoon</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09"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560"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Conference</w:t>
            </w:r>
          </w:p>
        </w:tc>
        <w:tc>
          <w:tcPr>
            <w:tcW w:w="1691" w:type="dxa"/>
            <w:tcBorders>
              <w:top w:val="nil" w:sz="6" w:space="0" w:color="auto"/>
              <w:left w:val="nil" w:sz="6" w:space="0" w:color="auto"/>
              <w:bottom w:val="nil" w:sz="6" w:space="0" w:color="auto"/>
              <w:right w:val="nil" w:sz="6" w:space="0" w:color="auto"/>
            </w:tcBorders>
          </w:tcPr>
          <w:p>
            <w:pPr>
              <w:pStyle w:val="TableParagraph"/>
              <w:spacing w:line="209"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057"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Events</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09"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560"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Shopping</w:t>
            </w:r>
          </w:p>
        </w:tc>
        <w:tc>
          <w:tcPr>
            <w:tcW w:w="1691" w:type="dxa"/>
            <w:tcBorders>
              <w:top w:val="nil" w:sz="6" w:space="0" w:color="auto"/>
              <w:left w:val="nil" w:sz="6" w:space="0" w:color="auto"/>
              <w:bottom w:val="nil" w:sz="6" w:space="0" w:color="auto"/>
              <w:right w:val="nil" w:sz="6" w:space="0" w:color="auto"/>
            </w:tcBorders>
          </w:tcPr>
          <w:p>
            <w:pPr>
              <w:pStyle w:val="TableParagraph"/>
              <w:spacing w:line="209"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057"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Incentive</w:t>
            </w:r>
            <w:r>
              <w:rPr>
                <w:rFonts w:ascii="Calibri"/>
                <w:spacing w:val="-8"/>
                <w:sz w:val="22"/>
              </w:rPr>
              <w:t> </w:t>
            </w:r>
            <w:r>
              <w:rPr>
                <w:rFonts w:ascii="Calibri"/>
                <w:sz w:val="22"/>
              </w:rPr>
              <w:t>travel</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09"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560"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Cultural</w:t>
            </w:r>
            <w:r>
              <w:rPr>
                <w:rFonts w:ascii="Calibri"/>
                <w:spacing w:val="-9"/>
                <w:sz w:val="22"/>
              </w:rPr>
              <w:t> </w:t>
            </w:r>
            <w:r>
              <w:rPr>
                <w:rFonts w:ascii="Calibri"/>
                <w:sz w:val="22"/>
              </w:rPr>
              <w:t>tourism</w:t>
            </w:r>
          </w:p>
        </w:tc>
        <w:tc>
          <w:tcPr>
            <w:tcW w:w="1691" w:type="dxa"/>
            <w:tcBorders>
              <w:top w:val="nil" w:sz="6" w:space="0" w:color="auto"/>
              <w:left w:val="nil" w:sz="6" w:space="0" w:color="auto"/>
              <w:bottom w:val="nil" w:sz="6" w:space="0" w:color="auto"/>
              <w:right w:val="nil" w:sz="6" w:space="0" w:color="auto"/>
            </w:tcBorders>
          </w:tcPr>
          <w:p>
            <w:pPr>
              <w:pStyle w:val="TableParagraph"/>
              <w:spacing w:line="209"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057"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Visiting friends and</w:t>
            </w:r>
            <w:r>
              <w:rPr>
                <w:rFonts w:ascii="Calibri"/>
                <w:spacing w:val="-12"/>
                <w:sz w:val="22"/>
              </w:rPr>
              <w:t> </w:t>
            </w:r>
            <w:r>
              <w:rPr>
                <w:rFonts w:ascii="Calibri"/>
                <w:sz w:val="22"/>
              </w:rPr>
              <w:t>family</w:t>
            </w:r>
          </w:p>
        </w:tc>
      </w:tr>
      <w:tr>
        <w:trPr>
          <w:trHeight w:val="362"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09"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560"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Sun and beach</w:t>
            </w:r>
            <w:r>
              <w:rPr>
                <w:rFonts w:ascii="Calibri"/>
                <w:spacing w:val="-16"/>
                <w:sz w:val="22"/>
              </w:rPr>
              <w:t> </w:t>
            </w:r>
            <w:r>
              <w:rPr>
                <w:rFonts w:ascii="Calibri"/>
                <w:sz w:val="22"/>
              </w:rPr>
              <w:t>tourism</w:t>
            </w:r>
          </w:p>
        </w:tc>
        <w:tc>
          <w:tcPr>
            <w:tcW w:w="1691" w:type="dxa"/>
            <w:tcBorders>
              <w:top w:val="nil" w:sz="6" w:space="0" w:color="auto"/>
              <w:left w:val="nil" w:sz="6" w:space="0" w:color="auto"/>
              <w:bottom w:val="nil" w:sz="6" w:space="0" w:color="auto"/>
              <w:right w:val="nil" w:sz="6" w:space="0" w:color="auto"/>
            </w:tcBorders>
          </w:tcPr>
          <w:p>
            <w:pPr>
              <w:pStyle w:val="TableParagraph"/>
              <w:spacing w:line="209"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057" w:type="dxa"/>
            <w:tcBorders>
              <w:top w:val="nil" w:sz="6" w:space="0" w:color="auto"/>
              <w:left w:val="nil" w:sz="6" w:space="0" w:color="auto"/>
              <w:bottom w:val="nil" w:sz="6" w:space="0" w:color="auto"/>
              <w:right w:val="nil" w:sz="6" w:space="0" w:color="auto"/>
            </w:tcBorders>
          </w:tcPr>
          <w:p>
            <w:pPr>
              <w:pStyle w:val="TableParagraph"/>
              <w:tabs>
                <w:tab w:pos="3021" w:val="left" w:leader="none"/>
              </w:tabs>
              <w:spacing w:line="267" w:lineRule="exact"/>
              <w:ind w:left="107" w:right="0"/>
              <w:jc w:val="left"/>
              <w:rPr>
                <w:rFonts w:ascii="Calibri" w:hAnsi="Calibri" w:cs="Calibri" w:eastAsia="Calibri" w:hint="default"/>
                <w:sz w:val="22"/>
                <w:szCs w:val="22"/>
              </w:rPr>
            </w:pPr>
            <w:r>
              <w:rPr>
                <w:rFonts w:ascii="Calibri"/>
                <w:sz w:val="22"/>
              </w:rPr>
              <w:t>Other</w:t>
            </w:r>
            <w:r>
              <w:rPr>
                <w:rFonts w:ascii="Calibri"/>
                <w:spacing w:val="1"/>
                <w:sz w:val="22"/>
              </w:rPr>
              <w:t> </w:t>
            </w:r>
            <w:r>
              <w:rPr>
                <w:rFonts w:ascii="Calibri"/>
                <w:spacing w:val="1"/>
                <w:w w:val="99"/>
                <w:sz w:val="22"/>
              </w:rPr>
            </w:r>
            <w:r>
              <w:rPr>
                <w:rFonts w:ascii="Calibri"/>
                <w:w w:val="99"/>
                <w:sz w:val="22"/>
                <w:u w:val="single" w:color="000000"/>
              </w:rPr>
              <w:t> </w:t>
            </w:r>
            <w:r>
              <w:rPr>
                <w:rFonts w:ascii="Calibri"/>
                <w:sz w:val="22"/>
                <w:u w:val="single" w:color="000000"/>
              </w:rPr>
              <w:tab/>
            </w:r>
            <w:r>
              <w:rPr>
                <w:rFonts w:ascii="Calibri"/>
                <w:sz w:val="22"/>
              </w:rPr>
            </w:r>
          </w:p>
        </w:tc>
      </w:tr>
    </w:tbl>
    <w:p>
      <w:pPr>
        <w:spacing w:line="240" w:lineRule="auto" w:before="3"/>
        <w:ind w:right="0"/>
        <w:rPr>
          <w:rFonts w:ascii="Calibri" w:hAnsi="Calibri" w:cs="Calibri" w:eastAsia="Calibri" w:hint="default"/>
          <w:i/>
          <w:sz w:val="11"/>
          <w:szCs w:val="11"/>
        </w:rPr>
      </w:pPr>
    </w:p>
    <w:p>
      <w:pPr>
        <w:pStyle w:val="ListParagraph"/>
        <w:numPr>
          <w:ilvl w:val="0"/>
          <w:numId w:val="22"/>
        </w:numPr>
        <w:tabs>
          <w:tab w:pos="620" w:val="left" w:leader="none"/>
        </w:tabs>
        <w:spacing w:line="240" w:lineRule="auto" w:before="55" w:after="36"/>
        <w:ind w:left="619" w:right="0" w:hanging="220"/>
        <w:jc w:val="left"/>
        <w:rPr>
          <w:rFonts w:ascii="Calibri" w:hAnsi="Calibri" w:cs="Calibri" w:eastAsia="Calibri" w:hint="default"/>
          <w:sz w:val="22"/>
          <w:szCs w:val="22"/>
        </w:rPr>
      </w:pPr>
      <w:r>
        <w:rPr>
          <w:rFonts w:ascii="Calibri" w:hAnsi="Calibri"/>
          <w:b/>
          <w:sz w:val="22"/>
        </w:rPr>
        <w:t>What</w:t>
      </w:r>
      <w:r>
        <w:rPr>
          <w:rFonts w:ascii="Calibri" w:hAnsi="Calibri"/>
          <w:b/>
          <w:spacing w:val="-4"/>
          <w:sz w:val="22"/>
        </w:rPr>
        <w:t> </w:t>
      </w:r>
      <w:r>
        <w:rPr>
          <w:rFonts w:ascii="Calibri" w:hAnsi="Calibri"/>
          <w:b/>
          <w:sz w:val="22"/>
        </w:rPr>
        <w:t>sources</w:t>
      </w:r>
      <w:r>
        <w:rPr>
          <w:rFonts w:ascii="Calibri" w:hAnsi="Calibri"/>
          <w:b/>
          <w:spacing w:val="-3"/>
          <w:sz w:val="22"/>
        </w:rPr>
        <w:t> </w:t>
      </w:r>
      <w:r>
        <w:rPr>
          <w:rFonts w:ascii="Calibri" w:hAnsi="Calibri"/>
          <w:b/>
          <w:sz w:val="22"/>
        </w:rPr>
        <w:t>of</w:t>
      </w:r>
      <w:r>
        <w:rPr>
          <w:rFonts w:ascii="Calibri" w:hAnsi="Calibri"/>
          <w:b/>
          <w:spacing w:val="-3"/>
          <w:sz w:val="22"/>
        </w:rPr>
        <w:t> </w:t>
      </w:r>
      <w:r>
        <w:rPr>
          <w:rFonts w:ascii="Calibri" w:hAnsi="Calibri"/>
          <w:b/>
          <w:sz w:val="22"/>
        </w:rPr>
        <w:t>information</w:t>
      </w:r>
      <w:r>
        <w:rPr>
          <w:rFonts w:ascii="Calibri" w:hAnsi="Calibri"/>
          <w:b/>
          <w:spacing w:val="-4"/>
          <w:sz w:val="22"/>
        </w:rPr>
        <w:t> </w:t>
      </w:r>
      <w:r>
        <w:rPr>
          <w:rFonts w:ascii="Calibri" w:hAnsi="Calibri"/>
          <w:b/>
          <w:sz w:val="22"/>
        </w:rPr>
        <w:t>did</w:t>
      </w:r>
      <w:r>
        <w:rPr>
          <w:rFonts w:ascii="Calibri" w:hAnsi="Calibri"/>
          <w:b/>
          <w:spacing w:val="-4"/>
          <w:sz w:val="22"/>
        </w:rPr>
        <w:t> </w:t>
      </w:r>
      <w:r>
        <w:rPr>
          <w:rFonts w:ascii="Calibri" w:hAnsi="Calibri"/>
          <w:b/>
          <w:sz w:val="22"/>
        </w:rPr>
        <w:t>you</w:t>
      </w:r>
      <w:r>
        <w:rPr>
          <w:rFonts w:ascii="Calibri" w:hAnsi="Calibri"/>
          <w:b/>
          <w:spacing w:val="-3"/>
          <w:sz w:val="22"/>
        </w:rPr>
        <w:t> </w:t>
      </w:r>
      <w:r>
        <w:rPr>
          <w:rFonts w:ascii="Calibri" w:hAnsi="Calibri"/>
          <w:b/>
          <w:sz w:val="22"/>
        </w:rPr>
        <w:t>consult</w:t>
      </w:r>
      <w:r>
        <w:rPr>
          <w:rFonts w:ascii="Calibri" w:hAnsi="Calibri"/>
          <w:b/>
          <w:spacing w:val="-4"/>
          <w:sz w:val="22"/>
        </w:rPr>
        <w:t> </w:t>
      </w:r>
      <w:r>
        <w:rPr>
          <w:rFonts w:ascii="Calibri" w:hAnsi="Calibri"/>
          <w:b/>
          <w:sz w:val="22"/>
        </w:rPr>
        <w:t>to</w:t>
      </w:r>
      <w:r>
        <w:rPr>
          <w:rFonts w:ascii="Calibri" w:hAnsi="Calibri"/>
          <w:b/>
          <w:spacing w:val="-4"/>
          <w:sz w:val="22"/>
        </w:rPr>
        <w:t> </w:t>
      </w:r>
      <w:r>
        <w:rPr>
          <w:rFonts w:ascii="Calibri" w:hAnsi="Calibri"/>
          <w:b/>
          <w:sz w:val="22"/>
        </w:rPr>
        <w:t>get</w:t>
      </w:r>
      <w:r>
        <w:rPr>
          <w:rFonts w:ascii="Calibri" w:hAnsi="Calibri"/>
          <w:b/>
          <w:spacing w:val="-4"/>
          <w:sz w:val="22"/>
        </w:rPr>
        <w:t> </w:t>
      </w:r>
      <w:r>
        <w:rPr>
          <w:rFonts w:ascii="Calibri" w:hAnsi="Calibri"/>
          <w:b/>
          <w:sz w:val="22"/>
        </w:rPr>
        <w:t>information</w:t>
      </w:r>
      <w:r>
        <w:rPr>
          <w:rFonts w:ascii="Calibri" w:hAnsi="Calibri"/>
          <w:b/>
          <w:spacing w:val="-4"/>
          <w:sz w:val="22"/>
        </w:rPr>
        <w:t> </w:t>
      </w:r>
      <w:r>
        <w:rPr>
          <w:rFonts w:ascii="Calibri" w:hAnsi="Calibri"/>
          <w:b/>
          <w:sz w:val="22"/>
        </w:rPr>
        <w:t>about</w:t>
      </w:r>
      <w:r>
        <w:rPr>
          <w:rFonts w:ascii="Calibri" w:hAnsi="Calibri"/>
          <w:b/>
          <w:spacing w:val="-4"/>
          <w:sz w:val="22"/>
        </w:rPr>
        <w:t> </w:t>
      </w:r>
      <w:r>
        <w:rPr>
          <w:rFonts w:ascii="Calibri" w:hAnsi="Calibri"/>
          <w:b/>
          <w:sz w:val="22"/>
        </w:rPr>
        <w:t>Curaçao?</w:t>
      </w:r>
      <w:r>
        <w:rPr>
          <w:rFonts w:ascii="Calibri" w:hAnsi="Calibri"/>
          <w:b/>
          <w:spacing w:val="2"/>
          <w:sz w:val="22"/>
        </w:rPr>
        <w:t> </w:t>
      </w:r>
      <w:r>
        <w:rPr>
          <w:rFonts w:ascii="Calibri" w:hAnsi="Calibri"/>
          <w:b/>
          <w:i/>
          <w:sz w:val="22"/>
        </w:rPr>
        <w:t>(Please</w:t>
      </w:r>
      <w:r>
        <w:rPr>
          <w:rFonts w:ascii="Calibri" w:hAnsi="Calibri"/>
          <w:b/>
          <w:i/>
          <w:spacing w:val="-3"/>
          <w:sz w:val="22"/>
        </w:rPr>
        <w:t> </w:t>
      </w:r>
      <w:r>
        <w:rPr>
          <w:rFonts w:ascii="Calibri" w:hAnsi="Calibri"/>
          <w:b/>
          <w:i/>
          <w:sz w:val="22"/>
        </w:rPr>
        <w:t>check</w:t>
      </w:r>
      <w:r>
        <w:rPr>
          <w:rFonts w:ascii="Calibri" w:hAnsi="Calibri"/>
          <w:b/>
          <w:i/>
          <w:spacing w:val="-3"/>
          <w:sz w:val="22"/>
        </w:rPr>
        <w:t> </w:t>
      </w:r>
      <w:r>
        <w:rPr>
          <w:rFonts w:ascii="Calibri" w:hAnsi="Calibri"/>
          <w:b/>
          <w:i/>
          <w:sz w:val="22"/>
        </w:rPr>
        <w:t>all</w:t>
      </w:r>
      <w:r>
        <w:rPr>
          <w:rFonts w:ascii="Calibri" w:hAnsi="Calibri"/>
          <w:b/>
          <w:i/>
          <w:spacing w:val="-4"/>
          <w:sz w:val="22"/>
        </w:rPr>
        <w:t> </w:t>
      </w:r>
      <w:r>
        <w:rPr>
          <w:rFonts w:ascii="Calibri" w:hAnsi="Calibri"/>
          <w:b/>
          <w:i/>
          <w:sz w:val="22"/>
        </w:rPr>
        <w:t>that</w:t>
      </w:r>
      <w:r>
        <w:rPr>
          <w:rFonts w:ascii="Calibri" w:hAnsi="Calibri"/>
          <w:b/>
          <w:i/>
          <w:spacing w:val="-2"/>
          <w:sz w:val="22"/>
        </w:rPr>
        <w:t> </w:t>
      </w:r>
      <w:r>
        <w:rPr>
          <w:rFonts w:ascii="Calibri" w:hAnsi="Calibri"/>
          <w:b/>
          <w:i/>
          <w:sz w:val="22"/>
        </w:rPr>
        <w:t>apply)</w:t>
      </w:r>
      <w:r>
        <w:rPr>
          <w:rFonts w:ascii="Calibri" w:hAnsi="Calibri"/>
          <w:sz w:val="22"/>
        </w:rPr>
      </w:r>
    </w:p>
    <w:tbl>
      <w:tblPr>
        <w:tblW w:w="0" w:type="auto"/>
        <w:jc w:val="left"/>
        <w:tblInd w:w="364" w:type="dxa"/>
        <w:tblLayout w:type="fixed"/>
        <w:tblCellMar>
          <w:top w:w="0" w:type="dxa"/>
          <w:left w:w="0" w:type="dxa"/>
          <w:bottom w:w="0" w:type="dxa"/>
          <w:right w:w="0" w:type="dxa"/>
        </w:tblCellMar>
        <w:tblLook w:val="01E0"/>
      </w:tblPr>
      <w:tblGrid>
        <w:gridCol w:w="3039"/>
        <w:gridCol w:w="4280"/>
        <w:gridCol w:w="3488"/>
      </w:tblGrid>
      <w:tr>
        <w:trPr>
          <w:trHeight w:val="292" w:hRule="exact"/>
        </w:trPr>
        <w:tc>
          <w:tcPr>
            <w:tcW w:w="3039" w:type="dxa"/>
            <w:tcBorders>
              <w:top w:val="nil" w:sz="6" w:space="0" w:color="auto"/>
              <w:left w:val="nil" w:sz="6" w:space="0" w:color="auto"/>
              <w:bottom w:val="nil" w:sz="6" w:space="0" w:color="auto"/>
              <w:right w:val="nil" w:sz="6" w:space="0" w:color="auto"/>
            </w:tcBorders>
          </w:tcPr>
          <w:p>
            <w:pPr>
              <w:pStyle w:val="TableParagraph"/>
              <w:spacing w:line="262" w:lineRule="exact"/>
              <w:ind w:left="35" w:right="0"/>
              <w:jc w:val="left"/>
              <w:rPr>
                <w:rFonts w:ascii="Calibri" w:hAnsi="Calibri" w:cs="Calibri" w:eastAsia="Calibri" w:hint="default"/>
                <w:sz w:val="22"/>
                <w:szCs w:val="22"/>
              </w:rPr>
            </w:pPr>
            <w:r>
              <w:rPr>
                <w:rFonts w:ascii="Calibri" w:hAnsi="Calibri" w:cs="Calibri" w:eastAsia="Calibri" w:hint="default"/>
                <w:sz w:val="18"/>
                <w:szCs w:val="18"/>
              </w:rPr>
              <w:t>⃝</w:t>
            </w:r>
            <w:r>
              <w:rPr>
                <w:rFonts w:ascii="Calibri" w:hAnsi="Calibri" w:cs="Calibri" w:eastAsia="Calibri" w:hint="default"/>
                <w:spacing w:val="1"/>
                <w:sz w:val="18"/>
                <w:szCs w:val="18"/>
              </w:rPr>
              <w:t> </w:t>
            </w:r>
            <w:r>
              <w:rPr>
                <w:rFonts w:ascii="Calibri" w:hAnsi="Calibri" w:cs="Calibri" w:eastAsia="Calibri" w:hint="default"/>
                <w:sz w:val="22"/>
                <w:szCs w:val="22"/>
              </w:rPr>
              <w:t>Friends/family</w:t>
            </w:r>
          </w:p>
        </w:tc>
        <w:tc>
          <w:tcPr>
            <w:tcW w:w="4280" w:type="dxa"/>
            <w:tcBorders>
              <w:top w:val="nil" w:sz="6" w:space="0" w:color="auto"/>
              <w:left w:val="nil" w:sz="6" w:space="0" w:color="auto"/>
              <w:bottom w:val="nil" w:sz="6" w:space="0" w:color="auto"/>
              <w:right w:val="nil" w:sz="6" w:space="0" w:color="auto"/>
            </w:tcBorders>
          </w:tcPr>
          <w:p>
            <w:pPr>
              <w:pStyle w:val="TableParagraph"/>
              <w:spacing w:line="262" w:lineRule="exact"/>
              <w:ind w:left="711"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Online travel agent (i.e.</w:t>
            </w:r>
            <w:r>
              <w:rPr>
                <w:rFonts w:ascii="Calibri" w:hAnsi="Calibri" w:cs="Calibri" w:eastAsia="Calibri" w:hint="default"/>
                <w:spacing w:val="-9"/>
                <w:sz w:val="22"/>
                <w:szCs w:val="22"/>
              </w:rPr>
              <w:t> </w:t>
            </w:r>
            <w:r>
              <w:rPr>
                <w:rFonts w:ascii="Calibri" w:hAnsi="Calibri" w:cs="Calibri" w:eastAsia="Calibri" w:hint="default"/>
                <w:sz w:val="22"/>
                <w:szCs w:val="22"/>
              </w:rPr>
              <w:t>Travelocity)</w:t>
            </w:r>
          </w:p>
        </w:tc>
        <w:tc>
          <w:tcPr>
            <w:tcW w:w="3488" w:type="dxa"/>
            <w:tcBorders>
              <w:top w:val="nil" w:sz="6" w:space="0" w:color="auto"/>
              <w:left w:val="nil" w:sz="6" w:space="0" w:color="auto"/>
              <w:bottom w:val="nil" w:sz="6" w:space="0" w:color="auto"/>
              <w:right w:val="nil" w:sz="6" w:space="0" w:color="auto"/>
            </w:tcBorders>
          </w:tcPr>
          <w:p>
            <w:pPr>
              <w:pStyle w:val="TableParagraph"/>
              <w:spacing w:line="262" w:lineRule="exact"/>
              <w:ind w:left="146" w:right="0"/>
              <w:jc w:val="left"/>
              <w:rPr>
                <w:rFonts w:ascii="Calibri" w:hAnsi="Calibri" w:cs="Calibri" w:eastAsia="Calibri" w:hint="default"/>
                <w:sz w:val="22"/>
                <w:szCs w:val="22"/>
              </w:rPr>
            </w:pPr>
            <w:r>
              <w:rPr>
                <w:rFonts w:ascii="Calibri" w:hAnsi="Calibri" w:cs="Calibri" w:eastAsia="Calibri" w:hint="default"/>
                <w:sz w:val="18"/>
                <w:szCs w:val="18"/>
              </w:rPr>
              <w:t>⃝</w:t>
            </w:r>
            <w:r>
              <w:rPr>
                <w:rFonts w:ascii="Calibri" w:hAnsi="Calibri" w:cs="Calibri" w:eastAsia="Calibri" w:hint="default"/>
                <w:spacing w:val="-7"/>
                <w:sz w:val="18"/>
                <w:szCs w:val="18"/>
              </w:rPr>
              <w:t> </w:t>
            </w:r>
            <w:r>
              <w:rPr>
                <w:rFonts w:ascii="Calibri" w:hAnsi="Calibri" w:cs="Calibri" w:eastAsia="Calibri" w:hint="default"/>
                <w:sz w:val="22"/>
                <w:szCs w:val="22"/>
              </w:rPr>
              <w:t>Youtube</w:t>
            </w:r>
          </w:p>
        </w:tc>
      </w:tr>
      <w:tr>
        <w:trPr>
          <w:trHeight w:val="288" w:hRule="exact"/>
        </w:trPr>
        <w:tc>
          <w:tcPr>
            <w:tcW w:w="3039" w:type="dxa"/>
            <w:tcBorders>
              <w:top w:val="nil" w:sz="6" w:space="0" w:color="auto"/>
              <w:left w:val="nil" w:sz="6" w:space="0" w:color="auto"/>
              <w:bottom w:val="nil" w:sz="6" w:space="0" w:color="auto"/>
              <w:right w:val="nil" w:sz="6" w:space="0" w:color="auto"/>
            </w:tcBorders>
          </w:tcPr>
          <w:p>
            <w:pPr>
              <w:pStyle w:val="TableParagraph"/>
              <w:spacing w:line="258" w:lineRule="exact"/>
              <w:ind w:left="35"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Curaçao Tourists</w:t>
            </w:r>
            <w:r>
              <w:rPr>
                <w:rFonts w:ascii="Calibri" w:hAnsi="Calibri" w:cs="Calibri" w:eastAsia="Calibri" w:hint="default"/>
                <w:spacing w:val="-14"/>
                <w:sz w:val="22"/>
                <w:szCs w:val="22"/>
              </w:rPr>
              <w:t> </w:t>
            </w:r>
            <w:r>
              <w:rPr>
                <w:rFonts w:ascii="Calibri" w:hAnsi="Calibri" w:cs="Calibri" w:eastAsia="Calibri" w:hint="default"/>
                <w:sz w:val="22"/>
                <w:szCs w:val="22"/>
              </w:rPr>
              <w:t>Board</w:t>
            </w:r>
          </w:p>
        </w:tc>
        <w:tc>
          <w:tcPr>
            <w:tcW w:w="4280" w:type="dxa"/>
            <w:tcBorders>
              <w:top w:val="nil" w:sz="6" w:space="0" w:color="auto"/>
              <w:left w:val="nil" w:sz="6" w:space="0" w:color="auto"/>
              <w:bottom w:val="nil" w:sz="6" w:space="0" w:color="auto"/>
              <w:right w:val="nil" w:sz="6" w:space="0" w:color="auto"/>
            </w:tcBorders>
          </w:tcPr>
          <w:p>
            <w:pPr>
              <w:pStyle w:val="TableParagraph"/>
              <w:spacing w:line="258" w:lineRule="exact"/>
              <w:ind w:left="711"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Online rating website</w:t>
            </w:r>
            <w:r>
              <w:rPr>
                <w:rFonts w:ascii="Calibri" w:hAnsi="Calibri" w:cs="Calibri" w:eastAsia="Calibri" w:hint="default"/>
                <w:spacing w:val="-9"/>
                <w:sz w:val="22"/>
                <w:szCs w:val="22"/>
              </w:rPr>
              <w:t> </w:t>
            </w:r>
            <w:r>
              <w:rPr>
                <w:rFonts w:ascii="Calibri" w:hAnsi="Calibri" w:cs="Calibri" w:eastAsia="Calibri" w:hint="default"/>
                <w:sz w:val="22"/>
                <w:szCs w:val="22"/>
              </w:rPr>
              <w:t>(TripAdvisor)</w:t>
            </w:r>
          </w:p>
        </w:tc>
        <w:tc>
          <w:tcPr>
            <w:tcW w:w="3488" w:type="dxa"/>
            <w:tcBorders>
              <w:top w:val="nil" w:sz="6" w:space="0" w:color="auto"/>
              <w:left w:val="nil" w:sz="6" w:space="0" w:color="auto"/>
              <w:bottom w:val="nil" w:sz="6" w:space="0" w:color="auto"/>
              <w:right w:val="nil" w:sz="6" w:space="0" w:color="auto"/>
            </w:tcBorders>
          </w:tcPr>
          <w:p>
            <w:pPr>
              <w:pStyle w:val="TableParagraph"/>
              <w:spacing w:line="258" w:lineRule="exact"/>
              <w:ind w:left="146"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Tour operator</w:t>
            </w:r>
            <w:r>
              <w:rPr>
                <w:rFonts w:ascii="Calibri" w:hAnsi="Calibri" w:cs="Calibri" w:eastAsia="Calibri" w:hint="default"/>
                <w:spacing w:val="-2"/>
                <w:sz w:val="22"/>
                <w:szCs w:val="22"/>
              </w:rPr>
              <w:t> </w:t>
            </w:r>
            <w:r>
              <w:rPr>
                <w:rFonts w:ascii="Calibri" w:hAnsi="Calibri" w:cs="Calibri" w:eastAsia="Calibri" w:hint="default"/>
                <w:sz w:val="22"/>
                <w:szCs w:val="22"/>
              </w:rPr>
              <w:t>brochure</w:t>
            </w:r>
          </w:p>
        </w:tc>
      </w:tr>
      <w:tr>
        <w:trPr>
          <w:trHeight w:val="288" w:hRule="exact"/>
        </w:trPr>
        <w:tc>
          <w:tcPr>
            <w:tcW w:w="3039" w:type="dxa"/>
            <w:tcBorders>
              <w:top w:val="nil" w:sz="6" w:space="0" w:color="auto"/>
              <w:left w:val="nil" w:sz="6" w:space="0" w:color="auto"/>
              <w:bottom w:val="nil" w:sz="6" w:space="0" w:color="auto"/>
              <w:right w:val="nil" w:sz="6" w:space="0" w:color="auto"/>
            </w:tcBorders>
          </w:tcPr>
          <w:p>
            <w:pPr>
              <w:pStyle w:val="TableParagraph"/>
              <w:spacing w:line="258" w:lineRule="exact"/>
              <w:ind w:left="35"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Travel agent</w:t>
            </w:r>
          </w:p>
        </w:tc>
        <w:tc>
          <w:tcPr>
            <w:tcW w:w="4280" w:type="dxa"/>
            <w:tcBorders>
              <w:top w:val="nil" w:sz="6" w:space="0" w:color="auto"/>
              <w:left w:val="nil" w:sz="6" w:space="0" w:color="auto"/>
              <w:bottom w:val="nil" w:sz="6" w:space="0" w:color="auto"/>
              <w:right w:val="nil" w:sz="6" w:space="0" w:color="auto"/>
            </w:tcBorders>
          </w:tcPr>
          <w:p>
            <w:pPr>
              <w:pStyle w:val="TableParagraph"/>
              <w:spacing w:line="258" w:lineRule="exact"/>
              <w:ind w:left="711" w:right="0"/>
              <w:jc w:val="left"/>
              <w:rPr>
                <w:rFonts w:ascii="Calibri" w:hAnsi="Calibri" w:cs="Calibri" w:eastAsia="Calibri" w:hint="default"/>
                <w:sz w:val="22"/>
                <w:szCs w:val="22"/>
              </w:rPr>
            </w:pPr>
            <w:r>
              <w:rPr>
                <w:rFonts w:ascii="Calibri" w:hAnsi="Calibri" w:cs="Calibri" w:eastAsia="Calibri" w:hint="default"/>
                <w:sz w:val="18"/>
                <w:szCs w:val="18"/>
              </w:rPr>
              <w:t>⃝</w:t>
            </w:r>
            <w:r>
              <w:rPr>
                <w:rFonts w:ascii="Calibri" w:hAnsi="Calibri" w:cs="Calibri" w:eastAsia="Calibri" w:hint="default"/>
                <w:spacing w:val="3"/>
                <w:sz w:val="18"/>
                <w:szCs w:val="18"/>
              </w:rPr>
              <w:t> </w:t>
            </w:r>
            <w:r>
              <w:rPr>
                <w:rFonts w:ascii="Calibri" w:hAnsi="Calibri" w:cs="Calibri" w:eastAsia="Calibri" w:hint="default"/>
                <w:sz w:val="22"/>
                <w:szCs w:val="22"/>
              </w:rPr>
              <w:t>Facebook</w:t>
            </w:r>
          </w:p>
        </w:tc>
        <w:tc>
          <w:tcPr>
            <w:tcW w:w="3488" w:type="dxa"/>
            <w:tcBorders>
              <w:top w:val="nil" w:sz="6" w:space="0" w:color="auto"/>
              <w:left w:val="nil" w:sz="6" w:space="0" w:color="auto"/>
              <w:bottom w:val="nil" w:sz="6" w:space="0" w:color="auto"/>
              <w:right w:val="nil" w:sz="6" w:space="0" w:color="auto"/>
            </w:tcBorders>
          </w:tcPr>
          <w:p>
            <w:pPr>
              <w:pStyle w:val="TableParagraph"/>
              <w:spacing w:line="258" w:lineRule="exact"/>
              <w:ind w:left="146"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Travel guides</w:t>
            </w:r>
          </w:p>
        </w:tc>
      </w:tr>
      <w:tr>
        <w:trPr>
          <w:trHeight w:val="288" w:hRule="exact"/>
        </w:trPr>
        <w:tc>
          <w:tcPr>
            <w:tcW w:w="3039" w:type="dxa"/>
            <w:tcBorders>
              <w:top w:val="nil" w:sz="6" w:space="0" w:color="auto"/>
              <w:left w:val="nil" w:sz="6" w:space="0" w:color="auto"/>
              <w:bottom w:val="nil" w:sz="6" w:space="0" w:color="auto"/>
              <w:right w:val="nil" w:sz="6" w:space="0" w:color="auto"/>
            </w:tcBorders>
          </w:tcPr>
          <w:p>
            <w:pPr>
              <w:pStyle w:val="TableParagraph"/>
              <w:spacing w:line="258" w:lineRule="exact"/>
              <w:ind w:left="35" w:right="0"/>
              <w:jc w:val="left"/>
              <w:rPr>
                <w:rFonts w:ascii="Calibri" w:hAnsi="Calibri" w:cs="Calibri" w:eastAsia="Calibri" w:hint="default"/>
                <w:sz w:val="22"/>
                <w:szCs w:val="22"/>
              </w:rPr>
            </w:pPr>
            <w:r>
              <w:rPr>
                <w:rFonts w:ascii="Calibri" w:hAnsi="Calibri" w:cs="Calibri" w:eastAsia="Calibri" w:hint="default"/>
                <w:sz w:val="18"/>
                <w:szCs w:val="18"/>
              </w:rPr>
              <w:t>⃝</w:t>
            </w:r>
            <w:r>
              <w:rPr>
                <w:rFonts w:ascii="Calibri" w:hAnsi="Calibri" w:cs="Calibri" w:eastAsia="Calibri" w:hint="default"/>
                <w:spacing w:val="-1"/>
                <w:sz w:val="18"/>
                <w:szCs w:val="18"/>
              </w:rPr>
              <w:t> </w:t>
            </w:r>
            <w:r>
              <w:rPr>
                <w:rFonts w:ascii="Calibri" w:hAnsi="Calibri" w:cs="Calibri" w:eastAsia="Calibri" w:hint="default"/>
                <w:sz w:val="22"/>
                <w:szCs w:val="22"/>
              </w:rPr>
              <w:t>Television</w:t>
            </w:r>
          </w:p>
        </w:tc>
        <w:tc>
          <w:tcPr>
            <w:tcW w:w="4280" w:type="dxa"/>
            <w:tcBorders>
              <w:top w:val="nil" w:sz="6" w:space="0" w:color="auto"/>
              <w:left w:val="nil" w:sz="6" w:space="0" w:color="auto"/>
              <w:bottom w:val="nil" w:sz="6" w:space="0" w:color="auto"/>
              <w:right w:val="nil" w:sz="6" w:space="0" w:color="auto"/>
            </w:tcBorders>
          </w:tcPr>
          <w:p>
            <w:pPr>
              <w:pStyle w:val="TableParagraph"/>
              <w:spacing w:line="258" w:lineRule="exact"/>
              <w:ind w:left="711"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pacing w:val="9"/>
                <w:sz w:val="18"/>
                <w:szCs w:val="18"/>
              </w:rPr>
              <w:t> </w:t>
            </w:r>
            <w:r>
              <w:rPr>
                <w:rFonts w:ascii="Calibri" w:hAnsi="Calibri" w:cs="Calibri" w:eastAsia="Calibri" w:hint="default"/>
                <w:sz w:val="22"/>
                <w:szCs w:val="22"/>
              </w:rPr>
              <w:t>Instagram</w:t>
            </w:r>
          </w:p>
        </w:tc>
        <w:tc>
          <w:tcPr>
            <w:tcW w:w="3488" w:type="dxa"/>
            <w:tcBorders>
              <w:top w:val="nil" w:sz="6" w:space="0" w:color="auto"/>
              <w:left w:val="nil" w:sz="6" w:space="0" w:color="auto"/>
              <w:bottom w:val="nil" w:sz="6" w:space="0" w:color="auto"/>
              <w:right w:val="nil" w:sz="6" w:space="0" w:color="auto"/>
            </w:tcBorders>
          </w:tcPr>
          <w:p>
            <w:pPr>
              <w:pStyle w:val="TableParagraph"/>
              <w:spacing w:line="258" w:lineRule="exact"/>
              <w:ind w:left="146"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Company website (hotels,</w:t>
            </w:r>
            <w:r>
              <w:rPr>
                <w:rFonts w:ascii="Calibri" w:hAnsi="Calibri" w:cs="Calibri" w:eastAsia="Calibri" w:hint="default"/>
                <w:spacing w:val="-2"/>
                <w:sz w:val="22"/>
                <w:szCs w:val="22"/>
              </w:rPr>
              <w:t> </w:t>
            </w:r>
            <w:r>
              <w:rPr>
                <w:rFonts w:ascii="Calibri" w:hAnsi="Calibri" w:cs="Calibri" w:eastAsia="Calibri" w:hint="default"/>
                <w:sz w:val="22"/>
                <w:szCs w:val="22"/>
              </w:rPr>
              <w:t>airlines)</w:t>
            </w:r>
          </w:p>
        </w:tc>
      </w:tr>
      <w:tr>
        <w:trPr>
          <w:trHeight w:val="354" w:hRule="exact"/>
        </w:trPr>
        <w:tc>
          <w:tcPr>
            <w:tcW w:w="3039" w:type="dxa"/>
            <w:tcBorders>
              <w:top w:val="nil" w:sz="6" w:space="0" w:color="auto"/>
              <w:left w:val="nil" w:sz="6" w:space="0" w:color="auto"/>
              <w:bottom w:val="nil" w:sz="6" w:space="0" w:color="auto"/>
              <w:right w:val="nil" w:sz="6" w:space="0" w:color="auto"/>
            </w:tcBorders>
          </w:tcPr>
          <w:p>
            <w:pPr>
              <w:pStyle w:val="TableParagraph"/>
              <w:spacing w:line="258" w:lineRule="exact"/>
              <w:ind w:left="35" w:right="0"/>
              <w:jc w:val="left"/>
              <w:rPr>
                <w:rFonts w:ascii="Calibri" w:hAnsi="Calibri" w:cs="Calibri" w:eastAsia="Calibri" w:hint="default"/>
                <w:sz w:val="22"/>
                <w:szCs w:val="22"/>
              </w:rPr>
            </w:pPr>
            <w:r>
              <w:rPr>
                <w:rFonts w:ascii="Calibri" w:hAnsi="Calibri" w:cs="Calibri" w:eastAsia="Calibri" w:hint="default"/>
                <w:sz w:val="18"/>
                <w:szCs w:val="18"/>
              </w:rPr>
              <w:t>⃝</w:t>
            </w:r>
            <w:r>
              <w:rPr>
                <w:rFonts w:ascii="Calibri" w:hAnsi="Calibri" w:cs="Calibri" w:eastAsia="Calibri" w:hint="default"/>
                <w:spacing w:val="4"/>
                <w:sz w:val="18"/>
                <w:szCs w:val="18"/>
              </w:rPr>
              <w:t> </w:t>
            </w:r>
            <w:r>
              <w:rPr>
                <w:rFonts w:ascii="Calibri" w:hAnsi="Calibri" w:cs="Calibri" w:eastAsia="Calibri" w:hint="default"/>
                <w:sz w:val="22"/>
                <w:szCs w:val="22"/>
              </w:rPr>
              <w:t>Newspaper/magazines</w:t>
            </w:r>
          </w:p>
        </w:tc>
        <w:tc>
          <w:tcPr>
            <w:tcW w:w="4280" w:type="dxa"/>
            <w:tcBorders>
              <w:top w:val="nil" w:sz="6" w:space="0" w:color="auto"/>
              <w:left w:val="nil" w:sz="6" w:space="0" w:color="auto"/>
              <w:bottom w:val="nil" w:sz="6" w:space="0" w:color="auto"/>
              <w:right w:val="nil" w:sz="6" w:space="0" w:color="auto"/>
            </w:tcBorders>
          </w:tcPr>
          <w:p>
            <w:pPr>
              <w:pStyle w:val="TableParagraph"/>
              <w:spacing w:line="258" w:lineRule="exact"/>
              <w:ind w:left="711"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pacing w:val="12"/>
                <w:sz w:val="18"/>
                <w:szCs w:val="18"/>
              </w:rPr>
              <w:t> </w:t>
            </w:r>
            <w:r>
              <w:rPr>
                <w:rFonts w:ascii="Calibri" w:hAnsi="Calibri" w:cs="Calibri" w:eastAsia="Calibri" w:hint="default"/>
                <w:sz w:val="22"/>
                <w:szCs w:val="22"/>
              </w:rPr>
              <w:t>Twitter</w:t>
            </w:r>
          </w:p>
        </w:tc>
        <w:tc>
          <w:tcPr>
            <w:tcW w:w="3488" w:type="dxa"/>
            <w:tcBorders>
              <w:top w:val="nil" w:sz="6" w:space="0" w:color="auto"/>
              <w:left w:val="nil" w:sz="6" w:space="0" w:color="auto"/>
              <w:bottom w:val="nil" w:sz="6" w:space="0" w:color="auto"/>
              <w:right w:val="nil" w:sz="6" w:space="0" w:color="auto"/>
            </w:tcBorders>
          </w:tcPr>
          <w:p>
            <w:pPr>
              <w:pStyle w:val="TableParagraph"/>
              <w:tabs>
                <w:tab w:pos="1815" w:val="left" w:leader="none"/>
              </w:tabs>
              <w:spacing w:line="258" w:lineRule="exact"/>
              <w:ind w:left="146"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pacing w:val="14"/>
                <w:sz w:val="18"/>
                <w:szCs w:val="18"/>
              </w:rPr>
              <w:t> </w:t>
            </w:r>
            <w:r>
              <w:rPr>
                <w:rFonts w:ascii="Calibri" w:hAnsi="Calibri" w:cs="Calibri" w:eastAsia="Calibri" w:hint="default"/>
                <w:sz w:val="22"/>
                <w:szCs w:val="22"/>
              </w:rPr>
              <w:t>Other:</w:t>
            </w:r>
            <w:r>
              <w:rPr>
                <w:rFonts w:ascii="Calibri" w:hAnsi="Calibri" w:cs="Calibri" w:eastAsia="Calibri" w:hint="default"/>
                <w:sz w:val="22"/>
                <w:szCs w:val="22"/>
                <w:u w:val="single" w:color="000000"/>
              </w:rPr>
              <w:t> </w:t>
              <w:tab/>
            </w:r>
            <w:r>
              <w:rPr>
                <w:rFonts w:ascii="Calibri" w:hAnsi="Calibri" w:cs="Calibri" w:eastAsia="Calibri" w:hint="default"/>
                <w:sz w:val="22"/>
                <w:szCs w:val="22"/>
              </w:rPr>
            </w:r>
          </w:p>
        </w:tc>
      </w:tr>
    </w:tbl>
    <w:p>
      <w:pPr>
        <w:spacing w:line="240" w:lineRule="auto" w:before="6"/>
        <w:ind w:right="0"/>
        <w:rPr>
          <w:rFonts w:ascii="Calibri" w:hAnsi="Calibri" w:cs="Calibri" w:eastAsia="Calibri" w:hint="default"/>
          <w:b/>
          <w:bCs/>
          <w:i/>
          <w:sz w:val="10"/>
          <w:szCs w:val="10"/>
        </w:rPr>
      </w:pPr>
    </w:p>
    <w:p>
      <w:pPr>
        <w:pStyle w:val="ListParagraph"/>
        <w:numPr>
          <w:ilvl w:val="0"/>
          <w:numId w:val="22"/>
        </w:numPr>
        <w:tabs>
          <w:tab w:pos="677" w:val="left" w:leader="none"/>
        </w:tabs>
        <w:spacing w:line="240" w:lineRule="auto" w:before="55" w:after="36"/>
        <w:ind w:left="676" w:right="0" w:hanging="220"/>
        <w:jc w:val="left"/>
        <w:rPr>
          <w:rFonts w:ascii="Calibri" w:hAnsi="Calibri" w:cs="Calibri" w:eastAsia="Calibri" w:hint="default"/>
          <w:sz w:val="22"/>
          <w:szCs w:val="22"/>
        </w:rPr>
      </w:pPr>
      <w:r>
        <w:rPr>
          <w:rFonts w:ascii="Calibri" w:hAnsi="Calibri"/>
          <w:b/>
          <w:sz w:val="22"/>
        </w:rPr>
        <w:t>When did you </w:t>
      </w:r>
      <w:r>
        <w:rPr>
          <w:rFonts w:ascii="Calibri" w:hAnsi="Calibri"/>
          <w:b/>
          <w:sz w:val="22"/>
          <w:u w:val="single" w:color="000000"/>
        </w:rPr>
        <w:t>START PLANNING </w:t>
      </w:r>
      <w:r>
        <w:rPr>
          <w:rFonts w:ascii="Calibri" w:hAnsi="Calibri"/>
          <w:b/>
          <w:sz w:val="22"/>
        </w:rPr>
        <w:t>your trip to Curaçao? </w:t>
      </w:r>
      <w:r>
        <w:rPr>
          <w:rFonts w:ascii="Calibri" w:hAnsi="Calibri"/>
          <w:b/>
          <w:i/>
          <w:sz w:val="22"/>
        </w:rPr>
        <w:t>(Please check only</w:t>
      </w:r>
      <w:r>
        <w:rPr>
          <w:rFonts w:ascii="Calibri" w:hAnsi="Calibri"/>
          <w:b/>
          <w:i/>
          <w:spacing w:val="-25"/>
          <w:sz w:val="22"/>
        </w:rPr>
        <w:t> </w:t>
      </w:r>
      <w:r>
        <w:rPr>
          <w:rFonts w:ascii="Calibri" w:hAnsi="Calibri"/>
          <w:b/>
          <w:i/>
          <w:sz w:val="22"/>
        </w:rPr>
        <w:t>one)</w:t>
      </w:r>
      <w:r>
        <w:rPr>
          <w:rFonts w:ascii="Calibri" w:hAnsi="Calibri"/>
          <w:sz w:val="22"/>
        </w:rPr>
      </w:r>
    </w:p>
    <w:tbl>
      <w:tblPr>
        <w:tblW w:w="0" w:type="auto"/>
        <w:jc w:val="left"/>
        <w:tblInd w:w="421" w:type="dxa"/>
        <w:tblLayout w:type="fixed"/>
        <w:tblCellMar>
          <w:top w:w="0" w:type="dxa"/>
          <w:left w:w="0" w:type="dxa"/>
          <w:bottom w:w="0" w:type="dxa"/>
          <w:right w:w="0" w:type="dxa"/>
        </w:tblCellMar>
        <w:tblLook w:val="01E0"/>
      </w:tblPr>
      <w:tblGrid>
        <w:gridCol w:w="322"/>
        <w:gridCol w:w="3752"/>
        <w:gridCol w:w="1443"/>
        <w:gridCol w:w="2751"/>
      </w:tblGrid>
      <w:tr>
        <w:trPr>
          <w:trHeight w:val="282"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8"/>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752"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Less than 1 week</w:t>
            </w:r>
            <w:r>
              <w:rPr>
                <w:rFonts w:ascii="Calibri"/>
                <w:spacing w:val="-10"/>
                <w:sz w:val="22"/>
              </w:rPr>
              <w:t> </w:t>
            </w:r>
            <w:r>
              <w:rPr>
                <w:rFonts w:ascii="Calibri"/>
                <w:sz w:val="22"/>
              </w:rPr>
              <w:t>ago</w:t>
            </w:r>
          </w:p>
        </w:tc>
        <w:tc>
          <w:tcPr>
            <w:tcW w:w="1443"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51"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Between 1 and 3 months</w:t>
            </w:r>
            <w:r>
              <w:rPr>
                <w:rFonts w:ascii="Calibri"/>
                <w:spacing w:val="-11"/>
                <w:sz w:val="22"/>
              </w:rPr>
              <w:t> </w:t>
            </w:r>
            <w:r>
              <w:rPr>
                <w:rFonts w:ascii="Calibri"/>
                <w:sz w:val="22"/>
              </w:rPr>
              <w:t>ago</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752"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Between 1 and 2 weeks</w:t>
            </w:r>
            <w:r>
              <w:rPr>
                <w:rFonts w:ascii="Calibri"/>
                <w:spacing w:val="-8"/>
                <w:sz w:val="22"/>
              </w:rPr>
              <w:t> </w:t>
            </w:r>
            <w:r>
              <w:rPr>
                <w:rFonts w:ascii="Calibri"/>
                <w:sz w:val="22"/>
              </w:rPr>
              <w:t>ago</w:t>
            </w:r>
          </w:p>
        </w:tc>
        <w:tc>
          <w:tcPr>
            <w:tcW w:w="1443"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5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Between 3 and 6 months</w:t>
            </w:r>
            <w:r>
              <w:rPr>
                <w:rFonts w:ascii="Calibri"/>
                <w:spacing w:val="-11"/>
                <w:sz w:val="22"/>
              </w:rPr>
              <w:t> </w:t>
            </w:r>
            <w:r>
              <w:rPr>
                <w:rFonts w:ascii="Calibri"/>
                <w:sz w:val="22"/>
              </w:rPr>
              <w:t>ago</w:t>
            </w:r>
          </w:p>
        </w:tc>
      </w:tr>
      <w:tr>
        <w:trPr>
          <w:trHeight w:val="354"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752"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Between 2 and 4 weeks</w:t>
            </w:r>
            <w:r>
              <w:rPr>
                <w:rFonts w:ascii="Calibri"/>
                <w:spacing w:val="-8"/>
                <w:sz w:val="22"/>
              </w:rPr>
              <w:t> </w:t>
            </w:r>
            <w:r>
              <w:rPr>
                <w:rFonts w:ascii="Calibri"/>
                <w:sz w:val="22"/>
              </w:rPr>
              <w:t>ago</w:t>
            </w:r>
          </w:p>
        </w:tc>
        <w:tc>
          <w:tcPr>
            <w:tcW w:w="1443"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5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More than 6 months</w:t>
            </w:r>
            <w:r>
              <w:rPr>
                <w:rFonts w:ascii="Calibri"/>
                <w:spacing w:val="-6"/>
                <w:sz w:val="22"/>
              </w:rPr>
              <w:t> </w:t>
            </w:r>
            <w:r>
              <w:rPr>
                <w:rFonts w:ascii="Calibri"/>
                <w:sz w:val="22"/>
              </w:rPr>
              <w:t>ago</w:t>
            </w:r>
          </w:p>
        </w:tc>
      </w:tr>
    </w:tbl>
    <w:p>
      <w:pPr>
        <w:spacing w:line="240" w:lineRule="auto" w:before="3"/>
        <w:ind w:right="0"/>
        <w:rPr>
          <w:rFonts w:ascii="Calibri" w:hAnsi="Calibri" w:cs="Calibri" w:eastAsia="Calibri" w:hint="default"/>
          <w:b/>
          <w:bCs/>
          <w:i/>
          <w:sz w:val="11"/>
          <w:szCs w:val="11"/>
        </w:rPr>
      </w:pPr>
    </w:p>
    <w:p>
      <w:pPr>
        <w:pStyle w:val="ListParagraph"/>
        <w:numPr>
          <w:ilvl w:val="0"/>
          <w:numId w:val="22"/>
        </w:numPr>
        <w:tabs>
          <w:tab w:pos="677" w:val="left" w:leader="none"/>
        </w:tabs>
        <w:spacing w:line="240" w:lineRule="auto" w:before="55" w:after="36"/>
        <w:ind w:left="676" w:right="0" w:hanging="220"/>
        <w:jc w:val="left"/>
        <w:rPr>
          <w:rFonts w:ascii="Calibri" w:hAnsi="Calibri" w:cs="Calibri" w:eastAsia="Calibri" w:hint="default"/>
          <w:sz w:val="22"/>
          <w:szCs w:val="22"/>
        </w:rPr>
      </w:pPr>
      <w:r>
        <w:rPr>
          <w:rFonts w:ascii="Calibri" w:hAnsi="Calibri"/>
          <w:b/>
          <w:sz w:val="22"/>
        </w:rPr>
        <w:t>When</w:t>
      </w:r>
      <w:r>
        <w:rPr>
          <w:rFonts w:ascii="Calibri" w:hAnsi="Calibri"/>
          <w:b/>
          <w:spacing w:val="-3"/>
          <w:sz w:val="22"/>
        </w:rPr>
        <w:t> </w:t>
      </w:r>
      <w:r>
        <w:rPr>
          <w:rFonts w:ascii="Calibri" w:hAnsi="Calibri"/>
          <w:b/>
          <w:sz w:val="22"/>
        </w:rPr>
        <w:t>did</w:t>
      </w:r>
      <w:r>
        <w:rPr>
          <w:rFonts w:ascii="Calibri" w:hAnsi="Calibri"/>
          <w:b/>
          <w:spacing w:val="-3"/>
          <w:sz w:val="22"/>
        </w:rPr>
        <w:t> </w:t>
      </w:r>
      <w:r>
        <w:rPr>
          <w:rFonts w:ascii="Calibri" w:hAnsi="Calibri"/>
          <w:b/>
          <w:sz w:val="22"/>
        </w:rPr>
        <w:t>you</w:t>
      </w:r>
      <w:r>
        <w:rPr>
          <w:rFonts w:ascii="Calibri" w:hAnsi="Calibri"/>
          <w:b/>
          <w:spacing w:val="-3"/>
          <w:sz w:val="22"/>
        </w:rPr>
        <w:t> </w:t>
      </w:r>
      <w:r>
        <w:rPr>
          <w:rFonts w:ascii="Calibri" w:hAnsi="Calibri"/>
          <w:b/>
          <w:sz w:val="22"/>
          <w:u w:val="single" w:color="000000"/>
        </w:rPr>
        <w:t>MAKE</w:t>
      </w:r>
      <w:r>
        <w:rPr>
          <w:rFonts w:ascii="Calibri" w:hAnsi="Calibri"/>
          <w:b/>
          <w:spacing w:val="-2"/>
          <w:sz w:val="22"/>
          <w:u w:val="single" w:color="000000"/>
        </w:rPr>
        <w:t> </w:t>
      </w:r>
      <w:r>
        <w:rPr>
          <w:rFonts w:ascii="Calibri" w:hAnsi="Calibri"/>
          <w:b/>
          <w:sz w:val="22"/>
          <w:u w:val="single" w:color="000000"/>
        </w:rPr>
        <w:t>THE</w:t>
      </w:r>
      <w:r>
        <w:rPr>
          <w:rFonts w:ascii="Calibri" w:hAnsi="Calibri"/>
          <w:b/>
          <w:spacing w:val="-2"/>
          <w:sz w:val="22"/>
          <w:u w:val="single" w:color="000000"/>
        </w:rPr>
        <w:t> </w:t>
      </w:r>
      <w:r>
        <w:rPr>
          <w:rFonts w:ascii="Calibri" w:hAnsi="Calibri"/>
          <w:b/>
          <w:sz w:val="22"/>
          <w:u w:val="single" w:color="000000"/>
        </w:rPr>
        <w:t>RESERVATIONS</w:t>
      </w:r>
      <w:r>
        <w:rPr>
          <w:rFonts w:ascii="Calibri" w:hAnsi="Calibri"/>
          <w:b/>
          <w:spacing w:val="-2"/>
          <w:sz w:val="22"/>
          <w:u w:val="single" w:color="000000"/>
        </w:rPr>
        <w:t> </w:t>
      </w:r>
      <w:r>
        <w:rPr>
          <w:rFonts w:ascii="Calibri" w:hAnsi="Calibri"/>
          <w:b/>
          <w:sz w:val="22"/>
          <w:u w:val="single" w:color="000000"/>
        </w:rPr>
        <w:t>OR</w:t>
      </w:r>
      <w:r>
        <w:rPr>
          <w:rFonts w:ascii="Calibri" w:hAnsi="Calibri"/>
          <w:b/>
          <w:spacing w:val="-3"/>
          <w:sz w:val="22"/>
          <w:u w:val="single" w:color="000000"/>
        </w:rPr>
        <w:t> </w:t>
      </w:r>
      <w:r>
        <w:rPr>
          <w:rFonts w:ascii="Calibri" w:hAnsi="Calibri"/>
          <w:b/>
          <w:sz w:val="22"/>
          <w:u w:val="single" w:color="000000"/>
        </w:rPr>
        <w:t>BOOKING</w:t>
      </w:r>
      <w:r>
        <w:rPr>
          <w:rFonts w:ascii="Calibri" w:hAnsi="Calibri"/>
          <w:b/>
          <w:spacing w:val="-2"/>
          <w:sz w:val="22"/>
          <w:u w:val="single" w:color="000000"/>
        </w:rPr>
        <w:t> </w:t>
      </w:r>
      <w:r>
        <w:rPr>
          <w:rFonts w:ascii="Calibri" w:hAnsi="Calibri"/>
          <w:b/>
          <w:spacing w:val="-2"/>
          <w:sz w:val="22"/>
        </w:rPr>
      </w:r>
      <w:r>
        <w:rPr>
          <w:rFonts w:ascii="Calibri" w:hAnsi="Calibri"/>
          <w:b/>
          <w:sz w:val="22"/>
        </w:rPr>
        <w:t>for</w:t>
      </w:r>
      <w:r>
        <w:rPr>
          <w:rFonts w:ascii="Calibri" w:hAnsi="Calibri"/>
          <w:b/>
          <w:spacing w:val="-3"/>
          <w:sz w:val="22"/>
        </w:rPr>
        <w:t> </w:t>
      </w:r>
      <w:r>
        <w:rPr>
          <w:rFonts w:ascii="Calibri" w:hAnsi="Calibri"/>
          <w:b/>
          <w:sz w:val="22"/>
        </w:rPr>
        <w:t>your</w:t>
      </w:r>
      <w:r>
        <w:rPr>
          <w:rFonts w:ascii="Calibri" w:hAnsi="Calibri"/>
          <w:b/>
          <w:spacing w:val="-1"/>
          <w:sz w:val="22"/>
        </w:rPr>
        <w:t> </w:t>
      </w:r>
      <w:r>
        <w:rPr>
          <w:rFonts w:ascii="Calibri" w:hAnsi="Calibri"/>
          <w:b/>
          <w:sz w:val="22"/>
        </w:rPr>
        <w:t>trip</w:t>
      </w:r>
      <w:r>
        <w:rPr>
          <w:rFonts w:ascii="Calibri" w:hAnsi="Calibri"/>
          <w:b/>
          <w:spacing w:val="-3"/>
          <w:sz w:val="22"/>
        </w:rPr>
        <w:t> </w:t>
      </w:r>
      <w:r>
        <w:rPr>
          <w:rFonts w:ascii="Calibri" w:hAnsi="Calibri"/>
          <w:b/>
          <w:sz w:val="22"/>
        </w:rPr>
        <w:t>to</w:t>
      </w:r>
      <w:r>
        <w:rPr>
          <w:rFonts w:ascii="Calibri" w:hAnsi="Calibri"/>
          <w:b/>
          <w:spacing w:val="-3"/>
          <w:sz w:val="22"/>
        </w:rPr>
        <w:t> </w:t>
      </w:r>
      <w:r>
        <w:rPr>
          <w:rFonts w:ascii="Calibri" w:hAnsi="Calibri"/>
          <w:b/>
          <w:sz w:val="22"/>
        </w:rPr>
        <w:t>Curaçao?</w:t>
      </w:r>
      <w:r>
        <w:rPr>
          <w:rFonts w:ascii="Calibri" w:hAnsi="Calibri"/>
          <w:b/>
          <w:spacing w:val="-2"/>
          <w:sz w:val="22"/>
        </w:rPr>
        <w:t> </w:t>
      </w:r>
      <w:r>
        <w:rPr>
          <w:rFonts w:ascii="Calibri" w:hAnsi="Calibri"/>
          <w:b/>
          <w:i/>
          <w:sz w:val="22"/>
        </w:rPr>
        <w:t>(Please</w:t>
      </w:r>
      <w:r>
        <w:rPr>
          <w:rFonts w:ascii="Calibri" w:hAnsi="Calibri"/>
          <w:b/>
          <w:i/>
          <w:spacing w:val="-3"/>
          <w:sz w:val="22"/>
        </w:rPr>
        <w:t> </w:t>
      </w:r>
      <w:r>
        <w:rPr>
          <w:rFonts w:ascii="Calibri" w:hAnsi="Calibri"/>
          <w:b/>
          <w:i/>
          <w:sz w:val="22"/>
        </w:rPr>
        <w:t>check</w:t>
      </w:r>
      <w:r>
        <w:rPr>
          <w:rFonts w:ascii="Calibri" w:hAnsi="Calibri"/>
          <w:b/>
          <w:i/>
          <w:spacing w:val="-2"/>
          <w:sz w:val="22"/>
        </w:rPr>
        <w:t> </w:t>
      </w:r>
      <w:r>
        <w:rPr>
          <w:rFonts w:ascii="Calibri" w:hAnsi="Calibri"/>
          <w:b/>
          <w:i/>
          <w:sz w:val="22"/>
        </w:rPr>
        <w:t>only</w:t>
      </w:r>
      <w:r>
        <w:rPr>
          <w:rFonts w:ascii="Calibri" w:hAnsi="Calibri"/>
          <w:b/>
          <w:i/>
          <w:spacing w:val="-2"/>
          <w:sz w:val="22"/>
        </w:rPr>
        <w:t> </w:t>
      </w:r>
      <w:r>
        <w:rPr>
          <w:rFonts w:ascii="Calibri" w:hAnsi="Calibri"/>
          <w:b/>
          <w:i/>
          <w:sz w:val="22"/>
        </w:rPr>
        <w:t>one)</w:t>
      </w:r>
      <w:r>
        <w:rPr>
          <w:rFonts w:ascii="Calibri" w:hAnsi="Calibri"/>
          <w:sz w:val="22"/>
        </w:rPr>
      </w:r>
    </w:p>
    <w:tbl>
      <w:tblPr>
        <w:tblW w:w="0" w:type="auto"/>
        <w:jc w:val="left"/>
        <w:tblInd w:w="421" w:type="dxa"/>
        <w:tblLayout w:type="fixed"/>
        <w:tblCellMar>
          <w:top w:w="0" w:type="dxa"/>
          <w:left w:w="0" w:type="dxa"/>
          <w:bottom w:w="0" w:type="dxa"/>
          <w:right w:w="0" w:type="dxa"/>
        </w:tblCellMar>
        <w:tblLook w:val="01E0"/>
      </w:tblPr>
      <w:tblGrid>
        <w:gridCol w:w="322"/>
        <w:gridCol w:w="3753"/>
        <w:gridCol w:w="1443"/>
        <w:gridCol w:w="2751"/>
      </w:tblGrid>
      <w:tr>
        <w:trPr>
          <w:trHeight w:val="282"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8"/>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753"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Less than 1 week</w:t>
            </w:r>
            <w:r>
              <w:rPr>
                <w:rFonts w:ascii="Calibri"/>
                <w:spacing w:val="-10"/>
                <w:sz w:val="22"/>
              </w:rPr>
              <w:t> </w:t>
            </w:r>
            <w:r>
              <w:rPr>
                <w:rFonts w:ascii="Calibri"/>
                <w:sz w:val="22"/>
              </w:rPr>
              <w:t>ago</w:t>
            </w:r>
          </w:p>
        </w:tc>
        <w:tc>
          <w:tcPr>
            <w:tcW w:w="1443"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51"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Between 1 and 3 months</w:t>
            </w:r>
            <w:r>
              <w:rPr>
                <w:rFonts w:ascii="Calibri"/>
                <w:spacing w:val="-11"/>
                <w:sz w:val="22"/>
              </w:rPr>
              <w:t> </w:t>
            </w:r>
            <w:r>
              <w:rPr>
                <w:rFonts w:ascii="Calibri"/>
                <w:sz w:val="22"/>
              </w:rPr>
              <w:t>ago</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753"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Between 1 and 2 weeks</w:t>
            </w:r>
            <w:r>
              <w:rPr>
                <w:rFonts w:ascii="Calibri"/>
                <w:spacing w:val="-8"/>
                <w:sz w:val="22"/>
              </w:rPr>
              <w:t> </w:t>
            </w:r>
            <w:r>
              <w:rPr>
                <w:rFonts w:ascii="Calibri"/>
                <w:sz w:val="22"/>
              </w:rPr>
              <w:t>ago</w:t>
            </w:r>
          </w:p>
        </w:tc>
        <w:tc>
          <w:tcPr>
            <w:tcW w:w="1443"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5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Between 3 and 6 months</w:t>
            </w:r>
            <w:r>
              <w:rPr>
                <w:rFonts w:ascii="Calibri"/>
                <w:spacing w:val="-11"/>
                <w:sz w:val="22"/>
              </w:rPr>
              <w:t> </w:t>
            </w:r>
            <w:r>
              <w:rPr>
                <w:rFonts w:ascii="Calibri"/>
                <w:sz w:val="22"/>
              </w:rPr>
              <w:t>ago</w:t>
            </w:r>
          </w:p>
        </w:tc>
      </w:tr>
      <w:tr>
        <w:trPr>
          <w:trHeight w:val="354"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753"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Between 2 and 4 weeks</w:t>
            </w:r>
            <w:r>
              <w:rPr>
                <w:rFonts w:ascii="Calibri"/>
                <w:spacing w:val="-8"/>
                <w:sz w:val="22"/>
              </w:rPr>
              <w:t> </w:t>
            </w:r>
            <w:r>
              <w:rPr>
                <w:rFonts w:ascii="Calibri"/>
                <w:sz w:val="22"/>
              </w:rPr>
              <w:t>ago</w:t>
            </w:r>
          </w:p>
        </w:tc>
        <w:tc>
          <w:tcPr>
            <w:tcW w:w="1443"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5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More than 6 months</w:t>
            </w:r>
            <w:r>
              <w:rPr>
                <w:rFonts w:ascii="Calibri"/>
                <w:spacing w:val="-6"/>
                <w:sz w:val="22"/>
              </w:rPr>
              <w:t> </w:t>
            </w:r>
            <w:r>
              <w:rPr>
                <w:rFonts w:ascii="Calibri"/>
                <w:sz w:val="22"/>
              </w:rPr>
              <w:t>ago</w:t>
            </w:r>
          </w:p>
        </w:tc>
      </w:tr>
    </w:tbl>
    <w:p>
      <w:pPr>
        <w:spacing w:after="0" w:line="258" w:lineRule="exact"/>
        <w:jc w:val="left"/>
        <w:rPr>
          <w:rFonts w:ascii="Calibri" w:hAnsi="Calibri" w:cs="Calibri" w:eastAsia="Calibri" w:hint="default"/>
          <w:sz w:val="22"/>
          <w:szCs w:val="22"/>
        </w:rPr>
        <w:sectPr>
          <w:headerReference w:type="default" r:id="rId100"/>
          <w:footerReference w:type="default" r:id="rId101"/>
          <w:pgSz w:w="12240" w:h="15840"/>
          <w:pgMar w:header="720" w:footer="312" w:top="1280" w:bottom="500" w:left="220" w:right="280"/>
          <w:pgNumType w:start="2"/>
        </w:sectPr>
      </w:pPr>
    </w:p>
    <w:p>
      <w:pPr>
        <w:spacing w:line="240" w:lineRule="auto" w:before="11"/>
        <w:ind w:right="0"/>
        <w:rPr>
          <w:rFonts w:ascii="Calibri" w:hAnsi="Calibri" w:cs="Calibri" w:eastAsia="Calibri" w:hint="default"/>
          <w:b/>
          <w:bCs/>
          <w:i/>
          <w:sz w:val="18"/>
          <w:szCs w:val="18"/>
        </w:rPr>
      </w:pPr>
    </w:p>
    <w:p>
      <w:pPr>
        <w:pStyle w:val="ListParagraph"/>
        <w:numPr>
          <w:ilvl w:val="0"/>
          <w:numId w:val="22"/>
        </w:numPr>
        <w:tabs>
          <w:tab w:pos="690" w:val="left" w:leader="none"/>
        </w:tabs>
        <w:spacing w:line="240" w:lineRule="auto" w:before="55" w:after="36"/>
        <w:ind w:left="689" w:right="0" w:hanging="219"/>
        <w:jc w:val="left"/>
        <w:rPr>
          <w:rFonts w:ascii="Calibri" w:hAnsi="Calibri" w:cs="Calibri" w:eastAsia="Calibri" w:hint="default"/>
          <w:sz w:val="22"/>
          <w:szCs w:val="22"/>
        </w:rPr>
      </w:pPr>
      <w:r>
        <w:rPr>
          <w:rFonts w:ascii="Calibri" w:hAnsi="Calibri"/>
          <w:b/>
          <w:sz w:val="22"/>
        </w:rPr>
        <w:t>How did you arrange your lodging reservation for your visit to Curaçao? </w:t>
      </w:r>
      <w:r>
        <w:rPr>
          <w:rFonts w:ascii="Calibri" w:hAnsi="Calibri"/>
          <w:b/>
          <w:i/>
          <w:sz w:val="22"/>
        </w:rPr>
        <w:t>(Please check only</w:t>
      </w:r>
      <w:r>
        <w:rPr>
          <w:rFonts w:ascii="Calibri" w:hAnsi="Calibri"/>
          <w:b/>
          <w:i/>
          <w:spacing w:val="-34"/>
          <w:sz w:val="22"/>
        </w:rPr>
        <w:t> </w:t>
      </w:r>
      <w:r>
        <w:rPr>
          <w:rFonts w:ascii="Calibri" w:hAnsi="Calibri"/>
          <w:b/>
          <w:i/>
          <w:sz w:val="22"/>
        </w:rPr>
        <w:t>one)</w:t>
      </w:r>
      <w:r>
        <w:rPr>
          <w:rFonts w:ascii="Calibri" w:hAnsi="Calibri"/>
          <w:sz w:val="22"/>
        </w:rPr>
      </w:r>
    </w:p>
    <w:tbl>
      <w:tblPr>
        <w:tblW w:w="0" w:type="auto"/>
        <w:jc w:val="left"/>
        <w:tblInd w:w="435" w:type="dxa"/>
        <w:tblLayout w:type="fixed"/>
        <w:tblCellMar>
          <w:top w:w="0" w:type="dxa"/>
          <w:left w:w="0" w:type="dxa"/>
          <w:bottom w:w="0" w:type="dxa"/>
          <w:right w:w="0" w:type="dxa"/>
        </w:tblCellMar>
        <w:tblLook w:val="01E0"/>
      </w:tblPr>
      <w:tblGrid>
        <w:gridCol w:w="322"/>
        <w:gridCol w:w="2979"/>
        <w:gridCol w:w="654"/>
        <w:gridCol w:w="3118"/>
        <w:gridCol w:w="575"/>
        <w:gridCol w:w="2567"/>
      </w:tblGrid>
      <w:tr>
        <w:trPr>
          <w:trHeight w:val="282"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8"/>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979" w:type="dxa"/>
            <w:tcBorders>
              <w:top w:val="nil" w:sz="6" w:space="0" w:color="auto"/>
              <w:left w:val="nil" w:sz="6" w:space="0" w:color="auto"/>
              <w:bottom w:val="nil" w:sz="6" w:space="0" w:color="auto"/>
              <w:right w:val="nil" w:sz="6" w:space="0" w:color="auto"/>
            </w:tcBorders>
          </w:tcPr>
          <w:p>
            <w:pPr>
              <w:pStyle w:val="TableParagraph"/>
              <w:spacing w:line="252" w:lineRule="exact"/>
              <w:ind w:left="108" w:right="0"/>
              <w:jc w:val="left"/>
              <w:rPr>
                <w:rFonts w:ascii="Calibri" w:hAnsi="Calibri" w:cs="Calibri" w:eastAsia="Calibri" w:hint="default"/>
                <w:sz w:val="22"/>
                <w:szCs w:val="22"/>
              </w:rPr>
            </w:pPr>
            <w:r>
              <w:rPr>
                <w:rFonts w:ascii="Calibri"/>
                <w:sz w:val="22"/>
              </w:rPr>
              <w:t>Hotel telephone</w:t>
            </w:r>
            <w:r>
              <w:rPr>
                <w:rFonts w:ascii="Calibri"/>
                <w:spacing w:val="-9"/>
                <w:sz w:val="22"/>
              </w:rPr>
              <w:t> </w:t>
            </w:r>
            <w:r>
              <w:rPr>
                <w:rFonts w:ascii="Calibri"/>
                <w:sz w:val="22"/>
              </w:rPr>
              <w:t>reservation</w:t>
            </w:r>
          </w:p>
        </w:tc>
        <w:tc>
          <w:tcPr>
            <w:tcW w:w="654"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21"/>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118" w:type="dxa"/>
            <w:tcBorders>
              <w:top w:val="nil" w:sz="6" w:space="0" w:color="auto"/>
              <w:left w:val="nil" w:sz="6" w:space="0" w:color="auto"/>
              <w:bottom w:val="nil" w:sz="6" w:space="0" w:color="auto"/>
              <w:right w:val="nil" w:sz="6" w:space="0" w:color="auto"/>
            </w:tcBorders>
          </w:tcPr>
          <w:p>
            <w:pPr>
              <w:pStyle w:val="TableParagraph"/>
              <w:spacing w:line="252" w:lineRule="exact"/>
              <w:ind w:left="123" w:right="0"/>
              <w:jc w:val="left"/>
              <w:rPr>
                <w:rFonts w:ascii="Calibri" w:hAnsi="Calibri" w:cs="Calibri" w:eastAsia="Calibri" w:hint="default"/>
                <w:sz w:val="22"/>
                <w:szCs w:val="22"/>
              </w:rPr>
            </w:pPr>
            <w:r>
              <w:rPr>
                <w:rFonts w:ascii="Calibri"/>
                <w:sz w:val="22"/>
              </w:rPr>
              <w:t>Travel</w:t>
            </w:r>
            <w:r>
              <w:rPr>
                <w:rFonts w:ascii="Calibri"/>
                <w:spacing w:val="-6"/>
                <w:sz w:val="22"/>
              </w:rPr>
              <w:t> </w:t>
            </w:r>
            <w:r>
              <w:rPr>
                <w:rFonts w:ascii="Calibri"/>
                <w:sz w:val="22"/>
              </w:rPr>
              <w:t>agent</w:t>
            </w:r>
          </w:p>
        </w:tc>
        <w:tc>
          <w:tcPr>
            <w:tcW w:w="575"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07"/>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567" w:type="dxa"/>
            <w:tcBorders>
              <w:top w:val="nil" w:sz="6" w:space="0" w:color="auto"/>
              <w:left w:val="nil" w:sz="6" w:space="0" w:color="auto"/>
              <w:bottom w:val="nil" w:sz="6" w:space="0" w:color="auto"/>
              <w:right w:val="nil" w:sz="6" w:space="0" w:color="auto"/>
            </w:tcBorders>
          </w:tcPr>
          <w:p>
            <w:pPr>
              <w:pStyle w:val="TableParagraph"/>
              <w:spacing w:line="252" w:lineRule="exact"/>
              <w:ind w:left="109" w:right="0"/>
              <w:jc w:val="left"/>
              <w:rPr>
                <w:rFonts w:ascii="Calibri" w:hAnsi="Calibri" w:cs="Calibri" w:eastAsia="Calibri" w:hint="default"/>
                <w:sz w:val="22"/>
                <w:szCs w:val="22"/>
              </w:rPr>
            </w:pPr>
            <w:r>
              <w:rPr>
                <w:rFonts w:ascii="Calibri"/>
                <w:sz w:val="22"/>
              </w:rPr>
              <w:t>Airbnb.com</w:t>
            </w:r>
          </w:p>
        </w:tc>
      </w:tr>
      <w:tr>
        <w:trPr>
          <w:trHeight w:val="354"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979"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Hotel</w:t>
            </w:r>
            <w:r>
              <w:rPr>
                <w:rFonts w:ascii="Calibri"/>
                <w:spacing w:val="-6"/>
                <w:sz w:val="22"/>
              </w:rPr>
              <w:t> </w:t>
            </w:r>
            <w:r>
              <w:rPr>
                <w:rFonts w:ascii="Calibri"/>
                <w:sz w:val="22"/>
              </w:rPr>
              <w:t>website</w:t>
            </w:r>
          </w:p>
        </w:tc>
        <w:tc>
          <w:tcPr>
            <w:tcW w:w="654"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21"/>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118" w:type="dxa"/>
            <w:tcBorders>
              <w:top w:val="nil" w:sz="6" w:space="0" w:color="auto"/>
              <w:left w:val="nil" w:sz="6" w:space="0" w:color="auto"/>
              <w:bottom w:val="nil" w:sz="6" w:space="0" w:color="auto"/>
              <w:right w:val="nil" w:sz="6" w:space="0" w:color="auto"/>
            </w:tcBorders>
          </w:tcPr>
          <w:p>
            <w:pPr>
              <w:pStyle w:val="TableParagraph"/>
              <w:spacing w:line="258" w:lineRule="exact"/>
              <w:ind w:left="123" w:right="0"/>
              <w:jc w:val="left"/>
              <w:rPr>
                <w:rFonts w:ascii="Calibri" w:hAnsi="Calibri" w:cs="Calibri" w:eastAsia="Calibri" w:hint="default"/>
                <w:sz w:val="22"/>
                <w:szCs w:val="22"/>
              </w:rPr>
            </w:pPr>
            <w:r>
              <w:rPr>
                <w:rFonts w:ascii="Calibri"/>
                <w:sz w:val="22"/>
              </w:rPr>
              <w:t>Internet (e.g.</w:t>
            </w:r>
            <w:r>
              <w:rPr>
                <w:rFonts w:ascii="Calibri"/>
                <w:spacing w:val="-11"/>
                <w:sz w:val="22"/>
              </w:rPr>
              <w:t> </w:t>
            </w:r>
            <w:r>
              <w:rPr>
                <w:rFonts w:ascii="Calibri"/>
                <w:sz w:val="22"/>
              </w:rPr>
              <w:t>Travelocity.com)</w:t>
            </w:r>
          </w:p>
        </w:tc>
        <w:tc>
          <w:tcPr>
            <w:tcW w:w="575"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07"/>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567" w:type="dxa"/>
            <w:tcBorders>
              <w:top w:val="nil" w:sz="6" w:space="0" w:color="auto"/>
              <w:left w:val="nil" w:sz="6" w:space="0" w:color="auto"/>
              <w:bottom w:val="nil" w:sz="6" w:space="0" w:color="auto"/>
              <w:right w:val="nil" w:sz="6" w:space="0" w:color="auto"/>
            </w:tcBorders>
          </w:tcPr>
          <w:p>
            <w:pPr>
              <w:pStyle w:val="TableParagraph"/>
              <w:spacing w:line="258" w:lineRule="exact"/>
              <w:ind w:left="109" w:right="0"/>
              <w:jc w:val="left"/>
              <w:rPr>
                <w:rFonts w:ascii="Calibri" w:hAnsi="Calibri" w:cs="Calibri" w:eastAsia="Calibri" w:hint="default"/>
                <w:sz w:val="22"/>
                <w:szCs w:val="22"/>
              </w:rPr>
            </w:pPr>
            <w:r>
              <w:rPr>
                <w:rFonts w:ascii="Calibri"/>
                <w:sz w:val="22"/>
              </w:rPr>
              <w:t>Apartment rental</w:t>
            </w:r>
            <w:r>
              <w:rPr>
                <w:rFonts w:ascii="Calibri"/>
                <w:spacing w:val="-10"/>
                <w:sz w:val="22"/>
              </w:rPr>
              <w:t> </w:t>
            </w:r>
            <w:r>
              <w:rPr>
                <w:rFonts w:ascii="Calibri"/>
                <w:sz w:val="22"/>
              </w:rPr>
              <w:t>company</w:t>
            </w:r>
          </w:p>
        </w:tc>
      </w:tr>
    </w:tbl>
    <w:p>
      <w:pPr>
        <w:spacing w:line="240" w:lineRule="auto" w:before="3"/>
        <w:ind w:right="0"/>
        <w:rPr>
          <w:rFonts w:ascii="Calibri" w:hAnsi="Calibri" w:cs="Calibri" w:eastAsia="Calibri" w:hint="default"/>
          <w:b/>
          <w:bCs/>
          <w:i/>
          <w:sz w:val="11"/>
          <w:szCs w:val="11"/>
        </w:rPr>
      </w:pPr>
    </w:p>
    <w:p>
      <w:pPr>
        <w:pStyle w:val="ListParagraph"/>
        <w:numPr>
          <w:ilvl w:val="0"/>
          <w:numId w:val="22"/>
        </w:numPr>
        <w:tabs>
          <w:tab w:pos="802" w:val="left" w:leader="none"/>
        </w:tabs>
        <w:spacing w:line="240" w:lineRule="auto" w:before="55" w:after="36"/>
        <w:ind w:left="801" w:right="0" w:hanging="331"/>
        <w:jc w:val="left"/>
        <w:rPr>
          <w:rFonts w:ascii="Calibri" w:hAnsi="Calibri" w:cs="Calibri" w:eastAsia="Calibri" w:hint="default"/>
          <w:sz w:val="22"/>
          <w:szCs w:val="22"/>
        </w:rPr>
      </w:pPr>
      <w:r>
        <w:rPr>
          <w:rFonts w:ascii="Calibri" w:hAnsi="Calibri"/>
          <w:b/>
          <w:sz w:val="22"/>
        </w:rPr>
        <w:t>How</w:t>
      </w:r>
      <w:r>
        <w:rPr>
          <w:rFonts w:ascii="Calibri" w:hAnsi="Calibri"/>
          <w:b/>
          <w:spacing w:val="-3"/>
          <w:sz w:val="22"/>
        </w:rPr>
        <w:t> </w:t>
      </w:r>
      <w:r>
        <w:rPr>
          <w:rFonts w:ascii="Calibri" w:hAnsi="Calibri"/>
          <w:b/>
          <w:sz w:val="22"/>
        </w:rPr>
        <w:t>did</w:t>
      </w:r>
      <w:r>
        <w:rPr>
          <w:rFonts w:ascii="Calibri" w:hAnsi="Calibri"/>
          <w:b/>
          <w:spacing w:val="-3"/>
          <w:sz w:val="22"/>
        </w:rPr>
        <w:t> </w:t>
      </w:r>
      <w:r>
        <w:rPr>
          <w:rFonts w:ascii="Calibri" w:hAnsi="Calibri"/>
          <w:b/>
          <w:sz w:val="22"/>
        </w:rPr>
        <w:t>you</w:t>
      </w:r>
      <w:r>
        <w:rPr>
          <w:rFonts w:ascii="Calibri" w:hAnsi="Calibri"/>
          <w:b/>
          <w:spacing w:val="-4"/>
          <w:sz w:val="22"/>
        </w:rPr>
        <w:t> </w:t>
      </w:r>
      <w:r>
        <w:rPr>
          <w:rFonts w:ascii="Calibri" w:hAnsi="Calibri"/>
          <w:b/>
          <w:sz w:val="22"/>
        </w:rPr>
        <w:t>arrange</w:t>
      </w:r>
      <w:r>
        <w:rPr>
          <w:rFonts w:ascii="Calibri" w:hAnsi="Calibri"/>
          <w:b/>
          <w:spacing w:val="-2"/>
          <w:sz w:val="22"/>
        </w:rPr>
        <w:t> </w:t>
      </w:r>
      <w:r>
        <w:rPr>
          <w:rFonts w:ascii="Calibri" w:hAnsi="Calibri"/>
          <w:b/>
          <w:sz w:val="22"/>
        </w:rPr>
        <w:t>your</w:t>
      </w:r>
      <w:r>
        <w:rPr>
          <w:rFonts w:ascii="Calibri" w:hAnsi="Calibri"/>
          <w:b/>
          <w:spacing w:val="-5"/>
          <w:sz w:val="22"/>
        </w:rPr>
        <w:t> </w:t>
      </w:r>
      <w:r>
        <w:rPr>
          <w:rFonts w:ascii="Calibri" w:hAnsi="Calibri"/>
          <w:b/>
          <w:sz w:val="22"/>
        </w:rPr>
        <w:t>flight</w:t>
      </w:r>
      <w:r>
        <w:rPr>
          <w:rFonts w:ascii="Calibri" w:hAnsi="Calibri"/>
          <w:b/>
          <w:spacing w:val="-4"/>
          <w:sz w:val="22"/>
        </w:rPr>
        <w:t> </w:t>
      </w:r>
      <w:r>
        <w:rPr>
          <w:rFonts w:ascii="Calibri" w:hAnsi="Calibri"/>
          <w:b/>
          <w:sz w:val="22"/>
        </w:rPr>
        <w:t>reservation(s)</w:t>
      </w:r>
      <w:r>
        <w:rPr>
          <w:rFonts w:ascii="Calibri" w:hAnsi="Calibri"/>
          <w:b/>
          <w:spacing w:val="-3"/>
          <w:sz w:val="22"/>
        </w:rPr>
        <w:t> </w:t>
      </w:r>
      <w:r>
        <w:rPr>
          <w:rFonts w:ascii="Calibri" w:hAnsi="Calibri"/>
          <w:b/>
          <w:sz w:val="22"/>
        </w:rPr>
        <w:t>for</w:t>
      </w:r>
      <w:r>
        <w:rPr>
          <w:rFonts w:ascii="Calibri" w:hAnsi="Calibri"/>
          <w:b/>
          <w:spacing w:val="-5"/>
          <w:sz w:val="22"/>
        </w:rPr>
        <w:t> </w:t>
      </w:r>
      <w:r>
        <w:rPr>
          <w:rFonts w:ascii="Calibri" w:hAnsi="Calibri"/>
          <w:b/>
          <w:sz w:val="22"/>
        </w:rPr>
        <w:t>your</w:t>
      </w:r>
      <w:r>
        <w:rPr>
          <w:rFonts w:ascii="Calibri" w:hAnsi="Calibri"/>
          <w:b/>
          <w:spacing w:val="-3"/>
          <w:sz w:val="22"/>
        </w:rPr>
        <w:t> </w:t>
      </w:r>
      <w:r>
        <w:rPr>
          <w:rFonts w:ascii="Calibri" w:hAnsi="Calibri"/>
          <w:b/>
          <w:sz w:val="22"/>
        </w:rPr>
        <w:t>visit</w:t>
      </w:r>
      <w:r>
        <w:rPr>
          <w:rFonts w:ascii="Calibri" w:hAnsi="Calibri"/>
          <w:b/>
          <w:spacing w:val="-3"/>
          <w:sz w:val="22"/>
        </w:rPr>
        <w:t> </w:t>
      </w:r>
      <w:r>
        <w:rPr>
          <w:rFonts w:ascii="Calibri" w:hAnsi="Calibri"/>
          <w:b/>
          <w:sz w:val="22"/>
        </w:rPr>
        <w:t>to</w:t>
      </w:r>
      <w:r>
        <w:rPr>
          <w:rFonts w:ascii="Calibri" w:hAnsi="Calibri"/>
          <w:b/>
          <w:spacing w:val="-2"/>
          <w:sz w:val="22"/>
        </w:rPr>
        <w:t> </w:t>
      </w:r>
      <w:r>
        <w:rPr>
          <w:rFonts w:ascii="Calibri" w:hAnsi="Calibri"/>
          <w:b/>
          <w:sz w:val="22"/>
        </w:rPr>
        <w:t>Curaçao?</w:t>
      </w:r>
      <w:r>
        <w:rPr>
          <w:rFonts w:ascii="Calibri" w:hAnsi="Calibri"/>
          <w:b/>
          <w:spacing w:val="-4"/>
          <w:sz w:val="22"/>
        </w:rPr>
        <w:t> </w:t>
      </w:r>
      <w:r>
        <w:rPr>
          <w:rFonts w:ascii="Calibri" w:hAnsi="Calibri"/>
          <w:b/>
          <w:i/>
          <w:sz w:val="22"/>
        </w:rPr>
        <w:t>(Please</w:t>
      </w:r>
      <w:r>
        <w:rPr>
          <w:rFonts w:ascii="Calibri" w:hAnsi="Calibri"/>
          <w:b/>
          <w:i/>
          <w:spacing w:val="-2"/>
          <w:sz w:val="22"/>
        </w:rPr>
        <w:t> </w:t>
      </w:r>
      <w:r>
        <w:rPr>
          <w:rFonts w:ascii="Calibri" w:hAnsi="Calibri"/>
          <w:b/>
          <w:i/>
          <w:sz w:val="22"/>
        </w:rPr>
        <w:t>check</w:t>
      </w:r>
      <w:r>
        <w:rPr>
          <w:rFonts w:ascii="Calibri" w:hAnsi="Calibri"/>
          <w:b/>
          <w:i/>
          <w:spacing w:val="-4"/>
          <w:sz w:val="22"/>
        </w:rPr>
        <w:t> </w:t>
      </w:r>
      <w:r>
        <w:rPr>
          <w:rFonts w:ascii="Calibri" w:hAnsi="Calibri"/>
          <w:b/>
          <w:i/>
          <w:sz w:val="22"/>
        </w:rPr>
        <w:t>only)</w:t>
      </w:r>
      <w:r>
        <w:rPr>
          <w:rFonts w:ascii="Calibri" w:hAnsi="Calibri"/>
          <w:sz w:val="22"/>
        </w:rPr>
      </w:r>
    </w:p>
    <w:tbl>
      <w:tblPr>
        <w:tblW w:w="0" w:type="auto"/>
        <w:jc w:val="left"/>
        <w:tblInd w:w="435" w:type="dxa"/>
        <w:tblLayout w:type="fixed"/>
        <w:tblCellMar>
          <w:top w:w="0" w:type="dxa"/>
          <w:left w:w="0" w:type="dxa"/>
          <w:bottom w:w="0" w:type="dxa"/>
          <w:right w:w="0" w:type="dxa"/>
        </w:tblCellMar>
        <w:tblLook w:val="01E0"/>
      </w:tblPr>
      <w:tblGrid>
        <w:gridCol w:w="322"/>
        <w:gridCol w:w="3069"/>
        <w:gridCol w:w="563"/>
        <w:gridCol w:w="3117"/>
        <w:gridCol w:w="575"/>
        <w:gridCol w:w="1915"/>
      </w:tblGrid>
      <w:tr>
        <w:trPr>
          <w:trHeight w:val="282"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8"/>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069" w:type="dxa"/>
            <w:tcBorders>
              <w:top w:val="nil" w:sz="6" w:space="0" w:color="auto"/>
              <w:left w:val="nil" w:sz="6" w:space="0" w:color="auto"/>
              <w:bottom w:val="nil" w:sz="6" w:space="0" w:color="auto"/>
              <w:right w:val="nil" w:sz="6" w:space="0" w:color="auto"/>
            </w:tcBorders>
          </w:tcPr>
          <w:p>
            <w:pPr>
              <w:pStyle w:val="TableParagraph"/>
              <w:spacing w:line="252" w:lineRule="exact"/>
              <w:ind w:left="108" w:right="0"/>
              <w:jc w:val="left"/>
              <w:rPr>
                <w:rFonts w:ascii="Calibri" w:hAnsi="Calibri" w:cs="Calibri" w:eastAsia="Calibri" w:hint="default"/>
                <w:sz w:val="22"/>
                <w:szCs w:val="22"/>
              </w:rPr>
            </w:pPr>
            <w:r>
              <w:rPr>
                <w:rFonts w:ascii="Calibri"/>
                <w:sz w:val="22"/>
              </w:rPr>
              <w:t>Airline telephone</w:t>
            </w:r>
            <w:r>
              <w:rPr>
                <w:rFonts w:ascii="Calibri"/>
                <w:spacing w:val="-9"/>
                <w:sz w:val="22"/>
              </w:rPr>
              <w:t> </w:t>
            </w:r>
            <w:r>
              <w:rPr>
                <w:rFonts w:ascii="Calibri"/>
                <w:sz w:val="22"/>
              </w:rPr>
              <w:t>reservations</w:t>
            </w:r>
          </w:p>
        </w:tc>
        <w:tc>
          <w:tcPr>
            <w:tcW w:w="563"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20"/>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117" w:type="dxa"/>
            <w:tcBorders>
              <w:top w:val="nil" w:sz="6" w:space="0" w:color="auto"/>
              <w:left w:val="nil" w:sz="6" w:space="0" w:color="auto"/>
              <w:bottom w:val="nil" w:sz="6" w:space="0" w:color="auto"/>
              <w:right w:val="nil" w:sz="6" w:space="0" w:color="auto"/>
            </w:tcBorders>
          </w:tcPr>
          <w:p>
            <w:pPr>
              <w:pStyle w:val="TableParagraph"/>
              <w:spacing w:line="252" w:lineRule="exact"/>
              <w:ind w:left="122" w:right="0"/>
              <w:jc w:val="left"/>
              <w:rPr>
                <w:rFonts w:ascii="Calibri" w:hAnsi="Calibri" w:cs="Calibri" w:eastAsia="Calibri" w:hint="default"/>
                <w:sz w:val="22"/>
                <w:szCs w:val="22"/>
              </w:rPr>
            </w:pPr>
            <w:r>
              <w:rPr>
                <w:rFonts w:ascii="Calibri"/>
                <w:sz w:val="22"/>
              </w:rPr>
              <w:t>Travel</w:t>
            </w:r>
            <w:r>
              <w:rPr>
                <w:rFonts w:ascii="Calibri"/>
                <w:spacing w:val="-6"/>
                <w:sz w:val="22"/>
              </w:rPr>
              <w:t> </w:t>
            </w:r>
            <w:r>
              <w:rPr>
                <w:rFonts w:ascii="Calibri"/>
                <w:sz w:val="22"/>
              </w:rPr>
              <w:t>agent</w:t>
            </w:r>
          </w:p>
        </w:tc>
        <w:tc>
          <w:tcPr>
            <w:tcW w:w="575" w:type="dxa"/>
            <w:tcBorders>
              <w:top w:val="nil" w:sz="6" w:space="0" w:color="auto"/>
              <w:left w:val="nil" w:sz="6" w:space="0" w:color="auto"/>
              <w:bottom w:val="nil" w:sz="6" w:space="0" w:color="auto"/>
              <w:right w:val="nil" w:sz="6" w:space="0" w:color="auto"/>
            </w:tcBorders>
          </w:tcPr>
          <w:p>
            <w:pPr>
              <w:pStyle w:val="TableParagraph"/>
              <w:spacing w:line="240" w:lineRule="auto" w:before="8"/>
              <w:ind w:left="28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1915" w:type="dxa"/>
            <w:tcBorders>
              <w:top w:val="nil" w:sz="6" w:space="0" w:color="auto"/>
              <w:left w:val="nil" w:sz="6" w:space="0" w:color="auto"/>
              <w:bottom w:val="nil" w:sz="6" w:space="0" w:color="auto"/>
              <w:right w:val="nil" w:sz="6" w:space="0" w:color="auto"/>
            </w:tcBorders>
          </w:tcPr>
          <w:p>
            <w:pPr>
              <w:pStyle w:val="TableParagraph"/>
              <w:tabs>
                <w:tab w:pos="1880" w:val="left" w:leader="none"/>
              </w:tabs>
              <w:spacing w:line="252" w:lineRule="exact"/>
              <w:ind w:left="110" w:right="0"/>
              <w:jc w:val="left"/>
              <w:rPr>
                <w:rFonts w:ascii="Calibri" w:hAnsi="Calibri" w:cs="Calibri" w:eastAsia="Calibri" w:hint="default"/>
                <w:sz w:val="22"/>
                <w:szCs w:val="22"/>
              </w:rPr>
            </w:pPr>
            <w:r>
              <w:rPr>
                <w:rFonts w:ascii="Calibri"/>
                <w:sz w:val="22"/>
              </w:rPr>
              <w:t>Other</w:t>
            </w:r>
            <w:r>
              <w:rPr>
                <w:rFonts w:ascii="Calibri"/>
                <w:sz w:val="22"/>
                <w:u w:val="single" w:color="000000"/>
              </w:rPr>
              <w:t> </w:t>
              <w:tab/>
            </w:r>
            <w:r>
              <w:rPr>
                <w:rFonts w:ascii="Calibri"/>
                <w:sz w:val="22"/>
              </w:rPr>
            </w:r>
          </w:p>
        </w:tc>
      </w:tr>
      <w:tr>
        <w:trPr>
          <w:trHeight w:val="354"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069"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Airline</w:t>
            </w:r>
            <w:r>
              <w:rPr>
                <w:rFonts w:ascii="Calibri"/>
                <w:spacing w:val="-6"/>
                <w:sz w:val="22"/>
              </w:rPr>
              <w:t> </w:t>
            </w:r>
            <w:r>
              <w:rPr>
                <w:rFonts w:ascii="Calibri"/>
                <w:sz w:val="22"/>
              </w:rPr>
              <w:t>website</w:t>
            </w:r>
          </w:p>
        </w:tc>
        <w:tc>
          <w:tcPr>
            <w:tcW w:w="563"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20"/>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117" w:type="dxa"/>
            <w:tcBorders>
              <w:top w:val="nil" w:sz="6" w:space="0" w:color="auto"/>
              <w:left w:val="nil" w:sz="6" w:space="0" w:color="auto"/>
              <w:bottom w:val="nil" w:sz="6" w:space="0" w:color="auto"/>
              <w:right w:val="nil" w:sz="6" w:space="0" w:color="auto"/>
            </w:tcBorders>
          </w:tcPr>
          <w:p>
            <w:pPr>
              <w:pStyle w:val="TableParagraph"/>
              <w:spacing w:line="258" w:lineRule="exact"/>
              <w:ind w:left="122" w:right="0"/>
              <w:jc w:val="left"/>
              <w:rPr>
                <w:rFonts w:ascii="Calibri" w:hAnsi="Calibri" w:cs="Calibri" w:eastAsia="Calibri" w:hint="default"/>
                <w:sz w:val="22"/>
                <w:szCs w:val="22"/>
              </w:rPr>
            </w:pPr>
            <w:r>
              <w:rPr>
                <w:rFonts w:ascii="Calibri"/>
                <w:sz w:val="22"/>
              </w:rPr>
              <w:t>Internet (e.g.</w:t>
            </w:r>
            <w:r>
              <w:rPr>
                <w:rFonts w:ascii="Calibri"/>
                <w:spacing w:val="-11"/>
                <w:sz w:val="22"/>
              </w:rPr>
              <w:t> </w:t>
            </w:r>
            <w:r>
              <w:rPr>
                <w:rFonts w:ascii="Calibri"/>
                <w:sz w:val="22"/>
              </w:rPr>
              <w:t>Travelocity.com)</w:t>
            </w:r>
          </w:p>
        </w:tc>
        <w:tc>
          <w:tcPr>
            <w:tcW w:w="575" w:type="dxa"/>
            <w:tcBorders>
              <w:top w:val="nil" w:sz="6" w:space="0" w:color="auto"/>
              <w:left w:val="nil" w:sz="6" w:space="0" w:color="auto"/>
              <w:bottom w:val="nil" w:sz="6" w:space="0" w:color="auto"/>
              <w:right w:val="nil" w:sz="6" w:space="0" w:color="auto"/>
            </w:tcBorders>
          </w:tcPr>
          <w:p>
            <w:pPr/>
          </w:p>
        </w:tc>
        <w:tc>
          <w:tcPr>
            <w:tcW w:w="1915" w:type="dxa"/>
            <w:tcBorders>
              <w:top w:val="nil" w:sz="6" w:space="0" w:color="auto"/>
              <w:left w:val="nil" w:sz="6" w:space="0" w:color="auto"/>
              <w:bottom w:val="nil" w:sz="6" w:space="0" w:color="auto"/>
              <w:right w:val="nil" w:sz="6" w:space="0" w:color="auto"/>
            </w:tcBorders>
          </w:tcPr>
          <w:p>
            <w:pPr/>
          </w:p>
        </w:tc>
      </w:tr>
    </w:tbl>
    <w:p>
      <w:pPr>
        <w:spacing w:line="240" w:lineRule="auto" w:before="4"/>
        <w:ind w:right="0"/>
        <w:rPr>
          <w:rFonts w:ascii="Calibri" w:hAnsi="Calibri" w:cs="Calibri" w:eastAsia="Calibri" w:hint="default"/>
          <w:b/>
          <w:bCs/>
          <w:i/>
          <w:sz w:val="10"/>
          <w:szCs w:val="10"/>
        </w:rPr>
      </w:pPr>
    </w:p>
    <w:p>
      <w:pPr>
        <w:spacing w:before="55"/>
        <w:ind w:left="152" w:right="0" w:firstLine="0"/>
        <w:jc w:val="left"/>
        <w:rPr>
          <w:rFonts w:ascii="Calibri" w:hAnsi="Calibri" w:cs="Calibri" w:eastAsia="Calibri" w:hint="default"/>
          <w:sz w:val="22"/>
          <w:szCs w:val="22"/>
        </w:rPr>
      </w:pPr>
      <w:r>
        <w:rPr>
          <w:rFonts w:ascii="Calibri" w:hAnsi="Calibri" w:cs="Calibri" w:eastAsia="Calibri" w:hint="default"/>
          <w:b/>
          <w:bCs/>
          <w:sz w:val="22"/>
          <w:szCs w:val="22"/>
        </w:rPr>
        <w:t>SECTION 2: INFORMATION ABOUT THE T</w:t>
      </w:r>
      <w:r>
        <w:rPr>
          <w:rFonts w:ascii="Calibri" w:hAnsi="Calibri" w:cs="Calibri" w:eastAsia="Calibri" w:hint="default"/>
          <w:b/>
          <w:bCs/>
          <w:sz w:val="22"/>
          <w:szCs w:val="22"/>
        </w:rPr>
        <w:t>OURIST’S</w:t>
      </w:r>
      <w:r>
        <w:rPr>
          <w:rFonts w:ascii="Calibri" w:hAnsi="Calibri" w:cs="Calibri" w:eastAsia="Calibri" w:hint="default"/>
          <w:b/>
          <w:bCs/>
          <w:spacing w:val="-13"/>
          <w:sz w:val="22"/>
          <w:szCs w:val="22"/>
        </w:rPr>
        <w:t> </w:t>
      </w:r>
      <w:r>
        <w:rPr>
          <w:rFonts w:ascii="Calibri" w:hAnsi="Calibri" w:cs="Calibri" w:eastAsia="Calibri" w:hint="default"/>
          <w:b/>
          <w:bCs/>
          <w:sz w:val="22"/>
          <w:szCs w:val="22"/>
        </w:rPr>
        <w:t>SPENDING</w:t>
      </w:r>
      <w:r>
        <w:rPr>
          <w:rFonts w:ascii="Calibri" w:hAnsi="Calibri" w:cs="Calibri" w:eastAsia="Calibri" w:hint="default"/>
          <w:sz w:val="22"/>
          <w:szCs w:val="22"/>
        </w:rPr>
      </w:r>
    </w:p>
    <w:p>
      <w:pPr>
        <w:spacing w:line="240" w:lineRule="auto" w:before="10"/>
        <w:ind w:right="0"/>
        <w:rPr>
          <w:rFonts w:ascii="Calibri" w:hAnsi="Calibri" w:cs="Calibri" w:eastAsia="Calibri" w:hint="default"/>
          <w:b/>
          <w:bCs/>
          <w:sz w:val="22"/>
          <w:szCs w:val="22"/>
        </w:rPr>
      </w:pPr>
    </w:p>
    <w:p>
      <w:pPr>
        <w:pStyle w:val="ListParagraph"/>
        <w:numPr>
          <w:ilvl w:val="0"/>
          <w:numId w:val="22"/>
        </w:numPr>
        <w:tabs>
          <w:tab w:pos="801" w:val="left" w:leader="none"/>
        </w:tabs>
        <w:spacing w:line="240" w:lineRule="auto" w:before="0" w:after="0"/>
        <w:ind w:left="800" w:right="0" w:hanging="332"/>
        <w:jc w:val="both"/>
        <w:rPr>
          <w:rFonts w:ascii="Calibri" w:hAnsi="Calibri" w:cs="Calibri" w:eastAsia="Calibri" w:hint="default"/>
          <w:sz w:val="22"/>
          <w:szCs w:val="22"/>
        </w:rPr>
      </w:pPr>
      <w:r>
        <w:rPr>
          <w:rFonts w:ascii="Calibri"/>
          <w:b/>
          <w:sz w:val="22"/>
        </w:rPr>
        <w:t>Did you buy a travel</w:t>
      </w:r>
      <w:r>
        <w:rPr>
          <w:rFonts w:ascii="Calibri"/>
          <w:b/>
          <w:spacing w:val="-11"/>
          <w:sz w:val="22"/>
        </w:rPr>
        <w:t> </w:t>
      </w:r>
      <w:r>
        <w:rPr>
          <w:rFonts w:ascii="Calibri"/>
          <w:b/>
          <w:sz w:val="22"/>
        </w:rPr>
        <w:t>package?</w:t>
      </w:r>
      <w:r>
        <w:rPr>
          <w:rFonts w:ascii="Calibri"/>
          <w:sz w:val="22"/>
        </w:rPr>
      </w:r>
    </w:p>
    <w:p>
      <w:pPr>
        <w:tabs>
          <w:tab w:pos="3280" w:val="left" w:leader="none"/>
        </w:tabs>
        <w:spacing w:before="19"/>
        <w:ind w:left="468" w:right="0" w:firstLine="0"/>
        <w:jc w:val="both"/>
        <w:rPr>
          <w:rFonts w:ascii="Calibri" w:hAnsi="Calibri" w:cs="Calibri" w:eastAsia="Calibri" w:hint="default"/>
          <w:sz w:val="22"/>
          <w:szCs w:val="22"/>
        </w:rPr>
      </w:pPr>
      <w:r>
        <w:rPr>
          <w:rFonts w:ascii="Calibri" w:hAnsi="Calibri" w:cs="Calibri" w:eastAsia="Calibri" w:hint="default"/>
          <w:position w:val="1"/>
          <w:sz w:val="18"/>
          <w:szCs w:val="18"/>
        </w:rPr>
        <w:t>⃝    </w:t>
      </w:r>
      <w:r>
        <w:rPr>
          <w:rFonts w:ascii="Calibri" w:hAnsi="Calibri" w:cs="Calibri" w:eastAsia="Calibri" w:hint="default"/>
          <w:spacing w:val="9"/>
          <w:position w:val="1"/>
          <w:sz w:val="18"/>
          <w:szCs w:val="18"/>
        </w:rPr>
        <w:t> </w:t>
      </w:r>
      <w:r>
        <w:rPr>
          <w:rFonts w:ascii="Calibri" w:hAnsi="Calibri" w:cs="Calibri" w:eastAsia="Calibri" w:hint="default"/>
          <w:sz w:val="22"/>
          <w:szCs w:val="22"/>
        </w:rPr>
        <w:t>Yes</w:t>
        <w:tab/>
      </w:r>
      <w:r>
        <w:rPr>
          <w:rFonts w:ascii="Calibri" w:hAnsi="Calibri" w:cs="Calibri" w:eastAsia="Calibri" w:hint="default"/>
          <w:position w:val="1"/>
          <w:sz w:val="18"/>
          <w:szCs w:val="18"/>
        </w:rPr>
        <w:t>⃝     </w:t>
      </w:r>
      <w:r>
        <w:rPr>
          <w:rFonts w:ascii="Calibri" w:hAnsi="Calibri" w:cs="Calibri" w:eastAsia="Calibri" w:hint="default"/>
          <w:sz w:val="22"/>
          <w:szCs w:val="22"/>
        </w:rPr>
        <w:t>No       </w:t>
      </w:r>
      <w:r>
        <w:rPr>
          <w:rFonts w:ascii="Calibri" w:hAnsi="Calibri" w:cs="Calibri" w:eastAsia="Calibri" w:hint="default"/>
          <w:sz w:val="22"/>
          <w:szCs w:val="22"/>
        </w:rPr>
        <w:t>→     </w:t>
      </w:r>
      <w:r>
        <w:rPr>
          <w:rFonts w:ascii="Calibri" w:hAnsi="Calibri" w:cs="Calibri" w:eastAsia="Calibri" w:hint="default"/>
          <w:i/>
          <w:sz w:val="22"/>
          <w:szCs w:val="22"/>
        </w:rPr>
        <w:t>If No, please skip to question number</w:t>
      </w:r>
      <w:r>
        <w:rPr>
          <w:rFonts w:ascii="Calibri" w:hAnsi="Calibri" w:cs="Calibri" w:eastAsia="Calibri" w:hint="default"/>
          <w:i/>
          <w:spacing w:val="-5"/>
          <w:sz w:val="22"/>
          <w:szCs w:val="22"/>
        </w:rPr>
        <w:t> </w:t>
      </w:r>
      <w:r>
        <w:rPr>
          <w:rFonts w:ascii="Calibri" w:hAnsi="Calibri" w:cs="Calibri" w:eastAsia="Calibri" w:hint="default"/>
          <w:i/>
          <w:sz w:val="22"/>
          <w:szCs w:val="22"/>
        </w:rPr>
        <w:t>#14</w:t>
      </w:r>
      <w:r>
        <w:rPr>
          <w:rFonts w:ascii="Calibri" w:hAnsi="Calibri" w:cs="Calibri" w:eastAsia="Calibri" w:hint="default"/>
          <w:sz w:val="22"/>
          <w:szCs w:val="22"/>
        </w:rPr>
      </w:r>
    </w:p>
    <w:p>
      <w:pPr>
        <w:spacing w:line="240" w:lineRule="auto" w:before="10"/>
        <w:ind w:right="0"/>
        <w:rPr>
          <w:rFonts w:ascii="Calibri" w:hAnsi="Calibri" w:cs="Calibri" w:eastAsia="Calibri" w:hint="default"/>
          <w:i/>
          <w:sz w:val="22"/>
          <w:szCs w:val="22"/>
        </w:rPr>
      </w:pPr>
    </w:p>
    <w:p>
      <w:pPr>
        <w:pStyle w:val="ListParagraph"/>
        <w:numPr>
          <w:ilvl w:val="0"/>
          <w:numId w:val="22"/>
        </w:numPr>
        <w:tabs>
          <w:tab w:pos="801" w:val="left" w:leader="none"/>
        </w:tabs>
        <w:spacing w:line="240" w:lineRule="auto" w:before="0" w:after="0"/>
        <w:ind w:left="468" w:right="815" w:firstLine="0"/>
        <w:jc w:val="both"/>
        <w:rPr>
          <w:rFonts w:ascii="Calibri" w:hAnsi="Calibri" w:cs="Calibri" w:eastAsia="Calibri" w:hint="default"/>
          <w:sz w:val="22"/>
          <w:szCs w:val="22"/>
        </w:rPr>
      </w:pPr>
      <w:r>
        <w:rPr>
          <w:rFonts w:ascii="Calibri"/>
          <w:b/>
          <w:sz w:val="22"/>
        </w:rPr>
        <w:t>What</w:t>
      </w:r>
      <w:r>
        <w:rPr>
          <w:rFonts w:ascii="Calibri"/>
          <w:b/>
          <w:spacing w:val="-2"/>
          <w:sz w:val="22"/>
        </w:rPr>
        <w:t> </w:t>
      </w:r>
      <w:r>
        <w:rPr>
          <w:rFonts w:ascii="Calibri"/>
          <w:b/>
          <w:sz w:val="22"/>
        </w:rPr>
        <w:t>was</w:t>
      </w:r>
      <w:r>
        <w:rPr>
          <w:rFonts w:ascii="Calibri"/>
          <w:b/>
          <w:spacing w:val="-3"/>
          <w:sz w:val="22"/>
        </w:rPr>
        <w:t> </w:t>
      </w:r>
      <w:r>
        <w:rPr>
          <w:rFonts w:ascii="Calibri"/>
          <w:b/>
          <w:sz w:val="22"/>
        </w:rPr>
        <w:t>the</w:t>
      </w:r>
      <w:r>
        <w:rPr>
          <w:rFonts w:ascii="Calibri"/>
          <w:b/>
          <w:spacing w:val="-3"/>
          <w:sz w:val="22"/>
        </w:rPr>
        <w:t> </w:t>
      </w:r>
      <w:r>
        <w:rPr>
          <w:rFonts w:ascii="Calibri"/>
          <w:b/>
          <w:sz w:val="22"/>
        </w:rPr>
        <w:t>total</w:t>
      </w:r>
      <w:r>
        <w:rPr>
          <w:rFonts w:ascii="Calibri"/>
          <w:b/>
          <w:spacing w:val="-2"/>
          <w:sz w:val="22"/>
        </w:rPr>
        <w:t> </w:t>
      </w:r>
      <w:r>
        <w:rPr>
          <w:rFonts w:ascii="Calibri"/>
          <w:b/>
          <w:sz w:val="22"/>
        </w:rPr>
        <w:t>cost</w:t>
      </w:r>
      <w:r>
        <w:rPr>
          <w:rFonts w:ascii="Calibri"/>
          <w:b/>
          <w:spacing w:val="-3"/>
          <w:sz w:val="22"/>
        </w:rPr>
        <w:t> </w:t>
      </w:r>
      <w:r>
        <w:rPr>
          <w:rFonts w:ascii="Calibri"/>
          <w:b/>
          <w:sz w:val="22"/>
        </w:rPr>
        <w:t>of</w:t>
      </w:r>
      <w:r>
        <w:rPr>
          <w:rFonts w:ascii="Calibri"/>
          <w:b/>
          <w:spacing w:val="-3"/>
          <w:sz w:val="22"/>
        </w:rPr>
        <w:t> </w:t>
      </w:r>
      <w:r>
        <w:rPr>
          <w:rFonts w:ascii="Calibri"/>
          <w:b/>
          <w:sz w:val="22"/>
        </w:rPr>
        <w:t>your</w:t>
      </w:r>
      <w:r>
        <w:rPr>
          <w:rFonts w:ascii="Calibri"/>
          <w:b/>
          <w:spacing w:val="-2"/>
          <w:sz w:val="22"/>
        </w:rPr>
        <w:t> </w:t>
      </w:r>
      <w:r>
        <w:rPr>
          <w:rFonts w:ascii="Calibri"/>
          <w:b/>
          <w:sz w:val="22"/>
        </w:rPr>
        <w:t>tourism</w:t>
      </w:r>
      <w:r>
        <w:rPr>
          <w:rFonts w:ascii="Calibri"/>
          <w:b/>
          <w:spacing w:val="-3"/>
          <w:sz w:val="22"/>
        </w:rPr>
        <w:t> </w:t>
      </w:r>
      <w:r>
        <w:rPr>
          <w:rFonts w:ascii="Calibri"/>
          <w:b/>
          <w:sz w:val="22"/>
        </w:rPr>
        <w:t>package?</w:t>
      </w:r>
      <w:r>
        <w:rPr>
          <w:rFonts w:ascii="Calibri"/>
          <w:b/>
          <w:spacing w:val="-3"/>
          <w:sz w:val="22"/>
        </w:rPr>
        <w:t> </w:t>
      </w:r>
      <w:r>
        <w:rPr>
          <w:rFonts w:ascii="Calibri"/>
          <w:b/>
          <w:sz w:val="22"/>
        </w:rPr>
        <w:t>Please</w:t>
      </w:r>
      <w:r>
        <w:rPr>
          <w:rFonts w:ascii="Calibri"/>
          <w:b/>
          <w:spacing w:val="-2"/>
          <w:sz w:val="22"/>
        </w:rPr>
        <w:t> </w:t>
      </w:r>
      <w:r>
        <w:rPr>
          <w:rFonts w:ascii="Calibri"/>
          <w:b/>
          <w:sz w:val="22"/>
        </w:rPr>
        <w:t>enter</w:t>
      </w:r>
      <w:r>
        <w:rPr>
          <w:rFonts w:ascii="Calibri"/>
          <w:b/>
          <w:spacing w:val="-3"/>
          <w:sz w:val="22"/>
        </w:rPr>
        <w:t> </w:t>
      </w:r>
      <w:r>
        <w:rPr>
          <w:rFonts w:ascii="Calibri"/>
          <w:b/>
          <w:sz w:val="22"/>
        </w:rPr>
        <w:t>the</w:t>
      </w:r>
      <w:r>
        <w:rPr>
          <w:rFonts w:ascii="Calibri"/>
          <w:b/>
          <w:spacing w:val="-2"/>
          <w:sz w:val="22"/>
        </w:rPr>
        <w:t> </w:t>
      </w:r>
      <w:r>
        <w:rPr>
          <w:rFonts w:ascii="Calibri"/>
          <w:b/>
          <w:sz w:val="22"/>
        </w:rPr>
        <w:t>amount for</w:t>
      </w:r>
      <w:r>
        <w:rPr>
          <w:rFonts w:ascii="Calibri"/>
          <w:b/>
          <w:spacing w:val="-2"/>
          <w:sz w:val="22"/>
        </w:rPr>
        <w:t> </w:t>
      </w:r>
      <w:r>
        <w:rPr>
          <w:rFonts w:ascii="Calibri"/>
          <w:b/>
          <w:sz w:val="22"/>
        </w:rPr>
        <w:t>your</w:t>
      </w:r>
      <w:r>
        <w:rPr>
          <w:rFonts w:ascii="Calibri"/>
          <w:b/>
          <w:spacing w:val="-2"/>
          <w:sz w:val="22"/>
        </w:rPr>
        <w:t> </w:t>
      </w:r>
      <w:r>
        <w:rPr>
          <w:rFonts w:ascii="Calibri"/>
          <w:b/>
          <w:sz w:val="22"/>
        </w:rPr>
        <w:t>immediate</w:t>
      </w:r>
      <w:r>
        <w:rPr>
          <w:rFonts w:ascii="Calibri"/>
          <w:b/>
          <w:spacing w:val="-3"/>
          <w:sz w:val="22"/>
        </w:rPr>
        <w:t> </w:t>
      </w:r>
      <w:r>
        <w:rPr>
          <w:rFonts w:ascii="Calibri"/>
          <w:b/>
          <w:sz w:val="22"/>
        </w:rPr>
        <w:t>group</w:t>
      </w:r>
      <w:r>
        <w:rPr>
          <w:rFonts w:ascii="Calibri"/>
          <w:b/>
          <w:spacing w:val="-2"/>
          <w:sz w:val="22"/>
        </w:rPr>
        <w:t> </w:t>
      </w:r>
      <w:r>
        <w:rPr>
          <w:rFonts w:ascii="Calibri"/>
          <w:b/>
          <w:sz w:val="22"/>
        </w:rPr>
        <w:t>in</w:t>
      </w:r>
      <w:r>
        <w:rPr>
          <w:rFonts w:ascii="Calibri"/>
          <w:b/>
          <w:spacing w:val="-3"/>
          <w:sz w:val="22"/>
        </w:rPr>
        <w:t> </w:t>
      </w:r>
      <w:r>
        <w:rPr>
          <w:rFonts w:ascii="Calibri"/>
          <w:b/>
          <w:sz w:val="22"/>
        </w:rPr>
        <w:t>US$.</w:t>
      </w:r>
      <w:r>
        <w:rPr>
          <w:rFonts w:ascii="Calibri"/>
          <w:b/>
          <w:spacing w:val="-3"/>
          <w:sz w:val="22"/>
        </w:rPr>
        <w:t> </w:t>
      </w:r>
      <w:r>
        <w:rPr>
          <w:rFonts w:ascii="Calibri"/>
          <w:b/>
          <w:sz w:val="22"/>
        </w:rPr>
        <w:t>If </w:t>
      </w:r>
      <w:r>
        <w:rPr>
          <w:rFonts w:ascii="Calibri"/>
          <w:b/>
          <w:sz w:val="22"/>
        </w:rPr>
        <w:t>you cannot recall the exact price of the travel package please provide an approximate US$ amount for the tourism package(s).</w:t>
      </w:r>
      <w:r>
        <w:rPr>
          <w:rFonts w:ascii="Calibri"/>
          <w:sz w:val="22"/>
        </w:rPr>
      </w:r>
    </w:p>
    <w:p>
      <w:pPr>
        <w:pStyle w:val="Heading8"/>
        <w:tabs>
          <w:tab w:pos="7249" w:val="left" w:leader="none"/>
        </w:tabs>
        <w:spacing w:line="240" w:lineRule="auto"/>
        <w:ind w:right="0"/>
        <w:jc w:val="left"/>
        <w:rPr>
          <w:i w:val="0"/>
          <w:u w:val="none"/>
        </w:rPr>
      </w:pPr>
      <w:r>
        <w:rPr>
          <w:rFonts w:ascii="Calibri"/>
          <w:i w:val="0"/>
          <w:w w:val="99"/>
          <w:u w:val="none"/>
        </w:rPr>
      </w:r>
      <w:r>
        <w:rPr>
          <w:rFonts w:ascii="Calibri"/>
          <w:i w:val="0"/>
          <w:w w:val="99"/>
          <w:u w:val="single" w:color="000000"/>
        </w:rPr>
        <w:t> </w:t>
      </w:r>
      <w:r>
        <w:rPr>
          <w:rFonts w:ascii="Calibri"/>
          <w:i w:val="0"/>
          <w:spacing w:val="23"/>
          <w:u w:val="single" w:color="000000"/>
        </w:rPr>
        <w:t> </w:t>
      </w:r>
      <w:r>
        <w:rPr>
          <w:rFonts w:ascii="Calibri"/>
          <w:i w:val="0"/>
          <w:w w:val="95"/>
          <w:u w:val="single" w:color="000000"/>
        </w:rPr>
        <w:t>US$</w:t>
        <w:tab/>
      </w:r>
      <w:r>
        <w:rPr>
          <w:rFonts w:ascii="Calibri"/>
          <w:i w:val="0"/>
          <w:w w:val="95"/>
          <w:u w:val="none"/>
        </w:rPr>
      </w:r>
      <w:r>
        <w:rPr>
          <w:i/>
          <w:u w:val="none"/>
        </w:rPr>
        <w:t>(Please enter total in</w:t>
      </w:r>
      <w:r>
        <w:rPr>
          <w:i/>
          <w:spacing w:val="-10"/>
          <w:u w:val="none"/>
        </w:rPr>
        <w:t> </w:t>
      </w:r>
      <w:r>
        <w:rPr>
          <w:i/>
          <w:u w:val="none"/>
        </w:rPr>
        <w:t>US$)</w:t>
      </w:r>
      <w:r>
        <w:rPr>
          <w:i w:val="0"/>
          <w:u w:val="none"/>
        </w:rPr>
      </w:r>
    </w:p>
    <w:p>
      <w:pPr>
        <w:spacing w:line="240" w:lineRule="auto" w:before="1"/>
        <w:ind w:right="0"/>
        <w:rPr>
          <w:rFonts w:ascii="Calibri" w:hAnsi="Calibri" w:cs="Calibri" w:eastAsia="Calibri" w:hint="default"/>
          <w:i/>
          <w:sz w:val="19"/>
          <w:szCs w:val="19"/>
        </w:rPr>
      </w:pPr>
    </w:p>
    <w:p>
      <w:pPr>
        <w:pStyle w:val="ListParagraph"/>
        <w:numPr>
          <w:ilvl w:val="0"/>
          <w:numId w:val="22"/>
        </w:numPr>
        <w:tabs>
          <w:tab w:pos="801" w:val="left" w:leader="none"/>
        </w:tabs>
        <w:spacing w:line="240" w:lineRule="auto" w:before="55" w:after="36"/>
        <w:ind w:left="800" w:right="0" w:hanging="332"/>
        <w:jc w:val="left"/>
        <w:rPr>
          <w:rFonts w:ascii="Calibri" w:hAnsi="Calibri" w:cs="Calibri" w:eastAsia="Calibri" w:hint="default"/>
          <w:sz w:val="22"/>
          <w:szCs w:val="22"/>
        </w:rPr>
      </w:pPr>
      <w:r>
        <w:rPr>
          <w:rFonts w:ascii="Calibri"/>
          <w:b/>
          <w:sz w:val="22"/>
        </w:rPr>
        <w:t>What was included in the package? </w:t>
      </w:r>
      <w:r>
        <w:rPr>
          <w:rFonts w:ascii="Calibri"/>
          <w:b/>
          <w:i/>
          <w:sz w:val="22"/>
        </w:rPr>
        <w:t>(Please check all that</w:t>
      </w:r>
      <w:r>
        <w:rPr>
          <w:rFonts w:ascii="Calibri"/>
          <w:b/>
          <w:i/>
          <w:spacing w:val="-22"/>
          <w:sz w:val="22"/>
        </w:rPr>
        <w:t> </w:t>
      </w:r>
      <w:r>
        <w:rPr>
          <w:rFonts w:ascii="Calibri"/>
          <w:b/>
          <w:i/>
          <w:sz w:val="22"/>
        </w:rPr>
        <w:t>apply)</w:t>
      </w:r>
      <w:r>
        <w:rPr>
          <w:rFonts w:ascii="Calibri"/>
          <w:sz w:val="22"/>
        </w:rPr>
      </w:r>
    </w:p>
    <w:tbl>
      <w:tblPr>
        <w:tblW w:w="0" w:type="auto"/>
        <w:jc w:val="left"/>
        <w:tblInd w:w="433" w:type="dxa"/>
        <w:tblLayout w:type="fixed"/>
        <w:tblCellMar>
          <w:top w:w="0" w:type="dxa"/>
          <w:left w:w="0" w:type="dxa"/>
          <w:bottom w:w="0" w:type="dxa"/>
          <w:right w:w="0" w:type="dxa"/>
        </w:tblCellMar>
        <w:tblLook w:val="01E0"/>
      </w:tblPr>
      <w:tblGrid>
        <w:gridCol w:w="322"/>
        <w:gridCol w:w="2681"/>
        <w:gridCol w:w="843"/>
        <w:gridCol w:w="2033"/>
        <w:gridCol w:w="1341"/>
        <w:gridCol w:w="2899"/>
      </w:tblGrid>
      <w:tr>
        <w:trPr>
          <w:trHeight w:val="282"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9"/>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681"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Airfare</w:t>
            </w:r>
          </w:p>
        </w:tc>
        <w:tc>
          <w:tcPr>
            <w:tcW w:w="843" w:type="dxa"/>
            <w:tcBorders>
              <w:top w:val="nil" w:sz="6" w:space="0" w:color="auto"/>
              <w:left w:val="nil" w:sz="6" w:space="0" w:color="auto"/>
              <w:bottom w:val="nil" w:sz="6" w:space="0" w:color="auto"/>
              <w:right w:val="nil" w:sz="6" w:space="0" w:color="auto"/>
            </w:tcBorders>
          </w:tcPr>
          <w:p>
            <w:pPr>
              <w:pStyle w:val="TableParagraph"/>
              <w:spacing w:line="240" w:lineRule="auto" w:before="9"/>
              <w:ind w:right="131"/>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033" w:type="dxa"/>
            <w:tcBorders>
              <w:top w:val="nil" w:sz="6" w:space="0" w:color="auto"/>
              <w:left w:val="nil" w:sz="6" w:space="0" w:color="auto"/>
              <w:bottom w:val="nil" w:sz="6" w:space="0" w:color="auto"/>
              <w:right w:val="nil" w:sz="6" w:space="0" w:color="auto"/>
            </w:tcBorders>
          </w:tcPr>
          <w:p>
            <w:pPr>
              <w:pStyle w:val="TableParagraph"/>
              <w:spacing w:line="252" w:lineRule="exact"/>
              <w:ind w:left="133" w:right="0"/>
              <w:jc w:val="left"/>
              <w:rPr>
                <w:rFonts w:ascii="Calibri" w:hAnsi="Calibri" w:cs="Calibri" w:eastAsia="Calibri" w:hint="default"/>
                <w:sz w:val="22"/>
                <w:szCs w:val="22"/>
              </w:rPr>
            </w:pPr>
            <w:r>
              <w:rPr>
                <w:rFonts w:ascii="Calibri"/>
                <w:sz w:val="22"/>
              </w:rPr>
              <w:t>Breakfast</w:t>
            </w:r>
          </w:p>
        </w:tc>
        <w:tc>
          <w:tcPr>
            <w:tcW w:w="1341" w:type="dxa"/>
            <w:tcBorders>
              <w:top w:val="nil" w:sz="6" w:space="0" w:color="auto"/>
              <w:left w:val="nil" w:sz="6" w:space="0" w:color="auto"/>
              <w:bottom w:val="nil" w:sz="6" w:space="0" w:color="auto"/>
              <w:right w:val="nil" w:sz="6" w:space="0" w:color="auto"/>
            </w:tcBorders>
          </w:tcPr>
          <w:p>
            <w:pPr>
              <w:pStyle w:val="TableParagraph"/>
              <w:spacing w:line="240" w:lineRule="auto" w:before="9"/>
              <w:ind w:right="10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899" w:type="dxa"/>
            <w:tcBorders>
              <w:top w:val="nil" w:sz="6" w:space="0" w:color="auto"/>
              <w:left w:val="nil" w:sz="6" w:space="0" w:color="auto"/>
              <w:bottom w:val="nil" w:sz="6" w:space="0" w:color="auto"/>
              <w:right w:val="nil" w:sz="6" w:space="0" w:color="auto"/>
            </w:tcBorders>
          </w:tcPr>
          <w:p>
            <w:pPr>
              <w:pStyle w:val="TableParagraph"/>
              <w:spacing w:line="252" w:lineRule="exact"/>
              <w:ind w:left="108" w:right="0"/>
              <w:jc w:val="left"/>
              <w:rPr>
                <w:rFonts w:ascii="Calibri" w:hAnsi="Calibri" w:cs="Calibri" w:eastAsia="Calibri" w:hint="default"/>
                <w:sz w:val="22"/>
                <w:szCs w:val="22"/>
              </w:rPr>
            </w:pPr>
            <w:r>
              <w:rPr>
                <w:rFonts w:ascii="Calibri"/>
                <w:sz w:val="22"/>
              </w:rPr>
              <w:t>Cultural</w:t>
            </w:r>
            <w:r>
              <w:rPr>
                <w:rFonts w:ascii="Calibri"/>
                <w:spacing w:val="-10"/>
                <w:sz w:val="22"/>
              </w:rPr>
              <w:t> </w:t>
            </w:r>
            <w:r>
              <w:rPr>
                <w:rFonts w:ascii="Calibri"/>
                <w:sz w:val="22"/>
              </w:rPr>
              <w:t>activities</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5"/>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68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All-inclusive</w:t>
            </w:r>
          </w:p>
        </w:tc>
        <w:tc>
          <w:tcPr>
            <w:tcW w:w="843" w:type="dxa"/>
            <w:tcBorders>
              <w:top w:val="nil" w:sz="6" w:space="0" w:color="auto"/>
              <w:left w:val="nil" w:sz="6" w:space="0" w:color="auto"/>
              <w:bottom w:val="nil" w:sz="6" w:space="0" w:color="auto"/>
              <w:right w:val="nil" w:sz="6" w:space="0" w:color="auto"/>
            </w:tcBorders>
          </w:tcPr>
          <w:p>
            <w:pPr>
              <w:pStyle w:val="TableParagraph"/>
              <w:spacing w:line="240" w:lineRule="auto" w:before="15"/>
              <w:ind w:right="131"/>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033" w:type="dxa"/>
            <w:tcBorders>
              <w:top w:val="nil" w:sz="6" w:space="0" w:color="auto"/>
              <w:left w:val="nil" w:sz="6" w:space="0" w:color="auto"/>
              <w:bottom w:val="nil" w:sz="6" w:space="0" w:color="auto"/>
              <w:right w:val="nil" w:sz="6" w:space="0" w:color="auto"/>
            </w:tcBorders>
          </w:tcPr>
          <w:p>
            <w:pPr>
              <w:pStyle w:val="TableParagraph"/>
              <w:spacing w:line="258" w:lineRule="exact"/>
              <w:ind w:left="133" w:right="0"/>
              <w:jc w:val="left"/>
              <w:rPr>
                <w:rFonts w:ascii="Calibri" w:hAnsi="Calibri" w:cs="Calibri" w:eastAsia="Calibri" w:hint="default"/>
                <w:sz w:val="22"/>
                <w:szCs w:val="22"/>
              </w:rPr>
            </w:pPr>
            <w:r>
              <w:rPr>
                <w:rFonts w:ascii="Calibri"/>
                <w:sz w:val="22"/>
              </w:rPr>
              <w:t>Lunch</w:t>
            </w:r>
          </w:p>
        </w:tc>
        <w:tc>
          <w:tcPr>
            <w:tcW w:w="1341" w:type="dxa"/>
            <w:tcBorders>
              <w:top w:val="nil" w:sz="6" w:space="0" w:color="auto"/>
              <w:left w:val="nil" w:sz="6" w:space="0" w:color="auto"/>
              <w:bottom w:val="nil" w:sz="6" w:space="0" w:color="auto"/>
              <w:right w:val="nil" w:sz="6" w:space="0" w:color="auto"/>
            </w:tcBorders>
          </w:tcPr>
          <w:p>
            <w:pPr>
              <w:pStyle w:val="TableParagraph"/>
              <w:spacing w:line="240" w:lineRule="auto" w:before="15"/>
              <w:ind w:right="10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899"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Transfer to</w:t>
            </w:r>
            <w:r>
              <w:rPr>
                <w:rFonts w:ascii="Calibri"/>
                <w:spacing w:val="-11"/>
                <w:sz w:val="22"/>
              </w:rPr>
              <w:t> </w:t>
            </w:r>
            <w:r>
              <w:rPr>
                <w:rFonts w:ascii="Calibri"/>
                <w:sz w:val="22"/>
              </w:rPr>
              <w:t>hotel/airport</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5"/>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68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Accommodation/room</w:t>
            </w:r>
          </w:p>
        </w:tc>
        <w:tc>
          <w:tcPr>
            <w:tcW w:w="843" w:type="dxa"/>
            <w:tcBorders>
              <w:top w:val="nil" w:sz="6" w:space="0" w:color="auto"/>
              <w:left w:val="nil" w:sz="6" w:space="0" w:color="auto"/>
              <w:bottom w:val="nil" w:sz="6" w:space="0" w:color="auto"/>
              <w:right w:val="nil" w:sz="6" w:space="0" w:color="auto"/>
            </w:tcBorders>
          </w:tcPr>
          <w:p>
            <w:pPr>
              <w:pStyle w:val="TableParagraph"/>
              <w:spacing w:line="240" w:lineRule="auto" w:before="15"/>
              <w:ind w:right="131"/>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033" w:type="dxa"/>
            <w:tcBorders>
              <w:top w:val="nil" w:sz="6" w:space="0" w:color="auto"/>
              <w:left w:val="nil" w:sz="6" w:space="0" w:color="auto"/>
              <w:bottom w:val="nil" w:sz="6" w:space="0" w:color="auto"/>
              <w:right w:val="nil" w:sz="6" w:space="0" w:color="auto"/>
            </w:tcBorders>
          </w:tcPr>
          <w:p>
            <w:pPr>
              <w:pStyle w:val="TableParagraph"/>
              <w:spacing w:line="258" w:lineRule="exact"/>
              <w:ind w:left="133" w:right="0"/>
              <w:jc w:val="left"/>
              <w:rPr>
                <w:rFonts w:ascii="Calibri" w:hAnsi="Calibri" w:cs="Calibri" w:eastAsia="Calibri" w:hint="default"/>
                <w:sz w:val="22"/>
                <w:szCs w:val="22"/>
              </w:rPr>
            </w:pPr>
            <w:r>
              <w:rPr>
                <w:rFonts w:ascii="Calibri"/>
                <w:sz w:val="22"/>
              </w:rPr>
              <w:t>Dinner</w:t>
            </w:r>
          </w:p>
        </w:tc>
        <w:tc>
          <w:tcPr>
            <w:tcW w:w="1341" w:type="dxa"/>
            <w:tcBorders>
              <w:top w:val="nil" w:sz="6" w:space="0" w:color="auto"/>
              <w:left w:val="nil" w:sz="6" w:space="0" w:color="auto"/>
              <w:bottom w:val="nil" w:sz="6" w:space="0" w:color="auto"/>
              <w:right w:val="nil" w:sz="6" w:space="0" w:color="auto"/>
            </w:tcBorders>
          </w:tcPr>
          <w:p>
            <w:pPr>
              <w:pStyle w:val="TableParagraph"/>
              <w:spacing w:line="240" w:lineRule="auto" w:before="15"/>
              <w:ind w:right="10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899"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Island</w:t>
            </w:r>
            <w:r>
              <w:rPr>
                <w:rFonts w:ascii="Calibri"/>
                <w:spacing w:val="-8"/>
                <w:sz w:val="22"/>
              </w:rPr>
              <w:t> </w:t>
            </w:r>
            <w:r>
              <w:rPr>
                <w:rFonts w:ascii="Calibri"/>
                <w:sz w:val="22"/>
              </w:rPr>
              <w:t>tours</w:t>
            </w:r>
          </w:p>
        </w:tc>
      </w:tr>
      <w:tr>
        <w:trPr>
          <w:trHeight w:val="354"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5"/>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68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Car</w:t>
            </w:r>
          </w:p>
        </w:tc>
        <w:tc>
          <w:tcPr>
            <w:tcW w:w="843" w:type="dxa"/>
            <w:tcBorders>
              <w:top w:val="nil" w:sz="6" w:space="0" w:color="auto"/>
              <w:left w:val="nil" w:sz="6" w:space="0" w:color="auto"/>
              <w:bottom w:val="nil" w:sz="6" w:space="0" w:color="auto"/>
              <w:right w:val="nil" w:sz="6" w:space="0" w:color="auto"/>
            </w:tcBorders>
          </w:tcPr>
          <w:p>
            <w:pPr>
              <w:pStyle w:val="TableParagraph"/>
              <w:spacing w:line="240" w:lineRule="auto" w:before="15"/>
              <w:ind w:right="131"/>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033" w:type="dxa"/>
            <w:tcBorders>
              <w:top w:val="nil" w:sz="6" w:space="0" w:color="auto"/>
              <w:left w:val="nil" w:sz="6" w:space="0" w:color="auto"/>
              <w:bottom w:val="nil" w:sz="6" w:space="0" w:color="auto"/>
              <w:right w:val="nil" w:sz="6" w:space="0" w:color="auto"/>
            </w:tcBorders>
          </w:tcPr>
          <w:p>
            <w:pPr>
              <w:pStyle w:val="TableParagraph"/>
              <w:spacing w:line="258" w:lineRule="exact"/>
              <w:ind w:left="133" w:right="0"/>
              <w:jc w:val="left"/>
              <w:rPr>
                <w:rFonts w:ascii="Calibri" w:hAnsi="Calibri" w:cs="Calibri" w:eastAsia="Calibri" w:hint="default"/>
                <w:sz w:val="22"/>
                <w:szCs w:val="22"/>
              </w:rPr>
            </w:pPr>
            <w:r>
              <w:rPr>
                <w:rFonts w:ascii="Calibri"/>
                <w:sz w:val="22"/>
              </w:rPr>
              <w:t>Dive</w:t>
            </w:r>
            <w:r>
              <w:rPr>
                <w:rFonts w:ascii="Calibri"/>
                <w:spacing w:val="-5"/>
                <w:sz w:val="22"/>
              </w:rPr>
              <w:t> </w:t>
            </w:r>
            <w:r>
              <w:rPr>
                <w:rFonts w:ascii="Calibri"/>
                <w:sz w:val="22"/>
              </w:rPr>
              <w:t>trips</w:t>
            </w:r>
          </w:p>
        </w:tc>
        <w:tc>
          <w:tcPr>
            <w:tcW w:w="1341" w:type="dxa"/>
            <w:tcBorders>
              <w:top w:val="nil" w:sz="6" w:space="0" w:color="auto"/>
              <w:left w:val="nil" w:sz="6" w:space="0" w:color="auto"/>
              <w:bottom w:val="nil" w:sz="6" w:space="0" w:color="auto"/>
              <w:right w:val="nil" w:sz="6" w:space="0" w:color="auto"/>
            </w:tcBorders>
          </w:tcPr>
          <w:p>
            <w:pPr>
              <w:pStyle w:val="TableParagraph"/>
              <w:spacing w:line="240" w:lineRule="auto" w:before="15"/>
              <w:ind w:right="10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899" w:type="dxa"/>
            <w:tcBorders>
              <w:top w:val="nil" w:sz="6" w:space="0" w:color="auto"/>
              <w:left w:val="nil" w:sz="6" w:space="0" w:color="auto"/>
              <w:bottom w:val="nil" w:sz="6" w:space="0" w:color="auto"/>
              <w:right w:val="nil" w:sz="6" w:space="0" w:color="auto"/>
            </w:tcBorders>
          </w:tcPr>
          <w:p>
            <w:pPr>
              <w:pStyle w:val="TableParagraph"/>
              <w:tabs>
                <w:tab w:pos="2863" w:val="left" w:leader="none"/>
              </w:tabs>
              <w:spacing w:line="258" w:lineRule="exact"/>
              <w:ind w:left="108" w:right="0"/>
              <w:jc w:val="left"/>
              <w:rPr>
                <w:rFonts w:ascii="Calibri" w:hAnsi="Calibri" w:cs="Calibri" w:eastAsia="Calibri" w:hint="default"/>
                <w:sz w:val="22"/>
                <w:szCs w:val="22"/>
              </w:rPr>
            </w:pPr>
            <w:r>
              <w:rPr>
                <w:rFonts w:ascii="Calibri"/>
                <w:sz w:val="22"/>
              </w:rPr>
              <w:t>Other</w:t>
            </w:r>
            <w:r>
              <w:rPr>
                <w:rFonts w:ascii="Calibri"/>
                <w:sz w:val="22"/>
                <w:u w:val="single" w:color="000000"/>
              </w:rPr>
              <w:t> </w:t>
              <w:tab/>
            </w:r>
            <w:r>
              <w:rPr>
                <w:rFonts w:ascii="Calibri"/>
                <w:sz w:val="22"/>
              </w:rPr>
            </w:r>
          </w:p>
        </w:tc>
      </w:tr>
    </w:tbl>
    <w:p>
      <w:pPr>
        <w:spacing w:line="240" w:lineRule="auto" w:before="7"/>
        <w:ind w:right="0"/>
        <w:rPr>
          <w:rFonts w:ascii="Calibri" w:hAnsi="Calibri" w:cs="Calibri" w:eastAsia="Calibri" w:hint="default"/>
          <w:b/>
          <w:bCs/>
          <w:i/>
          <w:sz w:val="10"/>
          <w:szCs w:val="10"/>
        </w:rPr>
      </w:pPr>
    </w:p>
    <w:p>
      <w:pPr>
        <w:spacing w:before="55" w:after="20"/>
        <w:ind w:left="152" w:right="0" w:firstLine="0"/>
        <w:jc w:val="left"/>
        <w:rPr>
          <w:rFonts w:ascii="Calibri" w:hAnsi="Calibri" w:cs="Calibri" w:eastAsia="Calibri" w:hint="default"/>
          <w:sz w:val="22"/>
          <w:szCs w:val="22"/>
        </w:rPr>
      </w:pPr>
      <w:r>
        <w:rPr>
          <w:rFonts w:ascii="Calibri" w:hAnsi="Calibri" w:cs="Calibri" w:eastAsia="Calibri" w:hint="default"/>
          <w:b/>
          <w:bCs/>
          <w:sz w:val="22"/>
          <w:szCs w:val="22"/>
        </w:rPr>
        <w:t>SECTION 3: INFORMATION ABOUT TH</w:t>
      </w:r>
      <w:r>
        <w:rPr>
          <w:rFonts w:ascii="Calibri" w:hAnsi="Calibri" w:cs="Calibri" w:eastAsia="Calibri" w:hint="default"/>
          <w:b/>
          <w:bCs/>
          <w:sz w:val="22"/>
          <w:szCs w:val="22"/>
        </w:rPr>
        <w:t>E TOURIST’S</w:t>
      </w:r>
      <w:r>
        <w:rPr>
          <w:rFonts w:ascii="Calibri" w:hAnsi="Calibri" w:cs="Calibri" w:eastAsia="Calibri" w:hint="default"/>
          <w:b/>
          <w:bCs/>
          <w:spacing w:val="-14"/>
          <w:sz w:val="22"/>
          <w:szCs w:val="22"/>
        </w:rPr>
        <w:t> </w:t>
      </w:r>
      <w:r>
        <w:rPr>
          <w:rFonts w:ascii="Calibri" w:hAnsi="Calibri" w:cs="Calibri" w:eastAsia="Calibri" w:hint="default"/>
          <w:b/>
          <w:bCs/>
          <w:sz w:val="22"/>
          <w:szCs w:val="22"/>
        </w:rPr>
        <w:t>SPENDING</w:t>
      </w:r>
      <w:r>
        <w:rPr>
          <w:rFonts w:ascii="Calibri" w:hAnsi="Calibri" w:cs="Calibri" w:eastAsia="Calibri" w:hint="default"/>
          <w:sz w:val="22"/>
          <w:szCs w:val="22"/>
        </w:rPr>
      </w:r>
    </w:p>
    <w:p>
      <w:pPr>
        <w:spacing w:line="20" w:lineRule="exact"/>
        <w:ind w:left="117" w:right="0" w:firstLine="0"/>
        <w:rPr>
          <w:rFonts w:ascii="Calibri" w:hAnsi="Calibri" w:cs="Calibri" w:eastAsia="Calibri" w:hint="default"/>
          <w:sz w:val="2"/>
          <w:szCs w:val="2"/>
        </w:rPr>
      </w:pPr>
      <w:r>
        <w:rPr>
          <w:rFonts w:ascii="Calibri" w:hAnsi="Calibri" w:cs="Calibri" w:eastAsia="Calibri" w:hint="default"/>
          <w:sz w:val="2"/>
          <w:szCs w:val="2"/>
        </w:rPr>
        <w:pict>
          <v:group style="width:576pt;height:.5pt;mso-position-horizontal-relative:char;mso-position-vertical-relative:line" coordorigin="0,0" coordsize="11520,10">
            <v:group style="position:absolute;left:5;top:5;width:11510;height:2" coordorigin="5,5" coordsize="11510,2">
              <v:shape style="position:absolute;left:5;top:5;width:11510;height:2" coordorigin="5,5" coordsize="11510,0" path="m5,5l11514,5e" filled="false" stroked="true" strokeweight=".48001pt" strokecolor="#000000">
                <v:path arrowok="t"/>
              </v:shape>
            </v:group>
          </v:group>
        </w:pict>
      </w:r>
      <w:r>
        <w:rPr>
          <w:rFonts w:ascii="Calibri" w:hAnsi="Calibri" w:cs="Calibri" w:eastAsia="Calibri" w:hint="default"/>
          <w:sz w:val="2"/>
          <w:szCs w:val="2"/>
        </w:rPr>
      </w:r>
    </w:p>
    <w:p>
      <w:pPr>
        <w:spacing w:line="240" w:lineRule="auto" w:before="7"/>
        <w:ind w:right="0"/>
        <w:rPr>
          <w:rFonts w:ascii="Calibri" w:hAnsi="Calibri" w:cs="Calibri" w:eastAsia="Calibri" w:hint="default"/>
          <w:b/>
          <w:bCs/>
          <w:sz w:val="16"/>
          <w:szCs w:val="16"/>
        </w:rPr>
      </w:pPr>
    </w:p>
    <w:p>
      <w:pPr>
        <w:pStyle w:val="ListParagraph"/>
        <w:numPr>
          <w:ilvl w:val="0"/>
          <w:numId w:val="22"/>
        </w:numPr>
        <w:tabs>
          <w:tab w:pos="788" w:val="left" w:leader="none"/>
        </w:tabs>
        <w:spacing w:line="240" w:lineRule="auto" w:before="55" w:after="0"/>
        <w:ind w:left="788" w:right="0" w:hanging="332"/>
        <w:jc w:val="both"/>
        <w:rPr>
          <w:rFonts w:ascii="Calibri" w:hAnsi="Calibri" w:cs="Calibri" w:eastAsia="Calibri" w:hint="default"/>
          <w:sz w:val="22"/>
          <w:szCs w:val="22"/>
        </w:rPr>
      </w:pPr>
      <w:r>
        <w:rPr>
          <w:rFonts w:ascii="Calibri" w:hAnsi="Calibri"/>
          <w:b/>
          <w:sz w:val="22"/>
        </w:rPr>
        <w:t>Please</w:t>
      </w:r>
      <w:r>
        <w:rPr>
          <w:rFonts w:ascii="Calibri" w:hAnsi="Calibri"/>
          <w:b/>
          <w:spacing w:val="-3"/>
          <w:sz w:val="22"/>
        </w:rPr>
        <w:t> </w:t>
      </w:r>
      <w:r>
        <w:rPr>
          <w:rFonts w:ascii="Calibri" w:hAnsi="Calibri"/>
          <w:b/>
          <w:sz w:val="22"/>
        </w:rPr>
        <w:t>indicate</w:t>
      </w:r>
      <w:r>
        <w:rPr>
          <w:rFonts w:ascii="Calibri" w:hAnsi="Calibri"/>
          <w:b/>
          <w:spacing w:val="-3"/>
          <w:sz w:val="22"/>
        </w:rPr>
        <w:t> </w:t>
      </w:r>
      <w:r>
        <w:rPr>
          <w:rFonts w:ascii="Calibri" w:hAnsi="Calibri"/>
          <w:b/>
          <w:sz w:val="22"/>
        </w:rPr>
        <w:t>how</w:t>
      </w:r>
      <w:r>
        <w:rPr>
          <w:rFonts w:ascii="Calibri" w:hAnsi="Calibri"/>
          <w:b/>
          <w:spacing w:val="-3"/>
          <w:sz w:val="22"/>
        </w:rPr>
        <w:t> </w:t>
      </w:r>
      <w:r>
        <w:rPr>
          <w:rFonts w:ascii="Calibri" w:hAnsi="Calibri"/>
          <w:b/>
          <w:sz w:val="22"/>
        </w:rPr>
        <w:t>much</w:t>
      </w:r>
      <w:r>
        <w:rPr>
          <w:rFonts w:ascii="Calibri" w:hAnsi="Calibri"/>
          <w:b/>
          <w:spacing w:val="-3"/>
          <w:sz w:val="22"/>
        </w:rPr>
        <w:t> </w:t>
      </w:r>
      <w:r>
        <w:rPr>
          <w:rFonts w:ascii="Calibri" w:hAnsi="Calibri"/>
          <w:b/>
          <w:sz w:val="22"/>
        </w:rPr>
        <w:t>(or</w:t>
      </w:r>
      <w:r>
        <w:rPr>
          <w:rFonts w:ascii="Calibri" w:hAnsi="Calibri"/>
          <w:b/>
          <w:spacing w:val="-3"/>
          <w:sz w:val="22"/>
        </w:rPr>
        <w:t> </w:t>
      </w:r>
      <w:r>
        <w:rPr>
          <w:rFonts w:ascii="Calibri" w:hAnsi="Calibri"/>
          <w:b/>
          <w:sz w:val="22"/>
        </w:rPr>
        <w:t>the</w:t>
      </w:r>
      <w:r>
        <w:rPr>
          <w:rFonts w:ascii="Calibri" w:hAnsi="Calibri"/>
          <w:b/>
          <w:spacing w:val="-3"/>
          <w:sz w:val="22"/>
        </w:rPr>
        <w:t> </w:t>
      </w:r>
      <w:r>
        <w:rPr>
          <w:rFonts w:ascii="Calibri" w:hAnsi="Calibri"/>
          <w:b/>
          <w:sz w:val="22"/>
        </w:rPr>
        <w:t>approximate</w:t>
      </w:r>
      <w:r>
        <w:rPr>
          <w:rFonts w:ascii="Calibri" w:hAnsi="Calibri"/>
          <w:b/>
          <w:spacing w:val="-3"/>
          <w:sz w:val="22"/>
        </w:rPr>
        <w:t> </w:t>
      </w:r>
      <w:r>
        <w:rPr>
          <w:rFonts w:ascii="Calibri" w:hAnsi="Calibri"/>
          <w:b/>
          <w:sz w:val="22"/>
        </w:rPr>
        <w:t>value)</w:t>
      </w:r>
      <w:r>
        <w:rPr>
          <w:rFonts w:ascii="Calibri" w:hAnsi="Calibri"/>
          <w:b/>
          <w:spacing w:val="-3"/>
          <w:sz w:val="22"/>
        </w:rPr>
        <w:t> </w:t>
      </w:r>
      <w:r>
        <w:rPr>
          <w:rFonts w:ascii="Calibri" w:hAnsi="Calibri"/>
          <w:b/>
          <w:sz w:val="22"/>
        </w:rPr>
        <w:t>that</w:t>
      </w:r>
      <w:r>
        <w:rPr>
          <w:rFonts w:ascii="Calibri" w:hAnsi="Calibri"/>
          <w:b/>
          <w:spacing w:val="-2"/>
          <w:sz w:val="22"/>
        </w:rPr>
        <w:t> </w:t>
      </w:r>
      <w:r>
        <w:rPr>
          <w:rFonts w:ascii="Calibri" w:hAnsi="Calibri"/>
          <w:b/>
          <w:sz w:val="22"/>
        </w:rPr>
        <w:t>was</w:t>
      </w:r>
      <w:r>
        <w:rPr>
          <w:rFonts w:ascii="Calibri" w:hAnsi="Calibri"/>
          <w:b/>
          <w:spacing w:val="-4"/>
          <w:sz w:val="22"/>
        </w:rPr>
        <w:t> </w:t>
      </w:r>
      <w:r>
        <w:rPr>
          <w:rFonts w:ascii="Calibri" w:hAnsi="Calibri"/>
          <w:b/>
          <w:sz w:val="22"/>
        </w:rPr>
        <w:t>spent</w:t>
      </w:r>
      <w:r>
        <w:rPr>
          <w:rFonts w:ascii="Calibri" w:hAnsi="Calibri"/>
          <w:b/>
          <w:spacing w:val="-3"/>
          <w:sz w:val="22"/>
        </w:rPr>
        <w:t> </w:t>
      </w:r>
      <w:r>
        <w:rPr>
          <w:rFonts w:ascii="Calibri" w:hAnsi="Calibri"/>
          <w:b/>
          <w:sz w:val="22"/>
        </w:rPr>
        <w:t>by</w:t>
      </w:r>
      <w:r>
        <w:rPr>
          <w:rFonts w:ascii="Calibri" w:hAnsi="Calibri"/>
          <w:b/>
          <w:spacing w:val="-3"/>
          <w:sz w:val="22"/>
        </w:rPr>
        <w:t> </w:t>
      </w:r>
      <w:r>
        <w:rPr>
          <w:rFonts w:ascii="Calibri" w:hAnsi="Calibri"/>
          <w:b/>
          <w:sz w:val="22"/>
        </w:rPr>
        <w:t>you</w:t>
      </w:r>
      <w:r>
        <w:rPr>
          <w:rFonts w:ascii="Calibri" w:hAnsi="Calibri"/>
          <w:b/>
          <w:spacing w:val="-3"/>
          <w:sz w:val="22"/>
        </w:rPr>
        <w:t> </w:t>
      </w:r>
      <w:r>
        <w:rPr>
          <w:rFonts w:ascii="Calibri" w:hAnsi="Calibri"/>
          <w:b/>
          <w:sz w:val="22"/>
        </w:rPr>
        <w:t>and</w:t>
      </w:r>
      <w:r>
        <w:rPr>
          <w:rFonts w:ascii="Calibri" w:hAnsi="Calibri"/>
          <w:b/>
          <w:spacing w:val="-3"/>
          <w:sz w:val="22"/>
        </w:rPr>
        <w:t> </w:t>
      </w:r>
      <w:r>
        <w:rPr>
          <w:rFonts w:ascii="Calibri" w:hAnsi="Calibri"/>
          <w:b/>
          <w:sz w:val="22"/>
        </w:rPr>
        <w:t>your</w:t>
      </w:r>
      <w:r>
        <w:rPr>
          <w:rFonts w:ascii="Calibri" w:hAnsi="Calibri"/>
          <w:b/>
          <w:spacing w:val="-3"/>
          <w:sz w:val="22"/>
        </w:rPr>
        <w:t> </w:t>
      </w:r>
      <w:r>
        <w:rPr>
          <w:rFonts w:ascii="Calibri" w:hAnsi="Calibri"/>
          <w:b/>
          <w:sz w:val="22"/>
        </w:rPr>
        <w:t>group</w:t>
      </w:r>
      <w:r>
        <w:rPr>
          <w:rFonts w:ascii="Calibri" w:hAnsi="Calibri"/>
          <w:b/>
          <w:spacing w:val="1"/>
          <w:sz w:val="22"/>
        </w:rPr>
        <w:t> </w:t>
      </w:r>
      <w:r>
        <w:rPr>
          <w:rFonts w:ascii="Calibri" w:hAnsi="Calibri"/>
          <w:b/>
          <w:sz w:val="22"/>
        </w:rPr>
        <w:t>in</w:t>
      </w:r>
      <w:r>
        <w:rPr>
          <w:rFonts w:ascii="Calibri" w:hAnsi="Calibri"/>
          <w:b/>
          <w:spacing w:val="-3"/>
          <w:sz w:val="22"/>
        </w:rPr>
        <w:t> </w:t>
      </w:r>
      <w:r>
        <w:rPr>
          <w:rFonts w:ascii="Calibri" w:hAnsi="Calibri"/>
          <w:b/>
          <w:sz w:val="22"/>
        </w:rPr>
        <w:t>Curaçao.</w:t>
      </w:r>
      <w:r>
        <w:rPr>
          <w:rFonts w:ascii="Calibri" w:hAnsi="Calibri"/>
          <w:sz w:val="22"/>
        </w:rPr>
      </w:r>
    </w:p>
    <w:p>
      <w:pPr>
        <w:spacing w:line="240" w:lineRule="auto" w:before="11"/>
        <w:ind w:right="0"/>
        <w:rPr>
          <w:rFonts w:ascii="Calibri" w:hAnsi="Calibri" w:cs="Calibri" w:eastAsia="Calibri" w:hint="default"/>
          <w:b/>
          <w:bCs/>
          <w:sz w:val="21"/>
          <w:szCs w:val="21"/>
        </w:rPr>
      </w:pPr>
    </w:p>
    <w:p>
      <w:pPr>
        <w:spacing w:before="0"/>
        <w:ind w:left="456" w:right="1108" w:firstLine="0"/>
        <w:jc w:val="both"/>
        <w:rPr>
          <w:rFonts w:ascii="Calibri" w:hAnsi="Calibri" w:cs="Calibri" w:eastAsia="Calibri" w:hint="default"/>
          <w:sz w:val="22"/>
          <w:szCs w:val="22"/>
        </w:rPr>
      </w:pPr>
      <w:r>
        <w:rPr>
          <w:rFonts w:ascii="Calibri"/>
          <w:b/>
          <w:sz w:val="22"/>
        </w:rPr>
        <w:t>Please enter the amounts in US$ and include all of the expenses for your entire immediate group. For example, include</w:t>
      </w:r>
      <w:r>
        <w:rPr>
          <w:rFonts w:ascii="Calibri"/>
          <w:b/>
          <w:spacing w:val="-2"/>
          <w:sz w:val="22"/>
        </w:rPr>
        <w:t> </w:t>
      </w:r>
      <w:r>
        <w:rPr>
          <w:rFonts w:ascii="Calibri"/>
          <w:b/>
          <w:sz w:val="22"/>
        </w:rPr>
        <w:t>the</w:t>
      </w:r>
      <w:r>
        <w:rPr>
          <w:rFonts w:ascii="Calibri"/>
          <w:b/>
          <w:spacing w:val="-3"/>
          <w:sz w:val="22"/>
        </w:rPr>
        <w:t> </w:t>
      </w:r>
      <w:r>
        <w:rPr>
          <w:rFonts w:ascii="Calibri"/>
          <w:b/>
          <w:sz w:val="22"/>
        </w:rPr>
        <w:t>expenses</w:t>
      </w:r>
      <w:r>
        <w:rPr>
          <w:rFonts w:ascii="Calibri"/>
          <w:b/>
          <w:spacing w:val="-2"/>
          <w:sz w:val="22"/>
        </w:rPr>
        <w:t> </w:t>
      </w:r>
      <w:r>
        <w:rPr>
          <w:rFonts w:ascii="Calibri"/>
          <w:b/>
          <w:sz w:val="22"/>
        </w:rPr>
        <w:t>of</w:t>
      </w:r>
      <w:r>
        <w:rPr>
          <w:rFonts w:ascii="Calibri"/>
          <w:b/>
          <w:spacing w:val="-3"/>
          <w:sz w:val="22"/>
        </w:rPr>
        <w:t> </w:t>
      </w:r>
      <w:r>
        <w:rPr>
          <w:rFonts w:ascii="Calibri"/>
          <w:b/>
          <w:sz w:val="22"/>
        </w:rPr>
        <w:t>your</w:t>
      </w:r>
      <w:r>
        <w:rPr>
          <w:rFonts w:ascii="Calibri"/>
          <w:b/>
          <w:spacing w:val="-2"/>
          <w:sz w:val="22"/>
        </w:rPr>
        <w:t> </w:t>
      </w:r>
      <w:r>
        <w:rPr>
          <w:rFonts w:ascii="Calibri"/>
          <w:b/>
          <w:sz w:val="22"/>
        </w:rPr>
        <w:t>travel</w:t>
      </w:r>
      <w:r>
        <w:rPr>
          <w:rFonts w:ascii="Calibri"/>
          <w:b/>
          <w:spacing w:val="-3"/>
          <w:sz w:val="22"/>
        </w:rPr>
        <w:t> </w:t>
      </w:r>
      <w:r>
        <w:rPr>
          <w:rFonts w:ascii="Calibri"/>
          <w:b/>
          <w:sz w:val="22"/>
        </w:rPr>
        <w:t>companion(s)</w:t>
      </w:r>
      <w:r>
        <w:rPr>
          <w:rFonts w:ascii="Calibri"/>
          <w:b/>
          <w:spacing w:val="-3"/>
          <w:sz w:val="22"/>
        </w:rPr>
        <w:t> </w:t>
      </w:r>
      <w:r>
        <w:rPr>
          <w:rFonts w:ascii="Calibri"/>
          <w:b/>
          <w:sz w:val="22"/>
        </w:rPr>
        <w:t>such</w:t>
      </w:r>
      <w:r>
        <w:rPr>
          <w:rFonts w:ascii="Calibri"/>
          <w:b/>
          <w:spacing w:val="-3"/>
          <w:sz w:val="22"/>
        </w:rPr>
        <w:t> </w:t>
      </w:r>
      <w:r>
        <w:rPr>
          <w:rFonts w:ascii="Calibri"/>
          <w:b/>
          <w:sz w:val="22"/>
        </w:rPr>
        <w:t>as</w:t>
      </w:r>
      <w:r>
        <w:rPr>
          <w:rFonts w:ascii="Calibri"/>
          <w:b/>
          <w:spacing w:val="-2"/>
          <w:sz w:val="22"/>
        </w:rPr>
        <w:t> </w:t>
      </w:r>
      <w:r>
        <w:rPr>
          <w:rFonts w:ascii="Calibri"/>
          <w:b/>
          <w:sz w:val="22"/>
        </w:rPr>
        <w:t>your</w:t>
      </w:r>
      <w:r>
        <w:rPr>
          <w:rFonts w:ascii="Calibri"/>
          <w:b/>
          <w:spacing w:val="-2"/>
          <w:sz w:val="22"/>
        </w:rPr>
        <w:t> </w:t>
      </w:r>
      <w:r>
        <w:rPr>
          <w:rFonts w:ascii="Calibri"/>
          <w:b/>
          <w:sz w:val="22"/>
        </w:rPr>
        <w:t>wife,</w:t>
      </w:r>
      <w:r>
        <w:rPr>
          <w:rFonts w:ascii="Calibri"/>
          <w:b/>
          <w:spacing w:val="-2"/>
          <w:sz w:val="22"/>
        </w:rPr>
        <w:t> </w:t>
      </w:r>
      <w:r>
        <w:rPr>
          <w:rFonts w:ascii="Calibri"/>
          <w:b/>
          <w:sz w:val="22"/>
        </w:rPr>
        <w:t>children,</w:t>
      </w:r>
      <w:r>
        <w:rPr>
          <w:rFonts w:ascii="Calibri"/>
          <w:b/>
          <w:spacing w:val="-2"/>
          <w:sz w:val="22"/>
        </w:rPr>
        <w:t> </w:t>
      </w:r>
      <w:r>
        <w:rPr>
          <w:rFonts w:ascii="Calibri"/>
          <w:b/>
          <w:sz w:val="22"/>
        </w:rPr>
        <w:t>or</w:t>
      </w:r>
      <w:r>
        <w:rPr>
          <w:rFonts w:ascii="Calibri"/>
          <w:b/>
          <w:spacing w:val="-3"/>
          <w:sz w:val="22"/>
        </w:rPr>
        <w:t> </w:t>
      </w:r>
      <w:r>
        <w:rPr>
          <w:rFonts w:ascii="Calibri"/>
          <w:b/>
          <w:sz w:val="22"/>
        </w:rPr>
        <w:t>other</w:t>
      </w:r>
      <w:r>
        <w:rPr>
          <w:rFonts w:ascii="Calibri"/>
          <w:b/>
          <w:spacing w:val="-2"/>
          <w:sz w:val="22"/>
        </w:rPr>
        <w:t> </w:t>
      </w:r>
      <w:r>
        <w:rPr>
          <w:rFonts w:ascii="Calibri"/>
          <w:b/>
          <w:sz w:val="22"/>
        </w:rPr>
        <w:t>individuals</w:t>
      </w:r>
      <w:r>
        <w:rPr>
          <w:rFonts w:ascii="Calibri"/>
          <w:b/>
          <w:spacing w:val="-3"/>
          <w:sz w:val="22"/>
        </w:rPr>
        <w:t> </w:t>
      </w:r>
      <w:r>
        <w:rPr>
          <w:rFonts w:ascii="Calibri"/>
          <w:b/>
          <w:sz w:val="22"/>
        </w:rPr>
        <w:t>for</w:t>
      </w:r>
      <w:r>
        <w:rPr>
          <w:rFonts w:ascii="Calibri"/>
          <w:b/>
          <w:spacing w:val="-3"/>
          <w:sz w:val="22"/>
        </w:rPr>
        <w:t> </w:t>
      </w:r>
      <w:r>
        <w:rPr>
          <w:rFonts w:ascii="Calibri"/>
          <w:b/>
          <w:sz w:val="22"/>
        </w:rPr>
        <w:t>which</w:t>
      </w:r>
      <w:r>
        <w:rPr>
          <w:rFonts w:ascii="Calibri"/>
          <w:b/>
          <w:spacing w:val="-1"/>
          <w:sz w:val="22"/>
        </w:rPr>
        <w:t> </w:t>
      </w:r>
      <w:r>
        <w:rPr>
          <w:rFonts w:ascii="Calibri"/>
          <w:b/>
          <w:sz w:val="22"/>
        </w:rPr>
        <w:t>you </w:t>
      </w:r>
      <w:r>
        <w:rPr>
          <w:rFonts w:ascii="Calibri"/>
          <w:b/>
          <w:sz w:val="22"/>
        </w:rPr>
        <w:t>covered the travel</w:t>
      </w:r>
      <w:r>
        <w:rPr>
          <w:rFonts w:ascii="Calibri"/>
          <w:b/>
          <w:spacing w:val="-16"/>
          <w:sz w:val="22"/>
        </w:rPr>
        <w:t> </w:t>
      </w:r>
      <w:r>
        <w:rPr>
          <w:rFonts w:ascii="Calibri"/>
          <w:b/>
          <w:sz w:val="22"/>
        </w:rPr>
        <w:t>expenses.</w:t>
      </w:r>
      <w:r>
        <w:rPr>
          <w:rFonts w:ascii="Calibri"/>
          <w:sz w:val="22"/>
        </w:rPr>
      </w:r>
    </w:p>
    <w:p>
      <w:pPr>
        <w:spacing w:line="240" w:lineRule="auto" w:before="1" w:after="0"/>
        <w:ind w:right="0"/>
        <w:rPr>
          <w:rFonts w:ascii="Calibri" w:hAnsi="Calibri" w:cs="Calibri" w:eastAsia="Calibri" w:hint="default"/>
          <w:b/>
          <w:bCs/>
          <w:sz w:val="19"/>
          <w:szCs w:val="19"/>
        </w:rPr>
      </w:pPr>
    </w:p>
    <w:tbl>
      <w:tblPr>
        <w:tblW w:w="0" w:type="auto"/>
        <w:jc w:val="left"/>
        <w:tblInd w:w="421" w:type="dxa"/>
        <w:tblLayout w:type="fixed"/>
        <w:tblCellMar>
          <w:top w:w="0" w:type="dxa"/>
          <w:left w:w="0" w:type="dxa"/>
          <w:bottom w:w="0" w:type="dxa"/>
          <w:right w:w="0" w:type="dxa"/>
        </w:tblCellMar>
        <w:tblLook w:val="01E0"/>
      </w:tblPr>
      <w:tblGrid>
        <w:gridCol w:w="3109"/>
        <w:gridCol w:w="2116"/>
        <w:gridCol w:w="3492"/>
        <w:gridCol w:w="2038"/>
      </w:tblGrid>
      <w:tr>
        <w:trPr>
          <w:trHeight w:val="647" w:hRule="exact"/>
        </w:trPr>
        <w:tc>
          <w:tcPr>
            <w:tcW w:w="3109" w:type="dxa"/>
            <w:tcBorders>
              <w:top w:val="nil" w:sz="6" w:space="0" w:color="auto"/>
              <w:left w:val="nil" w:sz="6" w:space="0" w:color="auto"/>
              <w:bottom w:val="nil" w:sz="6" w:space="0" w:color="auto"/>
              <w:right w:val="nil" w:sz="6" w:space="0" w:color="auto"/>
            </w:tcBorders>
          </w:tcPr>
          <w:p>
            <w:pPr>
              <w:pStyle w:val="TableParagraph"/>
              <w:spacing w:line="240" w:lineRule="auto" w:before="55"/>
              <w:ind w:left="35" w:right="0"/>
              <w:jc w:val="left"/>
              <w:rPr>
                <w:rFonts w:ascii="Calibri" w:hAnsi="Calibri" w:cs="Calibri" w:eastAsia="Calibri" w:hint="default"/>
                <w:sz w:val="22"/>
                <w:szCs w:val="22"/>
              </w:rPr>
            </w:pPr>
            <w:r>
              <w:rPr>
                <w:rFonts w:ascii="Calibri"/>
                <w:b/>
                <w:sz w:val="22"/>
              </w:rPr>
              <w:t>Expenditures</w:t>
            </w:r>
            <w:r>
              <w:rPr>
                <w:rFonts w:ascii="Calibri"/>
                <w:sz w:val="22"/>
              </w:rPr>
            </w:r>
          </w:p>
          <w:p>
            <w:pPr>
              <w:pStyle w:val="TableParagraph"/>
              <w:spacing w:line="240" w:lineRule="auto" w:before="19"/>
              <w:ind w:left="35" w:right="0"/>
              <w:jc w:val="left"/>
              <w:rPr>
                <w:rFonts w:ascii="Calibri" w:hAnsi="Calibri" w:cs="Calibri" w:eastAsia="Calibri" w:hint="default"/>
                <w:sz w:val="22"/>
                <w:szCs w:val="22"/>
              </w:rPr>
            </w:pPr>
            <w:r>
              <w:rPr>
                <w:rFonts w:ascii="Calibri"/>
                <w:sz w:val="22"/>
              </w:rPr>
              <w:t>1) Lodging (only room</w:t>
            </w:r>
            <w:r>
              <w:rPr>
                <w:rFonts w:ascii="Calibri"/>
                <w:spacing w:val="-14"/>
                <w:sz w:val="22"/>
              </w:rPr>
              <w:t> </w:t>
            </w:r>
            <w:r>
              <w:rPr>
                <w:rFonts w:ascii="Calibri"/>
                <w:sz w:val="22"/>
              </w:rPr>
              <w:t>expenses)</w:t>
            </w:r>
          </w:p>
        </w:tc>
        <w:tc>
          <w:tcPr>
            <w:tcW w:w="2116" w:type="dxa"/>
            <w:tcBorders>
              <w:top w:val="nil" w:sz="6" w:space="0" w:color="auto"/>
              <w:left w:val="nil" w:sz="6" w:space="0" w:color="auto"/>
              <w:bottom w:val="nil" w:sz="6" w:space="0" w:color="auto"/>
              <w:right w:val="nil" w:sz="6" w:space="0" w:color="auto"/>
            </w:tcBorders>
          </w:tcPr>
          <w:p>
            <w:pPr>
              <w:pStyle w:val="TableParagraph"/>
              <w:spacing w:line="240" w:lineRule="auto" w:before="1"/>
              <w:ind w:right="0"/>
              <w:jc w:val="left"/>
              <w:rPr>
                <w:rFonts w:ascii="Calibri" w:hAnsi="Calibri" w:cs="Calibri" w:eastAsia="Calibri" w:hint="default"/>
                <w:b/>
                <w:bCs/>
                <w:sz w:val="28"/>
                <w:szCs w:val="28"/>
              </w:rPr>
            </w:pPr>
          </w:p>
          <w:p>
            <w:pPr>
              <w:pStyle w:val="TableParagraph"/>
              <w:tabs>
                <w:tab w:pos="1861" w:val="left" w:leader="none"/>
              </w:tabs>
              <w:spacing w:line="240" w:lineRule="auto"/>
              <w:ind w:left="121" w:right="0"/>
              <w:jc w:val="lef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sz w:val="22"/>
                <w:u w:val="single" w:color="000000"/>
              </w:rPr>
              <w:t>US$</w:t>
              <w:tab/>
            </w:r>
            <w:r>
              <w:rPr>
                <w:rFonts w:ascii="Calibri"/>
                <w:b/>
                <w:sz w:val="22"/>
              </w:rPr>
            </w:r>
            <w:r>
              <w:rPr>
                <w:rFonts w:ascii="Calibri"/>
                <w:sz w:val="22"/>
              </w:rPr>
            </w:r>
          </w:p>
        </w:tc>
        <w:tc>
          <w:tcPr>
            <w:tcW w:w="3492" w:type="dxa"/>
            <w:tcBorders>
              <w:top w:val="nil" w:sz="6" w:space="0" w:color="auto"/>
              <w:left w:val="nil" w:sz="6" w:space="0" w:color="auto"/>
              <w:bottom w:val="nil" w:sz="6" w:space="0" w:color="auto"/>
              <w:right w:val="nil" w:sz="6" w:space="0" w:color="auto"/>
            </w:tcBorders>
          </w:tcPr>
          <w:p>
            <w:pPr>
              <w:pStyle w:val="TableParagraph"/>
              <w:spacing w:line="240" w:lineRule="auto" w:before="1"/>
              <w:ind w:right="0"/>
              <w:jc w:val="left"/>
              <w:rPr>
                <w:rFonts w:ascii="Calibri" w:hAnsi="Calibri" w:cs="Calibri" w:eastAsia="Calibri" w:hint="default"/>
                <w:b/>
                <w:bCs/>
                <w:sz w:val="28"/>
                <w:szCs w:val="28"/>
              </w:rPr>
            </w:pPr>
          </w:p>
          <w:p>
            <w:pPr>
              <w:pStyle w:val="TableParagraph"/>
              <w:spacing w:line="240" w:lineRule="auto"/>
              <w:ind w:left="254" w:right="0"/>
              <w:jc w:val="left"/>
              <w:rPr>
                <w:rFonts w:ascii="Calibri" w:hAnsi="Calibri" w:cs="Calibri" w:eastAsia="Calibri" w:hint="default"/>
                <w:sz w:val="22"/>
                <w:szCs w:val="22"/>
              </w:rPr>
            </w:pPr>
            <w:r>
              <w:rPr>
                <w:rFonts w:ascii="Calibri"/>
                <w:sz w:val="22"/>
              </w:rPr>
              <w:t>8) Local arts/cultural</w:t>
            </w:r>
            <w:r>
              <w:rPr>
                <w:rFonts w:ascii="Calibri"/>
                <w:spacing w:val="-13"/>
                <w:sz w:val="22"/>
              </w:rPr>
              <w:t> </w:t>
            </w:r>
            <w:r>
              <w:rPr>
                <w:rFonts w:ascii="Calibri"/>
                <w:sz w:val="22"/>
              </w:rPr>
              <w:t>events</w:t>
            </w:r>
          </w:p>
        </w:tc>
        <w:tc>
          <w:tcPr>
            <w:tcW w:w="2038" w:type="dxa"/>
            <w:tcBorders>
              <w:top w:val="nil" w:sz="6" w:space="0" w:color="auto"/>
              <w:left w:val="nil" w:sz="6" w:space="0" w:color="auto"/>
              <w:bottom w:val="nil" w:sz="6" w:space="0" w:color="auto"/>
              <w:right w:val="nil" w:sz="6" w:space="0" w:color="auto"/>
            </w:tcBorders>
          </w:tcPr>
          <w:p>
            <w:pPr>
              <w:pStyle w:val="TableParagraph"/>
              <w:spacing w:line="240" w:lineRule="auto" w:before="1"/>
              <w:ind w:right="0"/>
              <w:jc w:val="left"/>
              <w:rPr>
                <w:rFonts w:ascii="Calibri" w:hAnsi="Calibri" w:cs="Calibri" w:eastAsia="Calibri" w:hint="default"/>
                <w:b/>
                <w:bCs/>
                <w:sz w:val="28"/>
                <w:szCs w:val="28"/>
              </w:rPr>
            </w:pPr>
          </w:p>
          <w:p>
            <w:pPr>
              <w:pStyle w:val="TableParagraph"/>
              <w:tabs>
                <w:tab w:pos="1880" w:val="left" w:leader="none"/>
              </w:tabs>
              <w:spacing w:line="240" w:lineRule="auto"/>
              <w:ind w:right="33"/>
              <w:jc w:val="righ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w w:val="95"/>
                <w:sz w:val="22"/>
                <w:u w:val="single" w:color="000000"/>
              </w:rPr>
              <w:t>US$</w:t>
            </w:r>
            <w:r>
              <w:rPr>
                <w:rFonts w:ascii="Calibri"/>
                <w:b/>
                <w:sz w:val="22"/>
                <w:u w:val="single" w:color="000000"/>
              </w:rPr>
              <w:tab/>
            </w:r>
            <w:r>
              <w:rPr>
                <w:rFonts w:ascii="Calibri"/>
                <w:b/>
                <w:sz w:val="22"/>
              </w:rPr>
            </w:r>
            <w:r>
              <w:rPr>
                <w:rFonts w:ascii="Calibri"/>
                <w:sz w:val="22"/>
              </w:rPr>
            </w:r>
          </w:p>
        </w:tc>
      </w:tr>
      <w:tr>
        <w:trPr>
          <w:trHeight w:val="298" w:hRule="exact"/>
        </w:trPr>
        <w:tc>
          <w:tcPr>
            <w:tcW w:w="3109"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Calibri" w:hAnsi="Calibri" w:cs="Calibri" w:eastAsia="Calibri" w:hint="default"/>
                <w:sz w:val="22"/>
                <w:szCs w:val="22"/>
              </w:rPr>
            </w:pPr>
            <w:r>
              <w:rPr>
                <w:rFonts w:ascii="Calibri"/>
                <w:sz w:val="22"/>
              </w:rPr>
              <w:t>2) Food/beverage (inside</w:t>
            </w:r>
            <w:r>
              <w:rPr>
                <w:rFonts w:ascii="Calibri"/>
                <w:spacing w:val="-15"/>
                <w:sz w:val="22"/>
              </w:rPr>
              <w:t> </w:t>
            </w:r>
            <w:r>
              <w:rPr>
                <w:rFonts w:ascii="Calibri"/>
                <w:sz w:val="22"/>
              </w:rPr>
              <w:t>hotel)</w:t>
            </w:r>
          </w:p>
        </w:tc>
        <w:tc>
          <w:tcPr>
            <w:tcW w:w="2116" w:type="dxa"/>
            <w:tcBorders>
              <w:top w:val="nil" w:sz="6" w:space="0" w:color="auto"/>
              <w:left w:val="nil" w:sz="6" w:space="0" w:color="auto"/>
              <w:bottom w:val="nil" w:sz="6" w:space="0" w:color="auto"/>
              <w:right w:val="nil" w:sz="6" w:space="0" w:color="auto"/>
            </w:tcBorders>
          </w:tcPr>
          <w:p>
            <w:pPr>
              <w:pStyle w:val="TableParagraph"/>
              <w:tabs>
                <w:tab w:pos="1861" w:val="left" w:leader="none"/>
              </w:tabs>
              <w:spacing w:line="263" w:lineRule="exact"/>
              <w:ind w:left="121" w:right="0"/>
              <w:jc w:val="lef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sz w:val="22"/>
                <w:u w:val="single" w:color="000000"/>
              </w:rPr>
              <w:t>US$</w:t>
              <w:tab/>
            </w:r>
            <w:r>
              <w:rPr>
                <w:rFonts w:ascii="Calibri"/>
                <w:b/>
                <w:sz w:val="22"/>
              </w:rPr>
            </w:r>
            <w:r>
              <w:rPr>
                <w:rFonts w:ascii="Calibri"/>
                <w:sz w:val="22"/>
              </w:rPr>
            </w:r>
          </w:p>
        </w:tc>
        <w:tc>
          <w:tcPr>
            <w:tcW w:w="3492" w:type="dxa"/>
            <w:tcBorders>
              <w:top w:val="nil" w:sz="6" w:space="0" w:color="auto"/>
              <w:left w:val="nil" w:sz="6" w:space="0" w:color="auto"/>
              <w:bottom w:val="nil" w:sz="6" w:space="0" w:color="auto"/>
              <w:right w:val="nil" w:sz="6" w:space="0" w:color="auto"/>
            </w:tcBorders>
          </w:tcPr>
          <w:p>
            <w:pPr>
              <w:pStyle w:val="TableParagraph"/>
              <w:spacing w:line="263" w:lineRule="exact"/>
              <w:ind w:left="254" w:right="0"/>
              <w:jc w:val="left"/>
              <w:rPr>
                <w:rFonts w:ascii="Calibri" w:hAnsi="Calibri" w:cs="Calibri" w:eastAsia="Calibri" w:hint="default"/>
                <w:sz w:val="22"/>
                <w:szCs w:val="22"/>
              </w:rPr>
            </w:pPr>
            <w:r>
              <w:rPr>
                <w:rFonts w:ascii="Calibri"/>
                <w:sz w:val="22"/>
              </w:rPr>
              <w:t>9)</w:t>
            </w:r>
            <w:r>
              <w:rPr>
                <w:rFonts w:ascii="Calibri"/>
                <w:spacing w:val="-10"/>
                <w:sz w:val="22"/>
              </w:rPr>
              <w:t> </w:t>
            </w:r>
            <w:r>
              <w:rPr>
                <w:rFonts w:ascii="Calibri"/>
                <w:sz w:val="22"/>
              </w:rPr>
              <w:t>Shopping</w:t>
            </w:r>
          </w:p>
        </w:tc>
        <w:tc>
          <w:tcPr>
            <w:tcW w:w="2038" w:type="dxa"/>
            <w:tcBorders>
              <w:top w:val="nil" w:sz="6" w:space="0" w:color="auto"/>
              <w:left w:val="nil" w:sz="6" w:space="0" w:color="auto"/>
              <w:bottom w:val="nil" w:sz="6" w:space="0" w:color="auto"/>
              <w:right w:val="nil" w:sz="6" w:space="0" w:color="auto"/>
            </w:tcBorders>
          </w:tcPr>
          <w:p>
            <w:pPr>
              <w:pStyle w:val="TableParagraph"/>
              <w:tabs>
                <w:tab w:pos="1880" w:val="left" w:leader="none"/>
              </w:tabs>
              <w:spacing w:line="263" w:lineRule="exact"/>
              <w:ind w:right="33"/>
              <w:jc w:val="righ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w w:val="95"/>
                <w:sz w:val="22"/>
                <w:u w:val="single" w:color="000000"/>
              </w:rPr>
              <w:t>US$</w:t>
            </w:r>
            <w:r>
              <w:rPr>
                <w:rFonts w:ascii="Calibri"/>
                <w:b/>
                <w:sz w:val="22"/>
                <w:u w:val="single" w:color="000000"/>
              </w:rPr>
              <w:tab/>
            </w:r>
            <w:r>
              <w:rPr>
                <w:rFonts w:ascii="Calibri"/>
                <w:b/>
                <w:sz w:val="22"/>
              </w:rPr>
            </w:r>
            <w:r>
              <w:rPr>
                <w:rFonts w:ascii="Calibri"/>
                <w:sz w:val="22"/>
              </w:rPr>
            </w:r>
          </w:p>
        </w:tc>
      </w:tr>
      <w:tr>
        <w:trPr>
          <w:trHeight w:val="298" w:hRule="exact"/>
        </w:trPr>
        <w:tc>
          <w:tcPr>
            <w:tcW w:w="3109"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Calibri" w:hAnsi="Calibri" w:cs="Calibri" w:eastAsia="Calibri" w:hint="default"/>
                <w:sz w:val="22"/>
                <w:szCs w:val="22"/>
              </w:rPr>
            </w:pPr>
            <w:r>
              <w:rPr>
                <w:rFonts w:ascii="Calibri"/>
                <w:sz w:val="22"/>
              </w:rPr>
              <w:t>3) Food/beverage (outside</w:t>
            </w:r>
            <w:r>
              <w:rPr>
                <w:rFonts w:ascii="Calibri"/>
                <w:spacing w:val="-16"/>
                <w:sz w:val="22"/>
              </w:rPr>
              <w:t> </w:t>
            </w:r>
            <w:r>
              <w:rPr>
                <w:rFonts w:ascii="Calibri"/>
                <w:sz w:val="22"/>
              </w:rPr>
              <w:t>hotel)</w:t>
            </w:r>
          </w:p>
        </w:tc>
        <w:tc>
          <w:tcPr>
            <w:tcW w:w="2116" w:type="dxa"/>
            <w:tcBorders>
              <w:top w:val="nil" w:sz="6" w:space="0" w:color="auto"/>
              <w:left w:val="nil" w:sz="6" w:space="0" w:color="auto"/>
              <w:bottom w:val="nil" w:sz="6" w:space="0" w:color="auto"/>
              <w:right w:val="nil" w:sz="6" w:space="0" w:color="auto"/>
            </w:tcBorders>
          </w:tcPr>
          <w:p>
            <w:pPr>
              <w:pStyle w:val="TableParagraph"/>
              <w:tabs>
                <w:tab w:pos="1861" w:val="left" w:leader="none"/>
              </w:tabs>
              <w:spacing w:line="263" w:lineRule="exact"/>
              <w:ind w:left="121" w:right="0"/>
              <w:jc w:val="lef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sz w:val="22"/>
                <w:u w:val="single" w:color="000000"/>
              </w:rPr>
              <w:t>US$</w:t>
              <w:tab/>
            </w:r>
            <w:r>
              <w:rPr>
                <w:rFonts w:ascii="Calibri"/>
                <w:b/>
                <w:sz w:val="22"/>
              </w:rPr>
            </w:r>
            <w:r>
              <w:rPr>
                <w:rFonts w:ascii="Calibri"/>
                <w:sz w:val="22"/>
              </w:rPr>
            </w:r>
          </w:p>
        </w:tc>
        <w:tc>
          <w:tcPr>
            <w:tcW w:w="3492" w:type="dxa"/>
            <w:tcBorders>
              <w:top w:val="nil" w:sz="6" w:space="0" w:color="auto"/>
              <w:left w:val="nil" w:sz="6" w:space="0" w:color="auto"/>
              <w:bottom w:val="nil" w:sz="6" w:space="0" w:color="auto"/>
              <w:right w:val="nil" w:sz="6" w:space="0" w:color="auto"/>
            </w:tcBorders>
          </w:tcPr>
          <w:p>
            <w:pPr>
              <w:pStyle w:val="TableParagraph"/>
              <w:spacing w:line="263" w:lineRule="exact"/>
              <w:ind w:left="254" w:right="0"/>
              <w:jc w:val="left"/>
              <w:rPr>
                <w:rFonts w:ascii="Calibri" w:hAnsi="Calibri" w:cs="Calibri" w:eastAsia="Calibri" w:hint="default"/>
                <w:sz w:val="22"/>
                <w:szCs w:val="22"/>
              </w:rPr>
            </w:pPr>
            <w:r>
              <w:rPr>
                <w:rFonts w:ascii="Calibri"/>
                <w:sz w:val="22"/>
              </w:rPr>
              <w:t>10)</w:t>
            </w:r>
            <w:r>
              <w:rPr>
                <w:rFonts w:ascii="Calibri"/>
                <w:spacing w:val="-5"/>
                <w:sz w:val="22"/>
              </w:rPr>
              <w:t> </w:t>
            </w:r>
            <w:r>
              <w:rPr>
                <w:rFonts w:ascii="Calibri"/>
                <w:sz w:val="22"/>
              </w:rPr>
              <w:t>Internet/telephone</w:t>
            </w:r>
          </w:p>
        </w:tc>
        <w:tc>
          <w:tcPr>
            <w:tcW w:w="2038" w:type="dxa"/>
            <w:tcBorders>
              <w:top w:val="nil" w:sz="6" w:space="0" w:color="auto"/>
              <w:left w:val="nil" w:sz="6" w:space="0" w:color="auto"/>
              <w:bottom w:val="nil" w:sz="6" w:space="0" w:color="auto"/>
              <w:right w:val="nil" w:sz="6" w:space="0" w:color="auto"/>
            </w:tcBorders>
          </w:tcPr>
          <w:p>
            <w:pPr>
              <w:pStyle w:val="TableParagraph"/>
              <w:tabs>
                <w:tab w:pos="1880" w:val="left" w:leader="none"/>
              </w:tabs>
              <w:spacing w:line="263" w:lineRule="exact"/>
              <w:ind w:right="33"/>
              <w:jc w:val="righ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w w:val="95"/>
                <w:sz w:val="22"/>
                <w:u w:val="single" w:color="000000"/>
              </w:rPr>
              <w:t>US$</w:t>
            </w:r>
            <w:r>
              <w:rPr>
                <w:rFonts w:ascii="Calibri"/>
                <w:b/>
                <w:sz w:val="22"/>
                <w:u w:val="single" w:color="000000"/>
              </w:rPr>
              <w:tab/>
            </w:r>
            <w:r>
              <w:rPr>
                <w:rFonts w:ascii="Calibri"/>
                <w:b/>
                <w:sz w:val="22"/>
              </w:rPr>
            </w:r>
            <w:r>
              <w:rPr>
                <w:rFonts w:ascii="Calibri"/>
                <w:sz w:val="22"/>
              </w:rPr>
            </w:r>
          </w:p>
        </w:tc>
      </w:tr>
      <w:tr>
        <w:trPr>
          <w:trHeight w:val="298" w:hRule="exact"/>
        </w:trPr>
        <w:tc>
          <w:tcPr>
            <w:tcW w:w="3109"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Calibri" w:hAnsi="Calibri" w:cs="Calibri" w:eastAsia="Calibri" w:hint="default"/>
                <w:sz w:val="22"/>
                <w:szCs w:val="22"/>
              </w:rPr>
            </w:pPr>
            <w:r>
              <w:rPr>
                <w:rFonts w:ascii="Calibri"/>
                <w:sz w:val="22"/>
              </w:rPr>
              <w:t>4) Car</w:t>
            </w:r>
            <w:r>
              <w:rPr>
                <w:rFonts w:ascii="Calibri"/>
                <w:spacing w:val="-6"/>
                <w:sz w:val="22"/>
              </w:rPr>
              <w:t> </w:t>
            </w:r>
            <w:r>
              <w:rPr>
                <w:rFonts w:ascii="Calibri"/>
                <w:sz w:val="22"/>
              </w:rPr>
              <w:t>rental</w:t>
            </w:r>
          </w:p>
        </w:tc>
        <w:tc>
          <w:tcPr>
            <w:tcW w:w="2116" w:type="dxa"/>
            <w:tcBorders>
              <w:top w:val="nil" w:sz="6" w:space="0" w:color="auto"/>
              <w:left w:val="nil" w:sz="6" w:space="0" w:color="auto"/>
              <w:bottom w:val="nil" w:sz="6" w:space="0" w:color="auto"/>
              <w:right w:val="nil" w:sz="6" w:space="0" w:color="auto"/>
            </w:tcBorders>
          </w:tcPr>
          <w:p>
            <w:pPr>
              <w:pStyle w:val="TableParagraph"/>
              <w:tabs>
                <w:tab w:pos="1861" w:val="left" w:leader="none"/>
              </w:tabs>
              <w:spacing w:line="263" w:lineRule="exact"/>
              <w:ind w:left="121" w:right="0"/>
              <w:jc w:val="lef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sz w:val="22"/>
                <w:u w:val="single" w:color="000000"/>
              </w:rPr>
              <w:t>US$</w:t>
              <w:tab/>
            </w:r>
            <w:r>
              <w:rPr>
                <w:rFonts w:ascii="Calibri"/>
                <w:b/>
                <w:sz w:val="22"/>
              </w:rPr>
            </w:r>
            <w:r>
              <w:rPr>
                <w:rFonts w:ascii="Calibri"/>
                <w:sz w:val="22"/>
              </w:rPr>
            </w:r>
          </w:p>
        </w:tc>
        <w:tc>
          <w:tcPr>
            <w:tcW w:w="3492" w:type="dxa"/>
            <w:tcBorders>
              <w:top w:val="nil" w:sz="6" w:space="0" w:color="auto"/>
              <w:left w:val="nil" w:sz="6" w:space="0" w:color="auto"/>
              <w:bottom w:val="nil" w:sz="6" w:space="0" w:color="auto"/>
              <w:right w:val="nil" w:sz="6" w:space="0" w:color="auto"/>
            </w:tcBorders>
          </w:tcPr>
          <w:p>
            <w:pPr>
              <w:pStyle w:val="TableParagraph"/>
              <w:spacing w:line="263" w:lineRule="exact"/>
              <w:ind w:left="254" w:right="0"/>
              <w:jc w:val="left"/>
              <w:rPr>
                <w:rFonts w:ascii="Calibri" w:hAnsi="Calibri" w:cs="Calibri" w:eastAsia="Calibri" w:hint="default"/>
                <w:sz w:val="22"/>
                <w:szCs w:val="22"/>
              </w:rPr>
            </w:pPr>
            <w:r>
              <w:rPr>
                <w:rFonts w:ascii="Calibri"/>
                <w:sz w:val="22"/>
              </w:rPr>
              <w:t>11)</w:t>
            </w:r>
            <w:r>
              <w:rPr>
                <w:rFonts w:ascii="Calibri"/>
                <w:spacing w:val="-11"/>
                <w:sz w:val="22"/>
              </w:rPr>
              <w:t> </w:t>
            </w:r>
            <w:r>
              <w:rPr>
                <w:rFonts w:ascii="Calibri"/>
                <w:sz w:val="22"/>
              </w:rPr>
              <w:t>Groceries/sundries</w:t>
            </w:r>
          </w:p>
        </w:tc>
        <w:tc>
          <w:tcPr>
            <w:tcW w:w="2038" w:type="dxa"/>
            <w:tcBorders>
              <w:top w:val="nil" w:sz="6" w:space="0" w:color="auto"/>
              <w:left w:val="nil" w:sz="6" w:space="0" w:color="auto"/>
              <w:bottom w:val="nil" w:sz="6" w:space="0" w:color="auto"/>
              <w:right w:val="nil" w:sz="6" w:space="0" w:color="auto"/>
            </w:tcBorders>
          </w:tcPr>
          <w:p>
            <w:pPr>
              <w:pStyle w:val="TableParagraph"/>
              <w:tabs>
                <w:tab w:pos="1880" w:val="left" w:leader="none"/>
              </w:tabs>
              <w:spacing w:line="263" w:lineRule="exact"/>
              <w:ind w:right="33"/>
              <w:jc w:val="righ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w w:val="95"/>
                <w:sz w:val="22"/>
                <w:u w:val="single" w:color="000000"/>
              </w:rPr>
              <w:t>US$</w:t>
            </w:r>
            <w:r>
              <w:rPr>
                <w:rFonts w:ascii="Calibri"/>
                <w:b/>
                <w:sz w:val="22"/>
                <w:u w:val="single" w:color="000000"/>
              </w:rPr>
              <w:tab/>
            </w:r>
            <w:r>
              <w:rPr>
                <w:rFonts w:ascii="Calibri"/>
                <w:b/>
                <w:sz w:val="22"/>
              </w:rPr>
            </w:r>
            <w:r>
              <w:rPr>
                <w:rFonts w:ascii="Calibri"/>
                <w:sz w:val="22"/>
              </w:rPr>
            </w:r>
          </w:p>
        </w:tc>
      </w:tr>
      <w:tr>
        <w:trPr>
          <w:trHeight w:val="298" w:hRule="exact"/>
        </w:trPr>
        <w:tc>
          <w:tcPr>
            <w:tcW w:w="3109"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Calibri" w:hAnsi="Calibri" w:cs="Calibri" w:eastAsia="Calibri" w:hint="default"/>
                <w:sz w:val="22"/>
                <w:szCs w:val="22"/>
              </w:rPr>
            </w:pPr>
            <w:r>
              <w:rPr>
                <w:rFonts w:ascii="Calibri"/>
                <w:sz w:val="22"/>
              </w:rPr>
              <w:t>5)</w:t>
            </w:r>
            <w:r>
              <w:rPr>
                <w:rFonts w:ascii="Calibri"/>
                <w:spacing w:val="-3"/>
                <w:sz w:val="22"/>
              </w:rPr>
              <w:t> </w:t>
            </w:r>
            <w:r>
              <w:rPr>
                <w:rFonts w:ascii="Calibri"/>
                <w:sz w:val="22"/>
              </w:rPr>
              <w:t>Gasoline</w:t>
            </w:r>
          </w:p>
        </w:tc>
        <w:tc>
          <w:tcPr>
            <w:tcW w:w="2116" w:type="dxa"/>
            <w:tcBorders>
              <w:top w:val="nil" w:sz="6" w:space="0" w:color="auto"/>
              <w:left w:val="nil" w:sz="6" w:space="0" w:color="auto"/>
              <w:bottom w:val="nil" w:sz="6" w:space="0" w:color="auto"/>
              <w:right w:val="nil" w:sz="6" w:space="0" w:color="auto"/>
            </w:tcBorders>
          </w:tcPr>
          <w:p>
            <w:pPr>
              <w:pStyle w:val="TableParagraph"/>
              <w:tabs>
                <w:tab w:pos="1861" w:val="left" w:leader="none"/>
              </w:tabs>
              <w:spacing w:line="263" w:lineRule="exact"/>
              <w:ind w:left="121" w:right="0"/>
              <w:jc w:val="lef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sz w:val="22"/>
                <w:u w:val="single" w:color="000000"/>
              </w:rPr>
              <w:t>US$</w:t>
              <w:tab/>
            </w:r>
            <w:r>
              <w:rPr>
                <w:rFonts w:ascii="Calibri"/>
                <w:b/>
                <w:sz w:val="22"/>
              </w:rPr>
            </w:r>
            <w:r>
              <w:rPr>
                <w:rFonts w:ascii="Calibri"/>
                <w:sz w:val="22"/>
              </w:rPr>
            </w:r>
          </w:p>
        </w:tc>
        <w:tc>
          <w:tcPr>
            <w:tcW w:w="3492" w:type="dxa"/>
            <w:tcBorders>
              <w:top w:val="nil" w:sz="6" w:space="0" w:color="auto"/>
              <w:left w:val="nil" w:sz="6" w:space="0" w:color="auto"/>
              <w:bottom w:val="nil" w:sz="6" w:space="0" w:color="auto"/>
              <w:right w:val="nil" w:sz="6" w:space="0" w:color="auto"/>
            </w:tcBorders>
          </w:tcPr>
          <w:p>
            <w:pPr>
              <w:pStyle w:val="TableParagraph"/>
              <w:spacing w:line="263" w:lineRule="exact"/>
              <w:ind w:left="254" w:right="0"/>
              <w:jc w:val="left"/>
              <w:rPr>
                <w:rFonts w:ascii="Calibri" w:hAnsi="Calibri" w:cs="Calibri" w:eastAsia="Calibri" w:hint="default"/>
                <w:sz w:val="22"/>
                <w:szCs w:val="22"/>
              </w:rPr>
            </w:pPr>
            <w:r>
              <w:rPr>
                <w:rFonts w:ascii="Calibri"/>
                <w:sz w:val="22"/>
              </w:rPr>
              <w:t>12)</w:t>
            </w:r>
            <w:r>
              <w:rPr>
                <w:rFonts w:ascii="Calibri"/>
                <w:spacing w:val="-12"/>
                <w:sz w:val="22"/>
              </w:rPr>
              <w:t> </w:t>
            </w:r>
            <w:r>
              <w:rPr>
                <w:rFonts w:ascii="Calibri"/>
                <w:sz w:val="22"/>
              </w:rPr>
              <w:t>Entertainment/nightlife/casino</w:t>
            </w:r>
          </w:p>
        </w:tc>
        <w:tc>
          <w:tcPr>
            <w:tcW w:w="2038" w:type="dxa"/>
            <w:tcBorders>
              <w:top w:val="nil" w:sz="6" w:space="0" w:color="auto"/>
              <w:left w:val="nil" w:sz="6" w:space="0" w:color="auto"/>
              <w:bottom w:val="nil" w:sz="6" w:space="0" w:color="auto"/>
              <w:right w:val="nil" w:sz="6" w:space="0" w:color="auto"/>
            </w:tcBorders>
          </w:tcPr>
          <w:p>
            <w:pPr>
              <w:pStyle w:val="TableParagraph"/>
              <w:tabs>
                <w:tab w:pos="1880" w:val="left" w:leader="none"/>
              </w:tabs>
              <w:spacing w:line="263" w:lineRule="exact"/>
              <w:ind w:right="33"/>
              <w:jc w:val="righ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w w:val="95"/>
                <w:sz w:val="22"/>
                <w:u w:val="single" w:color="000000"/>
              </w:rPr>
              <w:t>US$</w:t>
            </w:r>
            <w:r>
              <w:rPr>
                <w:rFonts w:ascii="Calibri"/>
                <w:b/>
                <w:sz w:val="22"/>
                <w:u w:val="single" w:color="000000"/>
              </w:rPr>
              <w:tab/>
            </w:r>
            <w:r>
              <w:rPr>
                <w:rFonts w:ascii="Calibri"/>
                <w:b/>
                <w:sz w:val="22"/>
              </w:rPr>
            </w:r>
            <w:r>
              <w:rPr>
                <w:rFonts w:ascii="Calibri"/>
                <w:sz w:val="22"/>
              </w:rPr>
            </w:r>
          </w:p>
        </w:tc>
      </w:tr>
      <w:tr>
        <w:trPr>
          <w:trHeight w:val="298" w:hRule="exact"/>
        </w:trPr>
        <w:tc>
          <w:tcPr>
            <w:tcW w:w="3109"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Calibri" w:hAnsi="Calibri" w:cs="Calibri" w:eastAsia="Calibri" w:hint="default"/>
                <w:sz w:val="22"/>
                <w:szCs w:val="22"/>
              </w:rPr>
            </w:pPr>
            <w:r>
              <w:rPr>
                <w:rFonts w:ascii="Calibri"/>
                <w:sz w:val="22"/>
              </w:rPr>
              <w:t>6)Taxi</w:t>
            </w:r>
          </w:p>
        </w:tc>
        <w:tc>
          <w:tcPr>
            <w:tcW w:w="2116" w:type="dxa"/>
            <w:tcBorders>
              <w:top w:val="nil" w:sz="6" w:space="0" w:color="auto"/>
              <w:left w:val="nil" w:sz="6" w:space="0" w:color="auto"/>
              <w:bottom w:val="nil" w:sz="6" w:space="0" w:color="auto"/>
              <w:right w:val="nil" w:sz="6" w:space="0" w:color="auto"/>
            </w:tcBorders>
          </w:tcPr>
          <w:p>
            <w:pPr>
              <w:pStyle w:val="TableParagraph"/>
              <w:tabs>
                <w:tab w:pos="1861" w:val="left" w:leader="none"/>
              </w:tabs>
              <w:spacing w:line="263" w:lineRule="exact"/>
              <w:ind w:left="121" w:right="0"/>
              <w:jc w:val="lef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sz w:val="22"/>
                <w:u w:val="single" w:color="000000"/>
              </w:rPr>
              <w:t>US$</w:t>
              <w:tab/>
            </w:r>
            <w:r>
              <w:rPr>
                <w:rFonts w:ascii="Calibri"/>
                <w:b/>
                <w:sz w:val="22"/>
              </w:rPr>
            </w:r>
            <w:r>
              <w:rPr>
                <w:rFonts w:ascii="Calibri"/>
                <w:sz w:val="22"/>
              </w:rPr>
            </w:r>
          </w:p>
        </w:tc>
        <w:tc>
          <w:tcPr>
            <w:tcW w:w="3492" w:type="dxa"/>
            <w:tcBorders>
              <w:top w:val="nil" w:sz="6" w:space="0" w:color="auto"/>
              <w:left w:val="nil" w:sz="6" w:space="0" w:color="auto"/>
              <w:bottom w:val="nil" w:sz="6" w:space="0" w:color="auto"/>
              <w:right w:val="nil" w:sz="6" w:space="0" w:color="auto"/>
            </w:tcBorders>
          </w:tcPr>
          <w:p>
            <w:pPr>
              <w:pStyle w:val="TableParagraph"/>
              <w:spacing w:line="263" w:lineRule="exact"/>
              <w:ind w:left="254" w:right="0"/>
              <w:jc w:val="left"/>
              <w:rPr>
                <w:rFonts w:ascii="Calibri" w:hAnsi="Calibri" w:cs="Calibri" w:eastAsia="Calibri" w:hint="default"/>
                <w:sz w:val="22"/>
                <w:szCs w:val="22"/>
              </w:rPr>
            </w:pPr>
            <w:r>
              <w:rPr>
                <w:rFonts w:ascii="Calibri"/>
                <w:sz w:val="22"/>
              </w:rPr>
              <w:t>13) Water</w:t>
            </w:r>
            <w:r>
              <w:rPr>
                <w:rFonts w:ascii="Calibri"/>
                <w:spacing w:val="-5"/>
                <w:sz w:val="22"/>
              </w:rPr>
              <w:t> </w:t>
            </w:r>
            <w:r>
              <w:rPr>
                <w:rFonts w:ascii="Calibri"/>
                <w:sz w:val="22"/>
              </w:rPr>
              <w:t>activities/recreation</w:t>
            </w:r>
          </w:p>
        </w:tc>
        <w:tc>
          <w:tcPr>
            <w:tcW w:w="2038" w:type="dxa"/>
            <w:tcBorders>
              <w:top w:val="nil" w:sz="6" w:space="0" w:color="auto"/>
              <w:left w:val="nil" w:sz="6" w:space="0" w:color="auto"/>
              <w:bottom w:val="nil" w:sz="6" w:space="0" w:color="auto"/>
              <w:right w:val="nil" w:sz="6" w:space="0" w:color="auto"/>
            </w:tcBorders>
          </w:tcPr>
          <w:p>
            <w:pPr>
              <w:pStyle w:val="TableParagraph"/>
              <w:tabs>
                <w:tab w:pos="1880" w:val="left" w:leader="none"/>
              </w:tabs>
              <w:spacing w:line="263" w:lineRule="exact"/>
              <w:ind w:right="33"/>
              <w:jc w:val="righ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w w:val="95"/>
                <w:sz w:val="22"/>
                <w:u w:val="single" w:color="000000"/>
              </w:rPr>
              <w:t>US$</w:t>
            </w:r>
            <w:r>
              <w:rPr>
                <w:rFonts w:ascii="Calibri"/>
                <w:b/>
                <w:sz w:val="22"/>
                <w:u w:val="single" w:color="000000"/>
              </w:rPr>
              <w:tab/>
            </w:r>
            <w:r>
              <w:rPr>
                <w:rFonts w:ascii="Calibri"/>
                <w:b/>
                <w:sz w:val="22"/>
              </w:rPr>
            </w:r>
            <w:r>
              <w:rPr>
                <w:rFonts w:ascii="Calibri"/>
                <w:sz w:val="22"/>
              </w:rPr>
            </w:r>
          </w:p>
        </w:tc>
      </w:tr>
      <w:tr>
        <w:trPr>
          <w:trHeight w:val="359" w:hRule="exact"/>
        </w:trPr>
        <w:tc>
          <w:tcPr>
            <w:tcW w:w="3109"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Calibri" w:hAnsi="Calibri" w:cs="Calibri" w:eastAsia="Calibri" w:hint="default"/>
                <w:sz w:val="22"/>
                <w:szCs w:val="22"/>
              </w:rPr>
            </w:pPr>
            <w:r>
              <w:rPr>
                <w:rFonts w:ascii="Calibri"/>
                <w:sz w:val="22"/>
              </w:rPr>
              <w:t>7) Public</w:t>
            </w:r>
            <w:r>
              <w:rPr>
                <w:rFonts w:ascii="Calibri"/>
                <w:spacing w:val="-7"/>
                <w:sz w:val="22"/>
              </w:rPr>
              <w:t> </w:t>
            </w:r>
            <w:r>
              <w:rPr>
                <w:rFonts w:ascii="Calibri"/>
                <w:sz w:val="22"/>
              </w:rPr>
              <w:t>transportation</w:t>
            </w:r>
          </w:p>
        </w:tc>
        <w:tc>
          <w:tcPr>
            <w:tcW w:w="2116" w:type="dxa"/>
            <w:tcBorders>
              <w:top w:val="nil" w:sz="6" w:space="0" w:color="auto"/>
              <w:left w:val="nil" w:sz="6" w:space="0" w:color="auto"/>
              <w:bottom w:val="nil" w:sz="6" w:space="0" w:color="auto"/>
              <w:right w:val="nil" w:sz="6" w:space="0" w:color="auto"/>
            </w:tcBorders>
          </w:tcPr>
          <w:p>
            <w:pPr>
              <w:pStyle w:val="TableParagraph"/>
              <w:tabs>
                <w:tab w:pos="1861" w:val="left" w:leader="none"/>
              </w:tabs>
              <w:spacing w:line="263" w:lineRule="exact"/>
              <w:ind w:left="121" w:right="0"/>
              <w:jc w:val="lef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sz w:val="22"/>
                <w:u w:val="single" w:color="000000"/>
              </w:rPr>
              <w:t>US$</w:t>
              <w:tab/>
            </w:r>
            <w:r>
              <w:rPr>
                <w:rFonts w:ascii="Calibri"/>
                <w:b/>
                <w:sz w:val="22"/>
              </w:rPr>
            </w:r>
            <w:r>
              <w:rPr>
                <w:rFonts w:ascii="Calibri"/>
                <w:sz w:val="22"/>
              </w:rPr>
            </w:r>
          </w:p>
        </w:tc>
        <w:tc>
          <w:tcPr>
            <w:tcW w:w="3492" w:type="dxa"/>
            <w:tcBorders>
              <w:top w:val="nil" w:sz="6" w:space="0" w:color="auto"/>
              <w:left w:val="nil" w:sz="6" w:space="0" w:color="auto"/>
              <w:bottom w:val="nil" w:sz="6" w:space="0" w:color="auto"/>
              <w:right w:val="nil" w:sz="6" w:space="0" w:color="auto"/>
            </w:tcBorders>
          </w:tcPr>
          <w:p>
            <w:pPr>
              <w:pStyle w:val="TableParagraph"/>
              <w:spacing w:line="263" w:lineRule="exact"/>
              <w:ind w:left="254" w:right="0"/>
              <w:jc w:val="left"/>
              <w:rPr>
                <w:rFonts w:ascii="Calibri" w:hAnsi="Calibri" w:cs="Calibri" w:eastAsia="Calibri" w:hint="default"/>
                <w:sz w:val="22"/>
                <w:szCs w:val="22"/>
              </w:rPr>
            </w:pPr>
            <w:r>
              <w:rPr>
                <w:rFonts w:ascii="Calibri"/>
                <w:sz w:val="22"/>
              </w:rPr>
              <w:t>14) Other</w:t>
            </w:r>
            <w:r>
              <w:rPr>
                <w:rFonts w:ascii="Calibri"/>
                <w:spacing w:val="-7"/>
                <w:sz w:val="22"/>
              </w:rPr>
              <w:t> </w:t>
            </w:r>
            <w:r>
              <w:rPr>
                <w:rFonts w:ascii="Calibri"/>
                <w:sz w:val="22"/>
              </w:rPr>
              <w:t>expenses</w:t>
            </w:r>
          </w:p>
        </w:tc>
        <w:tc>
          <w:tcPr>
            <w:tcW w:w="2038" w:type="dxa"/>
            <w:tcBorders>
              <w:top w:val="nil" w:sz="6" w:space="0" w:color="auto"/>
              <w:left w:val="nil" w:sz="6" w:space="0" w:color="auto"/>
              <w:bottom w:val="nil" w:sz="6" w:space="0" w:color="auto"/>
              <w:right w:val="nil" w:sz="6" w:space="0" w:color="auto"/>
            </w:tcBorders>
          </w:tcPr>
          <w:p>
            <w:pPr>
              <w:pStyle w:val="TableParagraph"/>
              <w:tabs>
                <w:tab w:pos="1880" w:val="left" w:leader="none"/>
              </w:tabs>
              <w:spacing w:line="263" w:lineRule="exact"/>
              <w:ind w:right="33"/>
              <w:jc w:val="righ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w w:val="95"/>
                <w:sz w:val="22"/>
                <w:u w:val="single" w:color="000000"/>
              </w:rPr>
              <w:t>US$</w:t>
            </w:r>
            <w:r>
              <w:rPr>
                <w:rFonts w:ascii="Calibri"/>
                <w:b/>
                <w:sz w:val="22"/>
                <w:u w:val="single" w:color="000000"/>
              </w:rPr>
              <w:tab/>
            </w:r>
            <w:r>
              <w:rPr>
                <w:rFonts w:ascii="Calibri"/>
                <w:b/>
                <w:sz w:val="22"/>
              </w:rPr>
            </w:r>
            <w:r>
              <w:rPr>
                <w:rFonts w:ascii="Calibri"/>
                <w:sz w:val="22"/>
              </w:rPr>
            </w:r>
          </w:p>
        </w:tc>
      </w:tr>
    </w:tbl>
    <w:p>
      <w:pPr>
        <w:spacing w:line="240" w:lineRule="auto" w:before="6"/>
        <w:ind w:right="0"/>
        <w:rPr>
          <w:rFonts w:ascii="Calibri" w:hAnsi="Calibri" w:cs="Calibri" w:eastAsia="Calibri" w:hint="default"/>
          <w:b/>
          <w:bCs/>
          <w:sz w:val="10"/>
          <w:szCs w:val="10"/>
        </w:rPr>
      </w:pPr>
    </w:p>
    <w:p>
      <w:pPr>
        <w:spacing w:line="268" w:lineRule="exact" w:before="55"/>
        <w:ind w:left="456" w:right="0" w:firstLine="0"/>
        <w:jc w:val="left"/>
        <w:rPr>
          <w:rFonts w:ascii="Calibri" w:hAnsi="Calibri" w:cs="Calibri" w:eastAsia="Calibri" w:hint="default"/>
          <w:sz w:val="22"/>
          <w:szCs w:val="22"/>
        </w:rPr>
      </w:pPr>
      <w:r>
        <w:rPr>
          <w:rFonts w:ascii="Calibri"/>
          <w:b/>
          <w:sz w:val="22"/>
        </w:rPr>
        <w:t>How many people do the above costs</w:t>
      </w:r>
      <w:r>
        <w:rPr>
          <w:rFonts w:ascii="Calibri"/>
          <w:b/>
          <w:spacing w:val="-13"/>
          <w:sz w:val="22"/>
        </w:rPr>
        <w:t> </w:t>
      </w:r>
      <w:r>
        <w:rPr>
          <w:rFonts w:ascii="Calibri"/>
          <w:b/>
          <w:sz w:val="22"/>
        </w:rPr>
        <w:t>cover?</w:t>
      </w:r>
      <w:r>
        <w:rPr>
          <w:rFonts w:ascii="Calibri"/>
          <w:sz w:val="22"/>
        </w:rPr>
      </w:r>
    </w:p>
    <w:p>
      <w:pPr>
        <w:tabs>
          <w:tab w:pos="4533" w:val="left" w:leader="none"/>
          <w:tab w:pos="5572" w:val="left" w:leader="none"/>
        </w:tabs>
        <w:spacing w:line="268" w:lineRule="exact" w:before="0"/>
        <w:ind w:left="456" w:right="0" w:firstLine="0"/>
        <w:jc w:val="left"/>
        <w:rPr>
          <w:rFonts w:ascii="Calibri" w:hAnsi="Calibri" w:cs="Calibri" w:eastAsia="Calibri" w:hint="default"/>
          <w:sz w:val="22"/>
          <w:szCs w:val="22"/>
        </w:rPr>
      </w:pPr>
      <w:r>
        <w:rPr>
          <w:rFonts w:ascii="Calibri" w:hAnsi="Calibri" w:cs="Calibri" w:eastAsia="Calibri" w:hint="default"/>
          <w:sz w:val="22"/>
          <w:szCs w:val="22"/>
        </w:rPr>
        <w:t>① ② ③ ④ ⑤ ⑥ ⑦  ⑧ ⑨</w:t>
      </w:r>
      <w:r>
        <w:rPr>
          <w:rFonts w:ascii="Calibri" w:hAnsi="Calibri" w:cs="Calibri" w:eastAsia="Calibri" w:hint="default"/>
          <w:spacing w:val="-5"/>
          <w:sz w:val="22"/>
          <w:szCs w:val="22"/>
        </w:rPr>
        <w:t> </w:t>
      </w:r>
      <w:r>
        <w:rPr>
          <w:rFonts w:ascii="Calibri" w:hAnsi="Calibri" w:cs="Calibri" w:eastAsia="Calibri" w:hint="default"/>
          <w:sz w:val="22"/>
          <w:szCs w:val="22"/>
        </w:rPr>
        <w:t>⑩  </w:t>
      </w:r>
      <w:r>
        <w:rPr>
          <w:rFonts w:ascii="Calibri" w:hAnsi="Calibri" w:cs="Calibri" w:eastAsia="Calibri" w:hint="default"/>
          <w:spacing w:val="30"/>
          <w:sz w:val="22"/>
          <w:szCs w:val="22"/>
        </w:rPr>
        <w:t> </w:t>
      </w:r>
      <w:r>
        <w:rPr>
          <w:rFonts w:ascii="Calibri" w:hAnsi="Calibri" w:cs="Calibri" w:eastAsia="Calibri" w:hint="default"/>
          <w:sz w:val="18"/>
          <w:szCs w:val="18"/>
        </w:rPr>
        <w:t>⃝</w:t>
        <w:tab/>
      </w:r>
      <w:r>
        <w:rPr>
          <w:rFonts w:ascii="Calibri" w:hAnsi="Calibri" w:cs="Calibri" w:eastAsia="Calibri" w:hint="default"/>
          <w:w w:val="95"/>
          <w:sz w:val="22"/>
          <w:szCs w:val="22"/>
        </w:rPr>
        <w:t>other</w:t>
      </w:r>
      <w:r>
        <w:rPr>
          <w:rFonts w:ascii="Calibri" w:hAnsi="Calibri" w:cs="Calibri" w:eastAsia="Calibri" w:hint="default"/>
          <w:w w:val="95"/>
          <w:sz w:val="22"/>
          <w:szCs w:val="22"/>
          <w:u w:val="single" w:color="000000"/>
        </w:rPr>
        <w:t> </w:t>
        <w:tab/>
      </w:r>
      <w:r>
        <w:rPr>
          <w:rFonts w:ascii="Calibri" w:hAnsi="Calibri" w:cs="Calibri" w:eastAsia="Calibri" w:hint="default"/>
          <w:w w:val="95"/>
          <w:sz w:val="22"/>
          <w:szCs w:val="22"/>
        </w:rPr>
      </w:r>
      <w:r>
        <w:rPr>
          <w:rFonts w:ascii="Calibri" w:hAnsi="Calibri" w:cs="Calibri" w:eastAsia="Calibri" w:hint="default"/>
          <w:sz w:val="22"/>
          <w:szCs w:val="22"/>
        </w:rPr>
        <w:t>(enter</w:t>
      </w:r>
      <w:r>
        <w:rPr>
          <w:rFonts w:ascii="Calibri" w:hAnsi="Calibri" w:cs="Calibri" w:eastAsia="Calibri" w:hint="default"/>
          <w:spacing w:val="-7"/>
          <w:sz w:val="22"/>
          <w:szCs w:val="22"/>
        </w:rPr>
        <w:t> </w:t>
      </w:r>
      <w:r>
        <w:rPr>
          <w:rFonts w:ascii="Calibri" w:hAnsi="Calibri" w:cs="Calibri" w:eastAsia="Calibri" w:hint="default"/>
          <w:sz w:val="22"/>
          <w:szCs w:val="22"/>
        </w:rPr>
        <w:t>number)</w:t>
      </w:r>
    </w:p>
    <w:p>
      <w:pPr>
        <w:spacing w:line="240" w:lineRule="auto" w:before="0"/>
        <w:ind w:right="0"/>
        <w:rPr>
          <w:rFonts w:ascii="Calibri" w:hAnsi="Calibri" w:cs="Calibri" w:eastAsia="Calibri" w:hint="default"/>
          <w:sz w:val="31"/>
          <w:szCs w:val="31"/>
        </w:rPr>
      </w:pPr>
    </w:p>
    <w:p>
      <w:pPr>
        <w:spacing w:before="0"/>
        <w:ind w:left="456" w:right="0" w:firstLine="0"/>
        <w:jc w:val="left"/>
        <w:rPr>
          <w:rFonts w:ascii="Calibri" w:hAnsi="Calibri" w:cs="Calibri" w:eastAsia="Calibri" w:hint="default"/>
          <w:sz w:val="22"/>
          <w:szCs w:val="22"/>
        </w:rPr>
      </w:pPr>
      <w:r>
        <w:rPr>
          <w:rFonts w:ascii="Calibri" w:hAnsi="Calibri"/>
          <w:b/>
          <w:sz w:val="22"/>
        </w:rPr>
        <w:t>What method of payment did you utilize the most while in Curaçao? </w:t>
      </w:r>
      <w:r>
        <w:rPr>
          <w:rFonts w:ascii="Calibri" w:hAnsi="Calibri"/>
          <w:b/>
          <w:i/>
          <w:sz w:val="22"/>
        </w:rPr>
        <w:t>(Please check only</w:t>
      </w:r>
      <w:r>
        <w:rPr>
          <w:rFonts w:ascii="Calibri" w:hAnsi="Calibri"/>
          <w:b/>
          <w:i/>
          <w:spacing w:val="-33"/>
          <w:sz w:val="22"/>
        </w:rPr>
        <w:t> </w:t>
      </w:r>
      <w:r>
        <w:rPr>
          <w:rFonts w:ascii="Calibri" w:hAnsi="Calibri"/>
          <w:b/>
          <w:i/>
          <w:sz w:val="22"/>
        </w:rPr>
        <w:t>one)</w:t>
      </w:r>
      <w:r>
        <w:rPr>
          <w:rFonts w:ascii="Calibri" w:hAnsi="Calibri"/>
          <w:sz w:val="22"/>
        </w:rPr>
      </w:r>
    </w:p>
    <w:p>
      <w:pPr>
        <w:tabs>
          <w:tab w:pos="1000" w:val="left" w:leader="none"/>
          <w:tab w:pos="3160" w:val="left" w:leader="none"/>
          <w:tab w:pos="3596" w:val="left" w:leader="none"/>
          <w:tab w:pos="5735" w:val="left" w:leader="none"/>
          <w:tab w:pos="6173" w:val="left" w:leader="none"/>
          <w:tab w:pos="8502" w:val="left" w:leader="none"/>
          <w:tab w:pos="8937" w:val="left" w:leader="none"/>
          <w:tab w:pos="10985" w:val="left" w:leader="none"/>
        </w:tabs>
        <w:spacing w:before="86"/>
        <w:ind w:left="564" w:right="0" w:firstLine="0"/>
        <w:jc w:val="left"/>
        <w:rPr>
          <w:rFonts w:ascii="Calibri" w:hAnsi="Calibri" w:cs="Calibri" w:eastAsia="Calibri" w:hint="default"/>
          <w:sz w:val="22"/>
          <w:szCs w:val="22"/>
        </w:rPr>
      </w:pPr>
      <w:r>
        <w:rPr>
          <w:rFonts w:ascii="Calibri" w:hAnsi="Calibri" w:cs="Calibri" w:eastAsia="Calibri" w:hint="default"/>
          <w:w w:val="95"/>
          <w:position w:val="1"/>
          <w:sz w:val="18"/>
          <w:szCs w:val="18"/>
        </w:rPr>
        <w:t>⃝</w:t>
        <w:tab/>
      </w:r>
      <w:r>
        <w:rPr>
          <w:rFonts w:ascii="Calibri" w:hAnsi="Calibri" w:cs="Calibri" w:eastAsia="Calibri" w:hint="default"/>
          <w:sz w:val="22"/>
          <w:szCs w:val="22"/>
        </w:rPr>
        <w:t>Credit</w:t>
      </w:r>
      <w:r>
        <w:rPr>
          <w:rFonts w:ascii="Calibri" w:hAnsi="Calibri" w:cs="Calibri" w:eastAsia="Calibri" w:hint="default"/>
          <w:spacing w:val="-6"/>
          <w:sz w:val="22"/>
          <w:szCs w:val="22"/>
        </w:rPr>
        <w:t> </w:t>
      </w:r>
      <w:r>
        <w:rPr>
          <w:rFonts w:ascii="Calibri" w:hAnsi="Calibri" w:cs="Calibri" w:eastAsia="Calibri" w:hint="default"/>
          <w:sz w:val="22"/>
          <w:szCs w:val="22"/>
        </w:rPr>
        <w:t>Card</w:t>
        <w:tab/>
      </w:r>
      <w:r>
        <w:rPr>
          <w:rFonts w:ascii="Calibri" w:hAnsi="Calibri" w:cs="Calibri" w:eastAsia="Calibri" w:hint="default"/>
          <w:w w:val="95"/>
          <w:position w:val="1"/>
          <w:sz w:val="18"/>
          <w:szCs w:val="18"/>
        </w:rPr>
        <w:t>⃝</w:t>
        <w:tab/>
      </w:r>
      <w:r>
        <w:rPr>
          <w:rFonts w:ascii="Calibri" w:hAnsi="Calibri" w:cs="Calibri" w:eastAsia="Calibri" w:hint="default"/>
          <w:sz w:val="22"/>
          <w:szCs w:val="22"/>
        </w:rPr>
        <w:t>Debit</w:t>
      </w:r>
      <w:r>
        <w:rPr>
          <w:rFonts w:ascii="Calibri" w:hAnsi="Calibri" w:cs="Calibri" w:eastAsia="Calibri" w:hint="default"/>
          <w:spacing w:val="-9"/>
          <w:sz w:val="22"/>
          <w:szCs w:val="22"/>
        </w:rPr>
        <w:t> </w:t>
      </w:r>
      <w:r>
        <w:rPr>
          <w:rFonts w:ascii="Calibri" w:hAnsi="Calibri" w:cs="Calibri" w:eastAsia="Calibri" w:hint="default"/>
          <w:sz w:val="22"/>
          <w:szCs w:val="22"/>
        </w:rPr>
        <w:t>Card</w:t>
        <w:tab/>
      </w:r>
      <w:r>
        <w:rPr>
          <w:rFonts w:ascii="Calibri" w:hAnsi="Calibri" w:cs="Calibri" w:eastAsia="Calibri" w:hint="default"/>
          <w:w w:val="95"/>
          <w:position w:val="1"/>
          <w:sz w:val="18"/>
          <w:szCs w:val="18"/>
        </w:rPr>
        <w:t>⃝</w:t>
        <w:tab/>
      </w:r>
      <w:r>
        <w:rPr>
          <w:rFonts w:ascii="Calibri" w:hAnsi="Calibri" w:cs="Calibri" w:eastAsia="Calibri" w:hint="default"/>
          <w:w w:val="95"/>
          <w:sz w:val="22"/>
          <w:szCs w:val="22"/>
        </w:rPr>
        <w:t>Cash</w:t>
        <w:tab/>
      </w:r>
      <w:r>
        <w:rPr>
          <w:rFonts w:ascii="Calibri" w:hAnsi="Calibri" w:cs="Calibri" w:eastAsia="Calibri" w:hint="default"/>
          <w:w w:val="95"/>
          <w:position w:val="1"/>
          <w:sz w:val="18"/>
          <w:szCs w:val="18"/>
        </w:rPr>
        <w:t>⃝</w:t>
        <w:tab/>
      </w:r>
      <w:r>
        <w:rPr>
          <w:rFonts w:ascii="Calibri" w:hAnsi="Calibri" w:cs="Calibri" w:eastAsia="Calibri" w:hint="default"/>
          <w:sz w:val="22"/>
          <w:szCs w:val="22"/>
        </w:rPr>
        <w:t>Other:</w:t>
      </w:r>
      <w:r>
        <w:rPr>
          <w:rFonts w:ascii="Calibri" w:hAnsi="Calibri" w:cs="Calibri" w:eastAsia="Calibri" w:hint="default"/>
          <w:sz w:val="22"/>
          <w:szCs w:val="22"/>
          <w:u w:val="single" w:color="000000"/>
        </w:rPr>
        <w:t> </w:t>
        <w:tab/>
      </w:r>
      <w:r>
        <w:rPr>
          <w:rFonts w:ascii="Calibri" w:hAnsi="Calibri" w:cs="Calibri" w:eastAsia="Calibri" w:hint="default"/>
          <w:sz w:val="22"/>
          <w:szCs w:val="22"/>
        </w:rPr>
      </w:r>
    </w:p>
    <w:p>
      <w:pPr>
        <w:spacing w:after="0"/>
        <w:jc w:val="left"/>
        <w:rPr>
          <w:rFonts w:ascii="Calibri" w:hAnsi="Calibri" w:cs="Calibri" w:eastAsia="Calibri" w:hint="default"/>
          <w:sz w:val="22"/>
          <w:szCs w:val="22"/>
        </w:rPr>
        <w:sectPr>
          <w:pgSz w:w="12240" w:h="15840"/>
          <w:pgMar w:header="720" w:footer="312" w:top="1280" w:bottom="500" w:left="280" w:right="220"/>
        </w:sectPr>
      </w:pPr>
    </w:p>
    <w:p>
      <w:pPr>
        <w:spacing w:line="240" w:lineRule="auto" w:before="2"/>
        <w:ind w:right="0"/>
        <w:rPr>
          <w:rFonts w:ascii="Calibri" w:hAnsi="Calibri" w:cs="Calibri" w:eastAsia="Calibri" w:hint="default"/>
          <w:sz w:val="18"/>
          <w:szCs w:val="18"/>
        </w:rPr>
      </w:pPr>
    </w:p>
    <w:p>
      <w:pPr>
        <w:tabs>
          <w:tab w:pos="689" w:val="left" w:leader="none"/>
          <w:tab w:pos="11160" w:val="left" w:leader="none"/>
        </w:tabs>
        <w:spacing w:before="55"/>
        <w:ind w:left="128" w:right="0" w:firstLine="0"/>
        <w:jc w:val="left"/>
        <w:rPr>
          <w:rFonts w:ascii="Calibri" w:hAnsi="Calibri" w:cs="Calibri" w:eastAsia="Calibri" w:hint="default"/>
          <w:sz w:val="22"/>
          <w:szCs w:val="22"/>
        </w:rPr>
      </w:pPr>
      <w:r>
        <w:rPr>
          <w:rFonts w:ascii="Calibri" w:hAnsi="Calibri"/>
          <w:b/>
          <w:w w:val="99"/>
          <w:sz w:val="22"/>
        </w:rPr>
      </w:r>
      <w:r>
        <w:rPr>
          <w:rFonts w:ascii="Calibri" w:hAnsi="Calibri"/>
          <w:b/>
          <w:w w:val="99"/>
          <w:sz w:val="22"/>
          <w:u w:val="single" w:color="000000"/>
        </w:rPr>
        <w:t> </w:t>
      </w:r>
      <w:r>
        <w:rPr>
          <w:rFonts w:ascii="Calibri" w:hAnsi="Calibri"/>
          <w:b/>
          <w:sz w:val="22"/>
          <w:u w:val="single" w:color="000000"/>
        </w:rPr>
        <w:tab/>
        <w:t>SECTION 4: EVALUATION ABOUT SERVICES PROVIDED IN</w:t>
      </w:r>
      <w:r>
        <w:rPr>
          <w:rFonts w:ascii="Calibri" w:hAnsi="Calibri"/>
          <w:b/>
          <w:spacing w:val="-22"/>
          <w:sz w:val="22"/>
          <w:u w:val="single" w:color="000000"/>
        </w:rPr>
        <w:t> </w:t>
      </w:r>
      <w:r>
        <w:rPr>
          <w:rFonts w:ascii="Calibri" w:hAnsi="Calibri"/>
          <w:b/>
          <w:sz w:val="22"/>
          <w:u w:val="single" w:color="000000"/>
        </w:rPr>
        <w:t>CURAÇAO</w:t>
        <w:tab/>
      </w:r>
      <w:r>
        <w:rPr>
          <w:rFonts w:ascii="Calibri" w:hAnsi="Calibri"/>
          <w:b/>
          <w:sz w:val="22"/>
        </w:rPr>
      </w:r>
      <w:r>
        <w:rPr>
          <w:rFonts w:ascii="Calibri" w:hAnsi="Calibri"/>
          <w:sz w:val="22"/>
        </w:rPr>
      </w:r>
    </w:p>
    <w:p>
      <w:pPr>
        <w:spacing w:after="0"/>
        <w:jc w:val="left"/>
        <w:rPr>
          <w:rFonts w:ascii="Calibri" w:hAnsi="Calibri" w:cs="Calibri" w:eastAsia="Calibri" w:hint="default"/>
          <w:sz w:val="22"/>
          <w:szCs w:val="22"/>
        </w:rPr>
        <w:sectPr>
          <w:pgSz w:w="12240" w:h="15840"/>
          <w:pgMar w:header="720" w:footer="312" w:top="1280" w:bottom="500" w:left="440" w:right="520"/>
        </w:sectPr>
      </w:pPr>
    </w:p>
    <w:p>
      <w:pPr>
        <w:pStyle w:val="ListParagraph"/>
        <w:numPr>
          <w:ilvl w:val="0"/>
          <w:numId w:val="22"/>
        </w:numPr>
        <w:tabs>
          <w:tab w:pos="569" w:val="left" w:leader="none"/>
          <w:tab w:pos="8005" w:val="left" w:leader="none"/>
        </w:tabs>
        <w:spacing w:line="240" w:lineRule="auto" w:before="14" w:after="0"/>
        <w:ind w:left="568" w:right="0" w:hanging="332"/>
        <w:jc w:val="left"/>
        <w:rPr>
          <w:rFonts w:ascii="Calibri" w:hAnsi="Calibri" w:cs="Calibri" w:eastAsia="Calibri" w:hint="default"/>
          <w:sz w:val="22"/>
          <w:szCs w:val="22"/>
        </w:rPr>
      </w:pPr>
      <w:r>
        <w:rPr/>
        <w:pict>
          <v:shape style="position:absolute;margin-left:28.440001pt;margin-top:16.158613pt;width:551.6pt;height:4.3pt;mso-position-horizontal-relative:page;mso-position-vertical-relative:paragraph;z-index:378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7286"/>
                    <w:gridCol w:w="1121"/>
                    <w:gridCol w:w="430"/>
                    <w:gridCol w:w="544"/>
                    <w:gridCol w:w="544"/>
                    <w:gridCol w:w="449"/>
                    <w:gridCol w:w="658"/>
                  </w:tblGrid>
                  <w:tr>
                    <w:trPr>
                      <w:trHeight w:val="230" w:hRule="exact"/>
                    </w:trPr>
                    <w:tc>
                      <w:tcPr>
                        <w:tcW w:w="7286" w:type="dxa"/>
                        <w:tcBorders>
                          <w:top w:val="nil" w:sz="6" w:space="0" w:color="auto"/>
                          <w:left w:val="nil" w:sz="6" w:space="0" w:color="auto"/>
                          <w:bottom w:val="single" w:sz="4" w:space="0" w:color="000000"/>
                          <w:right w:val="nil" w:sz="6" w:space="0" w:color="auto"/>
                        </w:tcBorders>
                      </w:tcPr>
                      <w:p>
                        <w:pPr/>
                      </w:p>
                    </w:tc>
                    <w:tc>
                      <w:tcPr>
                        <w:tcW w:w="1121" w:type="dxa"/>
                        <w:tcBorders>
                          <w:top w:val="nil" w:sz="6" w:space="0" w:color="auto"/>
                          <w:left w:val="nil" w:sz="6" w:space="0" w:color="auto"/>
                          <w:bottom w:val="single" w:sz="4" w:space="0" w:color="000000"/>
                          <w:right w:val="nil" w:sz="6" w:space="0" w:color="auto"/>
                        </w:tcBorders>
                      </w:tcPr>
                      <w:p>
                        <w:pPr>
                          <w:pStyle w:val="TableParagraph"/>
                          <w:spacing w:line="224" w:lineRule="exact"/>
                          <w:ind w:left="590" w:right="0"/>
                          <w:jc w:val="left"/>
                          <w:rPr>
                            <w:rFonts w:ascii="Calibri" w:hAnsi="Calibri" w:cs="Calibri" w:eastAsia="Calibri" w:hint="default"/>
                            <w:sz w:val="22"/>
                            <w:szCs w:val="22"/>
                          </w:rPr>
                        </w:pPr>
                        <w:r>
                          <w:rPr>
                            <w:rFonts w:ascii="Calibri"/>
                            <w:b/>
                            <w:i/>
                            <w:sz w:val="22"/>
                          </w:rPr>
                          <w:t>Likely</w:t>
                        </w:r>
                        <w:r>
                          <w:rPr>
                            <w:rFonts w:ascii="Calibri"/>
                            <w:sz w:val="22"/>
                          </w:rPr>
                        </w:r>
                      </w:p>
                    </w:tc>
                    <w:tc>
                      <w:tcPr>
                        <w:tcW w:w="430"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449" w:type="dxa"/>
                        <w:tcBorders>
                          <w:top w:val="nil" w:sz="6" w:space="0" w:color="auto"/>
                          <w:left w:val="nil" w:sz="6" w:space="0" w:color="auto"/>
                          <w:bottom w:val="single" w:sz="4" w:space="0" w:color="000000"/>
                          <w:right w:val="nil" w:sz="6" w:space="0" w:color="auto"/>
                        </w:tcBorders>
                      </w:tcPr>
                      <w:p>
                        <w:pPr/>
                      </w:p>
                    </w:tc>
                    <w:tc>
                      <w:tcPr>
                        <w:tcW w:w="658" w:type="dxa"/>
                        <w:tcBorders>
                          <w:top w:val="nil" w:sz="6" w:space="0" w:color="auto"/>
                          <w:left w:val="nil" w:sz="6" w:space="0" w:color="auto"/>
                          <w:bottom w:val="single" w:sz="4" w:space="0" w:color="000000"/>
                          <w:right w:val="nil" w:sz="6" w:space="0" w:color="auto"/>
                        </w:tcBorders>
                      </w:tcPr>
                      <w:p>
                        <w:pPr>
                          <w:pStyle w:val="TableParagraph"/>
                          <w:spacing w:line="224" w:lineRule="exact"/>
                          <w:ind w:left="31" w:right="0"/>
                          <w:jc w:val="left"/>
                          <w:rPr>
                            <w:rFonts w:ascii="Calibri" w:hAnsi="Calibri" w:cs="Calibri" w:eastAsia="Calibri" w:hint="default"/>
                            <w:sz w:val="22"/>
                            <w:szCs w:val="22"/>
                          </w:rPr>
                        </w:pPr>
                        <w:r>
                          <w:rPr>
                            <w:rFonts w:ascii="Calibri"/>
                            <w:b/>
                            <w:i/>
                            <w:sz w:val="22"/>
                          </w:rPr>
                          <w:t>Likely</w:t>
                        </w:r>
                        <w:r>
                          <w:rPr>
                            <w:rFonts w:ascii="Calibri"/>
                            <w:sz w:val="22"/>
                          </w:rPr>
                        </w:r>
                      </w:p>
                    </w:tc>
                  </w:tr>
                  <w:tr>
                    <w:trPr>
                      <w:trHeight w:val="313" w:hRule="exact"/>
                    </w:trPr>
                    <w:tc>
                      <w:tcPr>
                        <w:tcW w:w="7286" w:type="dxa"/>
                        <w:tcBorders>
                          <w:top w:val="single" w:sz="4" w:space="0" w:color="000000"/>
                          <w:left w:val="nil" w:sz="6" w:space="0" w:color="auto"/>
                          <w:bottom w:val="nil" w:sz="6" w:space="0" w:color="auto"/>
                          <w:right w:val="nil" w:sz="6" w:space="0" w:color="auto"/>
                        </w:tcBorders>
                      </w:tcPr>
                      <w:p>
                        <w:pPr/>
                      </w:p>
                    </w:tc>
                    <w:tc>
                      <w:tcPr>
                        <w:tcW w:w="1121" w:type="dxa"/>
                        <w:tcBorders>
                          <w:top w:val="single" w:sz="4" w:space="0" w:color="000000"/>
                          <w:left w:val="nil" w:sz="6" w:space="0" w:color="auto"/>
                          <w:bottom w:val="nil" w:sz="6" w:space="0" w:color="auto"/>
                          <w:right w:val="nil" w:sz="6" w:space="0" w:color="auto"/>
                        </w:tcBorders>
                      </w:tcPr>
                      <w:p>
                        <w:pPr/>
                      </w:p>
                    </w:tc>
                    <w:tc>
                      <w:tcPr>
                        <w:tcW w:w="430" w:type="dxa"/>
                        <w:tcBorders>
                          <w:top w:val="single" w:sz="4" w:space="0" w:color="000000"/>
                          <w:left w:val="nil" w:sz="6" w:space="0" w:color="auto"/>
                          <w:bottom w:val="nil" w:sz="6" w:space="0" w:color="auto"/>
                          <w:right w:val="nil" w:sz="6" w:space="0" w:color="auto"/>
                        </w:tcBorders>
                      </w:tcPr>
                      <w:p>
                        <w:pPr/>
                      </w:p>
                    </w:tc>
                    <w:tc>
                      <w:tcPr>
                        <w:tcW w:w="544" w:type="dxa"/>
                        <w:tcBorders>
                          <w:top w:val="single" w:sz="4" w:space="0" w:color="000000"/>
                          <w:left w:val="nil" w:sz="6" w:space="0" w:color="auto"/>
                          <w:bottom w:val="nil" w:sz="6" w:space="0" w:color="auto"/>
                          <w:right w:val="nil" w:sz="6" w:space="0" w:color="auto"/>
                        </w:tcBorders>
                      </w:tcPr>
                      <w:p>
                        <w:pPr/>
                      </w:p>
                    </w:tc>
                    <w:tc>
                      <w:tcPr>
                        <w:tcW w:w="544" w:type="dxa"/>
                        <w:tcBorders>
                          <w:top w:val="single" w:sz="4" w:space="0" w:color="000000"/>
                          <w:left w:val="nil" w:sz="6" w:space="0" w:color="auto"/>
                          <w:bottom w:val="nil" w:sz="6" w:space="0" w:color="auto"/>
                          <w:right w:val="nil" w:sz="6" w:space="0" w:color="auto"/>
                        </w:tcBorders>
                      </w:tcPr>
                      <w:p>
                        <w:pPr/>
                      </w:p>
                    </w:tc>
                    <w:tc>
                      <w:tcPr>
                        <w:tcW w:w="449" w:type="dxa"/>
                        <w:tcBorders>
                          <w:top w:val="single" w:sz="4" w:space="0" w:color="000000"/>
                          <w:left w:val="nil" w:sz="6" w:space="0" w:color="auto"/>
                          <w:bottom w:val="nil" w:sz="6" w:space="0" w:color="auto"/>
                          <w:right w:val="nil" w:sz="6" w:space="0" w:color="auto"/>
                        </w:tcBorders>
                      </w:tcPr>
                      <w:p>
                        <w:pPr/>
                      </w:p>
                    </w:tc>
                    <w:tc>
                      <w:tcPr>
                        <w:tcW w:w="658" w:type="dxa"/>
                        <w:tcBorders>
                          <w:top w:val="single" w:sz="4" w:space="0" w:color="000000"/>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73" w:hRule="exact"/>
                    </w:trPr>
                    <w:tc>
                      <w:tcPr>
                        <w:tcW w:w="7286" w:type="dxa"/>
                        <w:tcBorders>
                          <w:top w:val="nil" w:sz="6" w:space="0" w:color="auto"/>
                          <w:left w:val="nil" w:sz="6" w:space="0" w:color="auto"/>
                          <w:bottom w:val="single" w:sz="4" w:space="0" w:color="000000"/>
                          <w:right w:val="nil" w:sz="6" w:space="0" w:color="auto"/>
                        </w:tcBorders>
                      </w:tcPr>
                      <w:p>
                        <w:pPr/>
                      </w:p>
                    </w:tc>
                    <w:tc>
                      <w:tcPr>
                        <w:tcW w:w="1121" w:type="dxa"/>
                        <w:tcBorders>
                          <w:top w:val="nil" w:sz="6" w:space="0" w:color="auto"/>
                          <w:left w:val="nil" w:sz="6" w:space="0" w:color="auto"/>
                          <w:bottom w:val="single" w:sz="4" w:space="0" w:color="000000"/>
                          <w:right w:val="nil" w:sz="6" w:space="0" w:color="auto"/>
                        </w:tcBorders>
                      </w:tcPr>
                      <w:p>
                        <w:pPr/>
                      </w:p>
                    </w:tc>
                    <w:tc>
                      <w:tcPr>
                        <w:tcW w:w="430"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449" w:type="dxa"/>
                        <w:tcBorders>
                          <w:top w:val="nil" w:sz="6" w:space="0" w:color="auto"/>
                          <w:left w:val="nil" w:sz="6" w:space="0" w:color="auto"/>
                          <w:bottom w:val="single" w:sz="4" w:space="0" w:color="000000"/>
                          <w:right w:val="nil" w:sz="6" w:space="0" w:color="auto"/>
                        </w:tcBorders>
                      </w:tcPr>
                      <w:p>
                        <w:pPr/>
                      </w:p>
                    </w:tc>
                    <w:tc>
                      <w:tcPr>
                        <w:tcW w:w="658" w:type="dxa"/>
                        <w:tcBorders>
                          <w:top w:val="nil" w:sz="6" w:space="0" w:color="auto"/>
                          <w:left w:val="nil" w:sz="6" w:space="0" w:color="auto"/>
                          <w:bottom w:val="single" w:sz="4" w:space="0" w:color="000000"/>
                          <w:right w:val="nil" w:sz="6" w:space="0" w:color="auto"/>
                        </w:tcBorders>
                      </w:tcPr>
                      <w:p>
                        <w:pPr/>
                      </w:p>
                    </w:tc>
                  </w:tr>
                  <w:tr>
                    <w:trPr>
                      <w:trHeight w:val="572" w:hRule="exact"/>
                    </w:trPr>
                    <w:tc>
                      <w:tcPr>
                        <w:tcW w:w="11032" w:type="dxa"/>
                        <w:gridSpan w:val="7"/>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Calibri" w:hAnsi="Calibri" w:cs="Calibri" w:eastAsia="Calibri" w:hint="default"/>
                            <w:sz w:val="20"/>
                            <w:szCs w:val="20"/>
                          </w:rPr>
                        </w:pPr>
                      </w:p>
                      <w:p>
                        <w:pPr>
                          <w:pStyle w:val="TableParagraph"/>
                          <w:spacing w:line="240" w:lineRule="auto" w:before="10"/>
                          <w:ind w:right="0"/>
                          <w:jc w:val="left"/>
                          <w:rPr>
                            <w:rFonts w:ascii="Calibri" w:hAnsi="Calibri" w:cs="Calibri" w:eastAsia="Calibri" w:hint="default"/>
                            <w:sz w:val="26"/>
                            <w:szCs w:val="26"/>
                          </w:rPr>
                        </w:pPr>
                      </w:p>
                    </w:tc>
                  </w:tr>
                  <w:tr>
                    <w:trPr>
                      <w:trHeight w:val="254" w:hRule="exact"/>
                    </w:trPr>
                    <w:tc>
                      <w:tcPr>
                        <w:tcW w:w="7286" w:type="dxa"/>
                        <w:tcBorders>
                          <w:top w:val="nil" w:sz="6" w:space="0" w:color="auto"/>
                          <w:left w:val="nil" w:sz="6" w:space="0" w:color="auto"/>
                          <w:bottom w:val="single" w:sz="4" w:space="0" w:color="000000"/>
                          <w:right w:val="nil" w:sz="6" w:space="0" w:color="auto"/>
                        </w:tcBorders>
                      </w:tcPr>
                      <w:p>
                        <w:pPr/>
                      </w:p>
                    </w:tc>
                    <w:tc>
                      <w:tcPr>
                        <w:tcW w:w="1121" w:type="dxa"/>
                        <w:tcBorders>
                          <w:top w:val="nil" w:sz="6" w:space="0" w:color="auto"/>
                          <w:left w:val="nil" w:sz="6" w:space="0" w:color="auto"/>
                          <w:bottom w:val="single" w:sz="4" w:space="0" w:color="000000"/>
                          <w:right w:val="nil" w:sz="6" w:space="0" w:color="auto"/>
                        </w:tcBorders>
                      </w:tcPr>
                      <w:p>
                        <w:pPr/>
                      </w:p>
                    </w:tc>
                    <w:tc>
                      <w:tcPr>
                        <w:tcW w:w="430"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449" w:type="dxa"/>
                        <w:tcBorders>
                          <w:top w:val="nil" w:sz="6" w:space="0" w:color="auto"/>
                          <w:left w:val="nil" w:sz="6" w:space="0" w:color="auto"/>
                          <w:bottom w:val="single" w:sz="4" w:space="0" w:color="000000"/>
                          <w:right w:val="nil" w:sz="6" w:space="0" w:color="auto"/>
                        </w:tcBorders>
                      </w:tcPr>
                      <w:p>
                        <w:pPr/>
                      </w:p>
                    </w:tc>
                    <w:tc>
                      <w:tcPr>
                        <w:tcW w:w="658" w:type="dxa"/>
                        <w:tcBorders>
                          <w:top w:val="nil" w:sz="6" w:space="0" w:color="auto"/>
                          <w:left w:val="nil" w:sz="6" w:space="0" w:color="auto"/>
                          <w:bottom w:val="single" w:sz="4" w:space="0" w:color="000000"/>
                          <w:right w:val="nil" w:sz="6" w:space="0" w:color="auto"/>
                        </w:tcBorders>
                      </w:tcPr>
                      <w:p>
                        <w:pPr/>
                      </w:p>
                    </w:tc>
                  </w:tr>
                  <w:tr>
                    <w:trPr>
                      <w:trHeight w:val="312" w:hRule="exact"/>
                    </w:trPr>
                    <w:tc>
                      <w:tcPr>
                        <w:tcW w:w="7286" w:type="dxa"/>
                        <w:tcBorders>
                          <w:top w:val="single" w:sz="4" w:space="0" w:color="000000"/>
                          <w:left w:val="nil" w:sz="6" w:space="0" w:color="auto"/>
                          <w:bottom w:val="nil" w:sz="6" w:space="0" w:color="auto"/>
                          <w:right w:val="nil" w:sz="6" w:space="0" w:color="auto"/>
                        </w:tcBorders>
                      </w:tcPr>
                      <w:p>
                        <w:pPr/>
                      </w:p>
                    </w:tc>
                    <w:tc>
                      <w:tcPr>
                        <w:tcW w:w="1121" w:type="dxa"/>
                        <w:tcBorders>
                          <w:top w:val="single" w:sz="4" w:space="0" w:color="000000"/>
                          <w:left w:val="nil" w:sz="6" w:space="0" w:color="auto"/>
                          <w:bottom w:val="nil" w:sz="6" w:space="0" w:color="auto"/>
                          <w:right w:val="nil" w:sz="6" w:space="0" w:color="auto"/>
                        </w:tcBorders>
                      </w:tcPr>
                      <w:p>
                        <w:pPr/>
                      </w:p>
                    </w:tc>
                    <w:tc>
                      <w:tcPr>
                        <w:tcW w:w="430" w:type="dxa"/>
                        <w:tcBorders>
                          <w:top w:val="single" w:sz="4" w:space="0" w:color="000000"/>
                          <w:left w:val="nil" w:sz="6" w:space="0" w:color="auto"/>
                          <w:bottom w:val="nil" w:sz="6" w:space="0" w:color="auto"/>
                          <w:right w:val="nil" w:sz="6" w:space="0" w:color="auto"/>
                        </w:tcBorders>
                      </w:tcPr>
                      <w:p>
                        <w:pPr/>
                      </w:p>
                    </w:tc>
                    <w:tc>
                      <w:tcPr>
                        <w:tcW w:w="544" w:type="dxa"/>
                        <w:tcBorders>
                          <w:top w:val="single" w:sz="4" w:space="0" w:color="000000"/>
                          <w:left w:val="nil" w:sz="6" w:space="0" w:color="auto"/>
                          <w:bottom w:val="nil" w:sz="6" w:space="0" w:color="auto"/>
                          <w:right w:val="nil" w:sz="6" w:space="0" w:color="auto"/>
                        </w:tcBorders>
                      </w:tcPr>
                      <w:p>
                        <w:pPr/>
                      </w:p>
                    </w:tc>
                    <w:tc>
                      <w:tcPr>
                        <w:tcW w:w="544" w:type="dxa"/>
                        <w:tcBorders>
                          <w:top w:val="single" w:sz="4" w:space="0" w:color="000000"/>
                          <w:left w:val="nil" w:sz="6" w:space="0" w:color="auto"/>
                          <w:bottom w:val="nil" w:sz="6" w:space="0" w:color="auto"/>
                          <w:right w:val="nil" w:sz="6" w:space="0" w:color="auto"/>
                        </w:tcBorders>
                      </w:tcPr>
                      <w:p>
                        <w:pPr/>
                      </w:p>
                    </w:tc>
                    <w:tc>
                      <w:tcPr>
                        <w:tcW w:w="449" w:type="dxa"/>
                        <w:tcBorders>
                          <w:top w:val="single" w:sz="4" w:space="0" w:color="000000"/>
                          <w:left w:val="nil" w:sz="6" w:space="0" w:color="auto"/>
                          <w:bottom w:val="nil" w:sz="6" w:space="0" w:color="auto"/>
                          <w:right w:val="nil" w:sz="6" w:space="0" w:color="auto"/>
                        </w:tcBorders>
                      </w:tcPr>
                      <w:p>
                        <w:pPr/>
                      </w:p>
                    </w:tc>
                    <w:tc>
                      <w:tcPr>
                        <w:tcW w:w="658" w:type="dxa"/>
                        <w:tcBorders>
                          <w:top w:val="single" w:sz="4" w:space="0" w:color="000000"/>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74" w:hRule="exact"/>
                    </w:trPr>
                    <w:tc>
                      <w:tcPr>
                        <w:tcW w:w="7286" w:type="dxa"/>
                        <w:tcBorders>
                          <w:top w:val="nil" w:sz="6" w:space="0" w:color="auto"/>
                          <w:left w:val="nil" w:sz="6" w:space="0" w:color="auto"/>
                          <w:bottom w:val="single" w:sz="4" w:space="0" w:color="000000"/>
                          <w:right w:val="nil" w:sz="6" w:space="0" w:color="auto"/>
                        </w:tcBorders>
                      </w:tcPr>
                      <w:p>
                        <w:pPr/>
                      </w:p>
                    </w:tc>
                    <w:tc>
                      <w:tcPr>
                        <w:tcW w:w="1121" w:type="dxa"/>
                        <w:tcBorders>
                          <w:top w:val="nil" w:sz="6" w:space="0" w:color="auto"/>
                          <w:left w:val="nil" w:sz="6" w:space="0" w:color="auto"/>
                          <w:bottom w:val="single" w:sz="4" w:space="0" w:color="000000"/>
                          <w:right w:val="nil" w:sz="6" w:space="0" w:color="auto"/>
                        </w:tcBorders>
                      </w:tcPr>
                      <w:p>
                        <w:pPr/>
                      </w:p>
                    </w:tc>
                    <w:tc>
                      <w:tcPr>
                        <w:tcW w:w="430"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449" w:type="dxa"/>
                        <w:tcBorders>
                          <w:top w:val="nil" w:sz="6" w:space="0" w:color="auto"/>
                          <w:left w:val="nil" w:sz="6" w:space="0" w:color="auto"/>
                          <w:bottom w:val="single" w:sz="4" w:space="0" w:color="000000"/>
                          <w:right w:val="nil" w:sz="6" w:space="0" w:color="auto"/>
                        </w:tcBorders>
                      </w:tcPr>
                      <w:p>
                        <w:pPr/>
                      </w:p>
                    </w:tc>
                    <w:tc>
                      <w:tcPr>
                        <w:tcW w:w="658" w:type="dxa"/>
                        <w:tcBorders>
                          <w:top w:val="nil" w:sz="6" w:space="0" w:color="auto"/>
                          <w:left w:val="nil" w:sz="6" w:space="0" w:color="auto"/>
                          <w:bottom w:val="single" w:sz="4" w:space="0" w:color="000000"/>
                          <w:right w:val="nil" w:sz="6" w:space="0" w:color="auto"/>
                        </w:tcBorders>
                      </w:tcPr>
                      <w:p>
                        <w:pPr/>
                      </w:p>
                    </w:tc>
                  </w:tr>
                  <w:tr>
                    <w:trPr>
                      <w:trHeight w:val="277" w:hRule="exact"/>
                    </w:trPr>
                    <w:tc>
                      <w:tcPr>
                        <w:tcW w:w="7286" w:type="dxa"/>
                        <w:tcBorders>
                          <w:top w:val="single" w:sz="4" w:space="0" w:color="000000"/>
                          <w:left w:val="nil" w:sz="6" w:space="0" w:color="auto"/>
                          <w:bottom w:val="single" w:sz="4" w:space="0" w:color="000000"/>
                          <w:right w:val="nil" w:sz="6" w:space="0" w:color="auto"/>
                        </w:tcBorders>
                      </w:tcPr>
                      <w:p>
                        <w:pPr/>
                      </w:p>
                    </w:tc>
                    <w:tc>
                      <w:tcPr>
                        <w:tcW w:w="1121" w:type="dxa"/>
                        <w:tcBorders>
                          <w:top w:val="single" w:sz="4" w:space="0" w:color="000000"/>
                          <w:left w:val="nil" w:sz="6" w:space="0" w:color="auto"/>
                          <w:bottom w:val="single" w:sz="4" w:space="0" w:color="000000"/>
                          <w:right w:val="nil" w:sz="6" w:space="0" w:color="auto"/>
                        </w:tcBorders>
                      </w:tcPr>
                      <w:p>
                        <w:pPr/>
                      </w:p>
                    </w:tc>
                    <w:tc>
                      <w:tcPr>
                        <w:tcW w:w="430" w:type="dxa"/>
                        <w:tcBorders>
                          <w:top w:val="single" w:sz="4" w:space="0" w:color="000000"/>
                          <w:left w:val="nil" w:sz="6" w:space="0" w:color="auto"/>
                          <w:bottom w:val="single" w:sz="4" w:space="0" w:color="000000"/>
                          <w:right w:val="nil" w:sz="6" w:space="0" w:color="auto"/>
                        </w:tcBorders>
                      </w:tcPr>
                      <w:p>
                        <w:pPr/>
                      </w:p>
                    </w:tc>
                    <w:tc>
                      <w:tcPr>
                        <w:tcW w:w="544" w:type="dxa"/>
                        <w:tcBorders>
                          <w:top w:val="single" w:sz="4" w:space="0" w:color="000000"/>
                          <w:left w:val="nil" w:sz="6" w:space="0" w:color="auto"/>
                          <w:bottom w:val="single" w:sz="4" w:space="0" w:color="000000"/>
                          <w:right w:val="nil" w:sz="6" w:space="0" w:color="auto"/>
                        </w:tcBorders>
                      </w:tcPr>
                      <w:p>
                        <w:pPr/>
                      </w:p>
                    </w:tc>
                    <w:tc>
                      <w:tcPr>
                        <w:tcW w:w="544" w:type="dxa"/>
                        <w:tcBorders>
                          <w:top w:val="single" w:sz="4" w:space="0" w:color="000000"/>
                          <w:left w:val="nil" w:sz="6" w:space="0" w:color="auto"/>
                          <w:bottom w:val="single" w:sz="4" w:space="0" w:color="000000"/>
                          <w:right w:val="nil" w:sz="6" w:space="0" w:color="auto"/>
                        </w:tcBorders>
                      </w:tcPr>
                      <w:p>
                        <w:pPr/>
                      </w:p>
                    </w:tc>
                    <w:tc>
                      <w:tcPr>
                        <w:tcW w:w="449" w:type="dxa"/>
                        <w:tcBorders>
                          <w:top w:val="single" w:sz="4" w:space="0" w:color="000000"/>
                          <w:left w:val="nil" w:sz="6" w:space="0" w:color="auto"/>
                          <w:bottom w:val="single" w:sz="4" w:space="0" w:color="000000"/>
                          <w:right w:val="nil" w:sz="6" w:space="0" w:color="auto"/>
                        </w:tcBorders>
                      </w:tcPr>
                      <w:p>
                        <w:pPr/>
                      </w:p>
                    </w:tc>
                    <w:tc>
                      <w:tcPr>
                        <w:tcW w:w="658" w:type="dxa"/>
                        <w:tcBorders>
                          <w:top w:val="single" w:sz="4" w:space="0" w:color="000000"/>
                          <w:left w:val="nil" w:sz="6" w:space="0" w:color="auto"/>
                          <w:bottom w:val="single" w:sz="4" w:space="0" w:color="000000"/>
                          <w:right w:val="nil" w:sz="6" w:space="0" w:color="auto"/>
                        </w:tcBorders>
                      </w:tcPr>
                      <w:p>
                        <w:pPr/>
                      </w:p>
                    </w:tc>
                  </w:tr>
                  <w:tr>
                    <w:trPr>
                      <w:trHeight w:val="299" w:hRule="exact"/>
                    </w:trPr>
                    <w:tc>
                      <w:tcPr>
                        <w:tcW w:w="7286" w:type="dxa"/>
                        <w:tcBorders>
                          <w:top w:val="single" w:sz="4" w:space="0" w:color="000000"/>
                          <w:left w:val="nil" w:sz="6" w:space="0" w:color="auto"/>
                          <w:bottom w:val="single" w:sz="4" w:space="0" w:color="000000"/>
                          <w:right w:val="nil" w:sz="6" w:space="0" w:color="auto"/>
                        </w:tcBorders>
                      </w:tcPr>
                      <w:p>
                        <w:pPr/>
                      </w:p>
                    </w:tc>
                    <w:tc>
                      <w:tcPr>
                        <w:tcW w:w="1121" w:type="dxa"/>
                        <w:tcBorders>
                          <w:top w:val="single" w:sz="4" w:space="0" w:color="000000"/>
                          <w:left w:val="nil" w:sz="6" w:space="0" w:color="auto"/>
                          <w:bottom w:val="single" w:sz="4" w:space="0" w:color="000000"/>
                          <w:right w:val="nil" w:sz="6" w:space="0" w:color="auto"/>
                        </w:tcBorders>
                      </w:tcPr>
                      <w:p>
                        <w:pPr/>
                      </w:p>
                    </w:tc>
                    <w:tc>
                      <w:tcPr>
                        <w:tcW w:w="430" w:type="dxa"/>
                        <w:tcBorders>
                          <w:top w:val="single" w:sz="4" w:space="0" w:color="000000"/>
                          <w:left w:val="nil" w:sz="6" w:space="0" w:color="auto"/>
                          <w:bottom w:val="single" w:sz="4" w:space="0" w:color="000000"/>
                          <w:right w:val="nil" w:sz="6" w:space="0" w:color="auto"/>
                        </w:tcBorders>
                      </w:tcPr>
                      <w:p>
                        <w:pPr/>
                      </w:p>
                    </w:tc>
                    <w:tc>
                      <w:tcPr>
                        <w:tcW w:w="544" w:type="dxa"/>
                        <w:tcBorders>
                          <w:top w:val="single" w:sz="4" w:space="0" w:color="000000"/>
                          <w:left w:val="nil" w:sz="6" w:space="0" w:color="auto"/>
                          <w:bottom w:val="single" w:sz="4" w:space="0" w:color="000000"/>
                          <w:right w:val="nil" w:sz="6" w:space="0" w:color="auto"/>
                        </w:tcBorders>
                      </w:tcPr>
                      <w:p>
                        <w:pPr/>
                      </w:p>
                    </w:tc>
                    <w:tc>
                      <w:tcPr>
                        <w:tcW w:w="544" w:type="dxa"/>
                        <w:tcBorders>
                          <w:top w:val="single" w:sz="4" w:space="0" w:color="000000"/>
                          <w:left w:val="nil" w:sz="6" w:space="0" w:color="auto"/>
                          <w:bottom w:val="single" w:sz="4" w:space="0" w:color="000000"/>
                          <w:right w:val="nil" w:sz="6" w:space="0" w:color="auto"/>
                        </w:tcBorders>
                      </w:tcPr>
                      <w:p>
                        <w:pPr/>
                      </w:p>
                    </w:tc>
                    <w:tc>
                      <w:tcPr>
                        <w:tcW w:w="449" w:type="dxa"/>
                        <w:tcBorders>
                          <w:top w:val="single" w:sz="4" w:space="0" w:color="000000"/>
                          <w:left w:val="nil" w:sz="6" w:space="0" w:color="auto"/>
                          <w:bottom w:val="single" w:sz="4" w:space="0" w:color="000000"/>
                          <w:right w:val="nil" w:sz="6" w:space="0" w:color="auto"/>
                        </w:tcBorders>
                      </w:tcPr>
                      <w:p>
                        <w:pPr/>
                      </w:p>
                    </w:tc>
                    <w:tc>
                      <w:tcPr>
                        <w:tcW w:w="658" w:type="dxa"/>
                        <w:tcBorders>
                          <w:top w:val="single" w:sz="4" w:space="0" w:color="000000"/>
                          <w:left w:val="nil" w:sz="6" w:space="0" w:color="auto"/>
                          <w:bottom w:val="single" w:sz="4" w:space="0" w:color="000000"/>
                          <w:right w:val="nil" w:sz="6" w:space="0" w:color="auto"/>
                        </w:tcBorders>
                      </w:tcPr>
                      <w:p>
                        <w:pPr/>
                      </w:p>
                    </w:tc>
                  </w:tr>
                  <w:tr>
                    <w:trPr>
                      <w:trHeight w:val="312" w:hRule="exact"/>
                    </w:trPr>
                    <w:tc>
                      <w:tcPr>
                        <w:tcW w:w="7286" w:type="dxa"/>
                        <w:tcBorders>
                          <w:top w:val="single" w:sz="4" w:space="0" w:color="000000"/>
                          <w:left w:val="nil" w:sz="6" w:space="0" w:color="auto"/>
                          <w:bottom w:val="nil" w:sz="6" w:space="0" w:color="auto"/>
                          <w:right w:val="nil" w:sz="6" w:space="0" w:color="auto"/>
                        </w:tcBorders>
                      </w:tcPr>
                      <w:p>
                        <w:pPr/>
                      </w:p>
                    </w:tc>
                    <w:tc>
                      <w:tcPr>
                        <w:tcW w:w="1121" w:type="dxa"/>
                        <w:tcBorders>
                          <w:top w:val="single" w:sz="4" w:space="0" w:color="000000"/>
                          <w:left w:val="nil" w:sz="6" w:space="0" w:color="auto"/>
                          <w:bottom w:val="nil" w:sz="6" w:space="0" w:color="auto"/>
                          <w:right w:val="nil" w:sz="6" w:space="0" w:color="auto"/>
                        </w:tcBorders>
                      </w:tcPr>
                      <w:p>
                        <w:pPr/>
                      </w:p>
                    </w:tc>
                    <w:tc>
                      <w:tcPr>
                        <w:tcW w:w="430" w:type="dxa"/>
                        <w:tcBorders>
                          <w:top w:val="single" w:sz="4" w:space="0" w:color="000000"/>
                          <w:left w:val="nil" w:sz="6" w:space="0" w:color="auto"/>
                          <w:bottom w:val="nil" w:sz="6" w:space="0" w:color="auto"/>
                          <w:right w:val="nil" w:sz="6" w:space="0" w:color="auto"/>
                        </w:tcBorders>
                      </w:tcPr>
                      <w:p>
                        <w:pPr/>
                      </w:p>
                    </w:tc>
                    <w:tc>
                      <w:tcPr>
                        <w:tcW w:w="544" w:type="dxa"/>
                        <w:tcBorders>
                          <w:top w:val="single" w:sz="4" w:space="0" w:color="000000"/>
                          <w:left w:val="nil" w:sz="6" w:space="0" w:color="auto"/>
                          <w:bottom w:val="nil" w:sz="6" w:space="0" w:color="auto"/>
                          <w:right w:val="nil" w:sz="6" w:space="0" w:color="auto"/>
                        </w:tcBorders>
                      </w:tcPr>
                      <w:p>
                        <w:pPr/>
                      </w:p>
                    </w:tc>
                    <w:tc>
                      <w:tcPr>
                        <w:tcW w:w="544" w:type="dxa"/>
                        <w:tcBorders>
                          <w:top w:val="single" w:sz="4" w:space="0" w:color="000000"/>
                          <w:left w:val="nil" w:sz="6" w:space="0" w:color="auto"/>
                          <w:bottom w:val="nil" w:sz="6" w:space="0" w:color="auto"/>
                          <w:right w:val="nil" w:sz="6" w:space="0" w:color="auto"/>
                        </w:tcBorders>
                      </w:tcPr>
                      <w:p>
                        <w:pPr/>
                      </w:p>
                    </w:tc>
                    <w:tc>
                      <w:tcPr>
                        <w:tcW w:w="449" w:type="dxa"/>
                        <w:tcBorders>
                          <w:top w:val="single" w:sz="4" w:space="0" w:color="000000"/>
                          <w:left w:val="nil" w:sz="6" w:space="0" w:color="auto"/>
                          <w:bottom w:val="nil" w:sz="6" w:space="0" w:color="auto"/>
                          <w:right w:val="nil" w:sz="6" w:space="0" w:color="auto"/>
                        </w:tcBorders>
                      </w:tcPr>
                      <w:p>
                        <w:pPr/>
                      </w:p>
                    </w:tc>
                    <w:tc>
                      <w:tcPr>
                        <w:tcW w:w="658" w:type="dxa"/>
                        <w:tcBorders>
                          <w:top w:val="single" w:sz="4" w:space="0" w:color="000000"/>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73" w:hRule="exact"/>
                    </w:trPr>
                    <w:tc>
                      <w:tcPr>
                        <w:tcW w:w="7286" w:type="dxa"/>
                        <w:tcBorders>
                          <w:top w:val="nil" w:sz="6" w:space="0" w:color="auto"/>
                          <w:left w:val="nil" w:sz="6" w:space="0" w:color="auto"/>
                          <w:bottom w:val="single" w:sz="4" w:space="0" w:color="000000"/>
                          <w:right w:val="nil" w:sz="6" w:space="0" w:color="auto"/>
                        </w:tcBorders>
                      </w:tcPr>
                      <w:p>
                        <w:pPr/>
                      </w:p>
                    </w:tc>
                    <w:tc>
                      <w:tcPr>
                        <w:tcW w:w="1121" w:type="dxa"/>
                        <w:tcBorders>
                          <w:top w:val="nil" w:sz="6" w:space="0" w:color="auto"/>
                          <w:left w:val="nil" w:sz="6" w:space="0" w:color="auto"/>
                          <w:bottom w:val="single" w:sz="4" w:space="0" w:color="000000"/>
                          <w:right w:val="nil" w:sz="6" w:space="0" w:color="auto"/>
                        </w:tcBorders>
                      </w:tcPr>
                      <w:p>
                        <w:pPr/>
                      </w:p>
                    </w:tc>
                    <w:tc>
                      <w:tcPr>
                        <w:tcW w:w="430"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449" w:type="dxa"/>
                        <w:tcBorders>
                          <w:top w:val="nil" w:sz="6" w:space="0" w:color="auto"/>
                          <w:left w:val="nil" w:sz="6" w:space="0" w:color="auto"/>
                          <w:bottom w:val="single" w:sz="4" w:space="0" w:color="000000"/>
                          <w:right w:val="nil" w:sz="6" w:space="0" w:color="auto"/>
                        </w:tcBorders>
                      </w:tcPr>
                      <w:p>
                        <w:pPr/>
                      </w:p>
                    </w:tc>
                    <w:tc>
                      <w:tcPr>
                        <w:tcW w:w="658" w:type="dxa"/>
                        <w:tcBorders>
                          <w:top w:val="nil" w:sz="6" w:space="0" w:color="auto"/>
                          <w:left w:val="nil" w:sz="6" w:space="0" w:color="auto"/>
                          <w:bottom w:val="single" w:sz="4" w:space="0" w:color="000000"/>
                          <w:right w:val="nil" w:sz="6" w:space="0" w:color="auto"/>
                        </w:tcBorders>
                      </w:tcPr>
                      <w:p>
                        <w:pPr/>
                      </w:p>
                    </w:tc>
                  </w:tr>
                  <w:tr>
                    <w:trPr>
                      <w:trHeight w:val="280"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bl>
                <w:p>
                  <w:pPr/>
                </w:p>
              </w:txbxContent>
            </v:textbox>
            <w10:wrap type="none"/>
          </v:shape>
        </w:pict>
      </w:r>
      <w:r>
        <w:rPr>
          <w:rFonts w:ascii="Calibri"/>
          <w:b/>
          <w:spacing w:val="-1"/>
          <w:sz w:val="22"/>
        </w:rPr>
        <w:t>Please</w:t>
      </w:r>
      <w:r>
        <w:rPr>
          <w:rFonts w:ascii="Calibri"/>
          <w:b/>
          <w:sz w:val="22"/>
        </w:rPr>
        <w:t> tell </w:t>
      </w:r>
      <w:r>
        <w:rPr>
          <w:rFonts w:ascii="Calibri"/>
          <w:b/>
          <w:spacing w:val="-1"/>
          <w:sz w:val="22"/>
        </w:rPr>
        <w:t>us</w:t>
      </w:r>
      <w:r>
        <w:rPr>
          <w:rFonts w:ascii="Calibri"/>
          <w:b/>
          <w:sz w:val="22"/>
        </w:rPr>
        <w:t> how </w:t>
      </w:r>
      <w:r>
        <w:rPr>
          <w:rFonts w:ascii="Calibri"/>
          <w:b/>
          <w:spacing w:val="-1"/>
          <w:sz w:val="22"/>
        </w:rPr>
        <w:t>likely</w:t>
      </w:r>
      <w:r>
        <w:rPr>
          <w:rFonts w:ascii="Calibri"/>
          <w:b/>
          <w:sz w:val="22"/>
        </w:rPr>
        <w:t> you are to do</w:t>
      </w:r>
      <w:r>
        <w:rPr>
          <w:rFonts w:ascii="Calibri"/>
          <w:b/>
          <w:spacing w:val="-3"/>
          <w:sz w:val="22"/>
        </w:rPr>
        <w:t> </w:t>
      </w:r>
      <w:r>
        <w:rPr>
          <w:rFonts w:ascii="Calibri"/>
          <w:b/>
          <w:sz w:val="22"/>
        </w:rPr>
        <w:t>the</w:t>
      </w:r>
      <w:r>
        <w:rPr>
          <w:rFonts w:ascii="Calibri"/>
          <w:b/>
          <w:spacing w:val="1"/>
          <w:sz w:val="22"/>
        </w:rPr>
        <w:t> </w:t>
      </w:r>
      <w:r>
        <w:rPr>
          <w:rFonts w:ascii="Calibri"/>
          <w:b/>
          <w:sz w:val="22"/>
        </w:rPr>
        <w:t>following</w:t>
        <w:tab/>
      </w:r>
      <w:r>
        <w:rPr>
          <w:rFonts w:ascii="Calibri"/>
          <w:b/>
          <w:i/>
          <w:spacing w:val="-1"/>
          <w:position w:val="13"/>
          <w:sz w:val="22"/>
        </w:rPr>
        <w:t>Not</w:t>
      </w:r>
      <w:r>
        <w:rPr>
          <w:rFonts w:ascii="Calibri"/>
          <w:sz w:val="22"/>
        </w:rPr>
      </w:r>
    </w:p>
    <w:p>
      <w:pPr>
        <w:spacing w:before="10"/>
        <w:ind w:left="236" w:right="0" w:firstLine="0"/>
        <w:jc w:val="left"/>
        <w:rPr>
          <w:rFonts w:ascii="Calibri" w:hAnsi="Calibri" w:cs="Calibri" w:eastAsia="Calibri" w:hint="default"/>
          <w:sz w:val="22"/>
          <w:szCs w:val="22"/>
        </w:rPr>
      </w:pPr>
      <w:r>
        <w:rPr/>
        <w:br w:type="column"/>
      </w:r>
      <w:r>
        <w:rPr>
          <w:rFonts w:ascii="Calibri"/>
          <w:b/>
          <w:i/>
          <w:sz w:val="22"/>
        </w:rPr>
        <w:t>Very</w:t>
      </w:r>
      <w:r>
        <w:rPr>
          <w:rFonts w:ascii="Calibri"/>
          <w:sz w:val="22"/>
        </w:rPr>
      </w:r>
    </w:p>
    <w:p>
      <w:pPr>
        <w:spacing w:after="0"/>
        <w:jc w:val="left"/>
        <w:rPr>
          <w:rFonts w:ascii="Calibri" w:hAnsi="Calibri" w:cs="Calibri" w:eastAsia="Calibri" w:hint="default"/>
          <w:sz w:val="22"/>
          <w:szCs w:val="22"/>
        </w:rPr>
        <w:sectPr>
          <w:type w:val="continuous"/>
          <w:pgSz w:w="12240" w:h="15840"/>
          <w:pgMar w:top="1500" w:bottom="280" w:left="440" w:right="520"/>
          <w:cols w:num="2" w:equalWidth="0">
            <w:col w:w="8341" w:space="2055"/>
            <w:col w:w="884"/>
          </w:cols>
        </w:sectPr>
      </w:pPr>
    </w:p>
    <w:p>
      <w:pPr>
        <w:spacing w:line="240" w:lineRule="auto" w:before="1"/>
        <w:ind w:right="0"/>
        <w:rPr>
          <w:rFonts w:ascii="Calibri" w:hAnsi="Calibri" w:cs="Calibri" w:eastAsia="Calibri" w:hint="default"/>
          <w:b/>
          <w:bCs/>
          <w:i/>
          <w:sz w:val="11"/>
          <w:szCs w:val="11"/>
        </w:rPr>
      </w:pPr>
    </w:p>
    <w:p>
      <w:pPr>
        <w:spacing w:line="20" w:lineRule="exact"/>
        <w:ind w:left="123" w:right="0" w:firstLine="0"/>
        <w:rPr>
          <w:rFonts w:ascii="Calibri" w:hAnsi="Calibri" w:cs="Calibri" w:eastAsia="Calibri" w:hint="default"/>
          <w:sz w:val="2"/>
          <w:szCs w:val="2"/>
        </w:rPr>
      </w:pPr>
      <w:r>
        <w:rPr>
          <w:rFonts w:ascii="Calibri" w:hAnsi="Calibri" w:cs="Calibri" w:eastAsia="Calibri" w:hint="default"/>
          <w:sz w:val="2"/>
          <w:szCs w:val="2"/>
        </w:rPr>
        <w:pict>
          <v:group style="width:552.1pt;height:.5pt;mso-position-horizontal-relative:char;mso-position-vertical-relative:line" coordorigin="0,0" coordsize="11042,10">
            <v:group style="position:absolute;left:5;top:5;width:7769;height:2" coordorigin="5,5" coordsize="7769,2">
              <v:shape style="position:absolute;left:5;top:5;width:7769;height:2" coordorigin="5,5" coordsize="7769,0" path="m5,5l7773,5e" filled="false" stroked="true" strokeweight=".48pt" strokecolor="#000000">
                <v:path arrowok="t"/>
              </v:shape>
            </v:group>
            <v:group style="position:absolute;left:7773;top:5;width:10;height:2" coordorigin="7773,5" coordsize="10,2">
              <v:shape style="position:absolute;left:7773;top:5;width:10;height:2" coordorigin="7773,5" coordsize="10,0" path="m7773,5l7783,5e" filled="false" stroked="true" strokeweight=".48pt" strokecolor="#000000">
                <v:path arrowok="t"/>
              </v:shape>
            </v:group>
            <v:group style="position:absolute;left:7783;top:5;width:533;height:2" coordorigin="7783,5" coordsize="533,2">
              <v:shape style="position:absolute;left:7783;top:5;width:533;height:2" coordorigin="7783,5" coordsize="533,0" path="m7783,5l8316,5e" filled="false" stroked="true" strokeweight=".48pt" strokecolor="#000000">
                <v:path arrowok="t"/>
              </v:shape>
            </v:group>
            <v:group style="position:absolute;left:8316;top:5;width:10;height:2" coordorigin="8316,5" coordsize="10,2">
              <v:shape style="position:absolute;left:8316;top:5;width:10;height:2" coordorigin="8316,5" coordsize="10,0" path="m8316,5l8325,5e" filled="false" stroked="true" strokeweight=".48pt" strokecolor="#000000">
                <v:path arrowok="t"/>
              </v:shape>
            </v:group>
            <v:group style="position:absolute;left:8325;top:5;width:534;height:2" coordorigin="8325,5" coordsize="534,2">
              <v:shape style="position:absolute;left:8325;top:5;width:534;height:2" coordorigin="8325,5" coordsize="534,0" path="m8325,5l8859,5e" filled="false" stroked="true" strokeweight=".48pt" strokecolor="#000000">
                <v:path arrowok="t"/>
              </v:shape>
            </v:group>
            <v:group style="position:absolute;left:8859;top:5;width:10;height:2" coordorigin="8859,5" coordsize="10,2">
              <v:shape style="position:absolute;left:8859;top:5;width:10;height:2" coordorigin="8859,5" coordsize="10,0" path="m8859,5l8869,5e" filled="false" stroked="true" strokeweight=".48pt" strokecolor="#000000">
                <v:path arrowok="t"/>
              </v:shape>
            </v:group>
            <v:group style="position:absolute;left:8869;top:5;width:536;height:2" coordorigin="8869,5" coordsize="536,2">
              <v:shape style="position:absolute;left:8869;top:5;width:536;height:2" coordorigin="8869,5" coordsize="536,0" path="m8869,5l9404,5e" filled="false" stroked="true" strokeweight=".48pt" strokecolor="#000000">
                <v:path arrowok="t"/>
              </v:shape>
            </v:group>
            <v:group style="position:absolute;left:9404;top:5;width:10;height:2" coordorigin="9404,5" coordsize="10,2">
              <v:shape style="position:absolute;left:9404;top:5;width:10;height:2" coordorigin="9404,5" coordsize="10,0" path="m9404,5l9414,5e" filled="false" stroked="true" strokeweight=".48pt" strokecolor="#000000">
                <v:path arrowok="t"/>
              </v:shape>
            </v:group>
            <v:group style="position:absolute;left:9414;top:5;width:534;height:2" coordorigin="9414,5" coordsize="534,2">
              <v:shape style="position:absolute;left:9414;top:5;width:534;height:2" coordorigin="9414,5" coordsize="534,0" path="m9414,5l9948,5e" filled="false" stroked="true" strokeweight=".48pt" strokecolor="#000000">
                <v:path arrowok="t"/>
              </v:shape>
            </v:group>
            <v:group style="position:absolute;left:9948;top:5;width:10;height:2" coordorigin="9948,5" coordsize="10,2">
              <v:shape style="position:absolute;left:9948;top:5;width:10;height:2" coordorigin="9948,5" coordsize="10,0" path="m9948,5l9957,5e" filled="false" stroked="true" strokeweight=".48pt" strokecolor="#000000">
                <v:path arrowok="t"/>
              </v:shape>
            </v:group>
            <v:group style="position:absolute;left:9957;top:5;width:535;height:2" coordorigin="9957,5" coordsize="535,2">
              <v:shape style="position:absolute;left:9957;top:5;width:535;height:2" coordorigin="9957,5" coordsize="535,0" path="m9957,5l10492,5e" filled="false" stroked="true" strokeweight=".48pt" strokecolor="#000000">
                <v:path arrowok="t"/>
              </v:shape>
            </v:group>
            <v:group style="position:absolute;left:10492;top:5;width:10;height:2" coordorigin="10492,5" coordsize="10,2">
              <v:shape style="position:absolute;left:10492;top:5;width:10;height:2" coordorigin="10492,5" coordsize="10,0" path="m10492,5l10501,5e" filled="false" stroked="true" strokeweight=".48pt" strokecolor="#000000">
                <v:path arrowok="t"/>
              </v:shape>
            </v:group>
            <v:group style="position:absolute;left:10501;top:5;width:536;height:2" coordorigin="10501,5" coordsize="536,2">
              <v:shape style="position:absolute;left:10501;top:5;width:536;height:2" coordorigin="10501,5" coordsize="536,0" path="m10501,5l11037,5e" filled="false" stroked="true" strokeweight=".48pt" strokecolor="#000000">
                <v:path arrowok="t"/>
              </v:shape>
            </v:group>
          </v:group>
        </w:pict>
      </w:r>
      <w:r>
        <w:rPr>
          <w:rFonts w:ascii="Calibri" w:hAnsi="Calibri" w:cs="Calibri" w:eastAsia="Calibri" w:hint="default"/>
          <w:sz w:val="2"/>
          <w:szCs w:val="2"/>
        </w:rPr>
      </w:r>
    </w:p>
    <w:p>
      <w:pPr>
        <w:tabs>
          <w:tab w:pos="8005" w:val="left" w:leader="none"/>
          <w:tab w:pos="8547" w:val="left" w:leader="none"/>
          <w:tab w:pos="9091" w:val="left" w:leader="none"/>
          <w:tab w:pos="9635" w:val="left" w:leader="none"/>
          <w:tab w:pos="10179" w:val="left" w:leader="none"/>
          <w:tab w:pos="10723" w:val="left" w:leader="none"/>
        </w:tabs>
        <w:spacing w:before="0"/>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Share my vacation experience on</w:t>
      </w:r>
      <w:r>
        <w:rPr>
          <w:rFonts w:ascii="Calibri" w:hAnsi="Calibri" w:cs="Calibri" w:eastAsia="Calibri" w:hint="default"/>
          <w:spacing w:val="-17"/>
          <w:sz w:val="22"/>
          <w:szCs w:val="22"/>
        </w:rPr>
        <w:t> </w:t>
      </w:r>
      <w:r>
        <w:rPr>
          <w:rFonts w:ascii="Calibri" w:hAnsi="Calibri" w:cs="Calibri" w:eastAsia="Calibri" w:hint="default"/>
          <w:sz w:val="22"/>
          <w:szCs w:val="22"/>
        </w:rPr>
        <w:t>social</w:t>
      </w:r>
      <w:r>
        <w:rPr>
          <w:rFonts w:ascii="Calibri" w:hAnsi="Calibri" w:cs="Calibri" w:eastAsia="Calibri" w:hint="default"/>
          <w:spacing w:val="-3"/>
          <w:sz w:val="22"/>
          <w:szCs w:val="22"/>
        </w:rPr>
        <w:t> </w:t>
      </w:r>
      <w:r>
        <w:rPr>
          <w:rFonts w:ascii="Calibri" w:hAnsi="Calibri" w:cs="Calibri" w:eastAsia="Calibri" w:hint="default"/>
          <w:sz w:val="22"/>
          <w:szCs w:val="22"/>
        </w:rPr>
        <w:t>media</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20"/>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Come back</w:t>
      </w:r>
      <w:r>
        <w:rPr>
          <w:rFonts w:ascii="Calibri" w:hAnsi="Calibri" w:cs="Calibri" w:eastAsia="Calibri" w:hint="default"/>
          <w:spacing w:val="-9"/>
          <w:sz w:val="22"/>
          <w:szCs w:val="22"/>
        </w:rPr>
        <w:t> </w:t>
      </w:r>
      <w:r>
        <w:rPr>
          <w:rFonts w:ascii="Calibri" w:hAnsi="Calibri" w:cs="Calibri" w:eastAsia="Calibri" w:hint="default"/>
          <w:sz w:val="22"/>
          <w:szCs w:val="22"/>
        </w:rPr>
        <w:t>to</w:t>
      </w:r>
      <w:r>
        <w:rPr>
          <w:rFonts w:ascii="Calibri" w:hAnsi="Calibri" w:cs="Calibri" w:eastAsia="Calibri" w:hint="default"/>
          <w:spacing w:val="-3"/>
          <w:sz w:val="22"/>
          <w:szCs w:val="22"/>
        </w:rPr>
        <w:t> </w:t>
      </w:r>
      <w:r>
        <w:rPr>
          <w:rFonts w:ascii="Calibri" w:hAnsi="Calibri" w:cs="Calibri" w:eastAsia="Calibri" w:hint="default"/>
          <w:sz w:val="22"/>
          <w:szCs w:val="22"/>
        </w:rPr>
        <w:t>Curaçao</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Give good references of Curaçao</w:t>
      </w:r>
      <w:r>
        <w:rPr>
          <w:rFonts w:ascii="Calibri" w:hAnsi="Calibri" w:cs="Calibri" w:eastAsia="Calibri" w:hint="default"/>
          <w:spacing w:val="-13"/>
          <w:sz w:val="22"/>
          <w:szCs w:val="22"/>
        </w:rPr>
        <w:t> </w:t>
      </w:r>
      <w:r>
        <w:rPr>
          <w:rFonts w:ascii="Calibri" w:hAnsi="Calibri" w:cs="Calibri" w:eastAsia="Calibri" w:hint="default"/>
          <w:sz w:val="22"/>
          <w:szCs w:val="22"/>
        </w:rPr>
        <w:t>to</w:t>
      </w:r>
      <w:r>
        <w:rPr>
          <w:rFonts w:ascii="Calibri" w:hAnsi="Calibri" w:cs="Calibri" w:eastAsia="Calibri" w:hint="default"/>
          <w:spacing w:val="-3"/>
          <w:sz w:val="22"/>
          <w:szCs w:val="22"/>
        </w:rPr>
        <w:t> </w:t>
      </w:r>
      <w:r>
        <w:rPr>
          <w:rFonts w:ascii="Calibri" w:hAnsi="Calibri" w:cs="Calibri" w:eastAsia="Calibri" w:hint="default"/>
          <w:sz w:val="22"/>
          <w:szCs w:val="22"/>
        </w:rPr>
        <w:t>others</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Consider Curaçao my first choice</w:t>
      </w:r>
      <w:r>
        <w:rPr>
          <w:rFonts w:ascii="Calibri" w:hAnsi="Calibri" w:cs="Calibri" w:eastAsia="Calibri" w:hint="default"/>
          <w:spacing w:val="-19"/>
          <w:sz w:val="22"/>
          <w:szCs w:val="22"/>
        </w:rPr>
        <w:t> </w:t>
      </w:r>
      <w:r>
        <w:rPr>
          <w:rFonts w:ascii="Calibri" w:hAnsi="Calibri" w:cs="Calibri" w:eastAsia="Calibri" w:hint="default"/>
          <w:sz w:val="22"/>
          <w:szCs w:val="22"/>
        </w:rPr>
        <w:t>for</w:t>
      </w:r>
      <w:r>
        <w:rPr>
          <w:rFonts w:ascii="Calibri" w:hAnsi="Calibri" w:cs="Calibri" w:eastAsia="Calibri" w:hint="default"/>
          <w:spacing w:val="-5"/>
          <w:sz w:val="22"/>
          <w:szCs w:val="22"/>
        </w:rPr>
        <w:t> </w:t>
      </w:r>
      <w:r>
        <w:rPr>
          <w:rFonts w:ascii="Calibri" w:hAnsi="Calibri" w:cs="Calibri" w:eastAsia="Calibri" w:hint="default"/>
          <w:sz w:val="22"/>
          <w:szCs w:val="22"/>
        </w:rPr>
        <w:t>vacation</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Encourage my family and friends to</w:t>
      </w:r>
      <w:r>
        <w:rPr>
          <w:rFonts w:ascii="Calibri" w:hAnsi="Calibri" w:cs="Calibri" w:eastAsia="Calibri" w:hint="default"/>
          <w:spacing w:val="-20"/>
          <w:sz w:val="22"/>
          <w:szCs w:val="22"/>
        </w:rPr>
        <w:t> </w:t>
      </w:r>
      <w:r>
        <w:rPr>
          <w:rFonts w:ascii="Calibri" w:hAnsi="Calibri" w:cs="Calibri" w:eastAsia="Calibri" w:hint="default"/>
          <w:sz w:val="22"/>
          <w:szCs w:val="22"/>
        </w:rPr>
        <w:t>visit</w:t>
      </w:r>
      <w:r>
        <w:rPr>
          <w:rFonts w:ascii="Calibri" w:hAnsi="Calibri" w:cs="Calibri" w:eastAsia="Calibri" w:hint="default"/>
          <w:spacing w:val="-3"/>
          <w:sz w:val="22"/>
          <w:szCs w:val="22"/>
        </w:rPr>
        <w:t> </w:t>
      </w:r>
      <w:r>
        <w:rPr>
          <w:rFonts w:ascii="Calibri" w:hAnsi="Calibri" w:cs="Calibri" w:eastAsia="Calibri" w:hint="default"/>
          <w:sz w:val="22"/>
          <w:szCs w:val="22"/>
        </w:rPr>
        <w:t>Curaçao</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Continue to come to Curaçao even if the prices</w:t>
      </w:r>
      <w:r>
        <w:rPr>
          <w:rFonts w:ascii="Calibri" w:hAnsi="Calibri" w:cs="Calibri" w:eastAsia="Calibri" w:hint="default"/>
          <w:spacing w:val="-28"/>
          <w:sz w:val="22"/>
          <w:szCs w:val="22"/>
        </w:rPr>
        <w:t> </w:t>
      </w:r>
      <w:r>
        <w:rPr>
          <w:rFonts w:ascii="Calibri" w:hAnsi="Calibri" w:cs="Calibri" w:eastAsia="Calibri" w:hint="default"/>
          <w:sz w:val="22"/>
          <w:szCs w:val="22"/>
        </w:rPr>
        <w:t>were</w:t>
      </w:r>
      <w:r>
        <w:rPr>
          <w:rFonts w:ascii="Calibri" w:hAnsi="Calibri" w:cs="Calibri" w:eastAsia="Calibri" w:hint="default"/>
          <w:spacing w:val="-3"/>
          <w:sz w:val="22"/>
          <w:szCs w:val="22"/>
        </w:rPr>
        <w:t> </w:t>
      </w:r>
      <w:r>
        <w:rPr>
          <w:rFonts w:ascii="Calibri" w:hAnsi="Calibri" w:cs="Calibri" w:eastAsia="Calibri" w:hint="default"/>
          <w:sz w:val="22"/>
          <w:szCs w:val="22"/>
        </w:rPr>
        <w:t>higher</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after="10"/>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Recommend Curaçao to anyone that</w:t>
      </w:r>
      <w:r>
        <w:rPr>
          <w:rFonts w:ascii="Calibri" w:hAnsi="Calibri" w:cs="Calibri" w:eastAsia="Calibri" w:hint="default"/>
          <w:spacing w:val="-15"/>
          <w:sz w:val="22"/>
          <w:szCs w:val="22"/>
        </w:rPr>
        <w:t> </w:t>
      </w:r>
      <w:r>
        <w:rPr>
          <w:rFonts w:ascii="Calibri" w:hAnsi="Calibri" w:cs="Calibri" w:eastAsia="Calibri" w:hint="default"/>
          <w:sz w:val="22"/>
          <w:szCs w:val="22"/>
        </w:rPr>
        <w:t>asks</w:t>
      </w:r>
      <w:r>
        <w:rPr>
          <w:rFonts w:ascii="Calibri" w:hAnsi="Calibri" w:cs="Calibri" w:eastAsia="Calibri" w:hint="default"/>
          <w:spacing w:val="-4"/>
          <w:sz w:val="22"/>
          <w:szCs w:val="22"/>
        </w:rPr>
        <w:t> </w:t>
      </w:r>
      <w:r>
        <w:rPr>
          <w:rFonts w:ascii="Calibri" w:hAnsi="Calibri" w:cs="Calibri" w:eastAsia="Calibri" w:hint="default"/>
          <w:sz w:val="22"/>
          <w:szCs w:val="22"/>
        </w:rPr>
        <w:t>me</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spacing w:line="20" w:lineRule="exact"/>
        <w:ind w:left="109" w:right="0" w:firstLine="0"/>
        <w:rPr>
          <w:rFonts w:ascii="Calibri" w:hAnsi="Calibri" w:cs="Calibri" w:eastAsia="Calibri" w:hint="default"/>
          <w:sz w:val="2"/>
          <w:szCs w:val="2"/>
        </w:rPr>
      </w:pPr>
      <w:r>
        <w:rPr>
          <w:rFonts w:ascii="Calibri" w:hAnsi="Calibri" w:cs="Calibri" w:eastAsia="Calibri" w:hint="default"/>
          <w:sz w:val="2"/>
          <w:szCs w:val="2"/>
        </w:rPr>
        <w:pict>
          <v:group style="width:552.8pt;height:.5pt;mso-position-horizontal-relative:char;mso-position-vertical-relative:line" coordorigin="0,0" coordsize="11056,10">
            <v:group style="position:absolute;left:5;top:5;width:7783;height:2" coordorigin="5,5" coordsize="7783,2">
              <v:shape style="position:absolute;left:5;top:5;width:7783;height:2" coordorigin="5,5" coordsize="7783,0" path="m5,5l7788,5e" filled="false" stroked="true" strokeweight=".48pt" strokecolor="#000000">
                <v:path arrowok="t"/>
              </v:shape>
            </v:group>
            <v:group style="position:absolute;left:7773;top:5;width:10;height:2" coordorigin="7773,5" coordsize="10,2">
              <v:shape style="position:absolute;left:7773;top:5;width:10;height:2" coordorigin="7773,5" coordsize="10,0" path="m7773,5l7783,5e" filled="false" stroked="true" strokeweight=".48pt" strokecolor="#000000">
                <v:path arrowok="t"/>
              </v:shape>
            </v:group>
            <v:group style="position:absolute;left:7783;top:5;width:548;height:2" coordorigin="7783,5" coordsize="548,2">
              <v:shape style="position:absolute;left:7783;top:5;width:548;height:2" coordorigin="7783,5" coordsize="548,0" path="m7783,5l8330,5e" filled="false" stroked="true" strokeweight=".48pt" strokecolor="#000000">
                <v:path arrowok="t"/>
              </v:shape>
            </v:group>
            <v:group style="position:absolute;left:8316;top:5;width:10;height:2" coordorigin="8316,5" coordsize="10,2">
              <v:shape style="position:absolute;left:8316;top:5;width:10;height:2" coordorigin="8316,5" coordsize="10,0" path="m8316,5l8325,5e" filled="false" stroked="true" strokeweight=".48pt" strokecolor="#000000">
                <v:path arrowok="t"/>
              </v:shape>
            </v:group>
            <v:group style="position:absolute;left:8325;top:5;width:549;height:2" coordorigin="8325,5" coordsize="549,2">
              <v:shape style="position:absolute;left:8325;top:5;width:549;height:2" coordorigin="8325,5" coordsize="549,0" path="m8325,5l8874,5e" filled="false" stroked="true" strokeweight=".48pt" strokecolor="#000000">
                <v:path arrowok="t"/>
              </v:shape>
            </v:group>
            <v:group style="position:absolute;left:8859;top:5;width:10;height:2" coordorigin="8859,5" coordsize="10,2">
              <v:shape style="position:absolute;left:8859;top:5;width:10;height:2" coordorigin="8859,5" coordsize="10,0" path="m8859,5l8869,5e" filled="false" stroked="true" strokeweight=".48pt" strokecolor="#000000">
                <v:path arrowok="t"/>
              </v:shape>
            </v:group>
            <v:group style="position:absolute;left:8869;top:5;width:550;height:2" coordorigin="8869,5" coordsize="550,2">
              <v:shape style="position:absolute;left:8869;top:5;width:550;height:2" coordorigin="8869,5" coordsize="550,0" path="m8869,5l9419,5e" filled="false" stroked="true" strokeweight=".48pt" strokecolor="#000000">
                <v:path arrowok="t"/>
              </v:shape>
            </v:group>
            <v:group style="position:absolute;left:9404;top:5;width:10;height:2" coordorigin="9404,5" coordsize="10,2">
              <v:shape style="position:absolute;left:9404;top:5;width:10;height:2" coordorigin="9404,5" coordsize="10,0" path="m9404,5l9414,5e" filled="false" stroked="true" strokeweight=".48pt" strokecolor="#000000">
                <v:path arrowok="t"/>
              </v:shape>
            </v:group>
            <v:group style="position:absolute;left:9414;top:5;width:549;height:2" coordorigin="9414,5" coordsize="549,2">
              <v:shape style="position:absolute;left:9414;top:5;width:549;height:2" coordorigin="9414,5" coordsize="549,0" path="m9414,5l9962,5e" filled="false" stroked="true" strokeweight=".48pt" strokecolor="#000000">
                <v:path arrowok="t"/>
              </v:shape>
            </v:group>
            <v:group style="position:absolute;left:9948;top:5;width:10;height:2" coordorigin="9948,5" coordsize="10,2">
              <v:shape style="position:absolute;left:9948;top:5;width:10;height:2" coordorigin="9948,5" coordsize="10,0" path="m9948,5l9957,5e" filled="false" stroked="true" strokeweight=".48pt" strokecolor="#000000">
                <v:path arrowok="t"/>
              </v:shape>
            </v:group>
            <v:group style="position:absolute;left:9957;top:5;width:549;height:2" coordorigin="9957,5" coordsize="549,2">
              <v:shape style="position:absolute;left:9957;top:5;width:549;height:2" coordorigin="9957,5" coordsize="549,0" path="m9957,5l10506,5e" filled="false" stroked="true" strokeweight=".48pt" strokecolor="#000000">
                <v:path arrowok="t"/>
              </v:shape>
            </v:group>
            <v:group style="position:absolute;left:10492;top:5;width:10;height:2" coordorigin="10492,5" coordsize="10,2">
              <v:shape style="position:absolute;left:10492;top:5;width:10;height:2" coordorigin="10492,5" coordsize="10,0" path="m10492,5l10501,5e" filled="false" stroked="true" strokeweight=".48pt" strokecolor="#000000">
                <v:path arrowok="t"/>
              </v:shape>
            </v:group>
            <v:group style="position:absolute;left:10501;top:5;width:550;height:2" coordorigin="10501,5" coordsize="550,2">
              <v:shape style="position:absolute;left:10501;top:5;width:550;height:2" coordorigin="10501,5" coordsize="550,0" path="m10501,5l11051,5e" filled="false" stroked="true" strokeweight=".48pt" strokecolor="#000000">
                <v:path arrowok="t"/>
              </v:shape>
            </v:group>
          </v:group>
        </w:pict>
      </w:r>
      <w:r>
        <w:rPr>
          <w:rFonts w:ascii="Calibri" w:hAnsi="Calibri" w:cs="Calibri" w:eastAsia="Calibri" w:hint="default"/>
          <w:sz w:val="2"/>
          <w:szCs w:val="2"/>
        </w:rPr>
      </w:r>
    </w:p>
    <w:p>
      <w:pPr>
        <w:spacing w:line="240" w:lineRule="auto" w:before="2" w:after="0"/>
        <w:ind w:right="0"/>
        <w:rPr>
          <w:rFonts w:ascii="Calibri" w:hAnsi="Calibri" w:cs="Calibri" w:eastAsia="Calibri" w:hint="default"/>
          <w:sz w:val="21"/>
          <w:szCs w:val="21"/>
        </w:rPr>
      </w:pPr>
    </w:p>
    <w:p>
      <w:pPr>
        <w:spacing w:line="20" w:lineRule="exact"/>
        <w:ind w:left="123" w:right="0" w:firstLine="0"/>
        <w:rPr>
          <w:rFonts w:ascii="Calibri" w:hAnsi="Calibri" w:cs="Calibri" w:eastAsia="Calibri" w:hint="default"/>
          <w:sz w:val="2"/>
          <w:szCs w:val="2"/>
        </w:rPr>
      </w:pPr>
      <w:r>
        <w:rPr>
          <w:rFonts w:ascii="Calibri" w:hAnsi="Calibri" w:cs="Calibri" w:eastAsia="Calibri" w:hint="default"/>
          <w:sz w:val="2"/>
          <w:szCs w:val="2"/>
        </w:rPr>
        <w:pict>
          <v:group style="width:552.1pt;height:.5pt;mso-position-horizontal-relative:char;mso-position-vertical-relative:line" coordorigin="0,0" coordsize="11042,10">
            <v:group style="position:absolute;left:5;top:5;width:7769;height:2" coordorigin="5,5" coordsize="7769,2">
              <v:shape style="position:absolute;left:5;top:5;width:7769;height:2" coordorigin="5,5" coordsize="7769,0" path="m5,5l7773,5e" filled="false" stroked="true" strokeweight=".48pt" strokecolor="#000000">
                <v:path arrowok="t"/>
              </v:shape>
            </v:group>
            <v:group style="position:absolute;left:7773;top:5;width:10;height:2" coordorigin="7773,5" coordsize="10,2">
              <v:shape style="position:absolute;left:7773;top:5;width:10;height:2" coordorigin="7773,5" coordsize="10,0" path="m7773,5l7783,5e" filled="false" stroked="true" strokeweight=".48pt" strokecolor="#000000">
                <v:path arrowok="t"/>
              </v:shape>
            </v:group>
            <v:group style="position:absolute;left:7783;top:5;width:1622;height:2" coordorigin="7783,5" coordsize="1622,2">
              <v:shape style="position:absolute;left:7783;top:5;width:1622;height:2" coordorigin="7783,5" coordsize="1622,0" path="m7783,5l9404,5e" filled="false" stroked="true" strokeweight=".48pt" strokecolor="#000000">
                <v:path arrowok="t"/>
              </v:shape>
            </v:group>
            <v:group style="position:absolute;left:9404;top:5;width:10;height:2" coordorigin="9404,5" coordsize="10,2">
              <v:shape style="position:absolute;left:9404;top:5;width:10;height:2" coordorigin="9404,5" coordsize="10,0" path="m9404,5l9414,5e" filled="false" stroked="true" strokeweight=".48pt" strokecolor="#000000">
                <v:path arrowok="t"/>
              </v:shape>
            </v:group>
            <v:group style="position:absolute;left:9414;top:5;width:1623;height:2" coordorigin="9414,5" coordsize="1623,2">
              <v:shape style="position:absolute;left:9414;top:5;width:1623;height:2" coordorigin="9414,5" coordsize="1623,0" path="m9414,5l11037,5e" filled="false" stroked="true" strokeweight=".48pt" strokecolor="#000000">
                <v:path arrowok="t"/>
              </v:shape>
            </v:group>
          </v:group>
        </w:pict>
      </w:r>
      <w:r>
        <w:rPr>
          <w:rFonts w:ascii="Calibri" w:hAnsi="Calibri" w:cs="Calibri" w:eastAsia="Calibri" w:hint="default"/>
          <w:sz w:val="2"/>
          <w:szCs w:val="2"/>
        </w:rPr>
      </w:r>
    </w:p>
    <w:p>
      <w:pPr>
        <w:pStyle w:val="ListParagraph"/>
        <w:numPr>
          <w:ilvl w:val="0"/>
          <w:numId w:val="22"/>
        </w:numPr>
        <w:tabs>
          <w:tab w:pos="569" w:val="left" w:leader="none"/>
        </w:tabs>
        <w:spacing w:line="193" w:lineRule="exact" w:before="0" w:after="0"/>
        <w:ind w:left="568" w:right="0" w:hanging="332"/>
        <w:jc w:val="left"/>
        <w:rPr>
          <w:rFonts w:ascii="Calibri" w:hAnsi="Calibri" w:cs="Calibri" w:eastAsia="Calibri" w:hint="default"/>
          <w:sz w:val="22"/>
          <w:szCs w:val="22"/>
        </w:rPr>
      </w:pPr>
      <w:r>
        <w:rPr>
          <w:rFonts w:ascii="Calibri"/>
          <w:b/>
          <w:sz w:val="22"/>
        </w:rPr>
        <w:t>Based on your experience, rate how the </w:t>
      </w:r>
      <w:r>
        <w:rPr>
          <w:rFonts w:ascii="Calibri"/>
          <w:b/>
          <w:sz w:val="22"/>
          <w:u w:val="single" w:color="000000"/>
        </w:rPr>
        <w:t>LODGING AND</w:t>
      </w:r>
      <w:r>
        <w:rPr>
          <w:rFonts w:ascii="Calibri"/>
          <w:b/>
          <w:spacing w:val="-25"/>
          <w:sz w:val="22"/>
          <w:u w:val="single" w:color="000000"/>
        </w:rPr>
        <w:t> </w:t>
      </w:r>
      <w:r>
        <w:rPr>
          <w:rFonts w:ascii="Calibri"/>
          <w:b/>
          <w:sz w:val="22"/>
          <w:u w:val="single" w:color="000000"/>
        </w:rPr>
        <w:t>RESTAURANTS</w:t>
      </w:r>
      <w:r>
        <w:rPr>
          <w:rFonts w:ascii="Calibri"/>
          <w:b/>
          <w:sz w:val="22"/>
        </w:rPr>
      </w:r>
      <w:r>
        <w:rPr>
          <w:rFonts w:ascii="Calibri"/>
          <w:sz w:val="22"/>
        </w:rPr>
      </w:r>
    </w:p>
    <w:p>
      <w:pPr>
        <w:tabs>
          <w:tab w:pos="8005" w:val="left" w:leader="none"/>
          <w:tab w:pos="10575" w:val="left" w:leader="none"/>
        </w:tabs>
        <w:spacing w:line="334" w:lineRule="exact" w:before="0"/>
        <w:ind w:left="236" w:right="0" w:firstLine="0"/>
        <w:jc w:val="left"/>
        <w:rPr>
          <w:rFonts w:ascii="Calibri" w:hAnsi="Calibri" w:cs="Calibri" w:eastAsia="Calibri" w:hint="default"/>
          <w:sz w:val="22"/>
          <w:szCs w:val="22"/>
        </w:rPr>
      </w:pPr>
      <w:r>
        <w:rPr>
          <w:rFonts w:ascii="Calibri"/>
          <w:b/>
          <w:sz w:val="22"/>
        </w:rPr>
        <w:t>performed in the</w:t>
      </w:r>
      <w:r>
        <w:rPr>
          <w:rFonts w:ascii="Calibri"/>
          <w:b/>
          <w:spacing w:val="-9"/>
          <w:sz w:val="22"/>
        </w:rPr>
        <w:t> </w:t>
      </w:r>
      <w:r>
        <w:rPr>
          <w:rFonts w:ascii="Calibri"/>
          <w:b/>
          <w:sz w:val="22"/>
        </w:rPr>
        <w:t>following</w:t>
      </w:r>
      <w:r>
        <w:rPr>
          <w:rFonts w:ascii="Calibri"/>
          <w:b/>
          <w:spacing w:val="-3"/>
          <w:sz w:val="22"/>
        </w:rPr>
        <w:t> </w:t>
      </w:r>
      <w:r>
        <w:rPr>
          <w:rFonts w:ascii="Calibri"/>
          <w:b/>
          <w:sz w:val="22"/>
        </w:rPr>
        <w:t>areas:</w:t>
        <w:tab/>
      </w:r>
      <w:r>
        <w:rPr>
          <w:rFonts w:ascii="Calibri"/>
          <w:b/>
          <w:w w:val="95"/>
          <w:position w:val="13"/>
          <w:sz w:val="22"/>
        </w:rPr>
        <w:t>LOW</w:t>
        <w:tab/>
      </w:r>
      <w:r>
        <w:rPr>
          <w:rFonts w:ascii="Calibri"/>
          <w:b/>
          <w:position w:val="13"/>
          <w:sz w:val="22"/>
        </w:rPr>
        <w:t>HIGH</w:t>
      </w:r>
      <w:r>
        <w:rPr>
          <w:rFonts w:ascii="Calibri"/>
          <w:sz w:val="22"/>
        </w:rPr>
      </w:r>
    </w:p>
    <w:p>
      <w:pPr>
        <w:spacing w:line="20" w:lineRule="exact"/>
        <w:ind w:left="123" w:right="0" w:firstLine="0"/>
        <w:rPr>
          <w:rFonts w:ascii="Calibri" w:hAnsi="Calibri" w:cs="Calibri" w:eastAsia="Calibri" w:hint="default"/>
          <w:sz w:val="2"/>
          <w:szCs w:val="2"/>
        </w:rPr>
      </w:pPr>
      <w:r>
        <w:rPr>
          <w:rFonts w:ascii="Calibri" w:hAnsi="Calibri" w:cs="Calibri" w:eastAsia="Calibri" w:hint="default"/>
          <w:sz w:val="2"/>
          <w:szCs w:val="2"/>
        </w:rPr>
        <w:pict>
          <v:group style="width:552.1pt;height:.5pt;mso-position-horizontal-relative:char;mso-position-vertical-relative:line" coordorigin="0,0" coordsize="11042,10">
            <v:group style="position:absolute;left:5;top:5;width:7769;height:2" coordorigin="5,5" coordsize="7769,2">
              <v:shape style="position:absolute;left:5;top:5;width:7769;height:2" coordorigin="5,5" coordsize="7769,0" path="m5,5l7773,5e" filled="false" stroked="true" strokeweight=".47998pt" strokecolor="#000000">
                <v:path arrowok="t"/>
              </v:shape>
            </v:group>
            <v:group style="position:absolute;left:7773;top:5;width:10;height:2" coordorigin="7773,5" coordsize="10,2">
              <v:shape style="position:absolute;left:7773;top:5;width:10;height:2" coordorigin="7773,5" coordsize="10,0" path="m7773,5l7783,5e" filled="false" stroked="true" strokeweight=".47998pt" strokecolor="#000000">
                <v:path arrowok="t"/>
              </v:shape>
            </v:group>
            <v:group style="position:absolute;left:7783;top:5;width:533;height:2" coordorigin="7783,5" coordsize="533,2">
              <v:shape style="position:absolute;left:7783;top:5;width:533;height:2" coordorigin="7783,5" coordsize="533,0" path="m7783,5l8316,5e" filled="false" stroked="true" strokeweight=".47998pt" strokecolor="#000000">
                <v:path arrowok="t"/>
              </v:shape>
            </v:group>
            <v:group style="position:absolute;left:8316;top:5;width:10;height:2" coordorigin="8316,5" coordsize="10,2">
              <v:shape style="position:absolute;left:8316;top:5;width:10;height:2" coordorigin="8316,5" coordsize="10,0" path="m8316,5l8325,5e" filled="false" stroked="true" strokeweight=".47998pt" strokecolor="#000000">
                <v:path arrowok="t"/>
              </v:shape>
            </v:group>
            <v:group style="position:absolute;left:8325;top:5;width:534;height:2" coordorigin="8325,5" coordsize="534,2">
              <v:shape style="position:absolute;left:8325;top:5;width:534;height:2" coordorigin="8325,5" coordsize="534,0" path="m8325,5l8859,5e" filled="false" stroked="true" strokeweight=".47998pt" strokecolor="#000000">
                <v:path arrowok="t"/>
              </v:shape>
            </v:group>
            <v:group style="position:absolute;left:8859;top:5;width:10;height:2" coordorigin="8859,5" coordsize="10,2">
              <v:shape style="position:absolute;left:8859;top:5;width:10;height:2" coordorigin="8859,5" coordsize="10,0" path="m8859,5l8869,5e" filled="false" stroked="true" strokeweight=".47998pt" strokecolor="#000000">
                <v:path arrowok="t"/>
              </v:shape>
            </v:group>
            <v:group style="position:absolute;left:8869;top:5;width:536;height:2" coordorigin="8869,5" coordsize="536,2">
              <v:shape style="position:absolute;left:8869;top:5;width:536;height:2" coordorigin="8869,5" coordsize="536,0" path="m8869,5l9404,5e" filled="false" stroked="true" strokeweight=".47998pt" strokecolor="#000000">
                <v:path arrowok="t"/>
              </v:shape>
            </v:group>
            <v:group style="position:absolute;left:9404;top:5;width:10;height:2" coordorigin="9404,5" coordsize="10,2">
              <v:shape style="position:absolute;left:9404;top:5;width:10;height:2" coordorigin="9404,5" coordsize="10,0" path="m9404,5l9414,5e" filled="false" stroked="true" strokeweight=".47998pt" strokecolor="#000000">
                <v:path arrowok="t"/>
              </v:shape>
            </v:group>
            <v:group style="position:absolute;left:9414;top:5;width:534;height:2" coordorigin="9414,5" coordsize="534,2">
              <v:shape style="position:absolute;left:9414;top:5;width:534;height:2" coordorigin="9414,5" coordsize="534,0" path="m9414,5l9948,5e" filled="false" stroked="true" strokeweight=".47998pt" strokecolor="#000000">
                <v:path arrowok="t"/>
              </v:shape>
            </v:group>
            <v:group style="position:absolute;left:9948;top:5;width:10;height:2" coordorigin="9948,5" coordsize="10,2">
              <v:shape style="position:absolute;left:9948;top:5;width:10;height:2" coordorigin="9948,5" coordsize="10,0" path="m9948,5l9957,5e" filled="false" stroked="true" strokeweight=".47998pt" strokecolor="#000000">
                <v:path arrowok="t"/>
              </v:shape>
            </v:group>
            <v:group style="position:absolute;left:9957;top:5;width:535;height:2" coordorigin="9957,5" coordsize="535,2">
              <v:shape style="position:absolute;left:9957;top:5;width:535;height:2" coordorigin="9957,5" coordsize="535,0" path="m9957,5l10492,5e" filled="false" stroked="true" strokeweight=".47998pt" strokecolor="#000000">
                <v:path arrowok="t"/>
              </v:shape>
            </v:group>
            <v:group style="position:absolute;left:10492;top:5;width:10;height:2" coordorigin="10492,5" coordsize="10,2">
              <v:shape style="position:absolute;left:10492;top:5;width:10;height:2" coordorigin="10492,5" coordsize="10,0" path="m10492,5l10501,5e" filled="false" stroked="true" strokeweight=".47998pt" strokecolor="#000000">
                <v:path arrowok="t"/>
              </v:shape>
            </v:group>
            <v:group style="position:absolute;left:10501;top:5;width:536;height:2" coordorigin="10501,5" coordsize="536,2">
              <v:shape style="position:absolute;left:10501;top:5;width:536;height:2" coordorigin="10501,5" coordsize="536,0" path="m10501,5l11037,5e" filled="false" stroked="true" strokeweight=".47998pt" strokecolor="#000000">
                <v:path arrowok="t"/>
              </v:shape>
            </v:group>
          </v:group>
        </w:pict>
      </w:r>
      <w:r>
        <w:rPr>
          <w:rFonts w:ascii="Calibri" w:hAnsi="Calibri" w:cs="Calibri" w:eastAsia="Calibri" w:hint="default"/>
          <w:sz w:val="2"/>
          <w:szCs w:val="2"/>
        </w:rPr>
      </w:r>
    </w:p>
    <w:p>
      <w:pPr>
        <w:tabs>
          <w:tab w:pos="8005" w:val="left" w:leader="none"/>
          <w:tab w:pos="8547" w:val="left" w:leader="none"/>
          <w:tab w:pos="9091" w:val="left" w:leader="none"/>
          <w:tab w:pos="9635" w:val="left" w:leader="none"/>
          <w:tab w:pos="10179" w:val="left" w:leader="none"/>
          <w:tab w:pos="10723" w:val="left" w:leader="none"/>
        </w:tabs>
        <w:spacing w:before="0"/>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Cleanliness</w:t>
      </w:r>
      <w:r>
        <w:rPr>
          <w:rFonts w:ascii="Calibri" w:hAnsi="Calibri" w:cs="Calibri" w:eastAsia="Calibri" w:hint="default"/>
          <w:spacing w:val="-4"/>
          <w:sz w:val="22"/>
          <w:szCs w:val="22"/>
        </w:rPr>
        <w:t> </w:t>
      </w:r>
      <w:r>
        <w:rPr>
          <w:rFonts w:ascii="Calibri" w:hAnsi="Calibri" w:cs="Calibri" w:eastAsia="Calibri" w:hint="default"/>
          <w:sz w:val="22"/>
          <w:szCs w:val="22"/>
        </w:rPr>
        <w:t>of</w:t>
      </w:r>
      <w:r>
        <w:rPr>
          <w:rFonts w:ascii="Calibri" w:hAnsi="Calibri" w:cs="Calibri" w:eastAsia="Calibri" w:hint="default"/>
          <w:spacing w:val="-4"/>
          <w:sz w:val="22"/>
          <w:szCs w:val="22"/>
        </w:rPr>
        <w:t> </w:t>
      </w:r>
      <w:r>
        <w:rPr>
          <w:rFonts w:ascii="Calibri" w:hAnsi="Calibri" w:cs="Calibri" w:eastAsia="Calibri" w:hint="default"/>
          <w:sz w:val="22"/>
          <w:szCs w:val="22"/>
        </w:rPr>
        <w:t>accommodation</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Restaurant</w:t>
      </w:r>
      <w:r>
        <w:rPr>
          <w:rFonts w:ascii="Calibri" w:hAnsi="Calibri" w:cs="Calibri" w:eastAsia="Calibri" w:hint="default"/>
          <w:spacing w:val="-4"/>
          <w:sz w:val="22"/>
          <w:szCs w:val="22"/>
        </w:rPr>
        <w:t> </w:t>
      </w:r>
      <w:r>
        <w:rPr>
          <w:rFonts w:ascii="Calibri" w:hAnsi="Calibri" w:cs="Calibri" w:eastAsia="Calibri" w:hint="default"/>
          <w:sz w:val="22"/>
          <w:szCs w:val="22"/>
        </w:rPr>
        <w:t>cleanliness</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Security</w:t>
      </w:r>
      <w:r>
        <w:rPr>
          <w:rFonts w:ascii="Calibri" w:hAnsi="Calibri" w:cs="Calibri" w:eastAsia="Calibri" w:hint="default"/>
          <w:spacing w:val="-3"/>
          <w:sz w:val="22"/>
          <w:szCs w:val="22"/>
        </w:rPr>
        <w:t> </w:t>
      </w:r>
      <w:r>
        <w:rPr>
          <w:rFonts w:ascii="Calibri" w:hAnsi="Calibri" w:cs="Calibri" w:eastAsia="Calibri" w:hint="default"/>
          <w:sz w:val="22"/>
          <w:szCs w:val="22"/>
        </w:rPr>
        <w:t>of</w:t>
      </w:r>
      <w:r>
        <w:rPr>
          <w:rFonts w:ascii="Calibri" w:hAnsi="Calibri" w:cs="Calibri" w:eastAsia="Calibri" w:hint="default"/>
          <w:spacing w:val="-3"/>
          <w:sz w:val="22"/>
          <w:szCs w:val="22"/>
        </w:rPr>
        <w:t> </w:t>
      </w:r>
      <w:r>
        <w:rPr>
          <w:rFonts w:ascii="Calibri" w:hAnsi="Calibri" w:cs="Calibri" w:eastAsia="Calibri" w:hint="default"/>
          <w:sz w:val="22"/>
          <w:szCs w:val="22"/>
        </w:rPr>
        <w:t>accommodation</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Restaurant</w:t>
      </w:r>
      <w:r>
        <w:rPr>
          <w:rFonts w:ascii="Calibri" w:hAnsi="Calibri" w:cs="Calibri" w:eastAsia="Calibri" w:hint="default"/>
          <w:spacing w:val="45"/>
          <w:sz w:val="22"/>
          <w:szCs w:val="22"/>
        </w:rPr>
        <w:t> </w:t>
      </w:r>
      <w:r>
        <w:rPr>
          <w:rFonts w:ascii="Calibri" w:hAnsi="Calibri" w:cs="Calibri" w:eastAsia="Calibri" w:hint="default"/>
          <w:sz w:val="22"/>
          <w:szCs w:val="22"/>
        </w:rPr>
        <w:t>security</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line="256" w:lineRule="auto" w:before="19"/>
        <w:ind w:left="236" w:right="262" w:firstLine="0"/>
        <w:jc w:val="left"/>
        <w:rPr>
          <w:rFonts w:ascii="Calibri" w:hAnsi="Calibri" w:cs="Calibri" w:eastAsia="Calibri" w:hint="default"/>
          <w:sz w:val="22"/>
          <w:szCs w:val="22"/>
        </w:rPr>
      </w:pPr>
      <w:r>
        <w:rPr>
          <w:rFonts w:ascii="Calibri" w:hAnsi="Calibri" w:cs="Calibri" w:eastAsia="Calibri" w:hint="default"/>
          <w:sz w:val="22"/>
          <w:szCs w:val="22"/>
        </w:rPr>
        <w:t>Friendliness and welcoming attitude of the staff</w:t>
      </w:r>
      <w:r>
        <w:rPr>
          <w:rFonts w:ascii="Calibri" w:hAnsi="Calibri" w:cs="Calibri" w:eastAsia="Calibri" w:hint="default"/>
          <w:spacing w:val="-23"/>
          <w:sz w:val="22"/>
          <w:szCs w:val="22"/>
        </w:rPr>
        <w:t> </w:t>
      </w:r>
      <w:r>
        <w:rPr>
          <w:rFonts w:ascii="Calibri" w:hAnsi="Calibri" w:cs="Calibri" w:eastAsia="Calibri" w:hint="default"/>
          <w:sz w:val="22"/>
          <w:szCs w:val="22"/>
        </w:rPr>
        <w:t>in</w:t>
      </w:r>
      <w:r>
        <w:rPr>
          <w:rFonts w:ascii="Calibri" w:hAnsi="Calibri" w:cs="Calibri" w:eastAsia="Calibri" w:hint="default"/>
          <w:spacing w:val="-4"/>
          <w:sz w:val="22"/>
          <w:szCs w:val="22"/>
        </w:rPr>
        <w:t> </w:t>
      </w:r>
      <w:r>
        <w:rPr>
          <w:rFonts w:ascii="Calibri" w:hAnsi="Calibri" w:cs="Calibri" w:eastAsia="Calibri" w:hint="default"/>
          <w:sz w:val="22"/>
          <w:szCs w:val="22"/>
        </w:rPr>
        <w:t>accommodation</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 </w:t>
      </w:r>
      <w:r>
        <w:rPr>
          <w:rFonts w:ascii="Calibri" w:hAnsi="Calibri" w:cs="Calibri" w:eastAsia="Calibri" w:hint="default"/>
          <w:sz w:val="22"/>
          <w:szCs w:val="22"/>
        </w:rPr>
      </w:r>
      <w:r>
        <w:rPr>
          <w:rFonts w:ascii="Calibri" w:hAnsi="Calibri" w:cs="Calibri" w:eastAsia="Calibri" w:hint="default"/>
          <w:sz w:val="22"/>
          <w:szCs w:val="22"/>
        </w:rPr>
        <w:t>Friendliness and welcoming attitude of the</w:t>
      </w:r>
      <w:r>
        <w:rPr>
          <w:rFonts w:ascii="Calibri" w:hAnsi="Calibri" w:cs="Calibri" w:eastAsia="Calibri" w:hint="default"/>
          <w:spacing w:val="-23"/>
          <w:sz w:val="22"/>
          <w:szCs w:val="22"/>
        </w:rPr>
        <w:t> </w:t>
      </w:r>
      <w:r>
        <w:rPr>
          <w:rFonts w:ascii="Calibri" w:hAnsi="Calibri" w:cs="Calibri" w:eastAsia="Calibri" w:hint="default"/>
          <w:sz w:val="22"/>
          <w:szCs w:val="22"/>
        </w:rPr>
        <w:t>restaurant</w:t>
      </w:r>
      <w:r>
        <w:rPr>
          <w:rFonts w:ascii="Calibri" w:hAnsi="Calibri" w:cs="Calibri" w:eastAsia="Calibri" w:hint="default"/>
          <w:spacing w:val="-4"/>
          <w:sz w:val="22"/>
          <w:szCs w:val="22"/>
        </w:rPr>
        <w:t> </w:t>
      </w:r>
      <w:r>
        <w:rPr>
          <w:rFonts w:ascii="Calibri" w:hAnsi="Calibri" w:cs="Calibri" w:eastAsia="Calibri" w:hint="default"/>
          <w:sz w:val="22"/>
          <w:szCs w:val="22"/>
        </w:rPr>
        <w:t>staff</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0"/>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Attractiveness of</w:t>
      </w:r>
      <w:r>
        <w:rPr>
          <w:rFonts w:ascii="Calibri" w:hAnsi="Calibri" w:cs="Calibri" w:eastAsia="Calibri" w:hint="default"/>
          <w:spacing w:val="-11"/>
          <w:sz w:val="22"/>
          <w:szCs w:val="22"/>
        </w:rPr>
        <w:t> </w:t>
      </w:r>
      <w:r>
        <w:rPr>
          <w:rFonts w:ascii="Calibri" w:hAnsi="Calibri" w:cs="Calibri" w:eastAsia="Calibri" w:hint="default"/>
          <w:sz w:val="22"/>
          <w:szCs w:val="22"/>
        </w:rPr>
        <w:t>accommodation</w:t>
      </w:r>
      <w:r>
        <w:rPr>
          <w:rFonts w:ascii="Calibri" w:hAnsi="Calibri" w:cs="Calibri" w:eastAsia="Calibri" w:hint="default"/>
          <w:spacing w:val="-5"/>
          <w:sz w:val="22"/>
          <w:szCs w:val="22"/>
        </w:rPr>
        <w:t> </w:t>
      </w:r>
      <w:r>
        <w:rPr>
          <w:rFonts w:ascii="Calibri" w:hAnsi="Calibri" w:cs="Calibri" w:eastAsia="Calibri" w:hint="default"/>
          <w:sz w:val="22"/>
          <w:szCs w:val="22"/>
        </w:rPr>
        <w:t>facilities</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Attractiveness</w:t>
      </w:r>
      <w:r>
        <w:rPr>
          <w:rFonts w:ascii="Calibri" w:hAnsi="Calibri" w:cs="Calibri" w:eastAsia="Calibri" w:hint="default"/>
          <w:spacing w:val="-4"/>
          <w:sz w:val="22"/>
          <w:szCs w:val="22"/>
        </w:rPr>
        <w:t> </w:t>
      </w:r>
      <w:r>
        <w:rPr>
          <w:rFonts w:ascii="Calibri" w:hAnsi="Calibri" w:cs="Calibri" w:eastAsia="Calibri" w:hint="default"/>
          <w:sz w:val="22"/>
          <w:szCs w:val="22"/>
        </w:rPr>
        <w:t>of</w:t>
      </w:r>
      <w:r>
        <w:rPr>
          <w:rFonts w:ascii="Calibri" w:hAnsi="Calibri" w:cs="Calibri" w:eastAsia="Calibri" w:hint="default"/>
          <w:spacing w:val="-4"/>
          <w:sz w:val="22"/>
          <w:szCs w:val="22"/>
        </w:rPr>
        <w:t> </w:t>
      </w:r>
      <w:r>
        <w:rPr>
          <w:rFonts w:ascii="Calibri" w:hAnsi="Calibri" w:cs="Calibri" w:eastAsia="Calibri" w:hint="default"/>
          <w:sz w:val="22"/>
          <w:szCs w:val="22"/>
        </w:rPr>
        <w:t>restaurants</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after="12"/>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Payment options (accepts a variety of</w:t>
      </w:r>
      <w:r>
        <w:rPr>
          <w:rFonts w:ascii="Calibri" w:hAnsi="Calibri" w:cs="Calibri" w:eastAsia="Calibri" w:hint="default"/>
          <w:spacing w:val="-13"/>
          <w:sz w:val="22"/>
          <w:szCs w:val="22"/>
        </w:rPr>
        <w:t> </w:t>
      </w:r>
      <w:r>
        <w:rPr>
          <w:rFonts w:ascii="Calibri" w:hAnsi="Calibri" w:cs="Calibri" w:eastAsia="Calibri" w:hint="default"/>
          <w:sz w:val="22"/>
          <w:szCs w:val="22"/>
        </w:rPr>
        <w:t>credit</w:t>
      </w:r>
      <w:r>
        <w:rPr>
          <w:rFonts w:ascii="Calibri" w:hAnsi="Calibri" w:cs="Calibri" w:eastAsia="Calibri" w:hint="default"/>
          <w:spacing w:val="-2"/>
          <w:sz w:val="22"/>
          <w:szCs w:val="22"/>
        </w:rPr>
        <w:t> </w:t>
      </w:r>
      <w:r>
        <w:rPr>
          <w:rFonts w:ascii="Calibri" w:hAnsi="Calibri" w:cs="Calibri" w:eastAsia="Calibri" w:hint="default"/>
          <w:sz w:val="22"/>
          <w:szCs w:val="22"/>
        </w:rPr>
        <w:t>cards)</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spacing w:line="20" w:lineRule="exact"/>
        <w:ind w:left="109" w:right="0" w:firstLine="0"/>
        <w:rPr>
          <w:rFonts w:ascii="Calibri" w:hAnsi="Calibri" w:cs="Calibri" w:eastAsia="Calibri" w:hint="default"/>
          <w:sz w:val="2"/>
          <w:szCs w:val="2"/>
        </w:rPr>
      </w:pPr>
      <w:r>
        <w:rPr>
          <w:rFonts w:ascii="Calibri" w:hAnsi="Calibri" w:cs="Calibri" w:eastAsia="Calibri" w:hint="default"/>
          <w:sz w:val="2"/>
          <w:szCs w:val="2"/>
        </w:rPr>
        <w:pict>
          <v:group style="width:552.8pt;height:.5pt;mso-position-horizontal-relative:char;mso-position-vertical-relative:line" coordorigin="0,0" coordsize="11056,10">
            <v:group style="position:absolute;left:5;top:5;width:7783;height:2" coordorigin="5,5" coordsize="7783,2">
              <v:shape style="position:absolute;left:5;top:5;width:7783;height:2" coordorigin="5,5" coordsize="7783,0" path="m5,5l7788,5e" filled="false" stroked="true" strokeweight=".48001pt" strokecolor="#000000">
                <v:path arrowok="t"/>
              </v:shape>
            </v:group>
            <v:group style="position:absolute;left:7773;top:5;width:10;height:2" coordorigin="7773,5" coordsize="10,2">
              <v:shape style="position:absolute;left:7773;top:5;width:10;height:2" coordorigin="7773,5" coordsize="10,0" path="m7773,5l7783,5e" filled="false" stroked="true" strokeweight=".48001pt" strokecolor="#000000">
                <v:path arrowok="t"/>
              </v:shape>
            </v:group>
            <v:group style="position:absolute;left:7783;top:5;width:548;height:2" coordorigin="7783,5" coordsize="548,2">
              <v:shape style="position:absolute;left:7783;top:5;width:548;height:2" coordorigin="7783,5" coordsize="548,0" path="m7783,5l8330,5e" filled="false" stroked="true" strokeweight=".48001pt" strokecolor="#000000">
                <v:path arrowok="t"/>
              </v:shape>
            </v:group>
            <v:group style="position:absolute;left:8316;top:5;width:10;height:2" coordorigin="8316,5" coordsize="10,2">
              <v:shape style="position:absolute;left:8316;top:5;width:10;height:2" coordorigin="8316,5" coordsize="10,0" path="m8316,5l8325,5e" filled="false" stroked="true" strokeweight=".48001pt" strokecolor="#000000">
                <v:path arrowok="t"/>
              </v:shape>
            </v:group>
            <v:group style="position:absolute;left:8325;top:5;width:549;height:2" coordorigin="8325,5" coordsize="549,2">
              <v:shape style="position:absolute;left:8325;top:5;width:549;height:2" coordorigin="8325,5" coordsize="549,0" path="m8325,5l8874,5e" filled="false" stroked="true" strokeweight=".48001pt" strokecolor="#000000">
                <v:path arrowok="t"/>
              </v:shape>
            </v:group>
            <v:group style="position:absolute;left:8859;top:5;width:10;height:2" coordorigin="8859,5" coordsize="10,2">
              <v:shape style="position:absolute;left:8859;top:5;width:10;height:2" coordorigin="8859,5" coordsize="10,0" path="m8859,5l8869,5e" filled="false" stroked="true" strokeweight=".48001pt" strokecolor="#000000">
                <v:path arrowok="t"/>
              </v:shape>
            </v:group>
            <v:group style="position:absolute;left:8869;top:5;width:550;height:2" coordorigin="8869,5" coordsize="550,2">
              <v:shape style="position:absolute;left:8869;top:5;width:550;height:2" coordorigin="8869,5" coordsize="550,0" path="m8869,5l9419,5e" filled="false" stroked="true" strokeweight=".48001pt" strokecolor="#000000">
                <v:path arrowok="t"/>
              </v:shape>
            </v:group>
            <v:group style="position:absolute;left:9404;top:5;width:10;height:2" coordorigin="9404,5" coordsize="10,2">
              <v:shape style="position:absolute;left:9404;top:5;width:10;height:2" coordorigin="9404,5" coordsize="10,0" path="m9404,5l9414,5e" filled="false" stroked="true" strokeweight=".48001pt" strokecolor="#000000">
                <v:path arrowok="t"/>
              </v:shape>
            </v:group>
            <v:group style="position:absolute;left:9414;top:5;width:549;height:2" coordorigin="9414,5" coordsize="549,2">
              <v:shape style="position:absolute;left:9414;top:5;width:549;height:2" coordorigin="9414,5" coordsize="549,0" path="m9414,5l9962,5e" filled="false" stroked="true" strokeweight=".48001pt" strokecolor="#000000">
                <v:path arrowok="t"/>
              </v:shape>
            </v:group>
            <v:group style="position:absolute;left:9948;top:5;width:10;height:2" coordorigin="9948,5" coordsize="10,2">
              <v:shape style="position:absolute;left:9948;top:5;width:10;height:2" coordorigin="9948,5" coordsize="10,0" path="m9948,5l9957,5e" filled="false" stroked="true" strokeweight=".48001pt" strokecolor="#000000">
                <v:path arrowok="t"/>
              </v:shape>
            </v:group>
            <v:group style="position:absolute;left:9957;top:5;width:549;height:2" coordorigin="9957,5" coordsize="549,2">
              <v:shape style="position:absolute;left:9957;top:5;width:549;height:2" coordorigin="9957,5" coordsize="549,0" path="m9957,5l10506,5e" filled="false" stroked="true" strokeweight=".48001pt" strokecolor="#000000">
                <v:path arrowok="t"/>
              </v:shape>
            </v:group>
            <v:group style="position:absolute;left:10492;top:5;width:10;height:2" coordorigin="10492,5" coordsize="10,2">
              <v:shape style="position:absolute;left:10492;top:5;width:10;height:2" coordorigin="10492,5" coordsize="10,0" path="m10492,5l10501,5e" filled="false" stroked="true" strokeweight=".48001pt" strokecolor="#000000">
                <v:path arrowok="t"/>
              </v:shape>
            </v:group>
            <v:group style="position:absolute;left:10501;top:5;width:550;height:2" coordorigin="10501,5" coordsize="550,2">
              <v:shape style="position:absolute;left:10501;top:5;width:550;height:2" coordorigin="10501,5" coordsize="550,0" path="m10501,5l11051,5e" filled="false" stroked="true" strokeweight=".48001pt" strokecolor="#000000">
                <v:path arrowok="t"/>
              </v:shape>
            </v:group>
          </v:group>
        </w:pict>
      </w:r>
      <w:r>
        <w:rPr>
          <w:rFonts w:ascii="Calibri" w:hAnsi="Calibri" w:cs="Calibri" w:eastAsia="Calibri" w:hint="default"/>
          <w:sz w:val="2"/>
          <w:szCs w:val="2"/>
        </w:rPr>
      </w:r>
    </w:p>
    <w:p>
      <w:pPr>
        <w:spacing w:line="240" w:lineRule="auto" w:before="1" w:after="0"/>
        <w:ind w:right="0"/>
        <w:rPr>
          <w:rFonts w:ascii="Calibri" w:hAnsi="Calibri" w:cs="Calibri" w:eastAsia="Calibri" w:hint="default"/>
          <w:sz w:val="21"/>
          <w:szCs w:val="21"/>
        </w:rPr>
      </w:pPr>
    </w:p>
    <w:p>
      <w:pPr>
        <w:spacing w:line="20" w:lineRule="exact"/>
        <w:ind w:left="123" w:right="0" w:firstLine="0"/>
        <w:rPr>
          <w:rFonts w:ascii="Calibri" w:hAnsi="Calibri" w:cs="Calibri" w:eastAsia="Calibri" w:hint="default"/>
          <w:sz w:val="2"/>
          <w:szCs w:val="2"/>
        </w:rPr>
      </w:pPr>
      <w:r>
        <w:rPr>
          <w:rFonts w:ascii="Calibri" w:hAnsi="Calibri" w:cs="Calibri" w:eastAsia="Calibri" w:hint="default"/>
          <w:sz w:val="2"/>
          <w:szCs w:val="2"/>
        </w:rPr>
        <w:pict>
          <v:group style="width:552.1pt;height:.5pt;mso-position-horizontal-relative:char;mso-position-vertical-relative:line" coordorigin="0,0" coordsize="11042,10">
            <v:group style="position:absolute;left:5;top:5;width:7769;height:2" coordorigin="5,5" coordsize="7769,2">
              <v:shape style="position:absolute;left:5;top:5;width:7769;height:2" coordorigin="5,5" coordsize="7769,0" path="m5,5l7773,5e" filled="false" stroked="true" strokeweight=".48001pt" strokecolor="#000000">
                <v:path arrowok="t"/>
              </v:shape>
            </v:group>
            <v:group style="position:absolute;left:7773;top:5;width:10;height:2" coordorigin="7773,5" coordsize="10,2">
              <v:shape style="position:absolute;left:7773;top:5;width:10;height:2" coordorigin="7773,5" coordsize="10,0" path="m7773,5l7783,5e" filled="false" stroked="true" strokeweight=".48001pt" strokecolor="#000000">
                <v:path arrowok="t"/>
              </v:shape>
            </v:group>
            <v:group style="position:absolute;left:7783;top:5;width:1622;height:2" coordorigin="7783,5" coordsize="1622,2">
              <v:shape style="position:absolute;left:7783;top:5;width:1622;height:2" coordorigin="7783,5" coordsize="1622,0" path="m7783,5l9404,5e" filled="false" stroked="true" strokeweight=".48001pt" strokecolor="#000000">
                <v:path arrowok="t"/>
              </v:shape>
            </v:group>
            <v:group style="position:absolute;left:9404;top:5;width:10;height:2" coordorigin="9404,5" coordsize="10,2">
              <v:shape style="position:absolute;left:9404;top:5;width:10;height:2" coordorigin="9404,5" coordsize="10,0" path="m9404,5l9414,5e" filled="false" stroked="true" strokeweight=".48001pt" strokecolor="#000000">
                <v:path arrowok="t"/>
              </v:shape>
            </v:group>
            <v:group style="position:absolute;left:9414;top:5;width:1623;height:2" coordorigin="9414,5" coordsize="1623,2">
              <v:shape style="position:absolute;left:9414;top:5;width:1623;height:2" coordorigin="9414,5" coordsize="1623,0" path="m9414,5l11037,5e" filled="false" stroked="true" strokeweight=".48001pt" strokecolor="#000000">
                <v:path arrowok="t"/>
              </v:shape>
            </v:group>
          </v:group>
        </w:pict>
      </w:r>
      <w:r>
        <w:rPr>
          <w:rFonts w:ascii="Calibri" w:hAnsi="Calibri" w:cs="Calibri" w:eastAsia="Calibri" w:hint="default"/>
          <w:sz w:val="2"/>
          <w:szCs w:val="2"/>
        </w:rPr>
      </w:r>
    </w:p>
    <w:p>
      <w:pPr>
        <w:pStyle w:val="ListParagraph"/>
        <w:numPr>
          <w:ilvl w:val="0"/>
          <w:numId w:val="22"/>
        </w:numPr>
        <w:tabs>
          <w:tab w:pos="569" w:val="left" w:leader="none"/>
          <w:tab w:pos="8005" w:val="left" w:leader="none"/>
          <w:tab w:pos="10575" w:val="left" w:leader="none"/>
        </w:tabs>
        <w:spacing w:line="240" w:lineRule="auto" w:before="0" w:after="10"/>
        <w:ind w:left="568" w:right="0" w:hanging="332"/>
        <w:jc w:val="left"/>
        <w:rPr>
          <w:rFonts w:ascii="Calibri" w:hAnsi="Calibri" w:cs="Calibri" w:eastAsia="Calibri" w:hint="default"/>
          <w:sz w:val="22"/>
          <w:szCs w:val="22"/>
        </w:rPr>
      </w:pPr>
      <w:r>
        <w:rPr>
          <w:rFonts w:ascii="Calibri" w:hAnsi="Calibri"/>
          <w:b/>
          <w:sz w:val="22"/>
        </w:rPr>
        <w:t>Based on your experience, rate how Curaçao performed in</w:t>
      </w:r>
      <w:r>
        <w:rPr>
          <w:rFonts w:ascii="Calibri" w:hAnsi="Calibri"/>
          <w:b/>
          <w:spacing w:val="14"/>
          <w:sz w:val="22"/>
        </w:rPr>
        <w:t> </w:t>
      </w:r>
      <w:r>
        <w:rPr>
          <w:rFonts w:ascii="Calibri" w:hAnsi="Calibri"/>
          <w:b/>
          <w:sz w:val="22"/>
        </w:rPr>
        <w:t>terms</w:t>
      </w:r>
      <w:r>
        <w:rPr>
          <w:rFonts w:ascii="Calibri" w:hAnsi="Calibri"/>
          <w:b/>
          <w:spacing w:val="-3"/>
          <w:sz w:val="22"/>
        </w:rPr>
        <w:t> </w:t>
      </w:r>
      <w:r>
        <w:rPr>
          <w:rFonts w:ascii="Calibri" w:hAnsi="Calibri"/>
          <w:b/>
          <w:sz w:val="22"/>
        </w:rPr>
        <w:t>of:</w:t>
        <w:tab/>
      </w:r>
      <w:r>
        <w:rPr>
          <w:rFonts w:ascii="Calibri" w:hAnsi="Calibri"/>
          <w:b/>
          <w:w w:val="95"/>
          <w:sz w:val="22"/>
        </w:rPr>
        <w:t>LOW</w:t>
        <w:tab/>
      </w:r>
      <w:r>
        <w:rPr>
          <w:rFonts w:ascii="Calibri" w:hAnsi="Calibri"/>
          <w:b/>
          <w:sz w:val="22"/>
        </w:rPr>
        <w:t>HIGH</w:t>
      </w:r>
      <w:r>
        <w:rPr>
          <w:rFonts w:ascii="Calibri" w:hAnsi="Calibri"/>
          <w:sz w:val="22"/>
        </w:rPr>
      </w:r>
    </w:p>
    <w:p>
      <w:pPr>
        <w:spacing w:line="20" w:lineRule="exact"/>
        <w:ind w:left="123" w:right="0" w:firstLine="0"/>
        <w:rPr>
          <w:rFonts w:ascii="Calibri" w:hAnsi="Calibri" w:cs="Calibri" w:eastAsia="Calibri" w:hint="default"/>
          <w:sz w:val="2"/>
          <w:szCs w:val="2"/>
        </w:rPr>
      </w:pPr>
      <w:r>
        <w:rPr>
          <w:rFonts w:ascii="Calibri" w:hAnsi="Calibri" w:cs="Calibri" w:eastAsia="Calibri" w:hint="default"/>
          <w:sz w:val="2"/>
          <w:szCs w:val="2"/>
        </w:rPr>
        <w:pict>
          <v:group style="width:552.1pt;height:.5pt;mso-position-horizontal-relative:char;mso-position-vertical-relative:line" coordorigin="0,0" coordsize="11042,10">
            <v:group style="position:absolute;left:5;top:5;width:7769;height:2" coordorigin="5,5" coordsize="7769,2">
              <v:shape style="position:absolute;left:5;top:5;width:7769;height:2" coordorigin="5,5" coordsize="7769,0" path="m5,5l7773,5e" filled="false" stroked="true" strokeweight=".47998pt" strokecolor="#000000">
                <v:path arrowok="t"/>
              </v:shape>
            </v:group>
            <v:group style="position:absolute;left:7773;top:5;width:10;height:2" coordorigin="7773,5" coordsize="10,2">
              <v:shape style="position:absolute;left:7773;top:5;width:10;height:2" coordorigin="7773,5" coordsize="10,0" path="m7773,5l7783,5e" filled="false" stroked="true" strokeweight=".47998pt" strokecolor="#000000">
                <v:path arrowok="t"/>
              </v:shape>
            </v:group>
            <v:group style="position:absolute;left:7783;top:5;width:533;height:2" coordorigin="7783,5" coordsize="533,2">
              <v:shape style="position:absolute;left:7783;top:5;width:533;height:2" coordorigin="7783,5" coordsize="533,0" path="m7783,5l8316,5e" filled="false" stroked="true" strokeweight=".47998pt" strokecolor="#000000">
                <v:path arrowok="t"/>
              </v:shape>
            </v:group>
            <v:group style="position:absolute;left:8316;top:5;width:10;height:2" coordorigin="8316,5" coordsize="10,2">
              <v:shape style="position:absolute;left:8316;top:5;width:10;height:2" coordorigin="8316,5" coordsize="10,0" path="m8316,5l8325,5e" filled="false" stroked="true" strokeweight=".47998pt" strokecolor="#000000">
                <v:path arrowok="t"/>
              </v:shape>
            </v:group>
            <v:group style="position:absolute;left:8325;top:5;width:534;height:2" coordorigin="8325,5" coordsize="534,2">
              <v:shape style="position:absolute;left:8325;top:5;width:534;height:2" coordorigin="8325,5" coordsize="534,0" path="m8325,5l8859,5e" filled="false" stroked="true" strokeweight=".47998pt" strokecolor="#000000">
                <v:path arrowok="t"/>
              </v:shape>
            </v:group>
            <v:group style="position:absolute;left:8859;top:5;width:10;height:2" coordorigin="8859,5" coordsize="10,2">
              <v:shape style="position:absolute;left:8859;top:5;width:10;height:2" coordorigin="8859,5" coordsize="10,0" path="m8859,5l8869,5e" filled="false" stroked="true" strokeweight=".47998pt" strokecolor="#000000">
                <v:path arrowok="t"/>
              </v:shape>
            </v:group>
            <v:group style="position:absolute;left:8869;top:5;width:536;height:2" coordorigin="8869,5" coordsize="536,2">
              <v:shape style="position:absolute;left:8869;top:5;width:536;height:2" coordorigin="8869,5" coordsize="536,0" path="m8869,5l9404,5e" filled="false" stroked="true" strokeweight=".47998pt" strokecolor="#000000">
                <v:path arrowok="t"/>
              </v:shape>
            </v:group>
            <v:group style="position:absolute;left:9404;top:5;width:10;height:2" coordorigin="9404,5" coordsize="10,2">
              <v:shape style="position:absolute;left:9404;top:5;width:10;height:2" coordorigin="9404,5" coordsize="10,0" path="m9404,5l9414,5e" filled="false" stroked="true" strokeweight=".47998pt" strokecolor="#000000">
                <v:path arrowok="t"/>
              </v:shape>
            </v:group>
            <v:group style="position:absolute;left:9414;top:5;width:534;height:2" coordorigin="9414,5" coordsize="534,2">
              <v:shape style="position:absolute;left:9414;top:5;width:534;height:2" coordorigin="9414,5" coordsize="534,0" path="m9414,5l9948,5e" filled="false" stroked="true" strokeweight=".47998pt" strokecolor="#000000">
                <v:path arrowok="t"/>
              </v:shape>
            </v:group>
            <v:group style="position:absolute;left:9948;top:5;width:10;height:2" coordorigin="9948,5" coordsize="10,2">
              <v:shape style="position:absolute;left:9948;top:5;width:10;height:2" coordorigin="9948,5" coordsize="10,0" path="m9948,5l9957,5e" filled="false" stroked="true" strokeweight=".47998pt" strokecolor="#000000">
                <v:path arrowok="t"/>
              </v:shape>
            </v:group>
            <v:group style="position:absolute;left:9957;top:5;width:535;height:2" coordorigin="9957,5" coordsize="535,2">
              <v:shape style="position:absolute;left:9957;top:5;width:535;height:2" coordorigin="9957,5" coordsize="535,0" path="m9957,5l10492,5e" filled="false" stroked="true" strokeweight=".47998pt" strokecolor="#000000">
                <v:path arrowok="t"/>
              </v:shape>
            </v:group>
            <v:group style="position:absolute;left:10492;top:5;width:10;height:2" coordorigin="10492,5" coordsize="10,2">
              <v:shape style="position:absolute;left:10492;top:5;width:10;height:2" coordorigin="10492,5" coordsize="10,0" path="m10492,5l10501,5e" filled="false" stroked="true" strokeweight=".47998pt" strokecolor="#000000">
                <v:path arrowok="t"/>
              </v:shape>
            </v:group>
            <v:group style="position:absolute;left:10501;top:5;width:536;height:2" coordorigin="10501,5" coordsize="536,2">
              <v:shape style="position:absolute;left:10501;top:5;width:536;height:2" coordorigin="10501,5" coordsize="536,0" path="m10501,5l11037,5e" filled="false" stroked="true" strokeweight=".47998pt" strokecolor="#000000">
                <v:path arrowok="t"/>
              </v:shape>
            </v:group>
          </v:group>
        </w:pict>
      </w:r>
      <w:r>
        <w:rPr>
          <w:rFonts w:ascii="Calibri" w:hAnsi="Calibri" w:cs="Calibri" w:eastAsia="Calibri" w:hint="default"/>
          <w:sz w:val="2"/>
          <w:szCs w:val="2"/>
        </w:rPr>
      </w:r>
    </w:p>
    <w:p>
      <w:pPr>
        <w:tabs>
          <w:tab w:pos="8005" w:val="left" w:leader="none"/>
          <w:tab w:pos="8547" w:val="left" w:leader="none"/>
          <w:tab w:pos="9091" w:val="left" w:leader="none"/>
          <w:tab w:pos="9635" w:val="left" w:leader="none"/>
          <w:tab w:pos="10179" w:val="left" w:leader="none"/>
          <w:tab w:pos="10723" w:val="left" w:leader="none"/>
        </w:tabs>
        <w:spacing w:before="0"/>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Quality</w:t>
      </w:r>
      <w:r>
        <w:rPr>
          <w:rFonts w:ascii="Calibri" w:hAnsi="Calibri" w:cs="Calibri" w:eastAsia="Calibri" w:hint="default"/>
          <w:spacing w:val="-3"/>
          <w:sz w:val="22"/>
          <w:szCs w:val="22"/>
        </w:rPr>
        <w:t> </w:t>
      </w:r>
      <w:r>
        <w:rPr>
          <w:rFonts w:ascii="Calibri" w:hAnsi="Calibri" w:cs="Calibri" w:eastAsia="Calibri" w:hint="default"/>
          <w:sz w:val="22"/>
          <w:szCs w:val="22"/>
        </w:rPr>
        <w:t>of</w:t>
      </w:r>
      <w:r>
        <w:rPr>
          <w:rFonts w:ascii="Calibri" w:hAnsi="Calibri" w:cs="Calibri" w:eastAsia="Calibri" w:hint="default"/>
          <w:spacing w:val="-2"/>
          <w:sz w:val="22"/>
          <w:szCs w:val="22"/>
        </w:rPr>
        <w:t> </w:t>
      </w:r>
      <w:r>
        <w:rPr>
          <w:rFonts w:ascii="Calibri" w:hAnsi="Calibri" w:cs="Calibri" w:eastAsia="Calibri" w:hint="default"/>
          <w:sz w:val="22"/>
          <w:szCs w:val="22"/>
        </w:rPr>
        <w:t>roads</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Social</w:t>
      </w:r>
      <w:r>
        <w:rPr>
          <w:rFonts w:ascii="Calibri" w:hAnsi="Calibri" w:cs="Calibri" w:eastAsia="Calibri" w:hint="default"/>
          <w:spacing w:val="-8"/>
          <w:sz w:val="22"/>
          <w:szCs w:val="22"/>
        </w:rPr>
        <w:t> </w:t>
      </w:r>
      <w:r>
        <w:rPr>
          <w:rFonts w:ascii="Calibri" w:hAnsi="Calibri" w:cs="Calibri" w:eastAsia="Calibri" w:hint="default"/>
          <w:sz w:val="22"/>
          <w:szCs w:val="22"/>
        </w:rPr>
        <w:t>atmosphere</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Drinking</w:t>
      </w:r>
      <w:r>
        <w:rPr>
          <w:rFonts w:ascii="Calibri" w:hAnsi="Calibri" w:cs="Calibri" w:eastAsia="Calibri" w:hint="default"/>
          <w:spacing w:val="-5"/>
          <w:sz w:val="22"/>
          <w:szCs w:val="22"/>
        </w:rPr>
        <w:t> </w:t>
      </w:r>
      <w:r>
        <w:rPr>
          <w:rFonts w:ascii="Calibri" w:hAnsi="Calibri" w:cs="Calibri" w:eastAsia="Calibri" w:hint="default"/>
          <w:sz w:val="22"/>
          <w:szCs w:val="22"/>
        </w:rPr>
        <w:t>water</w:t>
      </w:r>
      <w:r>
        <w:rPr>
          <w:rFonts w:ascii="Calibri" w:hAnsi="Calibri" w:cs="Calibri" w:eastAsia="Calibri" w:hint="default"/>
          <w:spacing w:val="-6"/>
          <w:sz w:val="22"/>
          <w:szCs w:val="22"/>
        </w:rPr>
        <w:t> </w:t>
      </w:r>
      <w:r>
        <w:rPr>
          <w:rFonts w:ascii="Calibri" w:hAnsi="Calibri" w:cs="Calibri" w:eastAsia="Calibri" w:hint="default"/>
          <w:sz w:val="22"/>
          <w:szCs w:val="22"/>
        </w:rPr>
        <w:t>quality</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Presence of signage</w:t>
      </w:r>
      <w:r>
        <w:rPr>
          <w:rFonts w:ascii="Calibri" w:hAnsi="Calibri" w:cs="Calibri" w:eastAsia="Calibri" w:hint="default"/>
          <w:spacing w:val="-9"/>
          <w:sz w:val="22"/>
          <w:szCs w:val="22"/>
        </w:rPr>
        <w:t> </w:t>
      </w:r>
      <w:r>
        <w:rPr>
          <w:rFonts w:ascii="Calibri" w:hAnsi="Calibri" w:cs="Calibri" w:eastAsia="Calibri" w:hint="default"/>
          <w:sz w:val="22"/>
          <w:szCs w:val="22"/>
        </w:rPr>
        <w:t>and</w:t>
      </w:r>
      <w:r>
        <w:rPr>
          <w:rFonts w:ascii="Calibri" w:hAnsi="Calibri" w:cs="Calibri" w:eastAsia="Calibri" w:hint="default"/>
          <w:spacing w:val="-3"/>
          <w:sz w:val="22"/>
          <w:szCs w:val="22"/>
        </w:rPr>
        <w:t> </w:t>
      </w:r>
      <w:r>
        <w:rPr>
          <w:rFonts w:ascii="Calibri" w:hAnsi="Calibri" w:cs="Calibri" w:eastAsia="Calibri" w:hint="default"/>
          <w:sz w:val="22"/>
          <w:szCs w:val="22"/>
        </w:rPr>
        <w:t>directions</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Clarity of</w:t>
      </w:r>
      <w:r>
        <w:rPr>
          <w:rFonts w:ascii="Calibri" w:hAnsi="Calibri" w:cs="Calibri" w:eastAsia="Calibri" w:hint="default"/>
          <w:spacing w:val="-11"/>
          <w:sz w:val="22"/>
          <w:szCs w:val="22"/>
        </w:rPr>
        <w:t> </w:t>
      </w:r>
      <w:r>
        <w:rPr>
          <w:rFonts w:ascii="Calibri" w:hAnsi="Calibri" w:cs="Calibri" w:eastAsia="Calibri" w:hint="default"/>
          <w:sz w:val="22"/>
          <w:szCs w:val="22"/>
        </w:rPr>
        <w:t>road</w:t>
      </w:r>
      <w:r>
        <w:rPr>
          <w:rFonts w:ascii="Calibri" w:hAnsi="Calibri" w:cs="Calibri" w:eastAsia="Calibri" w:hint="default"/>
          <w:spacing w:val="-6"/>
          <w:sz w:val="22"/>
          <w:szCs w:val="22"/>
        </w:rPr>
        <w:t> </w:t>
      </w:r>
      <w:r>
        <w:rPr>
          <w:rFonts w:ascii="Calibri" w:hAnsi="Calibri" w:cs="Calibri" w:eastAsia="Calibri" w:hint="default"/>
          <w:sz w:val="22"/>
          <w:szCs w:val="22"/>
        </w:rPr>
        <w:t>signage</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Cleanliness of</w:t>
      </w:r>
      <w:r>
        <w:rPr>
          <w:rFonts w:ascii="Calibri" w:hAnsi="Calibri" w:cs="Calibri" w:eastAsia="Calibri" w:hint="default"/>
          <w:spacing w:val="-6"/>
          <w:sz w:val="22"/>
          <w:szCs w:val="22"/>
        </w:rPr>
        <w:t> </w:t>
      </w:r>
      <w:r>
        <w:rPr>
          <w:rFonts w:ascii="Calibri" w:hAnsi="Calibri" w:cs="Calibri" w:eastAsia="Calibri" w:hint="default"/>
          <w:sz w:val="22"/>
          <w:szCs w:val="22"/>
        </w:rPr>
        <w:t>the</w:t>
      </w:r>
      <w:r>
        <w:rPr>
          <w:rFonts w:ascii="Calibri" w:hAnsi="Calibri" w:cs="Calibri" w:eastAsia="Calibri" w:hint="default"/>
          <w:spacing w:val="-3"/>
          <w:sz w:val="22"/>
          <w:szCs w:val="22"/>
        </w:rPr>
        <w:t> </w:t>
      </w:r>
      <w:r>
        <w:rPr>
          <w:rFonts w:ascii="Calibri" w:hAnsi="Calibri" w:cs="Calibri" w:eastAsia="Calibri" w:hint="default"/>
          <w:sz w:val="22"/>
          <w:szCs w:val="22"/>
        </w:rPr>
        <w:t>island</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Safety</w:t>
      </w:r>
      <w:r>
        <w:rPr>
          <w:rFonts w:ascii="Calibri" w:hAnsi="Calibri" w:cs="Calibri" w:eastAsia="Calibri" w:hint="default"/>
          <w:spacing w:val="-3"/>
          <w:sz w:val="22"/>
          <w:szCs w:val="22"/>
        </w:rPr>
        <w:t> </w:t>
      </w:r>
      <w:r>
        <w:rPr>
          <w:rFonts w:ascii="Calibri" w:hAnsi="Calibri" w:cs="Calibri" w:eastAsia="Calibri" w:hint="default"/>
          <w:sz w:val="22"/>
          <w:szCs w:val="22"/>
        </w:rPr>
        <w:t>and</w:t>
      </w:r>
      <w:r>
        <w:rPr>
          <w:rFonts w:ascii="Calibri" w:hAnsi="Calibri" w:cs="Calibri" w:eastAsia="Calibri" w:hint="default"/>
          <w:spacing w:val="-3"/>
          <w:sz w:val="22"/>
          <w:szCs w:val="22"/>
        </w:rPr>
        <w:t> </w:t>
      </w:r>
      <w:r>
        <w:rPr>
          <w:rFonts w:ascii="Calibri" w:hAnsi="Calibri" w:cs="Calibri" w:eastAsia="Calibri" w:hint="default"/>
          <w:sz w:val="22"/>
          <w:szCs w:val="22"/>
        </w:rPr>
        <w:t>security</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Accessibility to sites</w:t>
      </w:r>
      <w:r>
        <w:rPr>
          <w:rFonts w:ascii="Calibri" w:hAnsi="Calibri" w:cs="Calibri" w:eastAsia="Calibri" w:hint="default"/>
          <w:spacing w:val="-9"/>
          <w:sz w:val="22"/>
          <w:szCs w:val="22"/>
        </w:rPr>
        <w:t> </w:t>
      </w:r>
      <w:r>
        <w:rPr>
          <w:rFonts w:ascii="Calibri" w:hAnsi="Calibri" w:cs="Calibri" w:eastAsia="Calibri" w:hint="default"/>
          <w:sz w:val="22"/>
          <w:szCs w:val="22"/>
        </w:rPr>
        <w:t>of</w:t>
      </w:r>
      <w:r>
        <w:rPr>
          <w:rFonts w:ascii="Calibri" w:hAnsi="Calibri" w:cs="Calibri" w:eastAsia="Calibri" w:hint="default"/>
          <w:spacing w:val="-4"/>
          <w:sz w:val="22"/>
          <w:szCs w:val="22"/>
        </w:rPr>
        <w:t> </w:t>
      </w:r>
      <w:r>
        <w:rPr>
          <w:rFonts w:ascii="Calibri" w:hAnsi="Calibri" w:cs="Calibri" w:eastAsia="Calibri" w:hint="default"/>
          <w:sz w:val="22"/>
          <w:szCs w:val="22"/>
        </w:rPr>
        <w:t>interest</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Multi-lingual skills of the</w:t>
      </w:r>
      <w:r>
        <w:rPr>
          <w:rFonts w:ascii="Calibri" w:hAnsi="Calibri" w:cs="Calibri" w:eastAsia="Calibri" w:hint="default"/>
          <w:spacing w:val="-12"/>
          <w:sz w:val="22"/>
          <w:szCs w:val="22"/>
        </w:rPr>
        <w:t> </w:t>
      </w:r>
      <w:r>
        <w:rPr>
          <w:rFonts w:ascii="Calibri" w:hAnsi="Calibri" w:cs="Calibri" w:eastAsia="Calibri" w:hint="default"/>
          <w:sz w:val="22"/>
          <w:szCs w:val="22"/>
        </w:rPr>
        <w:t>local</w:t>
      </w:r>
      <w:r>
        <w:rPr>
          <w:rFonts w:ascii="Calibri" w:hAnsi="Calibri" w:cs="Calibri" w:eastAsia="Calibri" w:hint="default"/>
          <w:spacing w:val="-4"/>
          <w:sz w:val="22"/>
          <w:szCs w:val="22"/>
        </w:rPr>
        <w:t> </w:t>
      </w:r>
      <w:r>
        <w:rPr>
          <w:rFonts w:ascii="Calibri" w:hAnsi="Calibri" w:cs="Calibri" w:eastAsia="Calibri" w:hint="default"/>
          <w:sz w:val="22"/>
          <w:szCs w:val="22"/>
        </w:rPr>
        <w:t>people</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after="10"/>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Friendliness of the</w:t>
      </w:r>
      <w:r>
        <w:rPr>
          <w:rFonts w:ascii="Calibri" w:hAnsi="Calibri" w:cs="Calibri" w:eastAsia="Calibri" w:hint="default"/>
          <w:spacing w:val="-15"/>
          <w:sz w:val="22"/>
          <w:szCs w:val="22"/>
        </w:rPr>
        <w:t> </w:t>
      </w:r>
      <w:r>
        <w:rPr>
          <w:rFonts w:ascii="Calibri" w:hAnsi="Calibri" w:cs="Calibri" w:eastAsia="Calibri" w:hint="default"/>
          <w:sz w:val="22"/>
          <w:szCs w:val="22"/>
        </w:rPr>
        <w:t>local</w:t>
      </w:r>
      <w:r>
        <w:rPr>
          <w:rFonts w:ascii="Calibri" w:hAnsi="Calibri" w:cs="Calibri" w:eastAsia="Calibri" w:hint="default"/>
          <w:spacing w:val="-6"/>
          <w:sz w:val="22"/>
          <w:szCs w:val="22"/>
        </w:rPr>
        <w:t> </w:t>
      </w:r>
      <w:r>
        <w:rPr>
          <w:rFonts w:ascii="Calibri" w:hAnsi="Calibri" w:cs="Calibri" w:eastAsia="Calibri" w:hint="default"/>
          <w:sz w:val="22"/>
          <w:szCs w:val="22"/>
        </w:rPr>
        <w:t>people</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spacing w:line="20" w:lineRule="exact"/>
        <w:ind w:left="109" w:right="0" w:firstLine="0"/>
        <w:rPr>
          <w:rFonts w:ascii="Calibri" w:hAnsi="Calibri" w:cs="Calibri" w:eastAsia="Calibri" w:hint="default"/>
          <w:sz w:val="2"/>
          <w:szCs w:val="2"/>
        </w:rPr>
      </w:pPr>
      <w:r>
        <w:rPr>
          <w:rFonts w:ascii="Calibri" w:hAnsi="Calibri" w:cs="Calibri" w:eastAsia="Calibri" w:hint="default"/>
          <w:sz w:val="2"/>
          <w:szCs w:val="2"/>
        </w:rPr>
        <w:pict>
          <v:group style="width:552.8pt;height:.5pt;mso-position-horizontal-relative:char;mso-position-vertical-relative:line" coordorigin="0,0" coordsize="11056,10">
            <v:group style="position:absolute;left:5;top:5;width:7783;height:2" coordorigin="5,5" coordsize="7783,2">
              <v:shape style="position:absolute;left:5;top:5;width:7783;height:2" coordorigin="5,5" coordsize="7783,0" path="m5,5l7788,5e" filled="false" stroked="true" strokeweight=".47998pt" strokecolor="#000000">
                <v:path arrowok="t"/>
              </v:shape>
            </v:group>
            <v:group style="position:absolute;left:7773;top:5;width:10;height:2" coordorigin="7773,5" coordsize="10,2">
              <v:shape style="position:absolute;left:7773;top:5;width:10;height:2" coordorigin="7773,5" coordsize="10,0" path="m7773,5l7783,5e" filled="false" stroked="true" strokeweight=".47998pt" strokecolor="#000000">
                <v:path arrowok="t"/>
              </v:shape>
            </v:group>
            <v:group style="position:absolute;left:7783;top:5;width:548;height:2" coordorigin="7783,5" coordsize="548,2">
              <v:shape style="position:absolute;left:7783;top:5;width:548;height:2" coordorigin="7783,5" coordsize="548,0" path="m7783,5l8330,5e" filled="false" stroked="true" strokeweight=".47998pt" strokecolor="#000000">
                <v:path arrowok="t"/>
              </v:shape>
            </v:group>
            <v:group style="position:absolute;left:8316;top:5;width:10;height:2" coordorigin="8316,5" coordsize="10,2">
              <v:shape style="position:absolute;left:8316;top:5;width:10;height:2" coordorigin="8316,5" coordsize="10,0" path="m8316,5l8325,5e" filled="false" stroked="true" strokeweight=".47998pt" strokecolor="#000000">
                <v:path arrowok="t"/>
              </v:shape>
            </v:group>
            <v:group style="position:absolute;left:8325;top:5;width:549;height:2" coordorigin="8325,5" coordsize="549,2">
              <v:shape style="position:absolute;left:8325;top:5;width:549;height:2" coordorigin="8325,5" coordsize="549,0" path="m8325,5l8874,5e" filled="false" stroked="true" strokeweight=".47998pt" strokecolor="#000000">
                <v:path arrowok="t"/>
              </v:shape>
            </v:group>
            <v:group style="position:absolute;left:8859;top:5;width:10;height:2" coordorigin="8859,5" coordsize="10,2">
              <v:shape style="position:absolute;left:8859;top:5;width:10;height:2" coordorigin="8859,5" coordsize="10,0" path="m8859,5l8869,5e" filled="false" stroked="true" strokeweight=".47998pt" strokecolor="#000000">
                <v:path arrowok="t"/>
              </v:shape>
            </v:group>
            <v:group style="position:absolute;left:8869;top:5;width:550;height:2" coordorigin="8869,5" coordsize="550,2">
              <v:shape style="position:absolute;left:8869;top:5;width:550;height:2" coordorigin="8869,5" coordsize="550,0" path="m8869,5l9419,5e" filled="false" stroked="true" strokeweight=".47998pt" strokecolor="#000000">
                <v:path arrowok="t"/>
              </v:shape>
            </v:group>
            <v:group style="position:absolute;left:9404;top:5;width:10;height:2" coordorigin="9404,5" coordsize="10,2">
              <v:shape style="position:absolute;left:9404;top:5;width:10;height:2" coordorigin="9404,5" coordsize="10,0" path="m9404,5l9414,5e" filled="false" stroked="true" strokeweight=".47998pt" strokecolor="#000000">
                <v:path arrowok="t"/>
              </v:shape>
            </v:group>
            <v:group style="position:absolute;left:9414;top:5;width:549;height:2" coordorigin="9414,5" coordsize="549,2">
              <v:shape style="position:absolute;left:9414;top:5;width:549;height:2" coordorigin="9414,5" coordsize="549,0" path="m9414,5l9962,5e" filled="false" stroked="true" strokeweight=".47998pt" strokecolor="#000000">
                <v:path arrowok="t"/>
              </v:shape>
            </v:group>
            <v:group style="position:absolute;left:9948;top:5;width:10;height:2" coordorigin="9948,5" coordsize="10,2">
              <v:shape style="position:absolute;left:9948;top:5;width:10;height:2" coordorigin="9948,5" coordsize="10,0" path="m9948,5l9957,5e" filled="false" stroked="true" strokeweight=".47998pt" strokecolor="#000000">
                <v:path arrowok="t"/>
              </v:shape>
            </v:group>
            <v:group style="position:absolute;left:9957;top:5;width:549;height:2" coordorigin="9957,5" coordsize="549,2">
              <v:shape style="position:absolute;left:9957;top:5;width:549;height:2" coordorigin="9957,5" coordsize="549,0" path="m9957,5l10506,5e" filled="false" stroked="true" strokeweight=".47998pt" strokecolor="#000000">
                <v:path arrowok="t"/>
              </v:shape>
            </v:group>
            <v:group style="position:absolute;left:10492;top:5;width:10;height:2" coordorigin="10492,5" coordsize="10,2">
              <v:shape style="position:absolute;left:10492;top:5;width:10;height:2" coordorigin="10492,5" coordsize="10,0" path="m10492,5l10501,5e" filled="false" stroked="true" strokeweight=".47998pt" strokecolor="#000000">
                <v:path arrowok="t"/>
              </v:shape>
            </v:group>
            <v:group style="position:absolute;left:10501;top:5;width:550;height:2" coordorigin="10501,5" coordsize="550,2">
              <v:shape style="position:absolute;left:10501;top:5;width:550;height:2" coordorigin="10501,5" coordsize="550,0" path="m10501,5l11051,5e" filled="false" stroked="true" strokeweight=".47998pt" strokecolor="#000000">
                <v:path arrowok="t"/>
              </v:shape>
            </v:group>
          </v:group>
        </w:pict>
      </w:r>
      <w:r>
        <w:rPr>
          <w:rFonts w:ascii="Calibri" w:hAnsi="Calibri" w:cs="Calibri" w:eastAsia="Calibri" w:hint="default"/>
          <w:sz w:val="2"/>
          <w:szCs w:val="2"/>
        </w:rPr>
      </w:r>
    </w:p>
    <w:p>
      <w:pPr>
        <w:spacing w:line="240" w:lineRule="auto" w:before="7" w:after="0"/>
        <w:ind w:right="0"/>
        <w:rPr>
          <w:rFonts w:ascii="Calibri" w:hAnsi="Calibri" w:cs="Calibri" w:eastAsia="Calibri" w:hint="default"/>
          <w:sz w:val="21"/>
          <w:szCs w:val="21"/>
        </w:rPr>
      </w:pPr>
    </w:p>
    <w:tbl>
      <w:tblPr>
        <w:tblW w:w="0" w:type="auto"/>
        <w:jc w:val="left"/>
        <w:tblInd w:w="128" w:type="dxa"/>
        <w:tblLayout w:type="fixed"/>
        <w:tblCellMar>
          <w:top w:w="0" w:type="dxa"/>
          <w:left w:w="0" w:type="dxa"/>
          <w:bottom w:w="0" w:type="dxa"/>
          <w:right w:w="0" w:type="dxa"/>
        </w:tblCellMar>
        <w:tblLook w:val="01E0"/>
      </w:tblPr>
      <w:tblGrid>
        <w:gridCol w:w="7286"/>
        <w:gridCol w:w="1121"/>
        <w:gridCol w:w="430"/>
        <w:gridCol w:w="544"/>
        <w:gridCol w:w="544"/>
        <w:gridCol w:w="449"/>
        <w:gridCol w:w="658"/>
      </w:tblGrid>
      <w:tr>
        <w:trPr>
          <w:trHeight w:val="859" w:hRule="exact"/>
        </w:trPr>
        <w:tc>
          <w:tcPr>
            <w:tcW w:w="7286" w:type="dxa"/>
            <w:tcBorders>
              <w:top w:val="single" w:sz="4" w:space="0" w:color="000000"/>
              <w:left w:val="nil" w:sz="6" w:space="0" w:color="auto"/>
              <w:bottom w:val="nil" w:sz="6" w:space="0" w:color="auto"/>
              <w:right w:val="nil" w:sz="6" w:space="0" w:color="auto"/>
            </w:tcBorders>
          </w:tcPr>
          <w:p>
            <w:pPr>
              <w:pStyle w:val="TableParagraph"/>
              <w:spacing w:line="268" w:lineRule="exact"/>
              <w:ind w:left="108" w:right="0"/>
              <w:jc w:val="left"/>
              <w:rPr>
                <w:rFonts w:ascii="Calibri" w:hAnsi="Calibri" w:cs="Calibri" w:eastAsia="Calibri" w:hint="default"/>
                <w:sz w:val="22"/>
                <w:szCs w:val="22"/>
              </w:rPr>
            </w:pPr>
            <w:r>
              <w:rPr>
                <w:rFonts w:ascii="Calibri" w:hAnsi="Calibri"/>
                <w:b/>
                <w:sz w:val="22"/>
              </w:rPr>
              <w:t>18. Based on your experience, rate how Curaçao performed in terms</w:t>
            </w:r>
            <w:r>
              <w:rPr>
                <w:rFonts w:ascii="Calibri" w:hAnsi="Calibri"/>
                <w:b/>
                <w:spacing w:val="11"/>
                <w:sz w:val="22"/>
              </w:rPr>
              <w:t> </w:t>
            </w:r>
            <w:r>
              <w:rPr>
                <w:rFonts w:ascii="Calibri" w:hAnsi="Calibri"/>
                <w:b/>
                <w:sz w:val="22"/>
              </w:rPr>
              <w:t>of</w:t>
            </w:r>
            <w:r>
              <w:rPr>
                <w:rFonts w:ascii="Calibri" w:hAnsi="Calibri"/>
                <w:sz w:val="22"/>
              </w:rPr>
            </w:r>
          </w:p>
          <w:p>
            <w:pPr>
              <w:pStyle w:val="TableParagraph"/>
              <w:tabs>
                <w:tab w:pos="11031" w:val="left" w:leader="none"/>
              </w:tabs>
              <w:spacing w:line="240" w:lineRule="auto"/>
              <w:ind w:left="108" w:right="-3746"/>
              <w:jc w:val="left"/>
              <w:rPr>
                <w:rFonts w:ascii="Calibri" w:hAnsi="Calibri" w:cs="Calibri" w:eastAsia="Calibri" w:hint="default"/>
                <w:sz w:val="22"/>
                <w:szCs w:val="22"/>
              </w:rPr>
            </w:pPr>
            <w:r>
              <w:rPr>
                <w:rFonts w:ascii="Calibri"/>
                <w:b/>
                <w:w w:val="99"/>
                <w:sz w:val="22"/>
              </w:rPr>
            </w:r>
            <w:r>
              <w:rPr>
                <w:rFonts w:ascii="Calibri"/>
                <w:b/>
                <w:sz w:val="22"/>
                <w:u w:val="double" w:color="000000"/>
              </w:rPr>
              <w:t>TRANSPORTATI</w:t>
            </w:r>
            <w:r>
              <w:rPr>
                <w:rFonts w:ascii="Calibri"/>
                <w:b/>
                <w:sz w:val="22"/>
                <w:u w:val="single" w:color="000000"/>
              </w:rPr>
              <w:t>O</w:t>
            </w:r>
            <w:r>
              <w:rPr>
                <w:rFonts w:ascii="Calibri"/>
                <w:b/>
                <w:sz w:val="22"/>
              </w:rPr>
              <w:t>N  /</w:t>
            </w:r>
            <w:r>
              <w:rPr>
                <w:rFonts w:ascii="Calibri"/>
                <w:b/>
                <w:spacing w:val="-8"/>
                <w:sz w:val="22"/>
              </w:rPr>
              <w:t> </w:t>
            </w:r>
            <w:r>
              <w:rPr>
                <w:rFonts w:ascii="Calibri"/>
                <w:b/>
                <w:sz w:val="22"/>
              </w:rPr>
              <w:t>ACCESSIBILITY:</w:t>
              <w:tab/>
            </w:r>
            <w:r>
              <w:rPr>
                <w:rFonts w:ascii="Calibri"/>
                <w:b/>
                <w:sz w:val="22"/>
              </w:rPr>
            </w:r>
            <w:r>
              <w:rPr>
                <w:rFonts w:ascii="Calibri"/>
                <w:sz w:val="22"/>
              </w:rPr>
            </w:r>
          </w:p>
          <w:p>
            <w:pPr>
              <w:pStyle w:val="TableParagraph"/>
              <w:spacing w:line="240" w:lineRule="auto" w:before="19"/>
              <w:ind w:left="108" w:right="0"/>
              <w:jc w:val="left"/>
              <w:rPr>
                <w:rFonts w:ascii="Calibri" w:hAnsi="Calibri" w:cs="Calibri" w:eastAsia="Calibri" w:hint="default"/>
                <w:sz w:val="22"/>
                <w:szCs w:val="22"/>
              </w:rPr>
            </w:pPr>
            <w:r>
              <w:rPr>
                <w:rFonts w:ascii="Calibri"/>
                <w:sz w:val="22"/>
              </w:rPr>
              <w:t>Cleanliness of the</w:t>
            </w:r>
            <w:r>
              <w:rPr>
                <w:rFonts w:ascii="Calibri"/>
                <w:spacing w:val="-13"/>
                <w:sz w:val="22"/>
              </w:rPr>
              <w:t> </w:t>
            </w:r>
            <w:r>
              <w:rPr>
                <w:rFonts w:ascii="Calibri"/>
                <w:sz w:val="22"/>
              </w:rPr>
              <w:t>airport</w:t>
            </w:r>
          </w:p>
        </w:tc>
        <w:tc>
          <w:tcPr>
            <w:tcW w:w="1121" w:type="dxa"/>
            <w:tcBorders>
              <w:top w:val="single" w:sz="4" w:space="0" w:color="000000"/>
              <w:left w:val="nil" w:sz="6" w:space="0" w:color="auto"/>
              <w:bottom w:val="nil" w:sz="6" w:space="0" w:color="auto"/>
              <w:right w:val="nil" w:sz="6" w:space="0" w:color="auto"/>
            </w:tcBorders>
          </w:tcPr>
          <w:p>
            <w:pPr>
              <w:pStyle w:val="TableParagraph"/>
              <w:spacing w:line="240" w:lineRule="auto" w:before="133"/>
              <w:ind w:left="590" w:right="0"/>
              <w:jc w:val="left"/>
              <w:rPr>
                <w:rFonts w:ascii="Calibri" w:hAnsi="Calibri" w:cs="Calibri" w:eastAsia="Calibri" w:hint="default"/>
                <w:sz w:val="22"/>
                <w:szCs w:val="22"/>
              </w:rPr>
            </w:pPr>
            <w:r>
              <w:rPr>
                <w:rFonts w:ascii="Calibri"/>
                <w:b/>
                <w:sz w:val="22"/>
              </w:rPr>
              <w:t>LOW</w:t>
            </w:r>
            <w:r>
              <w:rPr>
                <w:rFonts w:ascii="Calibri"/>
                <w:sz w:val="22"/>
              </w:rPr>
            </w:r>
          </w:p>
          <w:p>
            <w:pPr>
              <w:pStyle w:val="TableParagraph"/>
              <w:spacing w:line="240" w:lineRule="auto" w:before="154"/>
              <w:ind w:left="590" w:right="0"/>
              <w:jc w:val="left"/>
              <w:rPr>
                <w:rFonts w:ascii="Calibri" w:hAnsi="Calibri" w:cs="Calibri" w:eastAsia="Calibri" w:hint="default"/>
                <w:sz w:val="22"/>
                <w:szCs w:val="22"/>
              </w:rPr>
            </w:pPr>
            <w:r>
              <w:rPr>
                <w:rFonts w:ascii="Calibri" w:hAnsi="Calibri" w:cs="Calibri" w:eastAsia="Calibri" w:hint="default"/>
                <w:sz w:val="22"/>
                <w:szCs w:val="22"/>
              </w:rPr>
              <w:t>①</w:t>
            </w:r>
          </w:p>
        </w:tc>
        <w:tc>
          <w:tcPr>
            <w:tcW w:w="430" w:type="dxa"/>
            <w:tcBorders>
              <w:top w:val="single" w:sz="4" w:space="0" w:color="000000"/>
              <w:left w:val="nil" w:sz="6" w:space="0" w:color="auto"/>
              <w:bottom w:val="nil" w:sz="6" w:space="0" w:color="auto"/>
              <w:right w:val="nil" w:sz="6" w:space="0" w:color="auto"/>
            </w:tcBorders>
          </w:tcPr>
          <w:p>
            <w:pPr>
              <w:pStyle w:val="TableParagraph"/>
              <w:spacing w:line="240" w:lineRule="auto"/>
              <w:ind w:right="0"/>
              <w:jc w:val="left"/>
              <w:rPr>
                <w:rFonts w:ascii="Calibri" w:hAnsi="Calibri" w:cs="Calibri" w:eastAsia="Calibri" w:hint="default"/>
                <w:sz w:val="22"/>
                <w:szCs w:val="22"/>
              </w:rPr>
            </w:pPr>
          </w:p>
          <w:p>
            <w:pPr>
              <w:pStyle w:val="TableParagraph"/>
              <w:spacing w:line="240" w:lineRule="auto" w:before="7"/>
              <w:ind w:right="0"/>
              <w:jc w:val="left"/>
              <w:rPr>
                <w:rFonts w:ascii="Calibri" w:hAnsi="Calibri" w:cs="Calibri" w:eastAsia="Calibri" w:hint="default"/>
                <w:sz w:val="23"/>
                <w:szCs w:val="23"/>
              </w:rPr>
            </w:pPr>
          </w:p>
          <w:p>
            <w:pPr>
              <w:pStyle w:val="TableParagraph"/>
              <w:spacing w:line="240" w:lineRule="auto"/>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single" w:sz="4" w:space="0" w:color="000000"/>
              <w:left w:val="nil" w:sz="6" w:space="0" w:color="auto"/>
              <w:bottom w:val="nil" w:sz="6" w:space="0" w:color="auto"/>
              <w:right w:val="nil" w:sz="6" w:space="0" w:color="auto"/>
            </w:tcBorders>
          </w:tcPr>
          <w:p>
            <w:pPr>
              <w:pStyle w:val="TableParagraph"/>
              <w:spacing w:line="240" w:lineRule="auto"/>
              <w:ind w:right="0"/>
              <w:jc w:val="left"/>
              <w:rPr>
                <w:rFonts w:ascii="Calibri" w:hAnsi="Calibri" w:cs="Calibri" w:eastAsia="Calibri" w:hint="default"/>
                <w:sz w:val="22"/>
                <w:szCs w:val="22"/>
              </w:rPr>
            </w:pPr>
          </w:p>
          <w:p>
            <w:pPr>
              <w:pStyle w:val="TableParagraph"/>
              <w:spacing w:line="240" w:lineRule="auto" w:before="7"/>
              <w:ind w:right="0"/>
              <w:jc w:val="left"/>
              <w:rPr>
                <w:rFonts w:ascii="Calibri" w:hAnsi="Calibri" w:cs="Calibri" w:eastAsia="Calibri" w:hint="default"/>
                <w:sz w:val="23"/>
                <w:szCs w:val="23"/>
              </w:rPr>
            </w:pPr>
          </w:p>
          <w:p>
            <w:pPr>
              <w:pStyle w:val="TableParagraph"/>
              <w:spacing w:line="240" w:lineRule="auto"/>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single" w:sz="4" w:space="0" w:color="000000"/>
              <w:left w:val="nil" w:sz="6" w:space="0" w:color="auto"/>
              <w:bottom w:val="nil" w:sz="6" w:space="0" w:color="auto"/>
              <w:right w:val="nil" w:sz="6" w:space="0" w:color="auto"/>
            </w:tcBorders>
          </w:tcPr>
          <w:p>
            <w:pPr>
              <w:pStyle w:val="TableParagraph"/>
              <w:spacing w:line="240" w:lineRule="auto"/>
              <w:ind w:right="0"/>
              <w:jc w:val="left"/>
              <w:rPr>
                <w:rFonts w:ascii="Calibri" w:hAnsi="Calibri" w:cs="Calibri" w:eastAsia="Calibri" w:hint="default"/>
                <w:sz w:val="22"/>
                <w:szCs w:val="22"/>
              </w:rPr>
            </w:pPr>
          </w:p>
          <w:p>
            <w:pPr>
              <w:pStyle w:val="TableParagraph"/>
              <w:spacing w:line="240" w:lineRule="auto" w:before="7"/>
              <w:ind w:right="0"/>
              <w:jc w:val="left"/>
              <w:rPr>
                <w:rFonts w:ascii="Calibri" w:hAnsi="Calibri" w:cs="Calibri" w:eastAsia="Calibri" w:hint="default"/>
                <w:sz w:val="23"/>
                <w:szCs w:val="23"/>
              </w:rPr>
            </w:pPr>
          </w:p>
          <w:p>
            <w:pPr>
              <w:pStyle w:val="TableParagraph"/>
              <w:spacing w:line="240" w:lineRule="auto"/>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single" w:sz="4" w:space="0" w:color="000000"/>
              <w:left w:val="nil" w:sz="6" w:space="0" w:color="auto"/>
              <w:bottom w:val="nil" w:sz="6" w:space="0" w:color="auto"/>
              <w:right w:val="nil" w:sz="6" w:space="0" w:color="auto"/>
            </w:tcBorders>
          </w:tcPr>
          <w:p>
            <w:pPr>
              <w:pStyle w:val="TableParagraph"/>
              <w:spacing w:line="240" w:lineRule="auto"/>
              <w:ind w:right="0"/>
              <w:jc w:val="left"/>
              <w:rPr>
                <w:rFonts w:ascii="Calibri" w:hAnsi="Calibri" w:cs="Calibri" w:eastAsia="Calibri" w:hint="default"/>
                <w:sz w:val="22"/>
                <w:szCs w:val="22"/>
              </w:rPr>
            </w:pPr>
          </w:p>
          <w:p>
            <w:pPr>
              <w:pStyle w:val="TableParagraph"/>
              <w:spacing w:line="240" w:lineRule="auto" w:before="7"/>
              <w:ind w:right="0"/>
              <w:jc w:val="left"/>
              <w:rPr>
                <w:rFonts w:ascii="Calibri" w:hAnsi="Calibri" w:cs="Calibri" w:eastAsia="Calibri" w:hint="default"/>
                <w:sz w:val="23"/>
                <w:szCs w:val="23"/>
              </w:rPr>
            </w:pPr>
          </w:p>
          <w:p>
            <w:pPr>
              <w:pStyle w:val="TableParagraph"/>
              <w:spacing w:line="240" w:lineRule="auto"/>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single" w:sz="4" w:space="0" w:color="000000"/>
              <w:left w:val="nil" w:sz="6" w:space="0" w:color="auto"/>
              <w:bottom w:val="nil" w:sz="6" w:space="0" w:color="auto"/>
              <w:right w:val="nil" w:sz="6" w:space="0" w:color="auto"/>
            </w:tcBorders>
          </w:tcPr>
          <w:p>
            <w:pPr>
              <w:pStyle w:val="TableParagraph"/>
              <w:spacing w:line="240" w:lineRule="auto" w:before="133"/>
              <w:ind w:right="33"/>
              <w:jc w:val="center"/>
              <w:rPr>
                <w:rFonts w:ascii="Calibri" w:hAnsi="Calibri" w:cs="Calibri" w:eastAsia="Calibri" w:hint="default"/>
                <w:sz w:val="22"/>
                <w:szCs w:val="22"/>
              </w:rPr>
            </w:pPr>
            <w:r>
              <w:rPr>
                <w:rFonts w:ascii="Calibri"/>
                <w:b/>
                <w:sz w:val="22"/>
              </w:rPr>
              <w:t>HIGH</w:t>
            </w:r>
            <w:r>
              <w:rPr>
                <w:rFonts w:ascii="Calibri"/>
                <w:sz w:val="22"/>
              </w:rPr>
            </w:r>
          </w:p>
          <w:p>
            <w:pPr>
              <w:pStyle w:val="TableParagraph"/>
              <w:spacing w:line="240" w:lineRule="auto" w:before="154"/>
              <w:ind w:left="75" w:right="0"/>
              <w:jc w:val="center"/>
              <w:rPr>
                <w:rFonts w:ascii="Calibri" w:hAnsi="Calibri" w:cs="Calibri" w:eastAsia="Calibri" w:hint="default"/>
                <w:sz w:val="22"/>
                <w:szCs w:val="22"/>
              </w:rPr>
            </w:pPr>
            <w:r>
              <w:rPr>
                <w:rFonts w:ascii="Calibri" w:hAnsi="Calibri" w:cs="Calibri" w:eastAsia="Calibri" w:hint="default"/>
                <w:sz w:val="22"/>
                <w:szCs w:val="22"/>
              </w:rPr>
              <w:t>⑥</w:t>
            </w: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Cleanliness of</w:t>
            </w:r>
            <w:r>
              <w:rPr>
                <w:rFonts w:ascii="Calibri"/>
                <w:spacing w:val="-11"/>
                <w:sz w:val="22"/>
              </w:rPr>
              <w:t> </w:t>
            </w:r>
            <w:r>
              <w:rPr>
                <w:rFonts w:ascii="Calibri"/>
                <w:sz w:val="22"/>
              </w:rPr>
              <w:t>taxis</w:t>
            </w:r>
          </w:p>
        </w:tc>
        <w:tc>
          <w:tcPr>
            <w:tcW w:w="1121" w:type="dxa"/>
            <w:tcBorders>
              <w:top w:val="nil" w:sz="6" w:space="0" w:color="auto"/>
              <w:left w:val="nil" w:sz="6" w:space="0" w:color="auto"/>
              <w:bottom w:val="nil" w:sz="6" w:space="0" w:color="auto"/>
              <w:right w:val="nil" w:sz="6" w:space="0" w:color="auto"/>
            </w:tcBorders>
          </w:tcPr>
          <w:p>
            <w:pPr>
              <w:pStyle w:val="TableParagraph"/>
              <w:spacing w:line="258" w:lineRule="exact"/>
              <w:ind w:right="236"/>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430" w:type="dxa"/>
            <w:tcBorders>
              <w:top w:val="nil" w:sz="6" w:space="0" w:color="auto"/>
              <w:left w:val="nil" w:sz="6" w:space="0" w:color="auto"/>
              <w:bottom w:val="nil" w:sz="6" w:space="0" w:color="auto"/>
              <w:right w:val="nil" w:sz="6" w:space="0" w:color="auto"/>
            </w:tcBorders>
          </w:tcPr>
          <w:p>
            <w:pPr>
              <w:pStyle w:val="TableParagraph"/>
              <w:spacing w:line="258" w:lineRule="exact"/>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nil" w:sz="6" w:space="0" w:color="auto"/>
              <w:left w:val="nil" w:sz="6" w:space="0" w:color="auto"/>
              <w:bottom w:val="nil" w:sz="6" w:space="0" w:color="auto"/>
              <w:right w:val="nil" w:sz="6" w:space="0" w:color="auto"/>
            </w:tcBorders>
          </w:tcPr>
          <w:p>
            <w:pPr>
              <w:pStyle w:val="TableParagraph"/>
              <w:spacing w:line="258" w:lineRule="exact"/>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nil" w:sz="6" w:space="0" w:color="auto"/>
              <w:left w:val="nil" w:sz="6" w:space="0" w:color="auto"/>
              <w:bottom w:val="nil" w:sz="6" w:space="0" w:color="auto"/>
              <w:right w:val="nil" w:sz="6" w:space="0" w:color="auto"/>
            </w:tcBorders>
          </w:tcPr>
          <w:p>
            <w:pPr>
              <w:pStyle w:val="TableParagraph"/>
              <w:spacing w:line="258" w:lineRule="exact"/>
              <w:ind w:right="143"/>
              <w:jc w:val="right"/>
              <w:rPr>
                <w:rFonts w:ascii="Calibri" w:hAnsi="Calibri" w:cs="Calibri" w:eastAsia="Calibri" w:hint="default"/>
                <w:sz w:val="22"/>
                <w:szCs w:val="22"/>
              </w:rPr>
            </w:pPr>
            <w:r>
              <w:rPr>
                <w:rFonts w:ascii="Calibri" w:hAnsi="Calibri" w:cs="Calibri" w:eastAsia="Calibri" w:hint="default"/>
                <w:w w:val="95"/>
                <w:sz w:val="22"/>
                <w:szCs w:val="22"/>
              </w:rPr>
              <w:t>⑥</w:t>
            </w:r>
            <w:r>
              <w:rPr>
                <w:rFonts w:ascii="Calibri" w:hAnsi="Calibri" w:cs="Calibri" w:eastAsia="Calibri" w:hint="default"/>
                <w:sz w:val="22"/>
                <w:szCs w:val="22"/>
              </w:rPr>
            </w: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Safety and security at the</w:t>
            </w:r>
            <w:r>
              <w:rPr>
                <w:rFonts w:ascii="Calibri"/>
                <w:spacing w:val="-9"/>
                <w:sz w:val="22"/>
              </w:rPr>
              <w:t> </w:t>
            </w:r>
            <w:r>
              <w:rPr>
                <w:rFonts w:ascii="Calibri"/>
                <w:sz w:val="22"/>
              </w:rPr>
              <w:t>airport</w:t>
            </w:r>
          </w:p>
        </w:tc>
        <w:tc>
          <w:tcPr>
            <w:tcW w:w="1121" w:type="dxa"/>
            <w:tcBorders>
              <w:top w:val="nil" w:sz="6" w:space="0" w:color="auto"/>
              <w:left w:val="nil" w:sz="6" w:space="0" w:color="auto"/>
              <w:bottom w:val="nil" w:sz="6" w:space="0" w:color="auto"/>
              <w:right w:val="nil" w:sz="6" w:space="0" w:color="auto"/>
            </w:tcBorders>
          </w:tcPr>
          <w:p>
            <w:pPr>
              <w:pStyle w:val="TableParagraph"/>
              <w:spacing w:line="258" w:lineRule="exact"/>
              <w:ind w:right="236"/>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430" w:type="dxa"/>
            <w:tcBorders>
              <w:top w:val="nil" w:sz="6" w:space="0" w:color="auto"/>
              <w:left w:val="nil" w:sz="6" w:space="0" w:color="auto"/>
              <w:bottom w:val="nil" w:sz="6" w:space="0" w:color="auto"/>
              <w:right w:val="nil" w:sz="6" w:space="0" w:color="auto"/>
            </w:tcBorders>
          </w:tcPr>
          <w:p>
            <w:pPr>
              <w:pStyle w:val="TableParagraph"/>
              <w:spacing w:line="258" w:lineRule="exact"/>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nil" w:sz="6" w:space="0" w:color="auto"/>
              <w:left w:val="nil" w:sz="6" w:space="0" w:color="auto"/>
              <w:bottom w:val="nil" w:sz="6" w:space="0" w:color="auto"/>
              <w:right w:val="nil" w:sz="6" w:space="0" w:color="auto"/>
            </w:tcBorders>
          </w:tcPr>
          <w:p>
            <w:pPr>
              <w:pStyle w:val="TableParagraph"/>
              <w:spacing w:line="258" w:lineRule="exact"/>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nil" w:sz="6" w:space="0" w:color="auto"/>
              <w:left w:val="nil" w:sz="6" w:space="0" w:color="auto"/>
              <w:bottom w:val="nil" w:sz="6" w:space="0" w:color="auto"/>
              <w:right w:val="nil" w:sz="6" w:space="0" w:color="auto"/>
            </w:tcBorders>
          </w:tcPr>
          <w:p>
            <w:pPr>
              <w:pStyle w:val="TableParagraph"/>
              <w:spacing w:line="258" w:lineRule="exact"/>
              <w:ind w:right="143"/>
              <w:jc w:val="right"/>
              <w:rPr>
                <w:rFonts w:ascii="Calibri" w:hAnsi="Calibri" w:cs="Calibri" w:eastAsia="Calibri" w:hint="default"/>
                <w:sz w:val="22"/>
                <w:szCs w:val="22"/>
              </w:rPr>
            </w:pPr>
            <w:r>
              <w:rPr>
                <w:rFonts w:ascii="Calibri" w:hAnsi="Calibri" w:cs="Calibri" w:eastAsia="Calibri" w:hint="default"/>
                <w:w w:val="95"/>
                <w:sz w:val="22"/>
                <w:szCs w:val="22"/>
              </w:rPr>
              <w:t>⑥</w:t>
            </w:r>
            <w:r>
              <w:rPr>
                <w:rFonts w:ascii="Calibri" w:hAnsi="Calibri" w:cs="Calibri" w:eastAsia="Calibri" w:hint="default"/>
                <w:sz w:val="22"/>
                <w:szCs w:val="22"/>
              </w:rPr>
            </w: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Safety and security of</w:t>
            </w:r>
            <w:r>
              <w:rPr>
                <w:rFonts w:ascii="Calibri"/>
                <w:spacing w:val="-12"/>
                <w:sz w:val="22"/>
              </w:rPr>
              <w:t> </w:t>
            </w:r>
            <w:r>
              <w:rPr>
                <w:rFonts w:ascii="Calibri"/>
                <w:sz w:val="22"/>
              </w:rPr>
              <w:t>taxis</w:t>
            </w:r>
          </w:p>
        </w:tc>
        <w:tc>
          <w:tcPr>
            <w:tcW w:w="1121" w:type="dxa"/>
            <w:tcBorders>
              <w:top w:val="nil" w:sz="6" w:space="0" w:color="auto"/>
              <w:left w:val="nil" w:sz="6" w:space="0" w:color="auto"/>
              <w:bottom w:val="nil" w:sz="6" w:space="0" w:color="auto"/>
              <w:right w:val="nil" w:sz="6" w:space="0" w:color="auto"/>
            </w:tcBorders>
          </w:tcPr>
          <w:p>
            <w:pPr>
              <w:pStyle w:val="TableParagraph"/>
              <w:spacing w:line="258" w:lineRule="exact"/>
              <w:ind w:right="236"/>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430" w:type="dxa"/>
            <w:tcBorders>
              <w:top w:val="nil" w:sz="6" w:space="0" w:color="auto"/>
              <w:left w:val="nil" w:sz="6" w:space="0" w:color="auto"/>
              <w:bottom w:val="nil" w:sz="6" w:space="0" w:color="auto"/>
              <w:right w:val="nil" w:sz="6" w:space="0" w:color="auto"/>
            </w:tcBorders>
          </w:tcPr>
          <w:p>
            <w:pPr>
              <w:pStyle w:val="TableParagraph"/>
              <w:spacing w:line="258" w:lineRule="exact"/>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nil" w:sz="6" w:space="0" w:color="auto"/>
              <w:left w:val="nil" w:sz="6" w:space="0" w:color="auto"/>
              <w:bottom w:val="nil" w:sz="6" w:space="0" w:color="auto"/>
              <w:right w:val="nil" w:sz="6" w:space="0" w:color="auto"/>
            </w:tcBorders>
          </w:tcPr>
          <w:p>
            <w:pPr>
              <w:pStyle w:val="TableParagraph"/>
              <w:spacing w:line="258" w:lineRule="exact"/>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nil" w:sz="6" w:space="0" w:color="auto"/>
              <w:left w:val="nil" w:sz="6" w:space="0" w:color="auto"/>
              <w:bottom w:val="nil" w:sz="6" w:space="0" w:color="auto"/>
              <w:right w:val="nil" w:sz="6" w:space="0" w:color="auto"/>
            </w:tcBorders>
          </w:tcPr>
          <w:p>
            <w:pPr>
              <w:pStyle w:val="TableParagraph"/>
              <w:spacing w:line="258" w:lineRule="exact"/>
              <w:ind w:right="143"/>
              <w:jc w:val="right"/>
              <w:rPr>
                <w:rFonts w:ascii="Calibri" w:hAnsi="Calibri" w:cs="Calibri" w:eastAsia="Calibri" w:hint="default"/>
                <w:sz w:val="22"/>
                <w:szCs w:val="22"/>
              </w:rPr>
            </w:pPr>
            <w:r>
              <w:rPr>
                <w:rFonts w:ascii="Calibri" w:hAnsi="Calibri" w:cs="Calibri" w:eastAsia="Calibri" w:hint="default"/>
                <w:w w:val="95"/>
                <w:sz w:val="22"/>
                <w:szCs w:val="22"/>
              </w:rPr>
              <w:t>⑥</w:t>
            </w:r>
            <w:r>
              <w:rPr>
                <w:rFonts w:ascii="Calibri" w:hAnsi="Calibri" w:cs="Calibri" w:eastAsia="Calibri" w:hint="default"/>
                <w:sz w:val="22"/>
                <w:szCs w:val="22"/>
              </w:rPr>
            </w: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Hospitableness of customs and immigrations</w:t>
            </w:r>
            <w:r>
              <w:rPr>
                <w:rFonts w:ascii="Calibri"/>
                <w:spacing w:val="-24"/>
                <w:sz w:val="22"/>
              </w:rPr>
              <w:t> </w:t>
            </w:r>
            <w:r>
              <w:rPr>
                <w:rFonts w:ascii="Calibri"/>
                <w:sz w:val="22"/>
              </w:rPr>
              <w:t>personnel</w:t>
            </w:r>
          </w:p>
        </w:tc>
        <w:tc>
          <w:tcPr>
            <w:tcW w:w="1121" w:type="dxa"/>
            <w:tcBorders>
              <w:top w:val="nil" w:sz="6" w:space="0" w:color="auto"/>
              <w:left w:val="nil" w:sz="6" w:space="0" w:color="auto"/>
              <w:bottom w:val="nil" w:sz="6" w:space="0" w:color="auto"/>
              <w:right w:val="nil" w:sz="6" w:space="0" w:color="auto"/>
            </w:tcBorders>
          </w:tcPr>
          <w:p>
            <w:pPr>
              <w:pStyle w:val="TableParagraph"/>
              <w:spacing w:line="258" w:lineRule="exact"/>
              <w:ind w:right="236"/>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430" w:type="dxa"/>
            <w:tcBorders>
              <w:top w:val="nil" w:sz="6" w:space="0" w:color="auto"/>
              <w:left w:val="nil" w:sz="6" w:space="0" w:color="auto"/>
              <w:bottom w:val="nil" w:sz="6" w:space="0" w:color="auto"/>
              <w:right w:val="nil" w:sz="6" w:space="0" w:color="auto"/>
            </w:tcBorders>
          </w:tcPr>
          <w:p>
            <w:pPr>
              <w:pStyle w:val="TableParagraph"/>
              <w:spacing w:line="258" w:lineRule="exact"/>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nil" w:sz="6" w:space="0" w:color="auto"/>
              <w:left w:val="nil" w:sz="6" w:space="0" w:color="auto"/>
              <w:bottom w:val="nil" w:sz="6" w:space="0" w:color="auto"/>
              <w:right w:val="nil" w:sz="6" w:space="0" w:color="auto"/>
            </w:tcBorders>
          </w:tcPr>
          <w:p>
            <w:pPr>
              <w:pStyle w:val="TableParagraph"/>
              <w:spacing w:line="258" w:lineRule="exact"/>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nil" w:sz="6" w:space="0" w:color="auto"/>
              <w:left w:val="nil" w:sz="6" w:space="0" w:color="auto"/>
              <w:bottom w:val="nil" w:sz="6" w:space="0" w:color="auto"/>
              <w:right w:val="nil" w:sz="6" w:space="0" w:color="auto"/>
            </w:tcBorders>
          </w:tcPr>
          <w:p>
            <w:pPr>
              <w:pStyle w:val="TableParagraph"/>
              <w:spacing w:line="258" w:lineRule="exact"/>
              <w:ind w:right="143"/>
              <w:jc w:val="right"/>
              <w:rPr>
                <w:rFonts w:ascii="Calibri" w:hAnsi="Calibri" w:cs="Calibri" w:eastAsia="Calibri" w:hint="default"/>
                <w:sz w:val="22"/>
                <w:szCs w:val="22"/>
              </w:rPr>
            </w:pPr>
            <w:r>
              <w:rPr>
                <w:rFonts w:ascii="Calibri" w:hAnsi="Calibri" w:cs="Calibri" w:eastAsia="Calibri" w:hint="default"/>
                <w:w w:val="95"/>
                <w:sz w:val="22"/>
                <w:szCs w:val="22"/>
              </w:rPr>
              <w:t>⑥</w:t>
            </w:r>
            <w:r>
              <w:rPr>
                <w:rFonts w:ascii="Calibri" w:hAnsi="Calibri" w:cs="Calibri" w:eastAsia="Calibri" w:hint="default"/>
                <w:sz w:val="22"/>
                <w:szCs w:val="22"/>
              </w:rPr>
            </w: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Hospitableness of taxi</w:t>
            </w:r>
            <w:r>
              <w:rPr>
                <w:rFonts w:ascii="Calibri"/>
                <w:spacing w:val="-18"/>
                <w:sz w:val="22"/>
              </w:rPr>
              <w:t> </w:t>
            </w:r>
            <w:r>
              <w:rPr>
                <w:rFonts w:ascii="Calibri"/>
                <w:sz w:val="22"/>
              </w:rPr>
              <w:t>drivers</w:t>
            </w:r>
          </w:p>
        </w:tc>
        <w:tc>
          <w:tcPr>
            <w:tcW w:w="1121" w:type="dxa"/>
            <w:tcBorders>
              <w:top w:val="nil" w:sz="6" w:space="0" w:color="auto"/>
              <w:left w:val="nil" w:sz="6" w:space="0" w:color="auto"/>
              <w:bottom w:val="nil" w:sz="6" w:space="0" w:color="auto"/>
              <w:right w:val="nil" w:sz="6" w:space="0" w:color="auto"/>
            </w:tcBorders>
          </w:tcPr>
          <w:p>
            <w:pPr>
              <w:pStyle w:val="TableParagraph"/>
              <w:spacing w:line="258" w:lineRule="exact"/>
              <w:ind w:right="236"/>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430" w:type="dxa"/>
            <w:tcBorders>
              <w:top w:val="nil" w:sz="6" w:space="0" w:color="auto"/>
              <w:left w:val="nil" w:sz="6" w:space="0" w:color="auto"/>
              <w:bottom w:val="nil" w:sz="6" w:space="0" w:color="auto"/>
              <w:right w:val="nil" w:sz="6" w:space="0" w:color="auto"/>
            </w:tcBorders>
          </w:tcPr>
          <w:p>
            <w:pPr>
              <w:pStyle w:val="TableParagraph"/>
              <w:spacing w:line="258" w:lineRule="exact"/>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nil" w:sz="6" w:space="0" w:color="auto"/>
              <w:left w:val="nil" w:sz="6" w:space="0" w:color="auto"/>
              <w:bottom w:val="nil" w:sz="6" w:space="0" w:color="auto"/>
              <w:right w:val="nil" w:sz="6" w:space="0" w:color="auto"/>
            </w:tcBorders>
          </w:tcPr>
          <w:p>
            <w:pPr>
              <w:pStyle w:val="TableParagraph"/>
              <w:spacing w:line="258" w:lineRule="exact"/>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nil" w:sz="6" w:space="0" w:color="auto"/>
              <w:left w:val="nil" w:sz="6" w:space="0" w:color="auto"/>
              <w:bottom w:val="nil" w:sz="6" w:space="0" w:color="auto"/>
              <w:right w:val="nil" w:sz="6" w:space="0" w:color="auto"/>
            </w:tcBorders>
          </w:tcPr>
          <w:p>
            <w:pPr>
              <w:pStyle w:val="TableParagraph"/>
              <w:spacing w:line="258" w:lineRule="exact"/>
              <w:ind w:right="143"/>
              <w:jc w:val="right"/>
              <w:rPr>
                <w:rFonts w:ascii="Calibri" w:hAnsi="Calibri" w:cs="Calibri" w:eastAsia="Calibri" w:hint="default"/>
                <w:sz w:val="22"/>
                <w:szCs w:val="22"/>
              </w:rPr>
            </w:pPr>
            <w:r>
              <w:rPr>
                <w:rFonts w:ascii="Calibri" w:hAnsi="Calibri" w:cs="Calibri" w:eastAsia="Calibri" w:hint="default"/>
                <w:w w:val="95"/>
                <w:sz w:val="22"/>
                <w:szCs w:val="22"/>
              </w:rPr>
              <w:t>⑥</w:t>
            </w:r>
            <w:r>
              <w:rPr>
                <w:rFonts w:ascii="Calibri" w:hAnsi="Calibri" w:cs="Calibri" w:eastAsia="Calibri" w:hint="default"/>
                <w:sz w:val="22"/>
                <w:szCs w:val="22"/>
              </w:rPr>
            </w: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Quality of taxi</w:t>
            </w:r>
            <w:r>
              <w:rPr>
                <w:rFonts w:ascii="Calibri"/>
                <w:spacing w:val="-12"/>
                <w:sz w:val="22"/>
              </w:rPr>
              <w:t> </w:t>
            </w:r>
            <w:r>
              <w:rPr>
                <w:rFonts w:ascii="Calibri"/>
                <w:sz w:val="22"/>
              </w:rPr>
              <w:t>service</w:t>
            </w:r>
          </w:p>
        </w:tc>
        <w:tc>
          <w:tcPr>
            <w:tcW w:w="1121" w:type="dxa"/>
            <w:tcBorders>
              <w:top w:val="nil" w:sz="6" w:space="0" w:color="auto"/>
              <w:left w:val="nil" w:sz="6" w:space="0" w:color="auto"/>
              <w:bottom w:val="nil" w:sz="6" w:space="0" w:color="auto"/>
              <w:right w:val="nil" w:sz="6" w:space="0" w:color="auto"/>
            </w:tcBorders>
          </w:tcPr>
          <w:p>
            <w:pPr>
              <w:pStyle w:val="TableParagraph"/>
              <w:spacing w:line="258" w:lineRule="exact"/>
              <w:ind w:right="236"/>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430" w:type="dxa"/>
            <w:tcBorders>
              <w:top w:val="nil" w:sz="6" w:space="0" w:color="auto"/>
              <w:left w:val="nil" w:sz="6" w:space="0" w:color="auto"/>
              <w:bottom w:val="nil" w:sz="6" w:space="0" w:color="auto"/>
              <w:right w:val="nil" w:sz="6" w:space="0" w:color="auto"/>
            </w:tcBorders>
          </w:tcPr>
          <w:p>
            <w:pPr>
              <w:pStyle w:val="TableParagraph"/>
              <w:spacing w:line="258" w:lineRule="exact"/>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nil" w:sz="6" w:space="0" w:color="auto"/>
              <w:left w:val="nil" w:sz="6" w:space="0" w:color="auto"/>
              <w:bottom w:val="nil" w:sz="6" w:space="0" w:color="auto"/>
              <w:right w:val="nil" w:sz="6" w:space="0" w:color="auto"/>
            </w:tcBorders>
          </w:tcPr>
          <w:p>
            <w:pPr>
              <w:pStyle w:val="TableParagraph"/>
              <w:spacing w:line="258" w:lineRule="exact"/>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nil" w:sz="6" w:space="0" w:color="auto"/>
              <w:left w:val="nil" w:sz="6" w:space="0" w:color="auto"/>
              <w:bottom w:val="nil" w:sz="6" w:space="0" w:color="auto"/>
              <w:right w:val="nil" w:sz="6" w:space="0" w:color="auto"/>
            </w:tcBorders>
          </w:tcPr>
          <w:p>
            <w:pPr>
              <w:pStyle w:val="TableParagraph"/>
              <w:spacing w:line="258" w:lineRule="exact"/>
              <w:ind w:right="143"/>
              <w:jc w:val="right"/>
              <w:rPr>
                <w:rFonts w:ascii="Calibri" w:hAnsi="Calibri" w:cs="Calibri" w:eastAsia="Calibri" w:hint="default"/>
                <w:sz w:val="22"/>
                <w:szCs w:val="22"/>
              </w:rPr>
            </w:pPr>
            <w:r>
              <w:rPr>
                <w:rFonts w:ascii="Calibri" w:hAnsi="Calibri" w:cs="Calibri" w:eastAsia="Calibri" w:hint="default"/>
                <w:w w:val="95"/>
                <w:sz w:val="22"/>
                <w:szCs w:val="22"/>
              </w:rPr>
              <w:t>⑥</w:t>
            </w:r>
            <w:r>
              <w:rPr>
                <w:rFonts w:ascii="Calibri" w:hAnsi="Calibri" w:cs="Calibri" w:eastAsia="Calibri" w:hint="default"/>
                <w:sz w:val="22"/>
                <w:szCs w:val="22"/>
              </w:rPr>
            </w: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Reliability of taxi</w:t>
            </w:r>
            <w:r>
              <w:rPr>
                <w:rFonts w:ascii="Calibri"/>
                <w:spacing w:val="-10"/>
                <w:sz w:val="22"/>
              </w:rPr>
              <w:t> </w:t>
            </w:r>
            <w:r>
              <w:rPr>
                <w:rFonts w:ascii="Calibri"/>
                <w:sz w:val="22"/>
              </w:rPr>
              <w:t>services</w:t>
            </w:r>
          </w:p>
        </w:tc>
        <w:tc>
          <w:tcPr>
            <w:tcW w:w="1121" w:type="dxa"/>
            <w:tcBorders>
              <w:top w:val="nil" w:sz="6" w:space="0" w:color="auto"/>
              <w:left w:val="nil" w:sz="6" w:space="0" w:color="auto"/>
              <w:bottom w:val="nil" w:sz="6" w:space="0" w:color="auto"/>
              <w:right w:val="nil" w:sz="6" w:space="0" w:color="auto"/>
            </w:tcBorders>
          </w:tcPr>
          <w:p>
            <w:pPr>
              <w:pStyle w:val="TableParagraph"/>
              <w:spacing w:line="258" w:lineRule="exact"/>
              <w:ind w:right="236"/>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430" w:type="dxa"/>
            <w:tcBorders>
              <w:top w:val="nil" w:sz="6" w:space="0" w:color="auto"/>
              <w:left w:val="nil" w:sz="6" w:space="0" w:color="auto"/>
              <w:bottom w:val="nil" w:sz="6" w:space="0" w:color="auto"/>
              <w:right w:val="nil" w:sz="6" w:space="0" w:color="auto"/>
            </w:tcBorders>
          </w:tcPr>
          <w:p>
            <w:pPr>
              <w:pStyle w:val="TableParagraph"/>
              <w:spacing w:line="258" w:lineRule="exact"/>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nil" w:sz="6" w:space="0" w:color="auto"/>
              <w:left w:val="nil" w:sz="6" w:space="0" w:color="auto"/>
              <w:bottom w:val="nil" w:sz="6" w:space="0" w:color="auto"/>
              <w:right w:val="nil" w:sz="6" w:space="0" w:color="auto"/>
            </w:tcBorders>
          </w:tcPr>
          <w:p>
            <w:pPr>
              <w:pStyle w:val="TableParagraph"/>
              <w:spacing w:line="258" w:lineRule="exact"/>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nil" w:sz="6" w:space="0" w:color="auto"/>
              <w:left w:val="nil" w:sz="6" w:space="0" w:color="auto"/>
              <w:bottom w:val="nil" w:sz="6" w:space="0" w:color="auto"/>
              <w:right w:val="nil" w:sz="6" w:space="0" w:color="auto"/>
            </w:tcBorders>
          </w:tcPr>
          <w:p>
            <w:pPr>
              <w:pStyle w:val="TableParagraph"/>
              <w:spacing w:line="258" w:lineRule="exact"/>
              <w:ind w:right="143"/>
              <w:jc w:val="right"/>
              <w:rPr>
                <w:rFonts w:ascii="Calibri" w:hAnsi="Calibri" w:cs="Calibri" w:eastAsia="Calibri" w:hint="default"/>
                <w:sz w:val="22"/>
                <w:szCs w:val="22"/>
              </w:rPr>
            </w:pPr>
            <w:r>
              <w:rPr>
                <w:rFonts w:ascii="Calibri" w:hAnsi="Calibri" w:cs="Calibri" w:eastAsia="Calibri" w:hint="default"/>
                <w:w w:val="95"/>
                <w:sz w:val="22"/>
                <w:szCs w:val="22"/>
              </w:rPr>
              <w:t>⑥</w:t>
            </w:r>
            <w:r>
              <w:rPr>
                <w:rFonts w:ascii="Calibri" w:hAnsi="Calibri" w:cs="Calibri" w:eastAsia="Calibri" w:hint="default"/>
                <w:sz w:val="22"/>
                <w:szCs w:val="22"/>
              </w:rPr>
            </w:r>
          </w:p>
        </w:tc>
      </w:tr>
      <w:tr>
        <w:trPr>
          <w:trHeight w:val="275" w:hRule="exact"/>
        </w:trPr>
        <w:tc>
          <w:tcPr>
            <w:tcW w:w="7286" w:type="dxa"/>
            <w:tcBorders>
              <w:top w:val="nil" w:sz="6" w:space="0" w:color="auto"/>
              <w:left w:val="nil" w:sz="6" w:space="0" w:color="auto"/>
              <w:bottom w:val="single" w:sz="4" w:space="0" w:color="000000"/>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Convenience car rental</w:t>
            </w:r>
            <w:r>
              <w:rPr>
                <w:rFonts w:ascii="Calibri"/>
                <w:spacing w:val="-18"/>
                <w:sz w:val="22"/>
              </w:rPr>
              <w:t> </w:t>
            </w:r>
            <w:r>
              <w:rPr>
                <w:rFonts w:ascii="Calibri"/>
                <w:sz w:val="22"/>
              </w:rPr>
              <w:t>facilities</w:t>
            </w:r>
          </w:p>
        </w:tc>
        <w:tc>
          <w:tcPr>
            <w:tcW w:w="1121" w:type="dxa"/>
            <w:tcBorders>
              <w:top w:val="nil" w:sz="6" w:space="0" w:color="auto"/>
              <w:left w:val="nil" w:sz="6" w:space="0" w:color="auto"/>
              <w:bottom w:val="single" w:sz="4" w:space="0" w:color="000000"/>
              <w:right w:val="nil" w:sz="6" w:space="0" w:color="auto"/>
            </w:tcBorders>
          </w:tcPr>
          <w:p>
            <w:pPr>
              <w:pStyle w:val="TableParagraph"/>
              <w:spacing w:line="258" w:lineRule="exact"/>
              <w:ind w:right="236"/>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430" w:type="dxa"/>
            <w:tcBorders>
              <w:top w:val="nil" w:sz="6" w:space="0" w:color="auto"/>
              <w:left w:val="nil" w:sz="6" w:space="0" w:color="auto"/>
              <w:bottom w:val="single" w:sz="4" w:space="0" w:color="000000"/>
              <w:right w:val="nil" w:sz="6" w:space="0" w:color="auto"/>
            </w:tcBorders>
          </w:tcPr>
          <w:p>
            <w:pPr>
              <w:pStyle w:val="TableParagraph"/>
              <w:spacing w:line="258" w:lineRule="exact"/>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nil" w:sz="6" w:space="0" w:color="auto"/>
              <w:left w:val="nil" w:sz="6" w:space="0" w:color="auto"/>
              <w:bottom w:val="single" w:sz="4" w:space="0" w:color="000000"/>
              <w:right w:val="nil" w:sz="6" w:space="0" w:color="auto"/>
            </w:tcBorders>
          </w:tcPr>
          <w:p>
            <w:pPr>
              <w:pStyle w:val="TableParagraph"/>
              <w:spacing w:line="258"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single" w:sz="4" w:space="0" w:color="000000"/>
              <w:right w:val="nil" w:sz="6" w:space="0" w:color="auto"/>
            </w:tcBorders>
          </w:tcPr>
          <w:p>
            <w:pPr>
              <w:pStyle w:val="TableParagraph"/>
              <w:spacing w:line="258"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nil" w:sz="6" w:space="0" w:color="auto"/>
              <w:left w:val="nil" w:sz="6" w:space="0" w:color="auto"/>
              <w:bottom w:val="single" w:sz="4" w:space="0" w:color="000000"/>
              <w:right w:val="nil" w:sz="6" w:space="0" w:color="auto"/>
            </w:tcBorders>
          </w:tcPr>
          <w:p>
            <w:pPr>
              <w:pStyle w:val="TableParagraph"/>
              <w:spacing w:line="258" w:lineRule="exact"/>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nil" w:sz="6" w:space="0" w:color="auto"/>
              <w:left w:val="nil" w:sz="6" w:space="0" w:color="auto"/>
              <w:bottom w:val="single" w:sz="4" w:space="0" w:color="000000"/>
              <w:right w:val="nil" w:sz="6" w:space="0" w:color="auto"/>
            </w:tcBorders>
          </w:tcPr>
          <w:p>
            <w:pPr>
              <w:pStyle w:val="TableParagraph"/>
              <w:spacing w:line="258" w:lineRule="exact"/>
              <w:ind w:right="143"/>
              <w:jc w:val="right"/>
              <w:rPr>
                <w:rFonts w:ascii="Calibri" w:hAnsi="Calibri" w:cs="Calibri" w:eastAsia="Calibri" w:hint="default"/>
                <w:sz w:val="22"/>
                <w:szCs w:val="22"/>
              </w:rPr>
            </w:pPr>
            <w:r>
              <w:rPr>
                <w:rFonts w:ascii="Calibri" w:hAnsi="Calibri" w:cs="Calibri" w:eastAsia="Calibri" w:hint="default"/>
                <w:w w:val="95"/>
                <w:sz w:val="22"/>
                <w:szCs w:val="22"/>
              </w:rPr>
              <w:t>⑥</w:t>
            </w:r>
            <w:r>
              <w:rPr>
                <w:rFonts w:ascii="Calibri" w:hAnsi="Calibri" w:cs="Calibri" w:eastAsia="Calibri" w:hint="default"/>
                <w:sz w:val="22"/>
                <w:szCs w:val="22"/>
              </w:rPr>
            </w:r>
          </w:p>
        </w:tc>
      </w:tr>
    </w:tbl>
    <w:p>
      <w:pPr>
        <w:spacing w:after="0" w:line="258" w:lineRule="exact"/>
        <w:jc w:val="right"/>
        <w:rPr>
          <w:rFonts w:ascii="Calibri" w:hAnsi="Calibri" w:cs="Calibri" w:eastAsia="Calibri" w:hint="default"/>
          <w:sz w:val="22"/>
          <w:szCs w:val="22"/>
        </w:rPr>
        <w:sectPr>
          <w:type w:val="continuous"/>
          <w:pgSz w:w="12240" w:h="15840"/>
          <w:pgMar w:top="1500" w:bottom="280" w:left="440" w:right="520"/>
        </w:sectPr>
      </w:pPr>
    </w:p>
    <w:p>
      <w:pPr>
        <w:spacing w:before="7"/>
        <w:ind w:left="612" w:right="0" w:firstLine="0"/>
        <w:jc w:val="left"/>
        <w:rPr>
          <w:rFonts w:ascii="Calibri" w:hAnsi="Calibri" w:cs="Calibri" w:eastAsia="Calibri" w:hint="default"/>
          <w:sz w:val="22"/>
          <w:szCs w:val="22"/>
        </w:rPr>
      </w:pPr>
      <w:r>
        <w:rPr>
          <w:rFonts w:ascii="Calibri" w:hAnsi="Calibri"/>
          <w:b/>
          <w:sz w:val="22"/>
        </w:rPr>
        <w:t>SECTION 5: EVALUATION OF YOUR EXPERIENCE IN</w:t>
      </w:r>
      <w:r>
        <w:rPr>
          <w:rFonts w:ascii="Calibri" w:hAnsi="Calibri"/>
          <w:b/>
          <w:spacing w:val="-16"/>
          <w:sz w:val="22"/>
        </w:rPr>
        <w:t> </w:t>
      </w:r>
      <w:r>
        <w:rPr>
          <w:rFonts w:ascii="Calibri" w:hAnsi="Calibri"/>
          <w:b/>
          <w:sz w:val="22"/>
        </w:rPr>
        <w:t>CURAÇAO</w:t>
      </w:r>
      <w:r>
        <w:rPr>
          <w:rFonts w:ascii="Calibri" w:hAnsi="Calibri"/>
          <w:sz w:val="22"/>
        </w:rPr>
      </w:r>
    </w:p>
    <w:p>
      <w:pPr>
        <w:spacing w:line="240" w:lineRule="auto" w:before="6" w:after="0"/>
        <w:ind w:right="0"/>
        <w:rPr>
          <w:rFonts w:ascii="Calibri" w:hAnsi="Calibri" w:cs="Calibri" w:eastAsia="Calibri" w:hint="default"/>
          <w:b/>
          <w:bCs/>
          <w:sz w:val="22"/>
          <w:szCs w:val="22"/>
        </w:rPr>
      </w:pPr>
    </w:p>
    <w:tbl>
      <w:tblPr>
        <w:tblW w:w="0" w:type="auto"/>
        <w:jc w:val="left"/>
        <w:tblInd w:w="100" w:type="dxa"/>
        <w:tblLayout w:type="fixed"/>
        <w:tblCellMar>
          <w:top w:w="0" w:type="dxa"/>
          <w:left w:w="0" w:type="dxa"/>
          <w:bottom w:w="0" w:type="dxa"/>
          <w:right w:w="0" w:type="dxa"/>
        </w:tblCellMar>
        <w:tblLook w:val="01E0"/>
      </w:tblPr>
      <w:tblGrid>
        <w:gridCol w:w="7444"/>
        <w:gridCol w:w="974"/>
        <w:gridCol w:w="544"/>
        <w:gridCol w:w="418"/>
        <w:gridCol w:w="531"/>
        <w:gridCol w:w="1120"/>
      </w:tblGrid>
      <w:tr>
        <w:trPr>
          <w:trHeight w:val="547" w:hRule="exact"/>
        </w:trPr>
        <w:tc>
          <w:tcPr>
            <w:tcW w:w="7444" w:type="dxa"/>
            <w:tcBorders>
              <w:top w:val="single" w:sz="4" w:space="0" w:color="000000"/>
              <w:left w:val="nil" w:sz="6" w:space="0" w:color="auto"/>
              <w:bottom w:val="single" w:sz="4" w:space="0" w:color="000000"/>
              <w:right w:val="nil" w:sz="6" w:space="0" w:color="auto"/>
            </w:tcBorders>
          </w:tcPr>
          <w:p>
            <w:pPr>
              <w:pStyle w:val="TableParagraph"/>
              <w:spacing w:line="268" w:lineRule="exact"/>
              <w:ind w:left="107" w:right="0"/>
              <w:jc w:val="left"/>
              <w:rPr>
                <w:rFonts w:ascii="Calibri" w:hAnsi="Calibri" w:cs="Calibri" w:eastAsia="Calibri" w:hint="default"/>
                <w:sz w:val="22"/>
                <w:szCs w:val="22"/>
              </w:rPr>
            </w:pPr>
            <w:r>
              <w:rPr>
                <w:rFonts w:ascii="Calibri" w:hAnsi="Calibri"/>
                <w:b/>
                <w:sz w:val="22"/>
              </w:rPr>
              <w:t>19. Please tell us how you perceive the </w:t>
            </w:r>
            <w:r>
              <w:rPr>
                <w:rFonts w:ascii="Calibri" w:hAnsi="Calibri"/>
                <w:b/>
                <w:sz w:val="22"/>
                <w:u w:val="single" w:color="000000"/>
              </w:rPr>
              <w:t>PRICES </w:t>
            </w:r>
            <w:r>
              <w:rPr>
                <w:rFonts w:ascii="Calibri" w:hAnsi="Calibri"/>
                <w:b/>
                <w:sz w:val="22"/>
              </w:rPr>
              <w:t>of the following</w:t>
            </w:r>
            <w:r>
              <w:rPr>
                <w:rFonts w:ascii="Calibri" w:hAnsi="Calibri"/>
                <w:b/>
                <w:spacing w:val="-34"/>
                <w:sz w:val="22"/>
              </w:rPr>
              <w:t> </w:t>
            </w:r>
            <w:r>
              <w:rPr>
                <w:rFonts w:ascii="Calibri" w:hAnsi="Calibri"/>
                <w:b/>
                <w:sz w:val="22"/>
              </w:rPr>
              <w:t>in Curaçao</w:t>
            </w:r>
            <w:r>
              <w:rPr>
                <w:rFonts w:ascii="Calibri" w:hAnsi="Calibri"/>
                <w:sz w:val="22"/>
              </w:rPr>
            </w:r>
          </w:p>
        </w:tc>
        <w:tc>
          <w:tcPr>
            <w:tcW w:w="974" w:type="dxa"/>
            <w:tcBorders>
              <w:top w:val="single" w:sz="4" w:space="0" w:color="000000"/>
              <w:left w:val="nil" w:sz="6" w:space="0" w:color="auto"/>
              <w:bottom w:val="single" w:sz="4" w:space="0" w:color="000000"/>
              <w:right w:val="nil" w:sz="6" w:space="0" w:color="auto"/>
            </w:tcBorders>
          </w:tcPr>
          <w:p>
            <w:pPr>
              <w:pStyle w:val="TableParagraph"/>
              <w:spacing w:line="240" w:lineRule="auto"/>
              <w:ind w:left="432" w:right="-28"/>
              <w:jc w:val="left"/>
              <w:rPr>
                <w:rFonts w:ascii="Calibri" w:hAnsi="Calibri" w:cs="Calibri" w:eastAsia="Calibri" w:hint="default"/>
                <w:sz w:val="22"/>
                <w:szCs w:val="22"/>
              </w:rPr>
            </w:pPr>
            <w:r>
              <w:rPr>
                <w:rFonts w:ascii="Calibri"/>
                <w:b/>
                <w:i/>
                <w:sz w:val="22"/>
              </w:rPr>
              <w:t>Very </w:t>
            </w:r>
            <w:r>
              <w:rPr>
                <w:rFonts w:ascii="Calibri"/>
                <w:b/>
                <w:i/>
                <w:spacing w:val="-1"/>
                <w:sz w:val="22"/>
              </w:rPr>
              <w:t>Cheap</w:t>
            </w:r>
            <w:r>
              <w:rPr>
                <w:rFonts w:ascii="Calibri"/>
                <w:sz w:val="22"/>
              </w:rPr>
            </w:r>
          </w:p>
        </w:tc>
        <w:tc>
          <w:tcPr>
            <w:tcW w:w="544" w:type="dxa"/>
            <w:tcBorders>
              <w:top w:val="single" w:sz="4" w:space="0" w:color="000000"/>
              <w:left w:val="nil" w:sz="6" w:space="0" w:color="auto"/>
              <w:bottom w:val="single" w:sz="4" w:space="0" w:color="000000"/>
              <w:right w:val="nil" w:sz="6" w:space="0" w:color="auto"/>
            </w:tcBorders>
          </w:tcPr>
          <w:p>
            <w:pPr/>
          </w:p>
        </w:tc>
        <w:tc>
          <w:tcPr>
            <w:tcW w:w="418" w:type="dxa"/>
            <w:tcBorders>
              <w:top w:val="single" w:sz="4" w:space="0" w:color="000000"/>
              <w:left w:val="nil" w:sz="6" w:space="0" w:color="auto"/>
              <w:bottom w:val="single" w:sz="4" w:space="0" w:color="000000"/>
              <w:right w:val="nil" w:sz="6" w:space="0" w:color="auto"/>
            </w:tcBorders>
          </w:tcPr>
          <w:p>
            <w:pPr/>
          </w:p>
        </w:tc>
        <w:tc>
          <w:tcPr>
            <w:tcW w:w="531" w:type="dxa"/>
            <w:tcBorders>
              <w:top w:val="single" w:sz="4" w:space="0" w:color="000000"/>
              <w:left w:val="nil" w:sz="6" w:space="0" w:color="auto"/>
              <w:bottom w:val="single" w:sz="4" w:space="0" w:color="000000"/>
              <w:right w:val="nil" w:sz="6" w:space="0" w:color="auto"/>
            </w:tcBorders>
          </w:tcPr>
          <w:p>
            <w:pPr/>
          </w:p>
        </w:tc>
        <w:tc>
          <w:tcPr>
            <w:tcW w:w="1120" w:type="dxa"/>
            <w:tcBorders>
              <w:top w:val="single" w:sz="4" w:space="0" w:color="000000"/>
              <w:left w:val="nil" w:sz="6" w:space="0" w:color="auto"/>
              <w:bottom w:val="single" w:sz="4" w:space="0" w:color="000000"/>
              <w:right w:val="nil" w:sz="6" w:space="0" w:color="auto"/>
            </w:tcBorders>
          </w:tcPr>
          <w:p>
            <w:pPr>
              <w:pStyle w:val="TableParagraph"/>
              <w:spacing w:line="240" w:lineRule="auto"/>
              <w:ind w:left="112" w:right="106" w:firstLine="481"/>
              <w:jc w:val="left"/>
              <w:rPr>
                <w:rFonts w:ascii="Calibri" w:hAnsi="Calibri" w:cs="Calibri" w:eastAsia="Calibri" w:hint="default"/>
                <w:sz w:val="22"/>
                <w:szCs w:val="22"/>
              </w:rPr>
            </w:pPr>
            <w:r>
              <w:rPr>
                <w:rFonts w:ascii="Calibri"/>
                <w:b/>
                <w:i/>
                <w:w w:val="95"/>
                <w:sz w:val="22"/>
              </w:rPr>
              <w:t>Very </w:t>
            </w:r>
            <w:r>
              <w:rPr>
                <w:rFonts w:ascii="Calibri"/>
                <w:b/>
                <w:i/>
                <w:sz w:val="22"/>
              </w:rPr>
              <w:t>Expensive</w:t>
            </w:r>
            <w:r>
              <w:rPr>
                <w:rFonts w:ascii="Calibri"/>
                <w:sz w:val="22"/>
              </w:rPr>
            </w:r>
          </w:p>
        </w:tc>
      </w:tr>
      <w:tr>
        <w:trPr>
          <w:trHeight w:val="313" w:hRule="exact"/>
        </w:trPr>
        <w:tc>
          <w:tcPr>
            <w:tcW w:w="7444" w:type="dxa"/>
            <w:tcBorders>
              <w:top w:val="single" w:sz="4" w:space="0" w:color="000000"/>
              <w:left w:val="nil" w:sz="6" w:space="0" w:color="auto"/>
              <w:bottom w:val="nil" w:sz="6" w:space="0" w:color="auto"/>
              <w:right w:val="nil" w:sz="6" w:space="0" w:color="auto"/>
            </w:tcBorders>
          </w:tcPr>
          <w:p>
            <w:pPr>
              <w:pStyle w:val="TableParagraph"/>
              <w:spacing w:line="240" w:lineRule="auto" w:before="9"/>
              <w:ind w:left="107" w:right="0"/>
              <w:jc w:val="left"/>
              <w:rPr>
                <w:rFonts w:ascii="Calibri" w:hAnsi="Calibri" w:cs="Calibri" w:eastAsia="Calibri" w:hint="default"/>
                <w:sz w:val="22"/>
                <w:szCs w:val="22"/>
              </w:rPr>
            </w:pPr>
            <w:r>
              <w:rPr>
                <w:rFonts w:ascii="Calibri"/>
                <w:sz w:val="22"/>
              </w:rPr>
              <w:t>Accommodations</w:t>
            </w:r>
          </w:p>
        </w:tc>
        <w:tc>
          <w:tcPr>
            <w:tcW w:w="974" w:type="dxa"/>
            <w:tcBorders>
              <w:top w:val="single" w:sz="4" w:space="0" w:color="000000"/>
              <w:left w:val="nil" w:sz="6" w:space="0" w:color="auto"/>
              <w:bottom w:val="nil" w:sz="6" w:space="0" w:color="auto"/>
              <w:right w:val="nil" w:sz="6" w:space="0" w:color="auto"/>
            </w:tcBorders>
          </w:tcPr>
          <w:p>
            <w:pPr>
              <w:pStyle w:val="TableParagraph"/>
              <w:spacing w:line="240" w:lineRule="auto" w:before="9"/>
              <w:ind w:right="248"/>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544" w:type="dxa"/>
            <w:tcBorders>
              <w:top w:val="single" w:sz="4" w:space="0" w:color="000000"/>
              <w:left w:val="nil" w:sz="6" w:space="0" w:color="auto"/>
              <w:bottom w:val="nil" w:sz="6" w:space="0" w:color="auto"/>
              <w:right w:val="nil" w:sz="6" w:space="0" w:color="auto"/>
            </w:tcBorders>
          </w:tcPr>
          <w:p>
            <w:pPr>
              <w:pStyle w:val="TableParagraph"/>
              <w:spacing w:line="240" w:lineRule="auto" w:before="9"/>
              <w:ind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418" w:type="dxa"/>
            <w:tcBorders>
              <w:top w:val="single" w:sz="4" w:space="0" w:color="000000"/>
              <w:left w:val="nil" w:sz="6" w:space="0" w:color="auto"/>
              <w:bottom w:val="nil" w:sz="6" w:space="0" w:color="auto"/>
              <w:right w:val="nil" w:sz="6" w:space="0" w:color="auto"/>
            </w:tcBorders>
          </w:tcPr>
          <w:p>
            <w:pPr>
              <w:pStyle w:val="TableParagraph"/>
              <w:spacing w:line="240" w:lineRule="auto" w:before="9"/>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single" w:sz="4" w:space="0" w:color="000000"/>
              <w:left w:val="nil" w:sz="6" w:space="0" w:color="auto"/>
              <w:bottom w:val="nil" w:sz="6" w:space="0" w:color="auto"/>
              <w:right w:val="nil" w:sz="6" w:space="0" w:color="auto"/>
            </w:tcBorders>
          </w:tcPr>
          <w:p>
            <w:pPr>
              <w:pStyle w:val="TableParagraph"/>
              <w:spacing w:line="240" w:lineRule="auto" w:before="9"/>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single" w:sz="4" w:space="0" w:color="000000"/>
              <w:left w:val="nil" w:sz="6" w:space="0" w:color="auto"/>
              <w:bottom w:val="nil" w:sz="6" w:space="0" w:color="auto"/>
              <w:right w:val="nil" w:sz="6" w:space="0" w:color="auto"/>
            </w:tcBorders>
          </w:tcPr>
          <w:p>
            <w:pPr>
              <w:pStyle w:val="TableParagraph"/>
              <w:tabs>
                <w:tab w:pos="544" w:val="left" w:leader="none"/>
              </w:tabs>
              <w:spacing w:line="240" w:lineRule="auto" w:before="9"/>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Restaurants</w:t>
            </w:r>
          </w:p>
        </w:tc>
        <w:tc>
          <w:tcPr>
            <w:tcW w:w="974" w:type="dxa"/>
            <w:tcBorders>
              <w:top w:val="nil" w:sz="6" w:space="0" w:color="auto"/>
              <w:left w:val="nil" w:sz="6" w:space="0" w:color="auto"/>
              <w:bottom w:val="nil" w:sz="6" w:space="0" w:color="auto"/>
              <w:right w:val="nil" w:sz="6" w:space="0" w:color="auto"/>
            </w:tcBorders>
          </w:tcPr>
          <w:p>
            <w:pPr>
              <w:pStyle w:val="TableParagraph"/>
              <w:spacing w:line="258" w:lineRule="exact"/>
              <w:ind w:right="248"/>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Taxis</w:t>
            </w:r>
          </w:p>
        </w:tc>
        <w:tc>
          <w:tcPr>
            <w:tcW w:w="974" w:type="dxa"/>
            <w:tcBorders>
              <w:top w:val="nil" w:sz="6" w:space="0" w:color="auto"/>
              <w:left w:val="nil" w:sz="6" w:space="0" w:color="auto"/>
              <w:bottom w:val="nil" w:sz="6" w:space="0" w:color="auto"/>
              <w:right w:val="nil" w:sz="6" w:space="0" w:color="auto"/>
            </w:tcBorders>
          </w:tcPr>
          <w:p>
            <w:pPr>
              <w:pStyle w:val="TableParagraph"/>
              <w:spacing w:line="258" w:lineRule="exact"/>
              <w:ind w:right="248"/>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Entertainment</w:t>
            </w:r>
          </w:p>
        </w:tc>
        <w:tc>
          <w:tcPr>
            <w:tcW w:w="974" w:type="dxa"/>
            <w:tcBorders>
              <w:top w:val="nil" w:sz="6" w:space="0" w:color="auto"/>
              <w:left w:val="nil" w:sz="6" w:space="0" w:color="auto"/>
              <w:bottom w:val="nil" w:sz="6" w:space="0" w:color="auto"/>
              <w:right w:val="nil" w:sz="6" w:space="0" w:color="auto"/>
            </w:tcBorders>
          </w:tcPr>
          <w:p>
            <w:pPr>
              <w:pStyle w:val="TableParagraph"/>
              <w:spacing w:line="258" w:lineRule="exact"/>
              <w:ind w:right="248"/>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Shopping</w:t>
            </w:r>
          </w:p>
        </w:tc>
        <w:tc>
          <w:tcPr>
            <w:tcW w:w="974" w:type="dxa"/>
            <w:tcBorders>
              <w:top w:val="nil" w:sz="6" w:space="0" w:color="auto"/>
              <w:left w:val="nil" w:sz="6" w:space="0" w:color="auto"/>
              <w:bottom w:val="nil" w:sz="6" w:space="0" w:color="auto"/>
              <w:right w:val="nil" w:sz="6" w:space="0" w:color="auto"/>
            </w:tcBorders>
          </w:tcPr>
          <w:p>
            <w:pPr>
              <w:pStyle w:val="TableParagraph"/>
              <w:spacing w:line="258" w:lineRule="exact"/>
              <w:ind w:right="248"/>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Rental</w:t>
            </w:r>
            <w:r>
              <w:rPr>
                <w:rFonts w:ascii="Calibri"/>
                <w:spacing w:val="-7"/>
                <w:sz w:val="22"/>
              </w:rPr>
              <w:t> </w:t>
            </w:r>
            <w:r>
              <w:rPr>
                <w:rFonts w:ascii="Calibri"/>
                <w:sz w:val="22"/>
              </w:rPr>
              <w:t>car</w:t>
            </w:r>
          </w:p>
        </w:tc>
        <w:tc>
          <w:tcPr>
            <w:tcW w:w="974" w:type="dxa"/>
            <w:tcBorders>
              <w:top w:val="nil" w:sz="6" w:space="0" w:color="auto"/>
              <w:left w:val="nil" w:sz="6" w:space="0" w:color="auto"/>
              <w:bottom w:val="nil" w:sz="6" w:space="0" w:color="auto"/>
              <w:right w:val="nil" w:sz="6" w:space="0" w:color="auto"/>
            </w:tcBorders>
          </w:tcPr>
          <w:p>
            <w:pPr>
              <w:pStyle w:val="TableParagraph"/>
              <w:spacing w:line="258" w:lineRule="exact"/>
              <w:ind w:right="248"/>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Airfare</w:t>
            </w:r>
          </w:p>
        </w:tc>
        <w:tc>
          <w:tcPr>
            <w:tcW w:w="974" w:type="dxa"/>
            <w:tcBorders>
              <w:top w:val="nil" w:sz="6" w:space="0" w:color="auto"/>
              <w:left w:val="nil" w:sz="6" w:space="0" w:color="auto"/>
              <w:bottom w:val="nil" w:sz="6" w:space="0" w:color="auto"/>
              <w:right w:val="nil" w:sz="6" w:space="0" w:color="auto"/>
            </w:tcBorders>
          </w:tcPr>
          <w:p>
            <w:pPr>
              <w:pStyle w:val="TableParagraph"/>
              <w:spacing w:line="258" w:lineRule="exact"/>
              <w:ind w:right="248"/>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73" w:hRule="exact"/>
        </w:trPr>
        <w:tc>
          <w:tcPr>
            <w:tcW w:w="7444" w:type="dxa"/>
            <w:tcBorders>
              <w:top w:val="nil" w:sz="6" w:space="0" w:color="auto"/>
              <w:left w:val="nil" w:sz="6" w:space="0" w:color="auto"/>
              <w:bottom w:val="single" w:sz="4" w:space="0" w:color="000000"/>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hAnsi="Calibri"/>
                <w:sz w:val="22"/>
              </w:rPr>
              <w:t>Overall perception of prices in</w:t>
            </w:r>
            <w:r>
              <w:rPr>
                <w:rFonts w:ascii="Calibri" w:hAnsi="Calibri"/>
                <w:spacing w:val="-23"/>
                <w:sz w:val="22"/>
              </w:rPr>
              <w:t> </w:t>
            </w:r>
            <w:r>
              <w:rPr>
                <w:rFonts w:ascii="Calibri" w:hAnsi="Calibri"/>
                <w:sz w:val="22"/>
              </w:rPr>
              <w:t>Curaçao</w:t>
            </w:r>
          </w:p>
        </w:tc>
        <w:tc>
          <w:tcPr>
            <w:tcW w:w="974" w:type="dxa"/>
            <w:tcBorders>
              <w:top w:val="nil" w:sz="6" w:space="0" w:color="auto"/>
              <w:left w:val="nil" w:sz="6" w:space="0" w:color="auto"/>
              <w:bottom w:val="single" w:sz="4" w:space="0" w:color="000000"/>
              <w:right w:val="nil" w:sz="6" w:space="0" w:color="auto"/>
            </w:tcBorders>
          </w:tcPr>
          <w:p>
            <w:pPr>
              <w:pStyle w:val="TableParagraph"/>
              <w:spacing w:line="258" w:lineRule="exact"/>
              <w:ind w:right="248"/>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544" w:type="dxa"/>
            <w:tcBorders>
              <w:top w:val="nil" w:sz="6" w:space="0" w:color="auto"/>
              <w:left w:val="nil" w:sz="6" w:space="0" w:color="auto"/>
              <w:bottom w:val="single" w:sz="4" w:space="0" w:color="000000"/>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418" w:type="dxa"/>
            <w:tcBorders>
              <w:top w:val="nil" w:sz="6" w:space="0" w:color="auto"/>
              <w:left w:val="nil" w:sz="6" w:space="0" w:color="auto"/>
              <w:bottom w:val="single" w:sz="4" w:space="0" w:color="000000"/>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single" w:sz="4" w:space="0" w:color="000000"/>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single" w:sz="4" w:space="0" w:color="000000"/>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bl>
    <w:p>
      <w:pPr>
        <w:spacing w:line="240" w:lineRule="auto" w:before="0" w:after="0"/>
        <w:ind w:right="0"/>
        <w:rPr>
          <w:rFonts w:ascii="Calibri" w:hAnsi="Calibri" w:cs="Calibri" w:eastAsia="Calibri" w:hint="default"/>
          <w:b/>
          <w:bCs/>
          <w:sz w:val="22"/>
          <w:szCs w:val="22"/>
        </w:rPr>
      </w:pPr>
    </w:p>
    <w:tbl>
      <w:tblPr>
        <w:tblW w:w="0" w:type="auto"/>
        <w:jc w:val="left"/>
        <w:tblInd w:w="100" w:type="dxa"/>
        <w:tblLayout w:type="fixed"/>
        <w:tblCellMar>
          <w:top w:w="0" w:type="dxa"/>
          <w:left w:w="0" w:type="dxa"/>
          <w:bottom w:w="0" w:type="dxa"/>
          <w:right w:w="0" w:type="dxa"/>
        </w:tblCellMar>
        <w:tblLook w:val="01E0"/>
      </w:tblPr>
      <w:tblGrid>
        <w:gridCol w:w="7444"/>
        <w:gridCol w:w="1518"/>
        <w:gridCol w:w="418"/>
        <w:gridCol w:w="1651"/>
      </w:tblGrid>
      <w:tr>
        <w:trPr>
          <w:trHeight w:val="816" w:hRule="exact"/>
        </w:trPr>
        <w:tc>
          <w:tcPr>
            <w:tcW w:w="7444" w:type="dxa"/>
            <w:tcBorders>
              <w:top w:val="single" w:sz="4" w:space="0" w:color="000000"/>
              <w:left w:val="nil" w:sz="6" w:space="0" w:color="auto"/>
              <w:bottom w:val="single" w:sz="4" w:space="0" w:color="000000"/>
              <w:right w:val="nil" w:sz="6" w:space="0" w:color="auto"/>
            </w:tcBorders>
          </w:tcPr>
          <w:p>
            <w:pPr>
              <w:pStyle w:val="TableParagraph"/>
              <w:spacing w:line="240" w:lineRule="auto" w:before="12"/>
              <w:ind w:right="0"/>
              <w:jc w:val="left"/>
              <w:rPr>
                <w:rFonts w:ascii="Calibri" w:hAnsi="Calibri" w:cs="Calibri" w:eastAsia="Calibri" w:hint="default"/>
                <w:b/>
                <w:bCs/>
                <w:sz w:val="21"/>
                <w:szCs w:val="21"/>
              </w:rPr>
            </w:pPr>
          </w:p>
          <w:p>
            <w:pPr>
              <w:pStyle w:val="TableParagraph"/>
              <w:spacing w:line="240" w:lineRule="auto"/>
              <w:ind w:left="107" w:right="0"/>
              <w:jc w:val="left"/>
              <w:rPr>
                <w:rFonts w:ascii="Calibri" w:hAnsi="Calibri" w:cs="Calibri" w:eastAsia="Calibri" w:hint="default"/>
                <w:sz w:val="22"/>
                <w:szCs w:val="22"/>
              </w:rPr>
            </w:pPr>
            <w:r>
              <w:rPr>
                <w:rFonts w:ascii="Calibri" w:hAnsi="Calibri"/>
                <w:b/>
                <w:sz w:val="22"/>
              </w:rPr>
              <w:t>20. Please tell us how you perceive the </w:t>
            </w:r>
            <w:r>
              <w:rPr>
                <w:rFonts w:ascii="Calibri" w:hAnsi="Calibri"/>
                <w:b/>
                <w:sz w:val="22"/>
                <w:u w:val="single" w:color="000000"/>
              </w:rPr>
              <w:t>QUALITY </w:t>
            </w:r>
            <w:r>
              <w:rPr>
                <w:rFonts w:ascii="Calibri" w:hAnsi="Calibri"/>
                <w:b/>
                <w:sz w:val="22"/>
              </w:rPr>
              <w:t>of the following in</w:t>
            </w:r>
            <w:r>
              <w:rPr>
                <w:rFonts w:ascii="Calibri" w:hAnsi="Calibri"/>
                <w:b/>
                <w:spacing w:val="-22"/>
                <w:sz w:val="22"/>
              </w:rPr>
              <w:t> </w:t>
            </w:r>
            <w:r>
              <w:rPr>
                <w:rFonts w:ascii="Calibri" w:hAnsi="Calibri"/>
                <w:b/>
                <w:sz w:val="22"/>
              </w:rPr>
              <w:t>Curaçao</w:t>
            </w:r>
            <w:r>
              <w:rPr>
                <w:rFonts w:ascii="Calibri" w:hAnsi="Calibri"/>
                <w:sz w:val="22"/>
              </w:rPr>
            </w:r>
          </w:p>
        </w:tc>
        <w:tc>
          <w:tcPr>
            <w:tcW w:w="1518" w:type="dxa"/>
            <w:tcBorders>
              <w:top w:val="single" w:sz="4" w:space="0" w:color="000000"/>
              <w:left w:val="nil" w:sz="6" w:space="0" w:color="auto"/>
              <w:bottom w:val="single" w:sz="4" w:space="0" w:color="000000"/>
              <w:right w:val="nil" w:sz="6" w:space="0" w:color="auto"/>
            </w:tcBorders>
          </w:tcPr>
          <w:p>
            <w:pPr>
              <w:pStyle w:val="TableParagraph"/>
              <w:spacing w:line="240" w:lineRule="auto"/>
              <w:ind w:left="432" w:right="-30"/>
              <w:jc w:val="left"/>
              <w:rPr>
                <w:rFonts w:ascii="Calibri" w:hAnsi="Calibri" w:cs="Calibri" w:eastAsia="Calibri" w:hint="default"/>
                <w:sz w:val="22"/>
                <w:szCs w:val="22"/>
              </w:rPr>
            </w:pPr>
            <w:r>
              <w:rPr>
                <w:rFonts w:ascii="Calibri"/>
                <w:b/>
                <w:i/>
                <w:sz w:val="22"/>
              </w:rPr>
              <w:t>Much</w:t>
            </w:r>
            <w:r>
              <w:rPr>
                <w:rFonts w:ascii="Calibri"/>
                <w:b/>
                <w:i/>
                <w:spacing w:val="-5"/>
                <w:sz w:val="22"/>
              </w:rPr>
              <w:t> </w:t>
            </w:r>
            <w:r>
              <w:rPr>
                <w:rFonts w:ascii="Calibri"/>
                <w:b/>
                <w:i/>
                <w:sz w:val="22"/>
              </w:rPr>
              <w:t>worse </w:t>
            </w:r>
            <w:r>
              <w:rPr>
                <w:rFonts w:ascii="Calibri"/>
                <w:b/>
                <w:i/>
                <w:sz w:val="22"/>
              </w:rPr>
              <w:t>than expected</w:t>
            </w:r>
            <w:r>
              <w:rPr>
                <w:rFonts w:ascii="Calibri"/>
                <w:sz w:val="22"/>
              </w:rPr>
            </w:r>
          </w:p>
        </w:tc>
        <w:tc>
          <w:tcPr>
            <w:tcW w:w="418" w:type="dxa"/>
            <w:tcBorders>
              <w:top w:val="single" w:sz="4" w:space="0" w:color="000000"/>
              <w:left w:val="nil" w:sz="6" w:space="0" w:color="auto"/>
              <w:bottom w:val="single" w:sz="4" w:space="0" w:color="000000"/>
              <w:right w:val="nil" w:sz="6" w:space="0" w:color="auto"/>
            </w:tcBorders>
          </w:tcPr>
          <w:p>
            <w:pPr/>
          </w:p>
        </w:tc>
        <w:tc>
          <w:tcPr>
            <w:tcW w:w="1651" w:type="dxa"/>
            <w:tcBorders>
              <w:top w:val="single" w:sz="4" w:space="0" w:color="000000"/>
              <w:left w:val="nil" w:sz="6" w:space="0" w:color="auto"/>
              <w:bottom w:val="single" w:sz="4" w:space="0" w:color="000000"/>
              <w:right w:val="nil" w:sz="6" w:space="0" w:color="auto"/>
            </w:tcBorders>
          </w:tcPr>
          <w:p>
            <w:pPr>
              <w:pStyle w:val="TableParagraph"/>
              <w:spacing w:line="268" w:lineRule="exact"/>
              <w:ind w:left="415" w:right="0"/>
              <w:jc w:val="left"/>
              <w:rPr>
                <w:rFonts w:ascii="Calibri" w:hAnsi="Calibri" w:cs="Calibri" w:eastAsia="Calibri" w:hint="default"/>
                <w:sz w:val="22"/>
                <w:szCs w:val="22"/>
              </w:rPr>
            </w:pPr>
            <w:r>
              <w:rPr>
                <w:rFonts w:ascii="Calibri"/>
                <w:b/>
                <w:i/>
                <w:sz w:val="22"/>
              </w:rPr>
              <w:t>Much</w:t>
            </w:r>
            <w:r>
              <w:rPr>
                <w:rFonts w:ascii="Calibri"/>
                <w:b/>
                <w:i/>
                <w:spacing w:val="-3"/>
                <w:sz w:val="22"/>
              </w:rPr>
              <w:t> </w:t>
            </w:r>
            <w:r>
              <w:rPr>
                <w:rFonts w:ascii="Calibri"/>
                <w:b/>
                <w:i/>
                <w:sz w:val="22"/>
              </w:rPr>
              <w:t>better</w:t>
            </w:r>
            <w:r>
              <w:rPr>
                <w:rFonts w:ascii="Calibri"/>
                <w:sz w:val="22"/>
              </w:rPr>
            </w:r>
          </w:p>
          <w:p>
            <w:pPr>
              <w:pStyle w:val="TableParagraph"/>
              <w:spacing w:line="240" w:lineRule="auto"/>
              <w:ind w:left="718" w:right="106" w:firstLine="399"/>
              <w:jc w:val="left"/>
              <w:rPr>
                <w:rFonts w:ascii="Calibri" w:hAnsi="Calibri" w:cs="Calibri" w:eastAsia="Calibri" w:hint="default"/>
                <w:sz w:val="22"/>
                <w:szCs w:val="22"/>
              </w:rPr>
            </w:pPr>
            <w:r>
              <w:rPr>
                <w:rFonts w:ascii="Calibri"/>
                <w:b/>
                <w:i/>
                <w:sz w:val="22"/>
              </w:rPr>
              <w:t>than </w:t>
            </w:r>
            <w:r>
              <w:rPr>
                <w:rFonts w:ascii="Calibri"/>
                <w:b/>
                <w:i/>
                <w:w w:val="95"/>
                <w:sz w:val="22"/>
              </w:rPr>
              <w:t>expected</w:t>
            </w:r>
            <w:r>
              <w:rPr>
                <w:rFonts w:ascii="Calibri"/>
                <w:sz w:val="22"/>
              </w:rPr>
            </w:r>
          </w:p>
        </w:tc>
      </w:tr>
      <w:tr>
        <w:trPr>
          <w:trHeight w:val="312" w:hRule="exact"/>
        </w:trPr>
        <w:tc>
          <w:tcPr>
            <w:tcW w:w="7444" w:type="dxa"/>
            <w:tcBorders>
              <w:top w:val="single" w:sz="4" w:space="0" w:color="000000"/>
              <w:left w:val="nil" w:sz="6" w:space="0" w:color="auto"/>
              <w:bottom w:val="nil" w:sz="6" w:space="0" w:color="auto"/>
              <w:right w:val="nil" w:sz="6" w:space="0" w:color="auto"/>
            </w:tcBorders>
          </w:tcPr>
          <w:p>
            <w:pPr>
              <w:pStyle w:val="TableParagraph"/>
              <w:spacing w:line="240" w:lineRule="auto" w:before="9"/>
              <w:ind w:left="107" w:right="0"/>
              <w:jc w:val="left"/>
              <w:rPr>
                <w:rFonts w:ascii="Calibri" w:hAnsi="Calibri" w:cs="Calibri" w:eastAsia="Calibri" w:hint="default"/>
                <w:sz w:val="22"/>
                <w:szCs w:val="22"/>
              </w:rPr>
            </w:pPr>
            <w:r>
              <w:rPr>
                <w:rFonts w:ascii="Calibri"/>
                <w:sz w:val="22"/>
              </w:rPr>
              <w:t>Accommodations</w:t>
            </w:r>
          </w:p>
        </w:tc>
        <w:tc>
          <w:tcPr>
            <w:tcW w:w="1518" w:type="dxa"/>
            <w:tcBorders>
              <w:top w:val="single" w:sz="4" w:space="0" w:color="000000"/>
              <w:left w:val="nil" w:sz="6" w:space="0" w:color="auto"/>
              <w:bottom w:val="nil" w:sz="6" w:space="0" w:color="auto"/>
              <w:right w:val="nil" w:sz="6" w:space="0" w:color="auto"/>
            </w:tcBorders>
          </w:tcPr>
          <w:p>
            <w:pPr>
              <w:pStyle w:val="TableParagraph"/>
              <w:tabs>
                <w:tab w:pos="974" w:val="left" w:leader="none"/>
              </w:tabs>
              <w:spacing w:line="240" w:lineRule="auto" w:before="9"/>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single" w:sz="4" w:space="0" w:color="000000"/>
              <w:left w:val="nil" w:sz="6" w:space="0" w:color="auto"/>
              <w:bottom w:val="nil" w:sz="6" w:space="0" w:color="auto"/>
              <w:right w:val="nil" w:sz="6" w:space="0" w:color="auto"/>
            </w:tcBorders>
          </w:tcPr>
          <w:p>
            <w:pPr>
              <w:pStyle w:val="TableParagraph"/>
              <w:spacing w:line="240" w:lineRule="auto" w:before="9"/>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single" w:sz="4" w:space="0" w:color="000000"/>
              <w:left w:val="nil" w:sz="6" w:space="0" w:color="auto"/>
              <w:bottom w:val="nil" w:sz="6" w:space="0" w:color="auto"/>
              <w:right w:val="nil" w:sz="6" w:space="0" w:color="auto"/>
            </w:tcBorders>
          </w:tcPr>
          <w:p>
            <w:pPr>
              <w:pStyle w:val="TableParagraph"/>
              <w:tabs>
                <w:tab w:pos="670" w:val="left" w:leader="none"/>
                <w:tab w:pos="1215" w:val="left" w:leader="none"/>
              </w:tabs>
              <w:spacing w:line="240" w:lineRule="auto" w:before="9"/>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Restaurants</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Taxis</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Entertainment</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Shopping</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Rental</w:t>
            </w:r>
            <w:r>
              <w:rPr>
                <w:rFonts w:ascii="Calibri"/>
                <w:spacing w:val="-4"/>
                <w:sz w:val="22"/>
              </w:rPr>
              <w:t> </w:t>
            </w:r>
            <w:r>
              <w:rPr>
                <w:rFonts w:ascii="Calibri"/>
                <w:sz w:val="22"/>
              </w:rPr>
              <w:t>car</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Airfare</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73" w:hRule="exact"/>
        </w:trPr>
        <w:tc>
          <w:tcPr>
            <w:tcW w:w="7444" w:type="dxa"/>
            <w:tcBorders>
              <w:top w:val="nil" w:sz="6" w:space="0" w:color="auto"/>
              <w:left w:val="nil" w:sz="6" w:space="0" w:color="auto"/>
              <w:bottom w:val="single" w:sz="4" w:space="0" w:color="000000"/>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hAnsi="Calibri"/>
                <w:sz w:val="22"/>
              </w:rPr>
              <w:t>Overall perception of quality in Curaçao</w:t>
            </w:r>
            <w:r>
              <w:rPr>
                <w:rFonts w:ascii="Calibri" w:hAnsi="Calibri"/>
                <w:spacing w:val="-24"/>
                <w:sz w:val="22"/>
              </w:rPr>
              <w:t> </w:t>
            </w:r>
            <w:r>
              <w:rPr>
                <w:rFonts w:ascii="Calibri" w:hAnsi="Calibri"/>
                <w:sz w:val="22"/>
              </w:rPr>
              <w:t>was</w:t>
            </w:r>
          </w:p>
        </w:tc>
        <w:tc>
          <w:tcPr>
            <w:tcW w:w="1518" w:type="dxa"/>
            <w:tcBorders>
              <w:top w:val="nil" w:sz="6" w:space="0" w:color="auto"/>
              <w:left w:val="nil" w:sz="6" w:space="0" w:color="auto"/>
              <w:bottom w:val="single" w:sz="4" w:space="0" w:color="000000"/>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single" w:sz="4" w:space="0" w:color="000000"/>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single" w:sz="4" w:space="0" w:color="000000"/>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bl>
    <w:p>
      <w:pPr>
        <w:spacing w:line="240" w:lineRule="auto" w:before="1" w:after="0"/>
        <w:ind w:right="0"/>
        <w:rPr>
          <w:rFonts w:ascii="Calibri" w:hAnsi="Calibri" w:cs="Calibri" w:eastAsia="Calibri" w:hint="default"/>
          <w:b/>
          <w:bCs/>
          <w:sz w:val="22"/>
          <w:szCs w:val="22"/>
        </w:rPr>
      </w:pPr>
    </w:p>
    <w:tbl>
      <w:tblPr>
        <w:tblW w:w="0" w:type="auto"/>
        <w:jc w:val="left"/>
        <w:tblInd w:w="100" w:type="dxa"/>
        <w:tblLayout w:type="fixed"/>
        <w:tblCellMar>
          <w:top w:w="0" w:type="dxa"/>
          <w:left w:w="0" w:type="dxa"/>
          <w:bottom w:w="0" w:type="dxa"/>
          <w:right w:w="0" w:type="dxa"/>
        </w:tblCellMar>
        <w:tblLook w:val="01E0"/>
      </w:tblPr>
      <w:tblGrid>
        <w:gridCol w:w="7444"/>
        <w:gridCol w:w="1518"/>
        <w:gridCol w:w="418"/>
        <w:gridCol w:w="1651"/>
      </w:tblGrid>
      <w:tr>
        <w:trPr>
          <w:trHeight w:val="816" w:hRule="exact"/>
        </w:trPr>
        <w:tc>
          <w:tcPr>
            <w:tcW w:w="7444" w:type="dxa"/>
            <w:tcBorders>
              <w:top w:val="single" w:sz="4" w:space="0" w:color="000000"/>
              <w:left w:val="nil" w:sz="6" w:space="0" w:color="auto"/>
              <w:bottom w:val="single" w:sz="4" w:space="0" w:color="000000"/>
              <w:right w:val="nil" w:sz="6" w:space="0" w:color="auto"/>
            </w:tcBorders>
          </w:tcPr>
          <w:p>
            <w:pPr>
              <w:pStyle w:val="TableParagraph"/>
              <w:spacing w:line="240" w:lineRule="auto" w:before="12"/>
              <w:ind w:right="0"/>
              <w:jc w:val="left"/>
              <w:rPr>
                <w:rFonts w:ascii="Calibri" w:hAnsi="Calibri" w:cs="Calibri" w:eastAsia="Calibri" w:hint="default"/>
                <w:b/>
                <w:bCs/>
                <w:sz w:val="21"/>
                <w:szCs w:val="21"/>
              </w:rPr>
            </w:pPr>
          </w:p>
          <w:p>
            <w:pPr>
              <w:pStyle w:val="TableParagraph"/>
              <w:spacing w:line="240" w:lineRule="auto"/>
              <w:ind w:left="107" w:right="0"/>
              <w:jc w:val="left"/>
              <w:rPr>
                <w:rFonts w:ascii="Calibri" w:hAnsi="Calibri" w:cs="Calibri" w:eastAsia="Calibri" w:hint="default"/>
                <w:sz w:val="22"/>
                <w:szCs w:val="22"/>
              </w:rPr>
            </w:pPr>
            <w:r>
              <w:rPr>
                <w:rFonts w:ascii="Calibri" w:hAnsi="Calibri"/>
                <w:b/>
                <w:sz w:val="22"/>
              </w:rPr>
              <w:t>21. Please tell us how you perceive the </w:t>
            </w:r>
            <w:r>
              <w:rPr>
                <w:rFonts w:ascii="Calibri" w:hAnsi="Calibri"/>
                <w:b/>
                <w:sz w:val="22"/>
                <w:u w:val="single" w:color="000000"/>
              </w:rPr>
              <w:t>VALUE </w:t>
            </w:r>
            <w:r>
              <w:rPr>
                <w:rFonts w:ascii="Calibri" w:hAnsi="Calibri"/>
                <w:b/>
                <w:sz w:val="22"/>
              </w:rPr>
              <w:t>of the following in</w:t>
            </w:r>
            <w:r>
              <w:rPr>
                <w:rFonts w:ascii="Calibri" w:hAnsi="Calibri"/>
                <w:b/>
                <w:spacing w:val="-30"/>
                <w:sz w:val="22"/>
              </w:rPr>
              <w:t> </w:t>
            </w:r>
            <w:r>
              <w:rPr>
                <w:rFonts w:ascii="Calibri" w:hAnsi="Calibri"/>
                <w:b/>
                <w:sz w:val="22"/>
              </w:rPr>
              <w:t>Curaçao</w:t>
            </w:r>
            <w:r>
              <w:rPr>
                <w:rFonts w:ascii="Calibri" w:hAnsi="Calibri"/>
                <w:sz w:val="22"/>
              </w:rPr>
            </w:r>
          </w:p>
        </w:tc>
        <w:tc>
          <w:tcPr>
            <w:tcW w:w="1518" w:type="dxa"/>
            <w:tcBorders>
              <w:top w:val="single" w:sz="4" w:space="0" w:color="000000"/>
              <w:left w:val="nil" w:sz="6" w:space="0" w:color="auto"/>
              <w:bottom w:val="single" w:sz="4" w:space="0" w:color="000000"/>
              <w:right w:val="nil" w:sz="6" w:space="0" w:color="auto"/>
            </w:tcBorders>
          </w:tcPr>
          <w:p>
            <w:pPr>
              <w:pStyle w:val="TableParagraph"/>
              <w:spacing w:line="240" w:lineRule="auto"/>
              <w:ind w:left="432" w:right="-30"/>
              <w:jc w:val="left"/>
              <w:rPr>
                <w:rFonts w:ascii="Calibri" w:hAnsi="Calibri" w:cs="Calibri" w:eastAsia="Calibri" w:hint="default"/>
                <w:sz w:val="22"/>
                <w:szCs w:val="22"/>
              </w:rPr>
            </w:pPr>
            <w:r>
              <w:rPr>
                <w:rFonts w:ascii="Calibri"/>
                <w:b/>
                <w:i/>
                <w:sz w:val="22"/>
              </w:rPr>
              <w:t>Much</w:t>
            </w:r>
            <w:r>
              <w:rPr>
                <w:rFonts w:ascii="Calibri"/>
                <w:b/>
                <w:i/>
                <w:spacing w:val="-5"/>
                <w:sz w:val="22"/>
              </w:rPr>
              <w:t> </w:t>
            </w:r>
            <w:r>
              <w:rPr>
                <w:rFonts w:ascii="Calibri"/>
                <w:b/>
                <w:i/>
                <w:sz w:val="22"/>
              </w:rPr>
              <w:t>worse </w:t>
            </w:r>
            <w:r>
              <w:rPr>
                <w:rFonts w:ascii="Calibri"/>
                <w:b/>
                <w:i/>
                <w:sz w:val="22"/>
              </w:rPr>
              <w:t>than expected</w:t>
            </w:r>
            <w:r>
              <w:rPr>
                <w:rFonts w:ascii="Calibri"/>
                <w:sz w:val="22"/>
              </w:rPr>
            </w:r>
          </w:p>
        </w:tc>
        <w:tc>
          <w:tcPr>
            <w:tcW w:w="418" w:type="dxa"/>
            <w:tcBorders>
              <w:top w:val="single" w:sz="4" w:space="0" w:color="000000"/>
              <w:left w:val="nil" w:sz="6" w:space="0" w:color="auto"/>
              <w:bottom w:val="single" w:sz="4" w:space="0" w:color="000000"/>
              <w:right w:val="nil" w:sz="6" w:space="0" w:color="auto"/>
            </w:tcBorders>
          </w:tcPr>
          <w:p>
            <w:pPr/>
          </w:p>
        </w:tc>
        <w:tc>
          <w:tcPr>
            <w:tcW w:w="1651" w:type="dxa"/>
            <w:tcBorders>
              <w:top w:val="single" w:sz="4" w:space="0" w:color="000000"/>
              <w:left w:val="nil" w:sz="6" w:space="0" w:color="auto"/>
              <w:bottom w:val="single" w:sz="4" w:space="0" w:color="000000"/>
              <w:right w:val="nil" w:sz="6" w:space="0" w:color="auto"/>
            </w:tcBorders>
          </w:tcPr>
          <w:p>
            <w:pPr>
              <w:pStyle w:val="TableParagraph"/>
              <w:spacing w:line="268" w:lineRule="exact"/>
              <w:ind w:left="415" w:right="0"/>
              <w:jc w:val="left"/>
              <w:rPr>
                <w:rFonts w:ascii="Calibri" w:hAnsi="Calibri" w:cs="Calibri" w:eastAsia="Calibri" w:hint="default"/>
                <w:sz w:val="22"/>
                <w:szCs w:val="22"/>
              </w:rPr>
            </w:pPr>
            <w:r>
              <w:rPr>
                <w:rFonts w:ascii="Calibri"/>
                <w:b/>
                <w:i/>
                <w:sz w:val="22"/>
              </w:rPr>
              <w:t>Much</w:t>
            </w:r>
            <w:r>
              <w:rPr>
                <w:rFonts w:ascii="Calibri"/>
                <w:b/>
                <w:i/>
                <w:spacing w:val="-3"/>
                <w:sz w:val="22"/>
              </w:rPr>
              <w:t> </w:t>
            </w:r>
            <w:r>
              <w:rPr>
                <w:rFonts w:ascii="Calibri"/>
                <w:b/>
                <w:i/>
                <w:sz w:val="22"/>
              </w:rPr>
              <w:t>better</w:t>
            </w:r>
            <w:r>
              <w:rPr>
                <w:rFonts w:ascii="Calibri"/>
                <w:sz w:val="22"/>
              </w:rPr>
            </w:r>
          </w:p>
          <w:p>
            <w:pPr>
              <w:pStyle w:val="TableParagraph"/>
              <w:spacing w:line="240" w:lineRule="auto"/>
              <w:ind w:left="718" w:right="106" w:firstLine="399"/>
              <w:jc w:val="left"/>
              <w:rPr>
                <w:rFonts w:ascii="Calibri" w:hAnsi="Calibri" w:cs="Calibri" w:eastAsia="Calibri" w:hint="default"/>
                <w:sz w:val="22"/>
                <w:szCs w:val="22"/>
              </w:rPr>
            </w:pPr>
            <w:r>
              <w:rPr>
                <w:rFonts w:ascii="Calibri"/>
                <w:b/>
                <w:i/>
                <w:sz w:val="22"/>
              </w:rPr>
              <w:t>than </w:t>
            </w:r>
            <w:r>
              <w:rPr>
                <w:rFonts w:ascii="Calibri"/>
                <w:b/>
                <w:i/>
                <w:w w:val="95"/>
                <w:sz w:val="22"/>
              </w:rPr>
              <w:t>expected</w:t>
            </w:r>
            <w:r>
              <w:rPr>
                <w:rFonts w:ascii="Calibri"/>
                <w:sz w:val="22"/>
              </w:rPr>
            </w:r>
          </w:p>
        </w:tc>
      </w:tr>
      <w:tr>
        <w:trPr>
          <w:trHeight w:val="312" w:hRule="exact"/>
        </w:trPr>
        <w:tc>
          <w:tcPr>
            <w:tcW w:w="7444" w:type="dxa"/>
            <w:tcBorders>
              <w:top w:val="single" w:sz="4" w:space="0" w:color="000000"/>
              <w:left w:val="nil" w:sz="6" w:space="0" w:color="auto"/>
              <w:bottom w:val="nil" w:sz="6" w:space="0" w:color="auto"/>
              <w:right w:val="nil" w:sz="6" w:space="0" w:color="auto"/>
            </w:tcBorders>
          </w:tcPr>
          <w:p>
            <w:pPr>
              <w:pStyle w:val="TableParagraph"/>
              <w:spacing w:line="240" w:lineRule="auto" w:before="9"/>
              <w:ind w:left="107" w:right="0"/>
              <w:jc w:val="left"/>
              <w:rPr>
                <w:rFonts w:ascii="Calibri" w:hAnsi="Calibri" w:cs="Calibri" w:eastAsia="Calibri" w:hint="default"/>
                <w:sz w:val="22"/>
                <w:szCs w:val="22"/>
              </w:rPr>
            </w:pPr>
            <w:r>
              <w:rPr>
                <w:rFonts w:ascii="Calibri"/>
                <w:sz w:val="22"/>
              </w:rPr>
              <w:t>Accommodations</w:t>
            </w:r>
          </w:p>
        </w:tc>
        <w:tc>
          <w:tcPr>
            <w:tcW w:w="1518" w:type="dxa"/>
            <w:tcBorders>
              <w:top w:val="single" w:sz="4" w:space="0" w:color="000000"/>
              <w:left w:val="nil" w:sz="6" w:space="0" w:color="auto"/>
              <w:bottom w:val="nil" w:sz="6" w:space="0" w:color="auto"/>
              <w:right w:val="nil" w:sz="6" w:space="0" w:color="auto"/>
            </w:tcBorders>
          </w:tcPr>
          <w:p>
            <w:pPr>
              <w:pStyle w:val="TableParagraph"/>
              <w:tabs>
                <w:tab w:pos="974" w:val="left" w:leader="none"/>
              </w:tabs>
              <w:spacing w:line="240" w:lineRule="auto" w:before="9"/>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single" w:sz="4" w:space="0" w:color="000000"/>
              <w:left w:val="nil" w:sz="6" w:space="0" w:color="auto"/>
              <w:bottom w:val="nil" w:sz="6" w:space="0" w:color="auto"/>
              <w:right w:val="nil" w:sz="6" w:space="0" w:color="auto"/>
            </w:tcBorders>
          </w:tcPr>
          <w:p>
            <w:pPr>
              <w:pStyle w:val="TableParagraph"/>
              <w:spacing w:line="240" w:lineRule="auto" w:before="9"/>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single" w:sz="4" w:space="0" w:color="000000"/>
              <w:left w:val="nil" w:sz="6" w:space="0" w:color="auto"/>
              <w:bottom w:val="nil" w:sz="6" w:space="0" w:color="auto"/>
              <w:right w:val="nil" w:sz="6" w:space="0" w:color="auto"/>
            </w:tcBorders>
          </w:tcPr>
          <w:p>
            <w:pPr>
              <w:pStyle w:val="TableParagraph"/>
              <w:tabs>
                <w:tab w:pos="670" w:val="left" w:leader="none"/>
                <w:tab w:pos="1215" w:val="left" w:leader="none"/>
              </w:tabs>
              <w:spacing w:line="240" w:lineRule="auto" w:before="9"/>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Restaurants</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Taxis</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Entertainment</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Shopping</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Rental</w:t>
            </w:r>
            <w:r>
              <w:rPr>
                <w:rFonts w:ascii="Calibri"/>
                <w:spacing w:val="-4"/>
                <w:sz w:val="22"/>
              </w:rPr>
              <w:t> </w:t>
            </w:r>
            <w:r>
              <w:rPr>
                <w:rFonts w:ascii="Calibri"/>
                <w:sz w:val="22"/>
              </w:rPr>
              <w:t>car</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Airfare</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75" w:hRule="exact"/>
        </w:trPr>
        <w:tc>
          <w:tcPr>
            <w:tcW w:w="7444" w:type="dxa"/>
            <w:tcBorders>
              <w:top w:val="nil" w:sz="6" w:space="0" w:color="auto"/>
              <w:left w:val="nil" w:sz="6" w:space="0" w:color="auto"/>
              <w:bottom w:val="single" w:sz="4" w:space="0" w:color="000000"/>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hAnsi="Calibri"/>
                <w:sz w:val="22"/>
              </w:rPr>
              <w:t>The overall value of what was paid in Curaçao</w:t>
            </w:r>
            <w:r>
              <w:rPr>
                <w:rFonts w:ascii="Calibri" w:hAnsi="Calibri"/>
                <w:spacing w:val="-19"/>
                <w:sz w:val="22"/>
              </w:rPr>
              <w:t> </w:t>
            </w:r>
            <w:r>
              <w:rPr>
                <w:rFonts w:ascii="Calibri" w:hAnsi="Calibri"/>
                <w:sz w:val="22"/>
              </w:rPr>
              <w:t>was</w:t>
            </w:r>
          </w:p>
        </w:tc>
        <w:tc>
          <w:tcPr>
            <w:tcW w:w="1518" w:type="dxa"/>
            <w:tcBorders>
              <w:top w:val="nil" w:sz="6" w:space="0" w:color="auto"/>
              <w:left w:val="nil" w:sz="6" w:space="0" w:color="auto"/>
              <w:bottom w:val="single" w:sz="4" w:space="0" w:color="000000"/>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single" w:sz="4" w:space="0" w:color="000000"/>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single" w:sz="4" w:space="0" w:color="000000"/>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bl>
    <w:p>
      <w:pPr>
        <w:spacing w:line="240" w:lineRule="auto" w:before="11" w:after="0"/>
        <w:ind w:right="0"/>
        <w:rPr>
          <w:rFonts w:ascii="Calibri" w:hAnsi="Calibri" w:cs="Calibri" w:eastAsia="Calibri" w:hint="default"/>
          <w:b/>
          <w:bCs/>
          <w:sz w:val="21"/>
          <w:szCs w:val="21"/>
        </w:rPr>
      </w:pPr>
    </w:p>
    <w:tbl>
      <w:tblPr>
        <w:tblW w:w="0" w:type="auto"/>
        <w:jc w:val="left"/>
        <w:tblInd w:w="100" w:type="dxa"/>
        <w:tblLayout w:type="fixed"/>
        <w:tblCellMar>
          <w:top w:w="0" w:type="dxa"/>
          <w:left w:w="0" w:type="dxa"/>
          <w:bottom w:w="0" w:type="dxa"/>
          <w:right w:w="0" w:type="dxa"/>
        </w:tblCellMar>
        <w:tblLook w:val="01E0"/>
      </w:tblPr>
      <w:tblGrid>
        <w:gridCol w:w="7444"/>
        <w:gridCol w:w="1518"/>
        <w:gridCol w:w="418"/>
        <w:gridCol w:w="531"/>
        <w:gridCol w:w="1120"/>
      </w:tblGrid>
      <w:tr>
        <w:trPr>
          <w:trHeight w:val="547" w:hRule="exact"/>
        </w:trPr>
        <w:tc>
          <w:tcPr>
            <w:tcW w:w="7444" w:type="dxa"/>
            <w:tcBorders>
              <w:top w:val="single" w:sz="4" w:space="0" w:color="000000"/>
              <w:left w:val="nil" w:sz="6" w:space="0" w:color="auto"/>
              <w:bottom w:val="single" w:sz="4" w:space="0" w:color="000000"/>
              <w:right w:val="nil" w:sz="6" w:space="0" w:color="auto"/>
            </w:tcBorders>
          </w:tcPr>
          <w:p>
            <w:pPr>
              <w:pStyle w:val="TableParagraph"/>
              <w:spacing w:line="240" w:lineRule="auto"/>
              <w:ind w:left="107" w:right="0"/>
              <w:jc w:val="left"/>
              <w:rPr>
                <w:rFonts w:ascii="Calibri" w:hAnsi="Calibri" w:cs="Calibri" w:eastAsia="Calibri" w:hint="default"/>
                <w:sz w:val="22"/>
                <w:szCs w:val="22"/>
              </w:rPr>
            </w:pPr>
            <w:r>
              <w:rPr>
                <w:rFonts w:ascii="Calibri"/>
                <w:b/>
                <w:sz w:val="22"/>
              </w:rPr>
              <w:t>22. Please tell us how satisfied you are with the following</w:t>
            </w:r>
            <w:r>
              <w:rPr>
                <w:rFonts w:ascii="Calibri"/>
                <w:b/>
                <w:spacing w:val="-24"/>
                <w:sz w:val="22"/>
              </w:rPr>
              <w:t> </w:t>
            </w:r>
            <w:r>
              <w:rPr>
                <w:rFonts w:ascii="Calibri"/>
                <w:b/>
                <w:sz w:val="22"/>
              </w:rPr>
              <w:t>activities.</w:t>
            </w:r>
            <w:r>
              <w:rPr>
                <w:rFonts w:ascii="Calibri"/>
                <w:sz w:val="22"/>
              </w:rPr>
            </w:r>
          </w:p>
        </w:tc>
        <w:tc>
          <w:tcPr>
            <w:tcW w:w="1518" w:type="dxa"/>
            <w:tcBorders>
              <w:top w:val="single" w:sz="4" w:space="0" w:color="000000"/>
              <w:left w:val="nil" w:sz="6" w:space="0" w:color="auto"/>
              <w:bottom w:val="single" w:sz="4" w:space="0" w:color="000000"/>
              <w:right w:val="nil" w:sz="6" w:space="0" w:color="auto"/>
            </w:tcBorders>
          </w:tcPr>
          <w:p>
            <w:pPr>
              <w:pStyle w:val="TableParagraph"/>
              <w:spacing w:line="240" w:lineRule="auto"/>
              <w:ind w:left="432" w:right="38"/>
              <w:jc w:val="left"/>
              <w:rPr>
                <w:rFonts w:ascii="Calibri" w:hAnsi="Calibri" w:cs="Calibri" w:eastAsia="Calibri" w:hint="default"/>
                <w:sz w:val="22"/>
                <w:szCs w:val="22"/>
              </w:rPr>
            </w:pPr>
            <w:r>
              <w:rPr>
                <w:rFonts w:ascii="Calibri"/>
                <w:b/>
                <w:i/>
                <w:sz w:val="22"/>
              </w:rPr>
              <w:t>Very </w:t>
            </w:r>
            <w:r>
              <w:rPr>
                <w:rFonts w:ascii="Calibri"/>
                <w:b/>
                <w:i/>
                <w:spacing w:val="-1"/>
                <w:sz w:val="22"/>
              </w:rPr>
              <w:t>Dissatisfied</w:t>
            </w:r>
            <w:r>
              <w:rPr>
                <w:rFonts w:ascii="Calibri"/>
                <w:spacing w:val="-1"/>
                <w:sz w:val="22"/>
              </w:rPr>
            </w:r>
          </w:p>
        </w:tc>
        <w:tc>
          <w:tcPr>
            <w:tcW w:w="418" w:type="dxa"/>
            <w:tcBorders>
              <w:top w:val="single" w:sz="4" w:space="0" w:color="000000"/>
              <w:left w:val="nil" w:sz="6" w:space="0" w:color="auto"/>
              <w:bottom w:val="single" w:sz="4" w:space="0" w:color="000000"/>
              <w:right w:val="nil" w:sz="6" w:space="0" w:color="auto"/>
            </w:tcBorders>
          </w:tcPr>
          <w:p>
            <w:pPr/>
          </w:p>
        </w:tc>
        <w:tc>
          <w:tcPr>
            <w:tcW w:w="531" w:type="dxa"/>
            <w:tcBorders>
              <w:top w:val="single" w:sz="4" w:space="0" w:color="000000"/>
              <w:left w:val="nil" w:sz="6" w:space="0" w:color="auto"/>
              <w:bottom w:val="single" w:sz="4" w:space="0" w:color="000000"/>
              <w:right w:val="nil" w:sz="6" w:space="0" w:color="auto"/>
            </w:tcBorders>
          </w:tcPr>
          <w:p>
            <w:pPr/>
          </w:p>
        </w:tc>
        <w:tc>
          <w:tcPr>
            <w:tcW w:w="1120" w:type="dxa"/>
            <w:tcBorders>
              <w:top w:val="single" w:sz="4" w:space="0" w:color="000000"/>
              <w:left w:val="nil" w:sz="6" w:space="0" w:color="auto"/>
              <w:bottom w:val="single" w:sz="4" w:space="0" w:color="000000"/>
              <w:right w:val="nil" w:sz="6" w:space="0" w:color="auto"/>
            </w:tcBorders>
          </w:tcPr>
          <w:p>
            <w:pPr>
              <w:pStyle w:val="TableParagraph"/>
              <w:spacing w:line="240" w:lineRule="auto"/>
              <w:ind w:left="228" w:right="106" w:firstLine="364"/>
              <w:jc w:val="left"/>
              <w:rPr>
                <w:rFonts w:ascii="Calibri" w:hAnsi="Calibri" w:cs="Calibri" w:eastAsia="Calibri" w:hint="default"/>
                <w:sz w:val="22"/>
                <w:szCs w:val="22"/>
              </w:rPr>
            </w:pPr>
            <w:r>
              <w:rPr>
                <w:rFonts w:ascii="Calibri"/>
                <w:b/>
                <w:i/>
                <w:sz w:val="22"/>
              </w:rPr>
              <w:t>Very </w:t>
            </w:r>
            <w:r>
              <w:rPr>
                <w:rFonts w:ascii="Calibri"/>
                <w:b/>
                <w:i/>
                <w:spacing w:val="-1"/>
                <w:sz w:val="22"/>
              </w:rPr>
              <w:t>Satisfied</w:t>
            </w:r>
            <w:r>
              <w:rPr>
                <w:rFonts w:ascii="Calibri"/>
                <w:sz w:val="22"/>
              </w:rPr>
            </w:r>
          </w:p>
        </w:tc>
      </w:tr>
      <w:tr>
        <w:trPr>
          <w:trHeight w:val="313" w:hRule="exact"/>
        </w:trPr>
        <w:tc>
          <w:tcPr>
            <w:tcW w:w="7444" w:type="dxa"/>
            <w:tcBorders>
              <w:top w:val="single" w:sz="4" w:space="0" w:color="000000"/>
              <w:left w:val="nil" w:sz="6" w:space="0" w:color="auto"/>
              <w:bottom w:val="nil" w:sz="6" w:space="0" w:color="auto"/>
              <w:right w:val="nil" w:sz="6" w:space="0" w:color="auto"/>
            </w:tcBorders>
          </w:tcPr>
          <w:p>
            <w:pPr>
              <w:pStyle w:val="TableParagraph"/>
              <w:spacing w:line="240" w:lineRule="auto" w:before="10"/>
              <w:ind w:left="107" w:right="0"/>
              <w:jc w:val="left"/>
              <w:rPr>
                <w:rFonts w:ascii="Calibri" w:hAnsi="Calibri" w:cs="Calibri" w:eastAsia="Calibri" w:hint="default"/>
                <w:sz w:val="22"/>
                <w:szCs w:val="22"/>
              </w:rPr>
            </w:pPr>
            <w:r>
              <w:rPr>
                <w:rFonts w:ascii="Calibri"/>
                <w:sz w:val="22"/>
              </w:rPr>
              <w:t>Accommodations</w:t>
            </w:r>
          </w:p>
        </w:tc>
        <w:tc>
          <w:tcPr>
            <w:tcW w:w="1518" w:type="dxa"/>
            <w:tcBorders>
              <w:top w:val="single" w:sz="4" w:space="0" w:color="000000"/>
              <w:left w:val="nil" w:sz="6" w:space="0" w:color="auto"/>
              <w:bottom w:val="nil" w:sz="6" w:space="0" w:color="auto"/>
              <w:right w:val="nil" w:sz="6" w:space="0" w:color="auto"/>
            </w:tcBorders>
          </w:tcPr>
          <w:p>
            <w:pPr>
              <w:pStyle w:val="TableParagraph"/>
              <w:tabs>
                <w:tab w:pos="974" w:val="left" w:leader="none"/>
              </w:tabs>
              <w:spacing w:line="240" w:lineRule="auto" w:before="10"/>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single" w:sz="4" w:space="0" w:color="000000"/>
              <w:left w:val="nil" w:sz="6" w:space="0" w:color="auto"/>
              <w:bottom w:val="nil" w:sz="6" w:space="0" w:color="auto"/>
              <w:right w:val="nil" w:sz="6" w:space="0" w:color="auto"/>
            </w:tcBorders>
          </w:tcPr>
          <w:p>
            <w:pPr>
              <w:pStyle w:val="TableParagraph"/>
              <w:spacing w:line="240" w:lineRule="auto" w:before="10"/>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single" w:sz="4" w:space="0" w:color="000000"/>
              <w:left w:val="nil" w:sz="6" w:space="0" w:color="auto"/>
              <w:bottom w:val="nil" w:sz="6" w:space="0" w:color="auto"/>
              <w:right w:val="nil" w:sz="6" w:space="0" w:color="auto"/>
            </w:tcBorders>
          </w:tcPr>
          <w:p>
            <w:pPr>
              <w:pStyle w:val="TableParagraph"/>
              <w:spacing w:line="240" w:lineRule="auto" w:before="10"/>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single" w:sz="4" w:space="0" w:color="000000"/>
              <w:left w:val="nil" w:sz="6" w:space="0" w:color="auto"/>
              <w:bottom w:val="nil" w:sz="6" w:space="0" w:color="auto"/>
              <w:right w:val="nil" w:sz="6" w:space="0" w:color="auto"/>
            </w:tcBorders>
          </w:tcPr>
          <w:p>
            <w:pPr>
              <w:pStyle w:val="TableParagraph"/>
              <w:tabs>
                <w:tab w:pos="544" w:val="left" w:leader="none"/>
              </w:tabs>
              <w:spacing w:line="240" w:lineRule="auto" w:before="10"/>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Restaurants</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Taxis</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Entertainment</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Shopping</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Rental</w:t>
            </w:r>
            <w:r>
              <w:rPr>
                <w:rFonts w:ascii="Calibri"/>
                <w:spacing w:val="-4"/>
                <w:sz w:val="22"/>
              </w:rPr>
              <w:t> </w:t>
            </w:r>
            <w:r>
              <w:rPr>
                <w:rFonts w:ascii="Calibri"/>
                <w:sz w:val="22"/>
              </w:rPr>
              <w:t>car</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Airfare</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73" w:hRule="exact"/>
        </w:trPr>
        <w:tc>
          <w:tcPr>
            <w:tcW w:w="7444" w:type="dxa"/>
            <w:tcBorders>
              <w:top w:val="nil" w:sz="6" w:space="0" w:color="auto"/>
              <w:left w:val="nil" w:sz="6" w:space="0" w:color="auto"/>
              <w:bottom w:val="single" w:sz="4" w:space="0" w:color="000000"/>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hAnsi="Calibri"/>
                <w:sz w:val="22"/>
              </w:rPr>
              <w:t>My overall trip to</w:t>
            </w:r>
            <w:r>
              <w:rPr>
                <w:rFonts w:ascii="Calibri" w:hAnsi="Calibri"/>
                <w:spacing w:val="-9"/>
                <w:sz w:val="22"/>
              </w:rPr>
              <w:t> </w:t>
            </w:r>
            <w:r>
              <w:rPr>
                <w:rFonts w:ascii="Calibri" w:hAnsi="Calibri"/>
                <w:sz w:val="22"/>
              </w:rPr>
              <w:t>Curaçao</w:t>
            </w:r>
          </w:p>
        </w:tc>
        <w:tc>
          <w:tcPr>
            <w:tcW w:w="1518" w:type="dxa"/>
            <w:tcBorders>
              <w:top w:val="nil" w:sz="6" w:space="0" w:color="auto"/>
              <w:left w:val="nil" w:sz="6" w:space="0" w:color="auto"/>
              <w:bottom w:val="single" w:sz="4" w:space="0" w:color="000000"/>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single" w:sz="4" w:space="0" w:color="000000"/>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single" w:sz="4" w:space="0" w:color="000000"/>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single" w:sz="4" w:space="0" w:color="000000"/>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bl>
    <w:p>
      <w:pPr>
        <w:spacing w:after="0" w:line="258" w:lineRule="exact"/>
        <w:jc w:val="center"/>
        <w:rPr>
          <w:rFonts w:ascii="Calibri" w:hAnsi="Calibri" w:cs="Calibri" w:eastAsia="Calibri" w:hint="default"/>
          <w:sz w:val="22"/>
          <w:szCs w:val="22"/>
        </w:rPr>
        <w:sectPr>
          <w:pgSz w:w="12240" w:h="15840"/>
          <w:pgMar w:header="720" w:footer="312" w:top="1280" w:bottom="500" w:left="540" w:right="460"/>
        </w:sectPr>
      </w:pPr>
    </w:p>
    <w:p>
      <w:pPr>
        <w:spacing w:before="9" w:after="20"/>
        <w:ind w:left="140" w:right="0" w:firstLine="0"/>
        <w:jc w:val="left"/>
        <w:rPr>
          <w:rFonts w:ascii="Calibri" w:hAnsi="Calibri" w:cs="Calibri" w:eastAsia="Calibri" w:hint="default"/>
          <w:sz w:val="22"/>
          <w:szCs w:val="22"/>
        </w:rPr>
      </w:pPr>
      <w:r>
        <w:rPr>
          <w:rFonts w:ascii="Calibri"/>
          <w:b/>
          <w:sz w:val="22"/>
        </w:rPr>
        <w:t>SECTION 1: INFORMATION ABOUT YOUR</w:t>
      </w:r>
      <w:r>
        <w:rPr>
          <w:rFonts w:ascii="Calibri"/>
          <w:b/>
          <w:spacing w:val="-13"/>
          <w:sz w:val="22"/>
        </w:rPr>
        <w:t> </w:t>
      </w:r>
      <w:r>
        <w:rPr>
          <w:rFonts w:ascii="Calibri"/>
          <w:b/>
          <w:sz w:val="22"/>
        </w:rPr>
        <w:t>TRIP</w:t>
      </w:r>
      <w:r>
        <w:rPr>
          <w:rFonts w:ascii="Calibri"/>
          <w:sz w:val="22"/>
        </w:rPr>
      </w:r>
    </w:p>
    <w:p>
      <w:pPr>
        <w:spacing w:line="20" w:lineRule="exact"/>
        <w:ind w:left="105" w:right="0" w:firstLine="0"/>
        <w:rPr>
          <w:rFonts w:ascii="Calibri" w:hAnsi="Calibri" w:cs="Calibri" w:eastAsia="Calibri" w:hint="default"/>
          <w:sz w:val="2"/>
          <w:szCs w:val="2"/>
        </w:rPr>
      </w:pPr>
      <w:r>
        <w:rPr>
          <w:rFonts w:ascii="Calibri" w:hAnsi="Calibri" w:cs="Calibri" w:eastAsia="Calibri" w:hint="default"/>
          <w:sz w:val="2"/>
          <w:szCs w:val="2"/>
        </w:rPr>
        <w:pict>
          <v:group style="width:576pt;height:.5pt;mso-position-horizontal-relative:char;mso-position-vertical-relative:line" coordorigin="0,0" coordsize="11520,10">
            <v:group style="position:absolute;left:5;top:5;width:11510;height:2" coordorigin="5,5" coordsize="11510,2">
              <v:shape style="position:absolute;left:5;top:5;width:11510;height:2" coordorigin="5,5" coordsize="11510,0" path="m5,5l11514,5e" filled="false" stroked="true" strokeweight=".48pt" strokecolor="#000000">
                <v:path arrowok="t"/>
              </v:shape>
            </v:group>
          </v:group>
        </w:pict>
      </w:r>
      <w:r>
        <w:rPr>
          <w:rFonts w:ascii="Calibri" w:hAnsi="Calibri" w:cs="Calibri" w:eastAsia="Calibri" w:hint="default"/>
          <w:sz w:val="2"/>
          <w:szCs w:val="2"/>
        </w:rPr>
      </w:r>
    </w:p>
    <w:p>
      <w:pPr>
        <w:spacing w:line="240" w:lineRule="auto" w:before="7"/>
        <w:ind w:right="0"/>
        <w:rPr>
          <w:rFonts w:ascii="Calibri" w:hAnsi="Calibri" w:cs="Calibri" w:eastAsia="Calibri" w:hint="default"/>
          <w:b/>
          <w:bCs/>
          <w:sz w:val="16"/>
          <w:szCs w:val="16"/>
        </w:rPr>
      </w:pPr>
    </w:p>
    <w:p>
      <w:pPr>
        <w:pStyle w:val="ListParagraph"/>
        <w:numPr>
          <w:ilvl w:val="0"/>
          <w:numId w:val="23"/>
        </w:numPr>
        <w:tabs>
          <w:tab w:pos="612" w:val="left" w:leader="none"/>
        </w:tabs>
        <w:spacing w:line="240" w:lineRule="auto" w:before="55" w:after="36"/>
        <w:ind w:left="468" w:right="0" w:hanging="76"/>
        <w:jc w:val="left"/>
        <w:rPr>
          <w:rFonts w:ascii="Calibri" w:hAnsi="Calibri" w:cs="Calibri" w:eastAsia="Calibri" w:hint="default"/>
          <w:sz w:val="22"/>
          <w:szCs w:val="22"/>
        </w:rPr>
      </w:pPr>
      <w:r>
        <w:rPr>
          <w:rFonts w:ascii="Calibri" w:hAnsi="Calibri"/>
          <w:b/>
          <w:sz w:val="22"/>
        </w:rPr>
        <w:t>Have you been to Curaçao</w:t>
      </w:r>
      <w:r>
        <w:rPr>
          <w:rFonts w:ascii="Calibri" w:hAnsi="Calibri"/>
          <w:b/>
          <w:spacing w:val="-7"/>
          <w:sz w:val="22"/>
        </w:rPr>
        <w:t> </w:t>
      </w:r>
      <w:r>
        <w:rPr>
          <w:rFonts w:ascii="Calibri" w:hAnsi="Calibri"/>
          <w:b/>
          <w:sz w:val="22"/>
        </w:rPr>
        <w:t>before?</w:t>
      </w:r>
      <w:r>
        <w:rPr>
          <w:rFonts w:ascii="Calibri" w:hAnsi="Calibri"/>
          <w:sz w:val="22"/>
        </w:rPr>
      </w:r>
    </w:p>
    <w:tbl>
      <w:tblPr>
        <w:tblW w:w="0" w:type="auto"/>
        <w:jc w:val="left"/>
        <w:tblInd w:w="357" w:type="dxa"/>
        <w:tblLayout w:type="fixed"/>
        <w:tblCellMar>
          <w:top w:w="0" w:type="dxa"/>
          <w:left w:w="0" w:type="dxa"/>
          <w:bottom w:w="0" w:type="dxa"/>
          <w:right w:w="0" w:type="dxa"/>
        </w:tblCellMar>
        <w:tblLook w:val="01E0"/>
      </w:tblPr>
      <w:tblGrid>
        <w:gridCol w:w="322"/>
        <w:gridCol w:w="540"/>
        <w:gridCol w:w="456"/>
        <w:gridCol w:w="6498"/>
        <w:gridCol w:w="724"/>
        <w:gridCol w:w="646"/>
        <w:gridCol w:w="444"/>
      </w:tblGrid>
      <w:tr>
        <w:trPr>
          <w:trHeight w:val="565"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184" w:lineRule="exact"/>
              <w:ind w:left="35" w:right="0"/>
              <w:jc w:val="left"/>
              <w:rPr>
                <w:rFonts w:ascii="Calibri" w:hAnsi="Calibri" w:cs="Calibri" w:eastAsia="Calibri" w:hint="default"/>
                <w:sz w:val="18"/>
                <w:szCs w:val="18"/>
              </w:rPr>
            </w:pPr>
            <w:r>
              <w:rPr>
                <w:rFonts w:ascii="Calibri" w:hAnsi="Calibri" w:cs="Calibri" w:eastAsia="Calibri" w:hint="default"/>
                <w:sz w:val="18"/>
                <w:szCs w:val="18"/>
              </w:rPr>
              <w:t>⃝</w:t>
            </w:r>
          </w:p>
          <w:p>
            <w:pPr>
              <w:pStyle w:val="TableParagraph"/>
              <w:spacing w:line="240" w:lineRule="auto" w:before="68"/>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540" w:type="dxa"/>
            <w:tcBorders>
              <w:top w:val="nil" w:sz="6" w:space="0" w:color="auto"/>
              <w:left w:val="nil" w:sz="6" w:space="0" w:color="auto"/>
              <w:bottom w:val="nil" w:sz="6" w:space="0" w:color="auto"/>
              <w:right w:val="nil" w:sz="6" w:space="0" w:color="auto"/>
            </w:tcBorders>
          </w:tcPr>
          <w:p>
            <w:pPr>
              <w:pStyle w:val="TableParagraph"/>
              <w:spacing w:line="241" w:lineRule="exact"/>
              <w:ind w:left="108" w:right="0"/>
              <w:jc w:val="left"/>
              <w:rPr>
                <w:rFonts w:ascii="Calibri" w:hAnsi="Calibri" w:cs="Calibri" w:eastAsia="Calibri" w:hint="default"/>
                <w:sz w:val="22"/>
                <w:szCs w:val="22"/>
              </w:rPr>
            </w:pPr>
            <w:r>
              <w:rPr>
                <w:rFonts w:ascii="Calibri"/>
                <w:sz w:val="22"/>
              </w:rPr>
              <w:t>No</w:t>
            </w:r>
          </w:p>
          <w:p>
            <w:pPr>
              <w:pStyle w:val="TableParagraph"/>
              <w:spacing w:line="240" w:lineRule="auto" w:before="20"/>
              <w:ind w:left="108" w:right="0"/>
              <w:jc w:val="left"/>
              <w:rPr>
                <w:rFonts w:ascii="Calibri" w:hAnsi="Calibri" w:cs="Calibri" w:eastAsia="Calibri" w:hint="default"/>
                <w:sz w:val="22"/>
                <w:szCs w:val="22"/>
              </w:rPr>
            </w:pPr>
            <w:r>
              <w:rPr>
                <w:rFonts w:ascii="Calibri"/>
                <w:sz w:val="22"/>
              </w:rPr>
              <w:t>Yes</w:t>
            </w:r>
          </w:p>
        </w:tc>
        <w:tc>
          <w:tcPr>
            <w:tcW w:w="456" w:type="dxa"/>
            <w:tcBorders>
              <w:top w:val="nil" w:sz="6" w:space="0" w:color="auto"/>
              <w:left w:val="nil" w:sz="6" w:space="0" w:color="auto"/>
              <w:bottom w:val="nil" w:sz="6" w:space="0" w:color="auto"/>
              <w:right w:val="nil" w:sz="6" w:space="0" w:color="auto"/>
            </w:tcBorders>
          </w:tcPr>
          <w:p>
            <w:pPr>
              <w:pStyle w:val="TableParagraph"/>
              <w:spacing w:line="241" w:lineRule="exact"/>
              <w:ind w:left="129" w:right="0"/>
              <w:jc w:val="left"/>
              <w:rPr>
                <w:rFonts w:ascii="Calibri" w:hAnsi="Calibri" w:cs="Calibri" w:eastAsia="Calibri" w:hint="default"/>
                <w:sz w:val="22"/>
                <w:szCs w:val="22"/>
              </w:rPr>
            </w:pPr>
            <w:r>
              <w:rPr>
                <w:rFonts w:ascii="Calibri" w:hAnsi="Calibri" w:cs="Calibri" w:eastAsia="Calibri" w:hint="default"/>
                <w:sz w:val="22"/>
                <w:szCs w:val="22"/>
              </w:rPr>
              <w:t>→</w:t>
            </w:r>
          </w:p>
          <w:p>
            <w:pPr>
              <w:pStyle w:val="TableParagraph"/>
              <w:spacing w:line="240" w:lineRule="auto" w:before="20"/>
              <w:ind w:left="129" w:right="0"/>
              <w:jc w:val="left"/>
              <w:rPr>
                <w:rFonts w:ascii="Calibri" w:hAnsi="Calibri" w:cs="Calibri" w:eastAsia="Calibri" w:hint="default"/>
                <w:sz w:val="22"/>
                <w:szCs w:val="22"/>
              </w:rPr>
            </w:pPr>
            <w:r>
              <w:rPr>
                <w:rFonts w:ascii="Calibri" w:hAnsi="Calibri" w:cs="Calibri" w:eastAsia="Calibri" w:hint="default"/>
                <w:sz w:val="22"/>
                <w:szCs w:val="22"/>
              </w:rPr>
              <w:t>→</w:t>
            </w:r>
          </w:p>
        </w:tc>
        <w:tc>
          <w:tcPr>
            <w:tcW w:w="6498" w:type="dxa"/>
            <w:tcBorders>
              <w:top w:val="nil" w:sz="6" w:space="0" w:color="auto"/>
              <w:left w:val="nil" w:sz="6" w:space="0" w:color="auto"/>
              <w:bottom w:val="nil" w:sz="6" w:space="0" w:color="auto"/>
              <w:right w:val="nil" w:sz="6" w:space="0" w:color="auto"/>
            </w:tcBorders>
          </w:tcPr>
          <w:p>
            <w:pPr>
              <w:pStyle w:val="TableParagraph"/>
              <w:spacing w:line="241" w:lineRule="exact"/>
              <w:ind w:left="127" w:right="0"/>
              <w:jc w:val="left"/>
              <w:rPr>
                <w:rFonts w:ascii="Calibri" w:hAnsi="Calibri" w:cs="Calibri" w:eastAsia="Calibri" w:hint="default"/>
                <w:sz w:val="22"/>
                <w:szCs w:val="22"/>
              </w:rPr>
            </w:pPr>
            <w:r>
              <w:rPr>
                <w:rFonts w:ascii="Calibri"/>
                <w:sz w:val="22"/>
              </w:rPr>
              <w:t>If No, go to question</w:t>
            </w:r>
            <w:r>
              <w:rPr>
                <w:rFonts w:ascii="Calibri"/>
                <w:spacing w:val="-13"/>
                <w:sz w:val="22"/>
              </w:rPr>
              <w:t> </w:t>
            </w:r>
            <w:r>
              <w:rPr>
                <w:rFonts w:ascii="Calibri"/>
                <w:sz w:val="22"/>
              </w:rPr>
              <w:t>#2</w:t>
            </w:r>
          </w:p>
          <w:p>
            <w:pPr>
              <w:pStyle w:val="TableParagraph"/>
              <w:tabs>
                <w:tab w:pos="4109" w:val="left" w:leader="none"/>
                <w:tab w:pos="4820" w:val="left" w:leader="none"/>
              </w:tabs>
              <w:spacing w:line="240" w:lineRule="auto" w:before="20"/>
              <w:ind w:left="127" w:right="0"/>
              <w:jc w:val="left"/>
              <w:rPr>
                <w:rFonts w:ascii="Calibri" w:hAnsi="Calibri" w:cs="Calibri" w:eastAsia="Calibri" w:hint="default"/>
                <w:sz w:val="22"/>
                <w:szCs w:val="22"/>
              </w:rPr>
            </w:pPr>
            <w:r>
              <w:rPr>
                <w:rFonts w:ascii="Calibri"/>
                <w:sz w:val="22"/>
              </w:rPr>
              <w:t>If Yes, how many times in the last</w:t>
            </w:r>
            <w:r>
              <w:rPr>
                <w:rFonts w:ascii="Calibri"/>
                <w:spacing w:val="-15"/>
                <w:sz w:val="22"/>
              </w:rPr>
              <w:t> </w:t>
            </w:r>
            <w:r>
              <w:rPr>
                <w:rFonts w:ascii="Calibri"/>
                <w:sz w:val="22"/>
              </w:rPr>
              <w:t>5</w:t>
            </w:r>
            <w:r>
              <w:rPr>
                <w:rFonts w:ascii="Calibri"/>
                <w:spacing w:val="-1"/>
                <w:sz w:val="22"/>
              </w:rPr>
              <w:t> </w:t>
            </w:r>
            <w:r>
              <w:rPr>
                <w:rFonts w:ascii="Calibri"/>
                <w:sz w:val="22"/>
              </w:rPr>
              <w:t>years?</w:t>
              <w:tab/>
            </w:r>
            <w:r>
              <w:rPr>
                <w:rFonts w:ascii="Calibri"/>
                <w:sz w:val="22"/>
                <w:u w:val="single" w:color="000000"/>
              </w:rPr>
              <w:t> </w:t>
              <w:tab/>
            </w:r>
            <w:r>
              <w:rPr>
                <w:rFonts w:ascii="Calibri"/>
                <w:sz w:val="22"/>
              </w:rPr>
            </w:r>
            <w:r>
              <w:rPr>
                <w:rFonts w:ascii="Calibri"/>
                <w:b/>
                <w:i/>
                <w:sz w:val="22"/>
              </w:rPr>
              <w:t>(enter</w:t>
            </w:r>
            <w:r>
              <w:rPr>
                <w:rFonts w:ascii="Calibri"/>
                <w:b/>
                <w:i/>
                <w:spacing w:val="-8"/>
                <w:sz w:val="22"/>
              </w:rPr>
              <w:t> </w:t>
            </w:r>
            <w:r>
              <w:rPr>
                <w:rFonts w:ascii="Calibri"/>
                <w:b/>
                <w:i/>
                <w:sz w:val="22"/>
              </w:rPr>
              <w:t>number)</w:t>
            </w:r>
            <w:r>
              <w:rPr>
                <w:rFonts w:ascii="Calibri"/>
                <w:sz w:val="22"/>
              </w:rPr>
            </w:r>
          </w:p>
        </w:tc>
        <w:tc>
          <w:tcPr>
            <w:tcW w:w="1815" w:type="dxa"/>
            <w:gridSpan w:val="3"/>
            <w:tcBorders>
              <w:top w:val="nil" w:sz="6" w:space="0" w:color="auto"/>
              <w:left w:val="nil" w:sz="6" w:space="0" w:color="auto"/>
              <w:bottom w:val="nil" w:sz="6" w:space="0" w:color="auto"/>
              <w:right w:val="nil" w:sz="6" w:space="0" w:color="auto"/>
            </w:tcBorders>
          </w:tcPr>
          <w:p>
            <w:pPr/>
          </w:p>
        </w:tc>
      </w:tr>
      <w:tr>
        <w:trPr>
          <w:trHeight w:val="359" w:hRule="exact"/>
        </w:trPr>
        <w:tc>
          <w:tcPr>
            <w:tcW w:w="322" w:type="dxa"/>
            <w:tcBorders>
              <w:top w:val="nil" w:sz="6" w:space="0" w:color="auto"/>
              <w:left w:val="nil" w:sz="6" w:space="0" w:color="auto"/>
              <w:bottom w:val="nil" w:sz="6" w:space="0" w:color="auto"/>
              <w:right w:val="nil" w:sz="6" w:space="0" w:color="auto"/>
            </w:tcBorders>
          </w:tcPr>
          <w:p>
            <w:pPr/>
          </w:p>
        </w:tc>
        <w:tc>
          <w:tcPr>
            <w:tcW w:w="540" w:type="dxa"/>
            <w:tcBorders>
              <w:top w:val="nil" w:sz="6" w:space="0" w:color="auto"/>
              <w:left w:val="nil" w:sz="6" w:space="0" w:color="auto"/>
              <w:bottom w:val="nil" w:sz="6" w:space="0" w:color="auto"/>
              <w:right w:val="nil" w:sz="6" w:space="0" w:color="auto"/>
            </w:tcBorders>
          </w:tcPr>
          <w:p>
            <w:pPr/>
          </w:p>
        </w:tc>
        <w:tc>
          <w:tcPr>
            <w:tcW w:w="456" w:type="dxa"/>
            <w:tcBorders>
              <w:top w:val="nil" w:sz="6" w:space="0" w:color="auto"/>
              <w:left w:val="nil" w:sz="6" w:space="0" w:color="auto"/>
              <w:bottom w:val="nil" w:sz="6" w:space="0" w:color="auto"/>
              <w:right w:val="nil" w:sz="6" w:space="0" w:color="auto"/>
            </w:tcBorders>
          </w:tcPr>
          <w:p>
            <w:pPr>
              <w:pStyle w:val="TableParagraph"/>
              <w:spacing w:line="263" w:lineRule="exact"/>
              <w:ind w:left="129" w:right="0"/>
              <w:jc w:val="left"/>
              <w:rPr>
                <w:rFonts w:ascii="Calibri" w:hAnsi="Calibri" w:cs="Calibri" w:eastAsia="Calibri" w:hint="default"/>
                <w:sz w:val="22"/>
                <w:szCs w:val="22"/>
              </w:rPr>
            </w:pPr>
            <w:r>
              <w:rPr>
                <w:rFonts w:ascii="Calibri" w:hAnsi="Calibri" w:cs="Calibri" w:eastAsia="Calibri" w:hint="default"/>
                <w:sz w:val="22"/>
                <w:szCs w:val="22"/>
              </w:rPr>
              <w:t>→</w:t>
            </w:r>
          </w:p>
        </w:tc>
        <w:tc>
          <w:tcPr>
            <w:tcW w:w="6498" w:type="dxa"/>
            <w:tcBorders>
              <w:top w:val="nil" w:sz="6" w:space="0" w:color="auto"/>
              <w:left w:val="nil" w:sz="6" w:space="0" w:color="auto"/>
              <w:bottom w:val="nil" w:sz="6" w:space="0" w:color="auto"/>
              <w:right w:val="nil" w:sz="6" w:space="0" w:color="auto"/>
            </w:tcBorders>
          </w:tcPr>
          <w:p>
            <w:pPr>
              <w:pStyle w:val="TableParagraph"/>
              <w:tabs>
                <w:tab w:pos="6210" w:val="left" w:leader="none"/>
              </w:tabs>
              <w:spacing w:line="263" w:lineRule="exact"/>
              <w:ind w:left="127" w:right="0"/>
              <w:jc w:val="left"/>
              <w:rPr>
                <w:rFonts w:ascii="Calibri" w:hAnsi="Calibri" w:cs="Calibri" w:eastAsia="Calibri" w:hint="default"/>
                <w:sz w:val="18"/>
                <w:szCs w:val="18"/>
              </w:rPr>
            </w:pPr>
            <w:r>
              <w:rPr>
                <w:rFonts w:ascii="Calibri" w:hAnsi="Calibri" w:cs="Calibri" w:eastAsia="Calibri" w:hint="default"/>
                <w:sz w:val="22"/>
                <w:szCs w:val="22"/>
              </w:rPr>
              <w:t>Were any of these previous visits to Curaçao from</w:t>
            </w:r>
            <w:r>
              <w:rPr>
                <w:rFonts w:ascii="Calibri" w:hAnsi="Calibri" w:cs="Calibri" w:eastAsia="Calibri" w:hint="default"/>
                <w:spacing w:val="-21"/>
                <w:sz w:val="22"/>
                <w:szCs w:val="22"/>
              </w:rPr>
              <w:t> </w:t>
            </w:r>
            <w:r>
              <w:rPr>
                <w:rFonts w:ascii="Calibri" w:hAnsi="Calibri" w:cs="Calibri" w:eastAsia="Calibri" w:hint="default"/>
                <w:sz w:val="22"/>
                <w:szCs w:val="22"/>
              </w:rPr>
              <w:t>a</w:t>
            </w:r>
            <w:r>
              <w:rPr>
                <w:rFonts w:ascii="Calibri" w:hAnsi="Calibri" w:cs="Calibri" w:eastAsia="Calibri" w:hint="default"/>
                <w:spacing w:val="-3"/>
                <w:sz w:val="22"/>
                <w:szCs w:val="22"/>
              </w:rPr>
              <w:t> </w:t>
            </w:r>
            <w:r>
              <w:rPr>
                <w:rFonts w:ascii="Calibri" w:hAnsi="Calibri" w:cs="Calibri" w:eastAsia="Calibri" w:hint="default"/>
                <w:sz w:val="22"/>
                <w:szCs w:val="22"/>
              </w:rPr>
              <w:t>cruise?</w:t>
              <w:tab/>
            </w:r>
            <w:r>
              <w:rPr>
                <w:rFonts w:ascii="Calibri" w:hAnsi="Calibri" w:cs="Calibri" w:eastAsia="Calibri" w:hint="default"/>
                <w:position w:val="1"/>
                <w:sz w:val="18"/>
                <w:szCs w:val="18"/>
              </w:rPr>
              <w:t>⃝</w:t>
            </w:r>
            <w:r>
              <w:rPr>
                <w:rFonts w:ascii="Calibri" w:hAnsi="Calibri" w:cs="Calibri" w:eastAsia="Calibri" w:hint="default"/>
                <w:sz w:val="18"/>
                <w:szCs w:val="18"/>
              </w:rPr>
            </w:r>
          </w:p>
        </w:tc>
        <w:tc>
          <w:tcPr>
            <w:tcW w:w="724" w:type="dxa"/>
            <w:tcBorders>
              <w:top w:val="nil" w:sz="6" w:space="0" w:color="auto"/>
              <w:left w:val="nil" w:sz="6" w:space="0" w:color="auto"/>
              <w:bottom w:val="nil" w:sz="6" w:space="0" w:color="auto"/>
              <w:right w:val="nil" w:sz="6" w:space="0" w:color="auto"/>
            </w:tcBorders>
          </w:tcPr>
          <w:p>
            <w:pPr>
              <w:pStyle w:val="TableParagraph"/>
              <w:spacing w:line="263" w:lineRule="exact"/>
              <w:ind w:left="107" w:right="0"/>
              <w:jc w:val="left"/>
              <w:rPr>
                <w:rFonts w:ascii="Calibri" w:hAnsi="Calibri" w:cs="Calibri" w:eastAsia="Calibri" w:hint="default"/>
                <w:sz w:val="22"/>
                <w:szCs w:val="22"/>
              </w:rPr>
            </w:pPr>
            <w:r>
              <w:rPr>
                <w:rFonts w:ascii="Calibri"/>
                <w:sz w:val="22"/>
              </w:rPr>
              <w:t>No</w:t>
            </w:r>
          </w:p>
        </w:tc>
        <w:tc>
          <w:tcPr>
            <w:tcW w:w="646" w:type="dxa"/>
            <w:tcBorders>
              <w:top w:val="nil" w:sz="6" w:space="0" w:color="auto"/>
              <w:left w:val="nil" w:sz="6" w:space="0" w:color="auto"/>
              <w:bottom w:val="nil" w:sz="6" w:space="0" w:color="auto"/>
              <w:right w:val="nil" w:sz="6" w:space="0" w:color="auto"/>
            </w:tcBorders>
          </w:tcPr>
          <w:p>
            <w:pPr>
              <w:pStyle w:val="TableParagraph"/>
              <w:spacing w:line="240" w:lineRule="auto" w:before="19"/>
              <w:ind w:left="359"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444" w:type="dxa"/>
            <w:tcBorders>
              <w:top w:val="nil" w:sz="6" w:space="0" w:color="auto"/>
              <w:left w:val="nil" w:sz="6" w:space="0" w:color="auto"/>
              <w:bottom w:val="nil" w:sz="6" w:space="0" w:color="auto"/>
              <w:right w:val="nil" w:sz="6" w:space="0" w:color="auto"/>
            </w:tcBorders>
          </w:tcPr>
          <w:p>
            <w:pPr>
              <w:pStyle w:val="TableParagraph"/>
              <w:spacing w:line="263" w:lineRule="exact"/>
              <w:ind w:left="107" w:right="0"/>
              <w:jc w:val="left"/>
              <w:rPr>
                <w:rFonts w:ascii="Calibri" w:hAnsi="Calibri" w:cs="Calibri" w:eastAsia="Calibri" w:hint="default"/>
                <w:sz w:val="22"/>
                <w:szCs w:val="22"/>
              </w:rPr>
            </w:pPr>
            <w:r>
              <w:rPr>
                <w:rFonts w:ascii="Calibri"/>
                <w:sz w:val="22"/>
              </w:rPr>
              <w:t>Yes</w:t>
            </w:r>
          </w:p>
        </w:tc>
      </w:tr>
    </w:tbl>
    <w:p>
      <w:pPr>
        <w:spacing w:line="240" w:lineRule="auto" w:before="6"/>
        <w:ind w:right="0"/>
        <w:rPr>
          <w:rFonts w:ascii="Calibri" w:hAnsi="Calibri" w:cs="Calibri" w:eastAsia="Calibri" w:hint="default"/>
          <w:b/>
          <w:bCs/>
          <w:sz w:val="10"/>
          <w:szCs w:val="10"/>
        </w:rPr>
      </w:pPr>
    </w:p>
    <w:p>
      <w:pPr>
        <w:pStyle w:val="ListParagraph"/>
        <w:numPr>
          <w:ilvl w:val="0"/>
          <w:numId w:val="23"/>
        </w:numPr>
        <w:tabs>
          <w:tab w:pos="620" w:val="left" w:leader="none"/>
          <w:tab w:pos="4811" w:val="left" w:leader="none"/>
          <w:tab w:pos="6551" w:val="left" w:leader="none"/>
        </w:tabs>
        <w:spacing w:line="240" w:lineRule="auto" w:before="55" w:after="0"/>
        <w:ind w:left="619" w:right="0" w:hanging="220"/>
        <w:jc w:val="left"/>
        <w:rPr>
          <w:rFonts w:ascii="Calibri" w:hAnsi="Calibri" w:cs="Calibri" w:eastAsia="Calibri" w:hint="default"/>
          <w:sz w:val="22"/>
          <w:szCs w:val="22"/>
        </w:rPr>
      </w:pPr>
      <w:r>
        <w:rPr>
          <w:rFonts w:ascii="Calibri" w:hAnsi="Calibri"/>
          <w:b/>
          <w:position w:val="1"/>
          <w:sz w:val="22"/>
        </w:rPr>
        <w:t>How many nights did you stay</w:t>
      </w:r>
      <w:r>
        <w:rPr>
          <w:rFonts w:ascii="Calibri" w:hAnsi="Calibri"/>
          <w:b/>
          <w:spacing w:val="-14"/>
          <w:position w:val="1"/>
          <w:sz w:val="22"/>
        </w:rPr>
        <w:t> </w:t>
      </w:r>
      <w:r>
        <w:rPr>
          <w:rFonts w:ascii="Calibri" w:hAnsi="Calibri"/>
          <w:b/>
          <w:position w:val="1"/>
          <w:sz w:val="22"/>
        </w:rPr>
        <w:t>in</w:t>
      </w:r>
      <w:r>
        <w:rPr>
          <w:rFonts w:ascii="Calibri" w:hAnsi="Calibri"/>
          <w:b/>
          <w:spacing w:val="-1"/>
          <w:position w:val="1"/>
          <w:sz w:val="22"/>
        </w:rPr>
        <w:t> </w:t>
      </w:r>
      <w:r>
        <w:rPr>
          <w:rFonts w:ascii="Calibri" w:hAnsi="Calibri"/>
          <w:b/>
          <w:position w:val="1"/>
          <w:sz w:val="22"/>
        </w:rPr>
        <w:t>Curaçao?</w:t>
        <w:tab/>
      </w:r>
      <w:r>
        <w:rPr>
          <w:rFonts w:ascii="Calibri" w:hAnsi="Calibri"/>
          <w:b/>
          <w:position w:val="1"/>
          <w:sz w:val="22"/>
          <w:u w:val="single" w:color="000000"/>
        </w:rPr>
        <w:t> </w:t>
        <w:tab/>
      </w:r>
      <w:r>
        <w:rPr>
          <w:rFonts w:ascii="Calibri" w:hAnsi="Calibri"/>
          <w:b/>
          <w:position w:val="1"/>
          <w:sz w:val="22"/>
        </w:rPr>
      </w:r>
      <w:r>
        <w:rPr>
          <w:rFonts w:ascii="Calibri" w:hAnsi="Calibri"/>
          <w:i/>
          <w:sz w:val="22"/>
        </w:rPr>
        <w:t>(</w:t>
      </w:r>
      <w:r>
        <w:rPr>
          <w:rFonts w:ascii="Calibri" w:hAnsi="Calibri"/>
          <w:b/>
          <w:i/>
          <w:sz w:val="22"/>
        </w:rPr>
        <w:t>Please enter number of</w:t>
      </w:r>
      <w:r>
        <w:rPr>
          <w:rFonts w:ascii="Calibri" w:hAnsi="Calibri"/>
          <w:b/>
          <w:i/>
          <w:spacing w:val="-16"/>
          <w:sz w:val="22"/>
        </w:rPr>
        <w:t> </w:t>
      </w:r>
      <w:r>
        <w:rPr>
          <w:rFonts w:ascii="Calibri" w:hAnsi="Calibri"/>
          <w:b/>
          <w:i/>
          <w:sz w:val="22"/>
        </w:rPr>
        <w:t>nights)</w:t>
      </w:r>
      <w:r>
        <w:rPr>
          <w:rFonts w:ascii="Calibri" w:hAnsi="Calibri"/>
          <w:sz w:val="22"/>
        </w:rPr>
      </w:r>
    </w:p>
    <w:p>
      <w:pPr>
        <w:spacing w:line="240" w:lineRule="auto" w:before="11"/>
        <w:ind w:right="0"/>
        <w:rPr>
          <w:rFonts w:ascii="Calibri" w:hAnsi="Calibri" w:cs="Calibri" w:eastAsia="Calibri" w:hint="default"/>
          <w:b/>
          <w:bCs/>
          <w:i/>
          <w:sz w:val="19"/>
          <w:szCs w:val="19"/>
        </w:rPr>
      </w:pPr>
    </w:p>
    <w:p>
      <w:pPr>
        <w:pStyle w:val="ListParagraph"/>
        <w:numPr>
          <w:ilvl w:val="0"/>
          <w:numId w:val="23"/>
        </w:numPr>
        <w:tabs>
          <w:tab w:pos="619" w:val="left" w:leader="none"/>
        </w:tabs>
        <w:spacing w:line="240" w:lineRule="auto" w:before="55" w:after="36"/>
        <w:ind w:left="618" w:right="0" w:hanging="219"/>
        <w:jc w:val="left"/>
        <w:rPr>
          <w:rFonts w:ascii="Calibri" w:hAnsi="Calibri" w:cs="Calibri" w:eastAsia="Calibri" w:hint="default"/>
          <w:sz w:val="22"/>
          <w:szCs w:val="22"/>
        </w:rPr>
      </w:pPr>
      <w:r>
        <w:rPr>
          <w:rFonts w:ascii="Calibri" w:hAnsi="Calibri"/>
          <w:b/>
          <w:sz w:val="22"/>
        </w:rPr>
        <w:t>Where did you </w:t>
      </w:r>
      <w:r>
        <w:rPr>
          <w:rFonts w:ascii="Calibri" w:hAnsi="Calibri"/>
          <w:b/>
          <w:spacing w:val="-3"/>
          <w:sz w:val="22"/>
        </w:rPr>
        <w:t>stay </w:t>
      </w:r>
      <w:r>
        <w:rPr>
          <w:rFonts w:ascii="Calibri" w:hAnsi="Calibri"/>
          <w:b/>
          <w:sz w:val="22"/>
        </w:rPr>
        <w:t>during your visit in Curaçao? </w:t>
      </w:r>
      <w:r>
        <w:rPr>
          <w:rFonts w:ascii="Calibri" w:hAnsi="Calibri"/>
          <w:b/>
          <w:i/>
          <w:sz w:val="22"/>
        </w:rPr>
        <w:t>(Please check only</w:t>
      </w:r>
      <w:r>
        <w:rPr>
          <w:rFonts w:ascii="Calibri" w:hAnsi="Calibri"/>
          <w:b/>
          <w:i/>
          <w:spacing w:val="-30"/>
          <w:sz w:val="22"/>
        </w:rPr>
        <w:t> </w:t>
      </w:r>
      <w:r>
        <w:rPr>
          <w:rFonts w:ascii="Calibri" w:hAnsi="Calibri"/>
          <w:b/>
          <w:i/>
          <w:sz w:val="22"/>
        </w:rPr>
        <w:t>one)</w:t>
      </w:r>
      <w:r>
        <w:rPr>
          <w:rFonts w:ascii="Calibri" w:hAnsi="Calibri"/>
          <w:sz w:val="22"/>
        </w:rPr>
      </w:r>
    </w:p>
    <w:tbl>
      <w:tblPr>
        <w:tblW w:w="0" w:type="auto"/>
        <w:jc w:val="left"/>
        <w:tblInd w:w="364" w:type="dxa"/>
        <w:tblLayout w:type="fixed"/>
        <w:tblCellMar>
          <w:top w:w="0" w:type="dxa"/>
          <w:left w:w="0" w:type="dxa"/>
          <w:bottom w:w="0" w:type="dxa"/>
          <w:right w:w="0" w:type="dxa"/>
        </w:tblCellMar>
        <w:tblLook w:val="01E0"/>
      </w:tblPr>
      <w:tblGrid>
        <w:gridCol w:w="322"/>
        <w:gridCol w:w="3789"/>
        <w:gridCol w:w="1486"/>
        <w:gridCol w:w="4021"/>
      </w:tblGrid>
      <w:tr>
        <w:trPr>
          <w:trHeight w:val="274"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195"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789"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Hotel</w:t>
            </w:r>
          </w:p>
        </w:tc>
        <w:tc>
          <w:tcPr>
            <w:tcW w:w="1486" w:type="dxa"/>
            <w:tcBorders>
              <w:top w:val="nil" w:sz="6" w:space="0" w:color="auto"/>
              <w:left w:val="nil" w:sz="6" w:space="0" w:color="auto"/>
              <w:bottom w:val="nil" w:sz="6" w:space="0" w:color="auto"/>
              <w:right w:val="nil" w:sz="6" w:space="0" w:color="auto"/>
            </w:tcBorders>
          </w:tcPr>
          <w:p>
            <w:pPr>
              <w:pStyle w:val="TableParagraph"/>
              <w:spacing w:line="195"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4021"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Bed &amp; breakfast/room in a particular</w:t>
            </w:r>
            <w:r>
              <w:rPr>
                <w:rFonts w:ascii="Calibri"/>
                <w:spacing w:val="-24"/>
                <w:sz w:val="22"/>
              </w:rPr>
              <w:t> </w:t>
            </w:r>
            <w:r>
              <w:rPr>
                <w:rFonts w:ascii="Calibri"/>
                <w:sz w:val="22"/>
              </w:rPr>
              <w:t>house</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09"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789"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Your own</w:t>
            </w:r>
            <w:r>
              <w:rPr>
                <w:rFonts w:ascii="Calibri"/>
                <w:spacing w:val="-17"/>
                <w:sz w:val="22"/>
              </w:rPr>
              <w:t> </w:t>
            </w:r>
            <w:r>
              <w:rPr>
                <w:rFonts w:ascii="Calibri"/>
                <w:sz w:val="22"/>
              </w:rPr>
              <w:t>house/apartment</w:t>
            </w:r>
          </w:p>
        </w:tc>
        <w:tc>
          <w:tcPr>
            <w:tcW w:w="1486" w:type="dxa"/>
            <w:tcBorders>
              <w:top w:val="nil" w:sz="6" w:space="0" w:color="auto"/>
              <w:left w:val="nil" w:sz="6" w:space="0" w:color="auto"/>
              <w:bottom w:val="nil" w:sz="6" w:space="0" w:color="auto"/>
              <w:right w:val="nil" w:sz="6" w:space="0" w:color="auto"/>
            </w:tcBorders>
          </w:tcPr>
          <w:p>
            <w:pPr>
              <w:pStyle w:val="TableParagraph"/>
              <w:spacing w:line="209"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4021"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Rented</w:t>
            </w:r>
            <w:r>
              <w:rPr>
                <w:rFonts w:ascii="Calibri"/>
                <w:spacing w:val="-14"/>
                <w:sz w:val="22"/>
              </w:rPr>
              <w:t> </w:t>
            </w:r>
            <w:r>
              <w:rPr>
                <w:rFonts w:ascii="Calibri"/>
                <w:sz w:val="22"/>
              </w:rPr>
              <w:t>house/apartment</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09"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789"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Timeshare</w:t>
            </w:r>
          </w:p>
        </w:tc>
        <w:tc>
          <w:tcPr>
            <w:tcW w:w="1486" w:type="dxa"/>
            <w:tcBorders>
              <w:top w:val="nil" w:sz="6" w:space="0" w:color="auto"/>
              <w:left w:val="nil" w:sz="6" w:space="0" w:color="auto"/>
              <w:bottom w:val="nil" w:sz="6" w:space="0" w:color="auto"/>
              <w:right w:val="nil" w:sz="6" w:space="0" w:color="auto"/>
            </w:tcBorders>
          </w:tcPr>
          <w:p>
            <w:pPr>
              <w:pStyle w:val="TableParagraph"/>
              <w:spacing w:line="209"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4021"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All inclusive</w:t>
            </w:r>
            <w:r>
              <w:rPr>
                <w:rFonts w:ascii="Calibri"/>
                <w:spacing w:val="-7"/>
                <w:sz w:val="22"/>
              </w:rPr>
              <w:t> </w:t>
            </w:r>
            <w:r>
              <w:rPr>
                <w:rFonts w:ascii="Calibri"/>
                <w:sz w:val="22"/>
              </w:rPr>
              <w:t>resort</w:t>
            </w:r>
          </w:p>
        </w:tc>
      </w:tr>
      <w:tr>
        <w:trPr>
          <w:trHeight w:val="362"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09"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789"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With friends and</w:t>
            </w:r>
            <w:r>
              <w:rPr>
                <w:rFonts w:ascii="Calibri"/>
                <w:spacing w:val="-17"/>
                <w:sz w:val="22"/>
              </w:rPr>
              <w:t> </w:t>
            </w:r>
            <w:r>
              <w:rPr>
                <w:rFonts w:ascii="Calibri"/>
                <w:sz w:val="22"/>
              </w:rPr>
              <w:t>family</w:t>
            </w:r>
          </w:p>
        </w:tc>
        <w:tc>
          <w:tcPr>
            <w:tcW w:w="1486" w:type="dxa"/>
            <w:tcBorders>
              <w:top w:val="nil" w:sz="6" w:space="0" w:color="auto"/>
              <w:left w:val="nil" w:sz="6" w:space="0" w:color="auto"/>
              <w:bottom w:val="nil" w:sz="6" w:space="0" w:color="auto"/>
              <w:right w:val="nil" w:sz="6" w:space="0" w:color="auto"/>
            </w:tcBorders>
          </w:tcPr>
          <w:p>
            <w:pPr>
              <w:pStyle w:val="TableParagraph"/>
              <w:spacing w:line="209"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4021" w:type="dxa"/>
            <w:tcBorders>
              <w:top w:val="nil" w:sz="6" w:space="0" w:color="auto"/>
              <w:left w:val="nil" w:sz="6" w:space="0" w:color="auto"/>
              <w:bottom w:val="nil" w:sz="6" w:space="0" w:color="auto"/>
              <w:right w:val="nil" w:sz="6" w:space="0" w:color="auto"/>
            </w:tcBorders>
          </w:tcPr>
          <w:p>
            <w:pPr>
              <w:pStyle w:val="TableParagraph"/>
              <w:tabs>
                <w:tab w:pos="3021" w:val="left" w:leader="none"/>
              </w:tabs>
              <w:spacing w:line="267" w:lineRule="exact"/>
              <w:ind w:left="107" w:right="0"/>
              <w:jc w:val="left"/>
              <w:rPr>
                <w:rFonts w:ascii="Calibri" w:hAnsi="Calibri" w:cs="Calibri" w:eastAsia="Calibri" w:hint="default"/>
                <w:sz w:val="22"/>
                <w:szCs w:val="22"/>
              </w:rPr>
            </w:pPr>
            <w:r>
              <w:rPr>
                <w:rFonts w:ascii="Calibri"/>
                <w:sz w:val="22"/>
              </w:rPr>
              <w:t>Other</w:t>
            </w:r>
            <w:r>
              <w:rPr>
                <w:rFonts w:ascii="Calibri"/>
                <w:spacing w:val="1"/>
                <w:sz w:val="22"/>
              </w:rPr>
              <w:t> </w:t>
            </w:r>
            <w:r>
              <w:rPr>
                <w:rFonts w:ascii="Calibri"/>
                <w:spacing w:val="1"/>
                <w:w w:val="99"/>
                <w:sz w:val="22"/>
              </w:rPr>
            </w:r>
            <w:r>
              <w:rPr>
                <w:rFonts w:ascii="Calibri"/>
                <w:w w:val="99"/>
                <w:sz w:val="22"/>
                <w:u w:val="single" w:color="000000"/>
              </w:rPr>
              <w:t> </w:t>
            </w:r>
            <w:r>
              <w:rPr>
                <w:rFonts w:ascii="Calibri"/>
                <w:sz w:val="22"/>
                <w:u w:val="single" w:color="000000"/>
              </w:rPr>
              <w:tab/>
            </w:r>
            <w:r>
              <w:rPr>
                <w:rFonts w:ascii="Calibri"/>
                <w:sz w:val="22"/>
              </w:rPr>
            </w:r>
          </w:p>
        </w:tc>
      </w:tr>
    </w:tbl>
    <w:p>
      <w:pPr>
        <w:spacing w:line="240" w:lineRule="auto" w:before="3"/>
        <w:ind w:right="0"/>
        <w:rPr>
          <w:rFonts w:ascii="Calibri" w:hAnsi="Calibri" w:cs="Calibri" w:eastAsia="Calibri" w:hint="default"/>
          <w:b/>
          <w:bCs/>
          <w:i/>
          <w:sz w:val="11"/>
          <w:szCs w:val="11"/>
        </w:rPr>
      </w:pPr>
    </w:p>
    <w:p>
      <w:pPr>
        <w:pStyle w:val="ListParagraph"/>
        <w:numPr>
          <w:ilvl w:val="0"/>
          <w:numId w:val="23"/>
        </w:numPr>
        <w:tabs>
          <w:tab w:pos="618" w:val="left" w:leader="none"/>
          <w:tab w:pos="5738" w:val="left" w:leader="none"/>
          <w:tab w:pos="8957" w:val="left" w:leader="none"/>
        </w:tabs>
        <w:spacing w:line="240" w:lineRule="auto" w:before="55" w:after="0"/>
        <w:ind w:left="617" w:right="0" w:hanging="219"/>
        <w:jc w:val="left"/>
        <w:rPr>
          <w:rFonts w:ascii="Calibri" w:hAnsi="Calibri" w:cs="Calibri" w:eastAsia="Calibri" w:hint="default"/>
          <w:sz w:val="22"/>
          <w:szCs w:val="22"/>
        </w:rPr>
      </w:pPr>
      <w:r>
        <w:rPr>
          <w:rFonts w:ascii="Calibri"/>
          <w:b/>
          <w:sz w:val="22"/>
        </w:rPr>
        <w:t>What was the name of the</w:t>
      </w:r>
      <w:r>
        <w:rPr>
          <w:rFonts w:ascii="Calibri"/>
          <w:b/>
          <w:spacing w:val="-15"/>
          <w:sz w:val="22"/>
        </w:rPr>
        <w:t> </w:t>
      </w:r>
      <w:r>
        <w:rPr>
          <w:rFonts w:ascii="Calibri"/>
          <w:b/>
          <w:sz w:val="22"/>
        </w:rPr>
        <w:t>accommodation?</w:t>
        <w:tab/>
      </w:r>
      <w:r>
        <w:rPr>
          <w:rFonts w:ascii="Calibri"/>
          <w:b/>
          <w:w w:val="99"/>
          <w:sz w:val="22"/>
        </w:rPr>
      </w:r>
      <w:r>
        <w:rPr>
          <w:rFonts w:ascii="Calibri"/>
          <w:b/>
          <w:w w:val="99"/>
          <w:sz w:val="22"/>
          <w:u w:val="single" w:color="000000"/>
        </w:rPr>
        <w:t> </w:t>
      </w:r>
      <w:r>
        <w:rPr>
          <w:rFonts w:ascii="Calibri"/>
          <w:b/>
          <w:sz w:val="22"/>
          <w:u w:val="single" w:color="000000"/>
        </w:rPr>
        <w:tab/>
      </w:r>
      <w:r>
        <w:rPr>
          <w:rFonts w:ascii="Calibri"/>
          <w:b/>
          <w:sz w:val="22"/>
        </w:rPr>
      </w:r>
      <w:r>
        <w:rPr>
          <w:rFonts w:ascii="Calibri"/>
          <w:sz w:val="22"/>
        </w:rPr>
      </w:r>
    </w:p>
    <w:p>
      <w:pPr>
        <w:spacing w:line="240" w:lineRule="auto" w:before="12"/>
        <w:ind w:right="0"/>
        <w:rPr>
          <w:rFonts w:ascii="Calibri" w:hAnsi="Calibri" w:cs="Calibri" w:eastAsia="Calibri" w:hint="default"/>
          <w:b/>
          <w:bCs/>
          <w:sz w:val="18"/>
          <w:szCs w:val="18"/>
        </w:rPr>
      </w:pPr>
    </w:p>
    <w:p>
      <w:pPr>
        <w:pStyle w:val="ListParagraph"/>
        <w:numPr>
          <w:ilvl w:val="0"/>
          <w:numId w:val="23"/>
        </w:numPr>
        <w:tabs>
          <w:tab w:pos="612" w:val="left" w:leader="none"/>
        </w:tabs>
        <w:spacing w:line="240" w:lineRule="auto" w:before="55" w:after="36"/>
        <w:ind w:left="611" w:right="0" w:hanging="219"/>
        <w:jc w:val="left"/>
        <w:rPr>
          <w:rFonts w:ascii="Calibri" w:hAnsi="Calibri" w:cs="Calibri" w:eastAsia="Calibri" w:hint="default"/>
          <w:sz w:val="22"/>
          <w:szCs w:val="22"/>
        </w:rPr>
      </w:pPr>
      <w:r>
        <w:rPr>
          <w:rFonts w:ascii="Calibri"/>
          <w:b/>
          <w:sz w:val="22"/>
        </w:rPr>
        <w:t>Which of the following best describes the purpose of your trip? </w:t>
      </w:r>
      <w:r>
        <w:rPr>
          <w:rFonts w:ascii="Calibri"/>
          <w:i/>
          <w:sz w:val="22"/>
        </w:rPr>
        <w:t>(Please check only</w:t>
      </w:r>
      <w:r>
        <w:rPr>
          <w:rFonts w:ascii="Calibri"/>
          <w:i/>
          <w:spacing w:val="-31"/>
          <w:sz w:val="22"/>
        </w:rPr>
        <w:t> </w:t>
      </w:r>
      <w:r>
        <w:rPr>
          <w:rFonts w:ascii="Calibri"/>
          <w:i/>
          <w:sz w:val="22"/>
        </w:rPr>
        <w:t>one)</w:t>
      </w:r>
      <w:r>
        <w:rPr>
          <w:rFonts w:ascii="Calibri"/>
          <w:sz w:val="22"/>
        </w:rPr>
      </w:r>
    </w:p>
    <w:tbl>
      <w:tblPr>
        <w:tblW w:w="0" w:type="auto"/>
        <w:jc w:val="left"/>
        <w:tblInd w:w="357" w:type="dxa"/>
        <w:tblLayout w:type="fixed"/>
        <w:tblCellMar>
          <w:top w:w="0" w:type="dxa"/>
          <w:left w:w="0" w:type="dxa"/>
          <w:bottom w:w="0" w:type="dxa"/>
          <w:right w:w="0" w:type="dxa"/>
        </w:tblCellMar>
        <w:tblLook w:val="01E0"/>
      </w:tblPr>
      <w:tblGrid>
        <w:gridCol w:w="322"/>
        <w:gridCol w:w="3560"/>
        <w:gridCol w:w="1691"/>
        <w:gridCol w:w="3057"/>
      </w:tblGrid>
      <w:tr>
        <w:trPr>
          <w:trHeight w:val="274"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195"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560"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Business</w:t>
            </w:r>
          </w:p>
        </w:tc>
        <w:tc>
          <w:tcPr>
            <w:tcW w:w="1691" w:type="dxa"/>
            <w:tcBorders>
              <w:top w:val="nil" w:sz="6" w:space="0" w:color="auto"/>
              <w:left w:val="nil" w:sz="6" w:space="0" w:color="auto"/>
              <w:bottom w:val="nil" w:sz="6" w:space="0" w:color="auto"/>
              <w:right w:val="nil" w:sz="6" w:space="0" w:color="auto"/>
            </w:tcBorders>
          </w:tcPr>
          <w:p>
            <w:pPr>
              <w:pStyle w:val="TableParagraph"/>
              <w:spacing w:line="195"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057"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Wedding/honeymoon</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09"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560"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Conference</w:t>
            </w:r>
          </w:p>
        </w:tc>
        <w:tc>
          <w:tcPr>
            <w:tcW w:w="1691" w:type="dxa"/>
            <w:tcBorders>
              <w:top w:val="nil" w:sz="6" w:space="0" w:color="auto"/>
              <w:left w:val="nil" w:sz="6" w:space="0" w:color="auto"/>
              <w:bottom w:val="nil" w:sz="6" w:space="0" w:color="auto"/>
              <w:right w:val="nil" w:sz="6" w:space="0" w:color="auto"/>
            </w:tcBorders>
          </w:tcPr>
          <w:p>
            <w:pPr>
              <w:pStyle w:val="TableParagraph"/>
              <w:spacing w:line="209"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057"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Events</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09"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560"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Shopping</w:t>
            </w:r>
          </w:p>
        </w:tc>
        <w:tc>
          <w:tcPr>
            <w:tcW w:w="1691" w:type="dxa"/>
            <w:tcBorders>
              <w:top w:val="nil" w:sz="6" w:space="0" w:color="auto"/>
              <w:left w:val="nil" w:sz="6" w:space="0" w:color="auto"/>
              <w:bottom w:val="nil" w:sz="6" w:space="0" w:color="auto"/>
              <w:right w:val="nil" w:sz="6" w:space="0" w:color="auto"/>
            </w:tcBorders>
          </w:tcPr>
          <w:p>
            <w:pPr>
              <w:pStyle w:val="TableParagraph"/>
              <w:spacing w:line="209"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057"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Incentive</w:t>
            </w:r>
            <w:r>
              <w:rPr>
                <w:rFonts w:ascii="Calibri"/>
                <w:spacing w:val="-8"/>
                <w:sz w:val="22"/>
              </w:rPr>
              <w:t> </w:t>
            </w:r>
            <w:r>
              <w:rPr>
                <w:rFonts w:ascii="Calibri"/>
                <w:sz w:val="22"/>
              </w:rPr>
              <w:t>travel</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09"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560"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Cultural</w:t>
            </w:r>
            <w:r>
              <w:rPr>
                <w:rFonts w:ascii="Calibri"/>
                <w:spacing w:val="-9"/>
                <w:sz w:val="22"/>
              </w:rPr>
              <w:t> </w:t>
            </w:r>
            <w:r>
              <w:rPr>
                <w:rFonts w:ascii="Calibri"/>
                <w:sz w:val="22"/>
              </w:rPr>
              <w:t>tourism</w:t>
            </w:r>
          </w:p>
        </w:tc>
        <w:tc>
          <w:tcPr>
            <w:tcW w:w="1691" w:type="dxa"/>
            <w:tcBorders>
              <w:top w:val="nil" w:sz="6" w:space="0" w:color="auto"/>
              <w:left w:val="nil" w:sz="6" w:space="0" w:color="auto"/>
              <w:bottom w:val="nil" w:sz="6" w:space="0" w:color="auto"/>
              <w:right w:val="nil" w:sz="6" w:space="0" w:color="auto"/>
            </w:tcBorders>
          </w:tcPr>
          <w:p>
            <w:pPr>
              <w:pStyle w:val="TableParagraph"/>
              <w:spacing w:line="209"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057"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Visiting friends and</w:t>
            </w:r>
            <w:r>
              <w:rPr>
                <w:rFonts w:ascii="Calibri"/>
                <w:spacing w:val="-12"/>
                <w:sz w:val="22"/>
              </w:rPr>
              <w:t> </w:t>
            </w:r>
            <w:r>
              <w:rPr>
                <w:rFonts w:ascii="Calibri"/>
                <w:sz w:val="22"/>
              </w:rPr>
              <w:t>family</w:t>
            </w:r>
          </w:p>
        </w:tc>
      </w:tr>
      <w:tr>
        <w:trPr>
          <w:trHeight w:val="362"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09" w:lineRule="exact"/>
              <w:ind w:right="70"/>
              <w:jc w:val="center"/>
              <w:rPr>
                <w:rFonts w:ascii="Calibri" w:hAnsi="Calibri" w:cs="Calibri" w:eastAsia="Calibri" w:hint="default"/>
                <w:sz w:val="18"/>
                <w:szCs w:val="18"/>
              </w:rPr>
            </w:pPr>
            <w:r>
              <w:rPr>
                <w:rFonts w:ascii="Calibri" w:hAnsi="Calibri" w:cs="Calibri" w:eastAsia="Calibri" w:hint="default"/>
                <w:sz w:val="18"/>
                <w:szCs w:val="18"/>
              </w:rPr>
              <w:t>⃝</w:t>
            </w:r>
          </w:p>
        </w:tc>
        <w:tc>
          <w:tcPr>
            <w:tcW w:w="3560" w:type="dxa"/>
            <w:tcBorders>
              <w:top w:val="nil" w:sz="6" w:space="0" w:color="auto"/>
              <w:left w:val="nil" w:sz="6" w:space="0" w:color="auto"/>
              <w:bottom w:val="nil" w:sz="6" w:space="0" w:color="auto"/>
              <w:right w:val="nil" w:sz="6" w:space="0" w:color="auto"/>
            </w:tcBorders>
          </w:tcPr>
          <w:p>
            <w:pPr>
              <w:pStyle w:val="TableParagraph"/>
              <w:spacing w:line="267" w:lineRule="exact"/>
              <w:ind w:left="107" w:right="0"/>
              <w:jc w:val="left"/>
              <w:rPr>
                <w:rFonts w:ascii="Calibri" w:hAnsi="Calibri" w:cs="Calibri" w:eastAsia="Calibri" w:hint="default"/>
                <w:sz w:val="22"/>
                <w:szCs w:val="22"/>
              </w:rPr>
            </w:pPr>
            <w:r>
              <w:rPr>
                <w:rFonts w:ascii="Calibri"/>
                <w:sz w:val="22"/>
              </w:rPr>
              <w:t>Sun and beach</w:t>
            </w:r>
            <w:r>
              <w:rPr>
                <w:rFonts w:ascii="Calibri"/>
                <w:spacing w:val="-16"/>
                <w:sz w:val="22"/>
              </w:rPr>
              <w:t> </w:t>
            </w:r>
            <w:r>
              <w:rPr>
                <w:rFonts w:ascii="Calibri"/>
                <w:sz w:val="22"/>
              </w:rPr>
              <w:t>tourism</w:t>
            </w:r>
          </w:p>
        </w:tc>
        <w:tc>
          <w:tcPr>
            <w:tcW w:w="1691" w:type="dxa"/>
            <w:tcBorders>
              <w:top w:val="nil" w:sz="6" w:space="0" w:color="auto"/>
              <w:left w:val="nil" w:sz="6" w:space="0" w:color="auto"/>
              <w:bottom w:val="nil" w:sz="6" w:space="0" w:color="auto"/>
              <w:right w:val="nil" w:sz="6" w:space="0" w:color="auto"/>
            </w:tcBorders>
          </w:tcPr>
          <w:p>
            <w:pPr>
              <w:pStyle w:val="TableParagraph"/>
              <w:spacing w:line="209" w:lineRule="exact"/>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057" w:type="dxa"/>
            <w:tcBorders>
              <w:top w:val="nil" w:sz="6" w:space="0" w:color="auto"/>
              <w:left w:val="nil" w:sz="6" w:space="0" w:color="auto"/>
              <w:bottom w:val="nil" w:sz="6" w:space="0" w:color="auto"/>
              <w:right w:val="nil" w:sz="6" w:space="0" w:color="auto"/>
            </w:tcBorders>
          </w:tcPr>
          <w:p>
            <w:pPr>
              <w:pStyle w:val="TableParagraph"/>
              <w:tabs>
                <w:tab w:pos="3021" w:val="left" w:leader="none"/>
              </w:tabs>
              <w:spacing w:line="267" w:lineRule="exact"/>
              <w:ind w:left="107" w:right="0"/>
              <w:jc w:val="left"/>
              <w:rPr>
                <w:rFonts w:ascii="Calibri" w:hAnsi="Calibri" w:cs="Calibri" w:eastAsia="Calibri" w:hint="default"/>
                <w:sz w:val="22"/>
                <w:szCs w:val="22"/>
              </w:rPr>
            </w:pPr>
            <w:r>
              <w:rPr>
                <w:rFonts w:ascii="Calibri"/>
                <w:sz w:val="22"/>
              </w:rPr>
              <w:t>Other</w:t>
            </w:r>
            <w:r>
              <w:rPr>
                <w:rFonts w:ascii="Calibri"/>
                <w:spacing w:val="1"/>
                <w:sz w:val="22"/>
              </w:rPr>
              <w:t> </w:t>
            </w:r>
            <w:r>
              <w:rPr>
                <w:rFonts w:ascii="Calibri"/>
                <w:spacing w:val="1"/>
                <w:w w:val="99"/>
                <w:sz w:val="22"/>
              </w:rPr>
            </w:r>
            <w:r>
              <w:rPr>
                <w:rFonts w:ascii="Calibri"/>
                <w:w w:val="99"/>
                <w:sz w:val="22"/>
                <w:u w:val="single" w:color="000000"/>
              </w:rPr>
              <w:t> </w:t>
            </w:r>
            <w:r>
              <w:rPr>
                <w:rFonts w:ascii="Calibri"/>
                <w:sz w:val="22"/>
                <w:u w:val="single" w:color="000000"/>
              </w:rPr>
              <w:tab/>
            </w:r>
            <w:r>
              <w:rPr>
                <w:rFonts w:ascii="Calibri"/>
                <w:sz w:val="22"/>
              </w:rPr>
            </w:r>
          </w:p>
        </w:tc>
      </w:tr>
    </w:tbl>
    <w:p>
      <w:pPr>
        <w:spacing w:line="240" w:lineRule="auto" w:before="3"/>
        <w:ind w:right="0"/>
        <w:rPr>
          <w:rFonts w:ascii="Calibri" w:hAnsi="Calibri" w:cs="Calibri" w:eastAsia="Calibri" w:hint="default"/>
          <w:i/>
          <w:sz w:val="11"/>
          <w:szCs w:val="11"/>
        </w:rPr>
      </w:pPr>
    </w:p>
    <w:p>
      <w:pPr>
        <w:pStyle w:val="ListParagraph"/>
        <w:numPr>
          <w:ilvl w:val="0"/>
          <w:numId w:val="23"/>
        </w:numPr>
        <w:tabs>
          <w:tab w:pos="620" w:val="left" w:leader="none"/>
        </w:tabs>
        <w:spacing w:line="240" w:lineRule="auto" w:before="55" w:after="36"/>
        <w:ind w:left="619" w:right="0" w:hanging="220"/>
        <w:jc w:val="left"/>
        <w:rPr>
          <w:rFonts w:ascii="Calibri" w:hAnsi="Calibri" w:cs="Calibri" w:eastAsia="Calibri" w:hint="default"/>
          <w:sz w:val="22"/>
          <w:szCs w:val="22"/>
        </w:rPr>
      </w:pPr>
      <w:r>
        <w:rPr>
          <w:rFonts w:ascii="Calibri" w:hAnsi="Calibri"/>
          <w:b/>
          <w:sz w:val="22"/>
        </w:rPr>
        <w:t>What</w:t>
      </w:r>
      <w:r>
        <w:rPr>
          <w:rFonts w:ascii="Calibri" w:hAnsi="Calibri"/>
          <w:b/>
          <w:spacing w:val="-4"/>
          <w:sz w:val="22"/>
        </w:rPr>
        <w:t> </w:t>
      </w:r>
      <w:r>
        <w:rPr>
          <w:rFonts w:ascii="Calibri" w:hAnsi="Calibri"/>
          <w:b/>
          <w:sz w:val="22"/>
        </w:rPr>
        <w:t>sources</w:t>
      </w:r>
      <w:r>
        <w:rPr>
          <w:rFonts w:ascii="Calibri" w:hAnsi="Calibri"/>
          <w:b/>
          <w:spacing w:val="-3"/>
          <w:sz w:val="22"/>
        </w:rPr>
        <w:t> </w:t>
      </w:r>
      <w:r>
        <w:rPr>
          <w:rFonts w:ascii="Calibri" w:hAnsi="Calibri"/>
          <w:b/>
          <w:sz w:val="22"/>
        </w:rPr>
        <w:t>of</w:t>
      </w:r>
      <w:r>
        <w:rPr>
          <w:rFonts w:ascii="Calibri" w:hAnsi="Calibri"/>
          <w:b/>
          <w:spacing w:val="-3"/>
          <w:sz w:val="22"/>
        </w:rPr>
        <w:t> </w:t>
      </w:r>
      <w:r>
        <w:rPr>
          <w:rFonts w:ascii="Calibri" w:hAnsi="Calibri"/>
          <w:b/>
          <w:sz w:val="22"/>
        </w:rPr>
        <w:t>information</w:t>
      </w:r>
      <w:r>
        <w:rPr>
          <w:rFonts w:ascii="Calibri" w:hAnsi="Calibri"/>
          <w:b/>
          <w:spacing w:val="-4"/>
          <w:sz w:val="22"/>
        </w:rPr>
        <w:t> </w:t>
      </w:r>
      <w:r>
        <w:rPr>
          <w:rFonts w:ascii="Calibri" w:hAnsi="Calibri"/>
          <w:b/>
          <w:sz w:val="22"/>
        </w:rPr>
        <w:t>did</w:t>
      </w:r>
      <w:r>
        <w:rPr>
          <w:rFonts w:ascii="Calibri" w:hAnsi="Calibri"/>
          <w:b/>
          <w:spacing w:val="-4"/>
          <w:sz w:val="22"/>
        </w:rPr>
        <w:t> </w:t>
      </w:r>
      <w:r>
        <w:rPr>
          <w:rFonts w:ascii="Calibri" w:hAnsi="Calibri"/>
          <w:b/>
          <w:sz w:val="22"/>
        </w:rPr>
        <w:t>you</w:t>
      </w:r>
      <w:r>
        <w:rPr>
          <w:rFonts w:ascii="Calibri" w:hAnsi="Calibri"/>
          <w:b/>
          <w:spacing w:val="-3"/>
          <w:sz w:val="22"/>
        </w:rPr>
        <w:t> </w:t>
      </w:r>
      <w:r>
        <w:rPr>
          <w:rFonts w:ascii="Calibri" w:hAnsi="Calibri"/>
          <w:b/>
          <w:sz w:val="22"/>
        </w:rPr>
        <w:t>consult</w:t>
      </w:r>
      <w:r>
        <w:rPr>
          <w:rFonts w:ascii="Calibri" w:hAnsi="Calibri"/>
          <w:b/>
          <w:spacing w:val="-4"/>
          <w:sz w:val="22"/>
        </w:rPr>
        <w:t> </w:t>
      </w:r>
      <w:r>
        <w:rPr>
          <w:rFonts w:ascii="Calibri" w:hAnsi="Calibri"/>
          <w:b/>
          <w:sz w:val="22"/>
        </w:rPr>
        <w:t>to</w:t>
      </w:r>
      <w:r>
        <w:rPr>
          <w:rFonts w:ascii="Calibri" w:hAnsi="Calibri"/>
          <w:b/>
          <w:spacing w:val="-4"/>
          <w:sz w:val="22"/>
        </w:rPr>
        <w:t> </w:t>
      </w:r>
      <w:r>
        <w:rPr>
          <w:rFonts w:ascii="Calibri" w:hAnsi="Calibri"/>
          <w:b/>
          <w:sz w:val="22"/>
        </w:rPr>
        <w:t>get</w:t>
      </w:r>
      <w:r>
        <w:rPr>
          <w:rFonts w:ascii="Calibri" w:hAnsi="Calibri"/>
          <w:b/>
          <w:spacing w:val="-4"/>
          <w:sz w:val="22"/>
        </w:rPr>
        <w:t> </w:t>
      </w:r>
      <w:r>
        <w:rPr>
          <w:rFonts w:ascii="Calibri" w:hAnsi="Calibri"/>
          <w:b/>
          <w:sz w:val="22"/>
        </w:rPr>
        <w:t>information</w:t>
      </w:r>
      <w:r>
        <w:rPr>
          <w:rFonts w:ascii="Calibri" w:hAnsi="Calibri"/>
          <w:b/>
          <w:spacing w:val="-4"/>
          <w:sz w:val="22"/>
        </w:rPr>
        <w:t> </w:t>
      </w:r>
      <w:r>
        <w:rPr>
          <w:rFonts w:ascii="Calibri" w:hAnsi="Calibri"/>
          <w:b/>
          <w:sz w:val="22"/>
        </w:rPr>
        <w:t>about</w:t>
      </w:r>
      <w:r>
        <w:rPr>
          <w:rFonts w:ascii="Calibri" w:hAnsi="Calibri"/>
          <w:b/>
          <w:spacing w:val="-4"/>
          <w:sz w:val="22"/>
        </w:rPr>
        <w:t> </w:t>
      </w:r>
      <w:r>
        <w:rPr>
          <w:rFonts w:ascii="Calibri" w:hAnsi="Calibri"/>
          <w:b/>
          <w:sz w:val="22"/>
        </w:rPr>
        <w:t>Curaçao?</w:t>
      </w:r>
      <w:r>
        <w:rPr>
          <w:rFonts w:ascii="Calibri" w:hAnsi="Calibri"/>
          <w:b/>
          <w:spacing w:val="2"/>
          <w:sz w:val="22"/>
        </w:rPr>
        <w:t> </w:t>
      </w:r>
      <w:r>
        <w:rPr>
          <w:rFonts w:ascii="Calibri" w:hAnsi="Calibri"/>
          <w:b/>
          <w:i/>
          <w:sz w:val="22"/>
        </w:rPr>
        <w:t>(Please</w:t>
      </w:r>
      <w:r>
        <w:rPr>
          <w:rFonts w:ascii="Calibri" w:hAnsi="Calibri"/>
          <w:b/>
          <w:i/>
          <w:spacing w:val="-3"/>
          <w:sz w:val="22"/>
        </w:rPr>
        <w:t> </w:t>
      </w:r>
      <w:r>
        <w:rPr>
          <w:rFonts w:ascii="Calibri" w:hAnsi="Calibri"/>
          <w:b/>
          <w:i/>
          <w:sz w:val="22"/>
        </w:rPr>
        <w:t>check</w:t>
      </w:r>
      <w:r>
        <w:rPr>
          <w:rFonts w:ascii="Calibri" w:hAnsi="Calibri"/>
          <w:b/>
          <w:i/>
          <w:spacing w:val="-3"/>
          <w:sz w:val="22"/>
        </w:rPr>
        <w:t> </w:t>
      </w:r>
      <w:r>
        <w:rPr>
          <w:rFonts w:ascii="Calibri" w:hAnsi="Calibri"/>
          <w:b/>
          <w:i/>
          <w:sz w:val="22"/>
        </w:rPr>
        <w:t>all</w:t>
      </w:r>
      <w:r>
        <w:rPr>
          <w:rFonts w:ascii="Calibri" w:hAnsi="Calibri"/>
          <w:b/>
          <w:i/>
          <w:spacing w:val="-4"/>
          <w:sz w:val="22"/>
        </w:rPr>
        <w:t> </w:t>
      </w:r>
      <w:r>
        <w:rPr>
          <w:rFonts w:ascii="Calibri" w:hAnsi="Calibri"/>
          <w:b/>
          <w:i/>
          <w:sz w:val="22"/>
        </w:rPr>
        <w:t>that</w:t>
      </w:r>
      <w:r>
        <w:rPr>
          <w:rFonts w:ascii="Calibri" w:hAnsi="Calibri"/>
          <w:b/>
          <w:i/>
          <w:spacing w:val="-2"/>
          <w:sz w:val="22"/>
        </w:rPr>
        <w:t> </w:t>
      </w:r>
      <w:r>
        <w:rPr>
          <w:rFonts w:ascii="Calibri" w:hAnsi="Calibri"/>
          <w:b/>
          <w:i/>
          <w:sz w:val="22"/>
        </w:rPr>
        <w:t>apply)</w:t>
      </w:r>
      <w:r>
        <w:rPr>
          <w:rFonts w:ascii="Calibri" w:hAnsi="Calibri"/>
          <w:sz w:val="22"/>
        </w:rPr>
      </w:r>
    </w:p>
    <w:tbl>
      <w:tblPr>
        <w:tblW w:w="0" w:type="auto"/>
        <w:jc w:val="left"/>
        <w:tblInd w:w="364" w:type="dxa"/>
        <w:tblLayout w:type="fixed"/>
        <w:tblCellMar>
          <w:top w:w="0" w:type="dxa"/>
          <w:left w:w="0" w:type="dxa"/>
          <w:bottom w:w="0" w:type="dxa"/>
          <w:right w:w="0" w:type="dxa"/>
        </w:tblCellMar>
        <w:tblLook w:val="01E0"/>
      </w:tblPr>
      <w:tblGrid>
        <w:gridCol w:w="3039"/>
        <w:gridCol w:w="4280"/>
        <w:gridCol w:w="3488"/>
      </w:tblGrid>
      <w:tr>
        <w:trPr>
          <w:trHeight w:val="292" w:hRule="exact"/>
        </w:trPr>
        <w:tc>
          <w:tcPr>
            <w:tcW w:w="3039" w:type="dxa"/>
            <w:tcBorders>
              <w:top w:val="nil" w:sz="6" w:space="0" w:color="auto"/>
              <w:left w:val="nil" w:sz="6" w:space="0" w:color="auto"/>
              <w:bottom w:val="nil" w:sz="6" w:space="0" w:color="auto"/>
              <w:right w:val="nil" w:sz="6" w:space="0" w:color="auto"/>
            </w:tcBorders>
          </w:tcPr>
          <w:p>
            <w:pPr>
              <w:pStyle w:val="TableParagraph"/>
              <w:spacing w:line="262" w:lineRule="exact"/>
              <w:ind w:left="35" w:right="0"/>
              <w:jc w:val="left"/>
              <w:rPr>
                <w:rFonts w:ascii="Calibri" w:hAnsi="Calibri" w:cs="Calibri" w:eastAsia="Calibri" w:hint="default"/>
                <w:sz w:val="22"/>
                <w:szCs w:val="22"/>
              </w:rPr>
            </w:pPr>
            <w:r>
              <w:rPr>
                <w:rFonts w:ascii="Calibri" w:hAnsi="Calibri" w:cs="Calibri" w:eastAsia="Calibri" w:hint="default"/>
                <w:sz w:val="18"/>
                <w:szCs w:val="18"/>
              </w:rPr>
              <w:t>⃝</w:t>
            </w:r>
            <w:r>
              <w:rPr>
                <w:rFonts w:ascii="Calibri" w:hAnsi="Calibri" w:cs="Calibri" w:eastAsia="Calibri" w:hint="default"/>
                <w:spacing w:val="1"/>
                <w:sz w:val="18"/>
                <w:szCs w:val="18"/>
              </w:rPr>
              <w:t> </w:t>
            </w:r>
            <w:r>
              <w:rPr>
                <w:rFonts w:ascii="Calibri" w:hAnsi="Calibri" w:cs="Calibri" w:eastAsia="Calibri" w:hint="default"/>
                <w:sz w:val="22"/>
                <w:szCs w:val="22"/>
              </w:rPr>
              <w:t>Friends/family</w:t>
            </w:r>
          </w:p>
        </w:tc>
        <w:tc>
          <w:tcPr>
            <w:tcW w:w="4280" w:type="dxa"/>
            <w:tcBorders>
              <w:top w:val="nil" w:sz="6" w:space="0" w:color="auto"/>
              <w:left w:val="nil" w:sz="6" w:space="0" w:color="auto"/>
              <w:bottom w:val="nil" w:sz="6" w:space="0" w:color="auto"/>
              <w:right w:val="nil" w:sz="6" w:space="0" w:color="auto"/>
            </w:tcBorders>
          </w:tcPr>
          <w:p>
            <w:pPr>
              <w:pStyle w:val="TableParagraph"/>
              <w:spacing w:line="262" w:lineRule="exact"/>
              <w:ind w:left="711"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Online travel agent (i.e.</w:t>
            </w:r>
            <w:r>
              <w:rPr>
                <w:rFonts w:ascii="Calibri" w:hAnsi="Calibri" w:cs="Calibri" w:eastAsia="Calibri" w:hint="default"/>
                <w:spacing w:val="-9"/>
                <w:sz w:val="22"/>
                <w:szCs w:val="22"/>
              </w:rPr>
              <w:t> </w:t>
            </w:r>
            <w:r>
              <w:rPr>
                <w:rFonts w:ascii="Calibri" w:hAnsi="Calibri" w:cs="Calibri" w:eastAsia="Calibri" w:hint="default"/>
                <w:sz w:val="22"/>
                <w:szCs w:val="22"/>
              </w:rPr>
              <w:t>Travelocity)</w:t>
            </w:r>
          </w:p>
        </w:tc>
        <w:tc>
          <w:tcPr>
            <w:tcW w:w="3488" w:type="dxa"/>
            <w:tcBorders>
              <w:top w:val="nil" w:sz="6" w:space="0" w:color="auto"/>
              <w:left w:val="nil" w:sz="6" w:space="0" w:color="auto"/>
              <w:bottom w:val="nil" w:sz="6" w:space="0" w:color="auto"/>
              <w:right w:val="nil" w:sz="6" w:space="0" w:color="auto"/>
            </w:tcBorders>
          </w:tcPr>
          <w:p>
            <w:pPr>
              <w:pStyle w:val="TableParagraph"/>
              <w:spacing w:line="262" w:lineRule="exact"/>
              <w:ind w:left="146" w:right="0"/>
              <w:jc w:val="left"/>
              <w:rPr>
                <w:rFonts w:ascii="Calibri" w:hAnsi="Calibri" w:cs="Calibri" w:eastAsia="Calibri" w:hint="default"/>
                <w:sz w:val="22"/>
                <w:szCs w:val="22"/>
              </w:rPr>
            </w:pPr>
            <w:r>
              <w:rPr>
                <w:rFonts w:ascii="Calibri" w:hAnsi="Calibri" w:cs="Calibri" w:eastAsia="Calibri" w:hint="default"/>
                <w:sz w:val="18"/>
                <w:szCs w:val="18"/>
              </w:rPr>
              <w:t>⃝</w:t>
            </w:r>
            <w:r>
              <w:rPr>
                <w:rFonts w:ascii="Calibri" w:hAnsi="Calibri" w:cs="Calibri" w:eastAsia="Calibri" w:hint="default"/>
                <w:spacing w:val="-7"/>
                <w:sz w:val="18"/>
                <w:szCs w:val="18"/>
              </w:rPr>
              <w:t> </w:t>
            </w:r>
            <w:r>
              <w:rPr>
                <w:rFonts w:ascii="Calibri" w:hAnsi="Calibri" w:cs="Calibri" w:eastAsia="Calibri" w:hint="default"/>
                <w:sz w:val="22"/>
                <w:szCs w:val="22"/>
              </w:rPr>
              <w:t>Youtube</w:t>
            </w:r>
          </w:p>
        </w:tc>
      </w:tr>
      <w:tr>
        <w:trPr>
          <w:trHeight w:val="288" w:hRule="exact"/>
        </w:trPr>
        <w:tc>
          <w:tcPr>
            <w:tcW w:w="3039" w:type="dxa"/>
            <w:tcBorders>
              <w:top w:val="nil" w:sz="6" w:space="0" w:color="auto"/>
              <w:left w:val="nil" w:sz="6" w:space="0" w:color="auto"/>
              <w:bottom w:val="nil" w:sz="6" w:space="0" w:color="auto"/>
              <w:right w:val="nil" w:sz="6" w:space="0" w:color="auto"/>
            </w:tcBorders>
          </w:tcPr>
          <w:p>
            <w:pPr>
              <w:pStyle w:val="TableParagraph"/>
              <w:spacing w:line="258" w:lineRule="exact"/>
              <w:ind w:left="35"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Curaçao Tourists</w:t>
            </w:r>
            <w:r>
              <w:rPr>
                <w:rFonts w:ascii="Calibri" w:hAnsi="Calibri" w:cs="Calibri" w:eastAsia="Calibri" w:hint="default"/>
                <w:spacing w:val="-14"/>
                <w:sz w:val="22"/>
                <w:szCs w:val="22"/>
              </w:rPr>
              <w:t> </w:t>
            </w:r>
            <w:r>
              <w:rPr>
                <w:rFonts w:ascii="Calibri" w:hAnsi="Calibri" w:cs="Calibri" w:eastAsia="Calibri" w:hint="default"/>
                <w:sz w:val="22"/>
                <w:szCs w:val="22"/>
              </w:rPr>
              <w:t>Board</w:t>
            </w:r>
          </w:p>
        </w:tc>
        <w:tc>
          <w:tcPr>
            <w:tcW w:w="4280" w:type="dxa"/>
            <w:tcBorders>
              <w:top w:val="nil" w:sz="6" w:space="0" w:color="auto"/>
              <w:left w:val="nil" w:sz="6" w:space="0" w:color="auto"/>
              <w:bottom w:val="nil" w:sz="6" w:space="0" w:color="auto"/>
              <w:right w:val="nil" w:sz="6" w:space="0" w:color="auto"/>
            </w:tcBorders>
          </w:tcPr>
          <w:p>
            <w:pPr>
              <w:pStyle w:val="TableParagraph"/>
              <w:spacing w:line="258" w:lineRule="exact"/>
              <w:ind w:left="711"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Online rating website</w:t>
            </w:r>
            <w:r>
              <w:rPr>
                <w:rFonts w:ascii="Calibri" w:hAnsi="Calibri" w:cs="Calibri" w:eastAsia="Calibri" w:hint="default"/>
                <w:spacing w:val="-9"/>
                <w:sz w:val="22"/>
                <w:szCs w:val="22"/>
              </w:rPr>
              <w:t> </w:t>
            </w:r>
            <w:r>
              <w:rPr>
                <w:rFonts w:ascii="Calibri" w:hAnsi="Calibri" w:cs="Calibri" w:eastAsia="Calibri" w:hint="default"/>
                <w:sz w:val="22"/>
                <w:szCs w:val="22"/>
              </w:rPr>
              <w:t>(TripAdvisor)</w:t>
            </w:r>
          </w:p>
        </w:tc>
        <w:tc>
          <w:tcPr>
            <w:tcW w:w="3488" w:type="dxa"/>
            <w:tcBorders>
              <w:top w:val="nil" w:sz="6" w:space="0" w:color="auto"/>
              <w:left w:val="nil" w:sz="6" w:space="0" w:color="auto"/>
              <w:bottom w:val="nil" w:sz="6" w:space="0" w:color="auto"/>
              <w:right w:val="nil" w:sz="6" w:space="0" w:color="auto"/>
            </w:tcBorders>
          </w:tcPr>
          <w:p>
            <w:pPr>
              <w:pStyle w:val="TableParagraph"/>
              <w:spacing w:line="258" w:lineRule="exact"/>
              <w:ind w:left="146"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Tour operator</w:t>
            </w:r>
            <w:r>
              <w:rPr>
                <w:rFonts w:ascii="Calibri" w:hAnsi="Calibri" w:cs="Calibri" w:eastAsia="Calibri" w:hint="default"/>
                <w:spacing w:val="-2"/>
                <w:sz w:val="22"/>
                <w:szCs w:val="22"/>
              </w:rPr>
              <w:t> </w:t>
            </w:r>
            <w:r>
              <w:rPr>
                <w:rFonts w:ascii="Calibri" w:hAnsi="Calibri" w:cs="Calibri" w:eastAsia="Calibri" w:hint="default"/>
                <w:sz w:val="22"/>
                <w:szCs w:val="22"/>
              </w:rPr>
              <w:t>brochure</w:t>
            </w:r>
          </w:p>
        </w:tc>
      </w:tr>
      <w:tr>
        <w:trPr>
          <w:trHeight w:val="288" w:hRule="exact"/>
        </w:trPr>
        <w:tc>
          <w:tcPr>
            <w:tcW w:w="3039" w:type="dxa"/>
            <w:tcBorders>
              <w:top w:val="nil" w:sz="6" w:space="0" w:color="auto"/>
              <w:left w:val="nil" w:sz="6" w:space="0" w:color="auto"/>
              <w:bottom w:val="nil" w:sz="6" w:space="0" w:color="auto"/>
              <w:right w:val="nil" w:sz="6" w:space="0" w:color="auto"/>
            </w:tcBorders>
          </w:tcPr>
          <w:p>
            <w:pPr>
              <w:pStyle w:val="TableParagraph"/>
              <w:spacing w:line="258" w:lineRule="exact"/>
              <w:ind w:left="35"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Travel agent</w:t>
            </w:r>
          </w:p>
        </w:tc>
        <w:tc>
          <w:tcPr>
            <w:tcW w:w="4280" w:type="dxa"/>
            <w:tcBorders>
              <w:top w:val="nil" w:sz="6" w:space="0" w:color="auto"/>
              <w:left w:val="nil" w:sz="6" w:space="0" w:color="auto"/>
              <w:bottom w:val="nil" w:sz="6" w:space="0" w:color="auto"/>
              <w:right w:val="nil" w:sz="6" w:space="0" w:color="auto"/>
            </w:tcBorders>
          </w:tcPr>
          <w:p>
            <w:pPr>
              <w:pStyle w:val="TableParagraph"/>
              <w:spacing w:line="258" w:lineRule="exact"/>
              <w:ind w:left="711" w:right="0"/>
              <w:jc w:val="left"/>
              <w:rPr>
                <w:rFonts w:ascii="Calibri" w:hAnsi="Calibri" w:cs="Calibri" w:eastAsia="Calibri" w:hint="default"/>
                <w:sz w:val="22"/>
                <w:szCs w:val="22"/>
              </w:rPr>
            </w:pPr>
            <w:r>
              <w:rPr>
                <w:rFonts w:ascii="Calibri" w:hAnsi="Calibri" w:cs="Calibri" w:eastAsia="Calibri" w:hint="default"/>
                <w:sz w:val="18"/>
                <w:szCs w:val="18"/>
              </w:rPr>
              <w:t>⃝</w:t>
            </w:r>
            <w:r>
              <w:rPr>
                <w:rFonts w:ascii="Calibri" w:hAnsi="Calibri" w:cs="Calibri" w:eastAsia="Calibri" w:hint="default"/>
                <w:spacing w:val="3"/>
                <w:sz w:val="18"/>
                <w:szCs w:val="18"/>
              </w:rPr>
              <w:t> </w:t>
            </w:r>
            <w:r>
              <w:rPr>
                <w:rFonts w:ascii="Calibri" w:hAnsi="Calibri" w:cs="Calibri" w:eastAsia="Calibri" w:hint="default"/>
                <w:sz w:val="22"/>
                <w:szCs w:val="22"/>
              </w:rPr>
              <w:t>Facebook</w:t>
            </w:r>
          </w:p>
        </w:tc>
        <w:tc>
          <w:tcPr>
            <w:tcW w:w="3488" w:type="dxa"/>
            <w:tcBorders>
              <w:top w:val="nil" w:sz="6" w:space="0" w:color="auto"/>
              <w:left w:val="nil" w:sz="6" w:space="0" w:color="auto"/>
              <w:bottom w:val="nil" w:sz="6" w:space="0" w:color="auto"/>
              <w:right w:val="nil" w:sz="6" w:space="0" w:color="auto"/>
            </w:tcBorders>
          </w:tcPr>
          <w:p>
            <w:pPr>
              <w:pStyle w:val="TableParagraph"/>
              <w:spacing w:line="258" w:lineRule="exact"/>
              <w:ind w:left="146"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Travel guides</w:t>
            </w:r>
          </w:p>
        </w:tc>
      </w:tr>
      <w:tr>
        <w:trPr>
          <w:trHeight w:val="288" w:hRule="exact"/>
        </w:trPr>
        <w:tc>
          <w:tcPr>
            <w:tcW w:w="3039" w:type="dxa"/>
            <w:tcBorders>
              <w:top w:val="nil" w:sz="6" w:space="0" w:color="auto"/>
              <w:left w:val="nil" w:sz="6" w:space="0" w:color="auto"/>
              <w:bottom w:val="nil" w:sz="6" w:space="0" w:color="auto"/>
              <w:right w:val="nil" w:sz="6" w:space="0" w:color="auto"/>
            </w:tcBorders>
          </w:tcPr>
          <w:p>
            <w:pPr>
              <w:pStyle w:val="TableParagraph"/>
              <w:spacing w:line="258" w:lineRule="exact"/>
              <w:ind w:left="35" w:right="0"/>
              <w:jc w:val="left"/>
              <w:rPr>
                <w:rFonts w:ascii="Calibri" w:hAnsi="Calibri" w:cs="Calibri" w:eastAsia="Calibri" w:hint="default"/>
                <w:sz w:val="22"/>
                <w:szCs w:val="22"/>
              </w:rPr>
            </w:pPr>
            <w:r>
              <w:rPr>
                <w:rFonts w:ascii="Calibri" w:hAnsi="Calibri" w:cs="Calibri" w:eastAsia="Calibri" w:hint="default"/>
                <w:sz w:val="18"/>
                <w:szCs w:val="18"/>
              </w:rPr>
              <w:t>⃝</w:t>
            </w:r>
            <w:r>
              <w:rPr>
                <w:rFonts w:ascii="Calibri" w:hAnsi="Calibri" w:cs="Calibri" w:eastAsia="Calibri" w:hint="default"/>
                <w:spacing w:val="-1"/>
                <w:sz w:val="18"/>
                <w:szCs w:val="18"/>
              </w:rPr>
              <w:t> </w:t>
            </w:r>
            <w:r>
              <w:rPr>
                <w:rFonts w:ascii="Calibri" w:hAnsi="Calibri" w:cs="Calibri" w:eastAsia="Calibri" w:hint="default"/>
                <w:sz w:val="22"/>
                <w:szCs w:val="22"/>
              </w:rPr>
              <w:t>Television</w:t>
            </w:r>
          </w:p>
        </w:tc>
        <w:tc>
          <w:tcPr>
            <w:tcW w:w="4280" w:type="dxa"/>
            <w:tcBorders>
              <w:top w:val="nil" w:sz="6" w:space="0" w:color="auto"/>
              <w:left w:val="nil" w:sz="6" w:space="0" w:color="auto"/>
              <w:bottom w:val="nil" w:sz="6" w:space="0" w:color="auto"/>
              <w:right w:val="nil" w:sz="6" w:space="0" w:color="auto"/>
            </w:tcBorders>
          </w:tcPr>
          <w:p>
            <w:pPr>
              <w:pStyle w:val="TableParagraph"/>
              <w:spacing w:line="258" w:lineRule="exact"/>
              <w:ind w:left="711"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pacing w:val="9"/>
                <w:sz w:val="18"/>
                <w:szCs w:val="18"/>
              </w:rPr>
              <w:t> </w:t>
            </w:r>
            <w:r>
              <w:rPr>
                <w:rFonts w:ascii="Calibri" w:hAnsi="Calibri" w:cs="Calibri" w:eastAsia="Calibri" w:hint="default"/>
                <w:sz w:val="22"/>
                <w:szCs w:val="22"/>
              </w:rPr>
              <w:t>Instagram</w:t>
            </w:r>
          </w:p>
        </w:tc>
        <w:tc>
          <w:tcPr>
            <w:tcW w:w="3488" w:type="dxa"/>
            <w:tcBorders>
              <w:top w:val="nil" w:sz="6" w:space="0" w:color="auto"/>
              <w:left w:val="nil" w:sz="6" w:space="0" w:color="auto"/>
              <w:bottom w:val="nil" w:sz="6" w:space="0" w:color="auto"/>
              <w:right w:val="nil" w:sz="6" w:space="0" w:color="auto"/>
            </w:tcBorders>
          </w:tcPr>
          <w:p>
            <w:pPr>
              <w:pStyle w:val="TableParagraph"/>
              <w:spacing w:line="258" w:lineRule="exact"/>
              <w:ind w:left="146"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Company website (hotels,</w:t>
            </w:r>
            <w:r>
              <w:rPr>
                <w:rFonts w:ascii="Calibri" w:hAnsi="Calibri" w:cs="Calibri" w:eastAsia="Calibri" w:hint="default"/>
                <w:spacing w:val="-2"/>
                <w:sz w:val="22"/>
                <w:szCs w:val="22"/>
              </w:rPr>
              <w:t> </w:t>
            </w:r>
            <w:r>
              <w:rPr>
                <w:rFonts w:ascii="Calibri" w:hAnsi="Calibri" w:cs="Calibri" w:eastAsia="Calibri" w:hint="default"/>
                <w:sz w:val="22"/>
                <w:szCs w:val="22"/>
              </w:rPr>
              <w:t>airlines)</w:t>
            </w:r>
          </w:p>
        </w:tc>
      </w:tr>
      <w:tr>
        <w:trPr>
          <w:trHeight w:val="354" w:hRule="exact"/>
        </w:trPr>
        <w:tc>
          <w:tcPr>
            <w:tcW w:w="3039" w:type="dxa"/>
            <w:tcBorders>
              <w:top w:val="nil" w:sz="6" w:space="0" w:color="auto"/>
              <w:left w:val="nil" w:sz="6" w:space="0" w:color="auto"/>
              <w:bottom w:val="nil" w:sz="6" w:space="0" w:color="auto"/>
              <w:right w:val="nil" w:sz="6" w:space="0" w:color="auto"/>
            </w:tcBorders>
          </w:tcPr>
          <w:p>
            <w:pPr>
              <w:pStyle w:val="TableParagraph"/>
              <w:spacing w:line="258" w:lineRule="exact"/>
              <w:ind w:left="35" w:right="0"/>
              <w:jc w:val="left"/>
              <w:rPr>
                <w:rFonts w:ascii="Calibri" w:hAnsi="Calibri" w:cs="Calibri" w:eastAsia="Calibri" w:hint="default"/>
                <w:sz w:val="22"/>
                <w:szCs w:val="22"/>
              </w:rPr>
            </w:pPr>
            <w:r>
              <w:rPr>
                <w:rFonts w:ascii="Calibri" w:hAnsi="Calibri" w:cs="Calibri" w:eastAsia="Calibri" w:hint="default"/>
                <w:sz w:val="18"/>
                <w:szCs w:val="18"/>
              </w:rPr>
              <w:t>⃝</w:t>
            </w:r>
            <w:r>
              <w:rPr>
                <w:rFonts w:ascii="Calibri" w:hAnsi="Calibri" w:cs="Calibri" w:eastAsia="Calibri" w:hint="default"/>
                <w:spacing w:val="4"/>
                <w:sz w:val="18"/>
                <w:szCs w:val="18"/>
              </w:rPr>
              <w:t> </w:t>
            </w:r>
            <w:r>
              <w:rPr>
                <w:rFonts w:ascii="Calibri" w:hAnsi="Calibri" w:cs="Calibri" w:eastAsia="Calibri" w:hint="default"/>
                <w:sz w:val="22"/>
                <w:szCs w:val="22"/>
              </w:rPr>
              <w:t>Newspaper/magazines</w:t>
            </w:r>
          </w:p>
        </w:tc>
        <w:tc>
          <w:tcPr>
            <w:tcW w:w="4280" w:type="dxa"/>
            <w:tcBorders>
              <w:top w:val="nil" w:sz="6" w:space="0" w:color="auto"/>
              <w:left w:val="nil" w:sz="6" w:space="0" w:color="auto"/>
              <w:bottom w:val="nil" w:sz="6" w:space="0" w:color="auto"/>
              <w:right w:val="nil" w:sz="6" w:space="0" w:color="auto"/>
            </w:tcBorders>
          </w:tcPr>
          <w:p>
            <w:pPr>
              <w:pStyle w:val="TableParagraph"/>
              <w:spacing w:line="258" w:lineRule="exact"/>
              <w:ind w:left="711"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pacing w:val="12"/>
                <w:sz w:val="18"/>
                <w:szCs w:val="18"/>
              </w:rPr>
              <w:t> </w:t>
            </w:r>
            <w:r>
              <w:rPr>
                <w:rFonts w:ascii="Calibri" w:hAnsi="Calibri" w:cs="Calibri" w:eastAsia="Calibri" w:hint="default"/>
                <w:sz w:val="22"/>
                <w:szCs w:val="22"/>
              </w:rPr>
              <w:t>Twitter</w:t>
            </w:r>
          </w:p>
        </w:tc>
        <w:tc>
          <w:tcPr>
            <w:tcW w:w="3488" w:type="dxa"/>
            <w:tcBorders>
              <w:top w:val="nil" w:sz="6" w:space="0" w:color="auto"/>
              <w:left w:val="nil" w:sz="6" w:space="0" w:color="auto"/>
              <w:bottom w:val="nil" w:sz="6" w:space="0" w:color="auto"/>
              <w:right w:val="nil" w:sz="6" w:space="0" w:color="auto"/>
            </w:tcBorders>
          </w:tcPr>
          <w:p>
            <w:pPr>
              <w:pStyle w:val="TableParagraph"/>
              <w:tabs>
                <w:tab w:pos="1815" w:val="left" w:leader="none"/>
              </w:tabs>
              <w:spacing w:line="258" w:lineRule="exact"/>
              <w:ind w:left="146"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pacing w:val="14"/>
                <w:sz w:val="18"/>
                <w:szCs w:val="18"/>
              </w:rPr>
              <w:t> </w:t>
            </w:r>
            <w:r>
              <w:rPr>
                <w:rFonts w:ascii="Calibri" w:hAnsi="Calibri" w:cs="Calibri" w:eastAsia="Calibri" w:hint="default"/>
                <w:sz w:val="22"/>
                <w:szCs w:val="22"/>
              </w:rPr>
              <w:t>Other:</w:t>
            </w:r>
            <w:r>
              <w:rPr>
                <w:rFonts w:ascii="Calibri" w:hAnsi="Calibri" w:cs="Calibri" w:eastAsia="Calibri" w:hint="default"/>
                <w:sz w:val="22"/>
                <w:szCs w:val="22"/>
                <w:u w:val="single" w:color="000000"/>
              </w:rPr>
              <w:t> </w:t>
              <w:tab/>
            </w:r>
            <w:r>
              <w:rPr>
                <w:rFonts w:ascii="Calibri" w:hAnsi="Calibri" w:cs="Calibri" w:eastAsia="Calibri" w:hint="default"/>
                <w:sz w:val="22"/>
                <w:szCs w:val="22"/>
              </w:rPr>
            </w:r>
          </w:p>
        </w:tc>
      </w:tr>
    </w:tbl>
    <w:p>
      <w:pPr>
        <w:spacing w:line="240" w:lineRule="auto" w:before="6"/>
        <w:ind w:right="0"/>
        <w:rPr>
          <w:rFonts w:ascii="Calibri" w:hAnsi="Calibri" w:cs="Calibri" w:eastAsia="Calibri" w:hint="default"/>
          <w:b/>
          <w:bCs/>
          <w:i/>
          <w:sz w:val="10"/>
          <w:szCs w:val="10"/>
        </w:rPr>
      </w:pPr>
    </w:p>
    <w:p>
      <w:pPr>
        <w:pStyle w:val="ListParagraph"/>
        <w:numPr>
          <w:ilvl w:val="0"/>
          <w:numId w:val="23"/>
        </w:numPr>
        <w:tabs>
          <w:tab w:pos="677" w:val="left" w:leader="none"/>
        </w:tabs>
        <w:spacing w:line="240" w:lineRule="auto" w:before="55" w:after="36"/>
        <w:ind w:left="676" w:right="0" w:hanging="220"/>
        <w:jc w:val="left"/>
        <w:rPr>
          <w:rFonts w:ascii="Calibri" w:hAnsi="Calibri" w:cs="Calibri" w:eastAsia="Calibri" w:hint="default"/>
          <w:sz w:val="22"/>
          <w:szCs w:val="22"/>
        </w:rPr>
      </w:pPr>
      <w:r>
        <w:rPr>
          <w:rFonts w:ascii="Calibri" w:hAnsi="Calibri"/>
          <w:b/>
          <w:sz w:val="22"/>
        </w:rPr>
        <w:t>When did you </w:t>
      </w:r>
      <w:r>
        <w:rPr>
          <w:rFonts w:ascii="Calibri" w:hAnsi="Calibri"/>
          <w:b/>
          <w:sz w:val="22"/>
          <w:u w:val="single" w:color="000000"/>
        </w:rPr>
        <w:t>START PLANNING </w:t>
      </w:r>
      <w:r>
        <w:rPr>
          <w:rFonts w:ascii="Calibri" w:hAnsi="Calibri"/>
          <w:b/>
          <w:sz w:val="22"/>
        </w:rPr>
        <w:t>your trip to Curaçao? </w:t>
      </w:r>
      <w:r>
        <w:rPr>
          <w:rFonts w:ascii="Calibri" w:hAnsi="Calibri"/>
          <w:b/>
          <w:i/>
          <w:sz w:val="22"/>
        </w:rPr>
        <w:t>(Please check only</w:t>
      </w:r>
      <w:r>
        <w:rPr>
          <w:rFonts w:ascii="Calibri" w:hAnsi="Calibri"/>
          <w:b/>
          <w:i/>
          <w:spacing w:val="-25"/>
          <w:sz w:val="22"/>
        </w:rPr>
        <w:t> </w:t>
      </w:r>
      <w:r>
        <w:rPr>
          <w:rFonts w:ascii="Calibri" w:hAnsi="Calibri"/>
          <w:b/>
          <w:i/>
          <w:sz w:val="22"/>
        </w:rPr>
        <w:t>one)</w:t>
      </w:r>
      <w:r>
        <w:rPr>
          <w:rFonts w:ascii="Calibri" w:hAnsi="Calibri"/>
          <w:sz w:val="22"/>
        </w:rPr>
      </w:r>
    </w:p>
    <w:tbl>
      <w:tblPr>
        <w:tblW w:w="0" w:type="auto"/>
        <w:jc w:val="left"/>
        <w:tblInd w:w="421" w:type="dxa"/>
        <w:tblLayout w:type="fixed"/>
        <w:tblCellMar>
          <w:top w:w="0" w:type="dxa"/>
          <w:left w:w="0" w:type="dxa"/>
          <w:bottom w:w="0" w:type="dxa"/>
          <w:right w:w="0" w:type="dxa"/>
        </w:tblCellMar>
        <w:tblLook w:val="01E0"/>
      </w:tblPr>
      <w:tblGrid>
        <w:gridCol w:w="322"/>
        <w:gridCol w:w="3752"/>
        <w:gridCol w:w="1443"/>
        <w:gridCol w:w="2751"/>
      </w:tblGrid>
      <w:tr>
        <w:trPr>
          <w:trHeight w:val="282"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8"/>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752"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Less than 1 week</w:t>
            </w:r>
            <w:r>
              <w:rPr>
                <w:rFonts w:ascii="Calibri"/>
                <w:spacing w:val="-10"/>
                <w:sz w:val="22"/>
              </w:rPr>
              <w:t> </w:t>
            </w:r>
            <w:r>
              <w:rPr>
                <w:rFonts w:ascii="Calibri"/>
                <w:sz w:val="22"/>
              </w:rPr>
              <w:t>ago</w:t>
            </w:r>
          </w:p>
        </w:tc>
        <w:tc>
          <w:tcPr>
            <w:tcW w:w="1443"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51"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Between 1 and 3 months</w:t>
            </w:r>
            <w:r>
              <w:rPr>
                <w:rFonts w:ascii="Calibri"/>
                <w:spacing w:val="-11"/>
                <w:sz w:val="22"/>
              </w:rPr>
              <w:t> </w:t>
            </w:r>
            <w:r>
              <w:rPr>
                <w:rFonts w:ascii="Calibri"/>
                <w:sz w:val="22"/>
              </w:rPr>
              <w:t>ago</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752"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Between 1 and 2 weeks</w:t>
            </w:r>
            <w:r>
              <w:rPr>
                <w:rFonts w:ascii="Calibri"/>
                <w:spacing w:val="-8"/>
                <w:sz w:val="22"/>
              </w:rPr>
              <w:t> </w:t>
            </w:r>
            <w:r>
              <w:rPr>
                <w:rFonts w:ascii="Calibri"/>
                <w:sz w:val="22"/>
              </w:rPr>
              <w:t>ago</w:t>
            </w:r>
          </w:p>
        </w:tc>
        <w:tc>
          <w:tcPr>
            <w:tcW w:w="1443"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5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Between 3 and 6 months</w:t>
            </w:r>
            <w:r>
              <w:rPr>
                <w:rFonts w:ascii="Calibri"/>
                <w:spacing w:val="-11"/>
                <w:sz w:val="22"/>
              </w:rPr>
              <w:t> </w:t>
            </w:r>
            <w:r>
              <w:rPr>
                <w:rFonts w:ascii="Calibri"/>
                <w:sz w:val="22"/>
              </w:rPr>
              <w:t>ago</w:t>
            </w:r>
          </w:p>
        </w:tc>
      </w:tr>
      <w:tr>
        <w:trPr>
          <w:trHeight w:val="354"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752"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Between 2 and 4 weeks</w:t>
            </w:r>
            <w:r>
              <w:rPr>
                <w:rFonts w:ascii="Calibri"/>
                <w:spacing w:val="-8"/>
                <w:sz w:val="22"/>
              </w:rPr>
              <w:t> </w:t>
            </w:r>
            <w:r>
              <w:rPr>
                <w:rFonts w:ascii="Calibri"/>
                <w:sz w:val="22"/>
              </w:rPr>
              <w:t>ago</w:t>
            </w:r>
          </w:p>
        </w:tc>
        <w:tc>
          <w:tcPr>
            <w:tcW w:w="1443"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5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More than 6 months</w:t>
            </w:r>
            <w:r>
              <w:rPr>
                <w:rFonts w:ascii="Calibri"/>
                <w:spacing w:val="-6"/>
                <w:sz w:val="22"/>
              </w:rPr>
              <w:t> </w:t>
            </w:r>
            <w:r>
              <w:rPr>
                <w:rFonts w:ascii="Calibri"/>
                <w:sz w:val="22"/>
              </w:rPr>
              <w:t>ago</w:t>
            </w:r>
          </w:p>
        </w:tc>
      </w:tr>
    </w:tbl>
    <w:p>
      <w:pPr>
        <w:spacing w:line="240" w:lineRule="auto" w:before="3"/>
        <w:ind w:right="0"/>
        <w:rPr>
          <w:rFonts w:ascii="Calibri" w:hAnsi="Calibri" w:cs="Calibri" w:eastAsia="Calibri" w:hint="default"/>
          <w:b/>
          <w:bCs/>
          <w:i/>
          <w:sz w:val="11"/>
          <w:szCs w:val="11"/>
        </w:rPr>
      </w:pPr>
    </w:p>
    <w:p>
      <w:pPr>
        <w:pStyle w:val="ListParagraph"/>
        <w:numPr>
          <w:ilvl w:val="0"/>
          <w:numId w:val="23"/>
        </w:numPr>
        <w:tabs>
          <w:tab w:pos="677" w:val="left" w:leader="none"/>
        </w:tabs>
        <w:spacing w:line="240" w:lineRule="auto" w:before="55" w:after="36"/>
        <w:ind w:left="676" w:right="0" w:hanging="220"/>
        <w:jc w:val="left"/>
        <w:rPr>
          <w:rFonts w:ascii="Calibri" w:hAnsi="Calibri" w:cs="Calibri" w:eastAsia="Calibri" w:hint="default"/>
          <w:sz w:val="22"/>
          <w:szCs w:val="22"/>
        </w:rPr>
      </w:pPr>
      <w:r>
        <w:rPr>
          <w:rFonts w:ascii="Calibri" w:hAnsi="Calibri"/>
          <w:b/>
          <w:sz w:val="22"/>
        </w:rPr>
        <w:t>When</w:t>
      </w:r>
      <w:r>
        <w:rPr>
          <w:rFonts w:ascii="Calibri" w:hAnsi="Calibri"/>
          <w:b/>
          <w:spacing w:val="-3"/>
          <w:sz w:val="22"/>
        </w:rPr>
        <w:t> </w:t>
      </w:r>
      <w:r>
        <w:rPr>
          <w:rFonts w:ascii="Calibri" w:hAnsi="Calibri"/>
          <w:b/>
          <w:sz w:val="22"/>
        </w:rPr>
        <w:t>did</w:t>
      </w:r>
      <w:r>
        <w:rPr>
          <w:rFonts w:ascii="Calibri" w:hAnsi="Calibri"/>
          <w:b/>
          <w:spacing w:val="-3"/>
          <w:sz w:val="22"/>
        </w:rPr>
        <w:t> </w:t>
      </w:r>
      <w:r>
        <w:rPr>
          <w:rFonts w:ascii="Calibri" w:hAnsi="Calibri"/>
          <w:b/>
          <w:sz w:val="22"/>
        </w:rPr>
        <w:t>you</w:t>
      </w:r>
      <w:r>
        <w:rPr>
          <w:rFonts w:ascii="Calibri" w:hAnsi="Calibri"/>
          <w:b/>
          <w:spacing w:val="-3"/>
          <w:sz w:val="22"/>
        </w:rPr>
        <w:t> </w:t>
      </w:r>
      <w:r>
        <w:rPr>
          <w:rFonts w:ascii="Calibri" w:hAnsi="Calibri"/>
          <w:b/>
          <w:sz w:val="22"/>
          <w:u w:val="single" w:color="000000"/>
        </w:rPr>
        <w:t>MAKE</w:t>
      </w:r>
      <w:r>
        <w:rPr>
          <w:rFonts w:ascii="Calibri" w:hAnsi="Calibri"/>
          <w:b/>
          <w:spacing w:val="-2"/>
          <w:sz w:val="22"/>
          <w:u w:val="single" w:color="000000"/>
        </w:rPr>
        <w:t> </w:t>
      </w:r>
      <w:r>
        <w:rPr>
          <w:rFonts w:ascii="Calibri" w:hAnsi="Calibri"/>
          <w:b/>
          <w:sz w:val="22"/>
          <w:u w:val="single" w:color="000000"/>
        </w:rPr>
        <w:t>THE</w:t>
      </w:r>
      <w:r>
        <w:rPr>
          <w:rFonts w:ascii="Calibri" w:hAnsi="Calibri"/>
          <w:b/>
          <w:spacing w:val="-2"/>
          <w:sz w:val="22"/>
          <w:u w:val="single" w:color="000000"/>
        </w:rPr>
        <w:t> </w:t>
      </w:r>
      <w:r>
        <w:rPr>
          <w:rFonts w:ascii="Calibri" w:hAnsi="Calibri"/>
          <w:b/>
          <w:sz w:val="22"/>
          <w:u w:val="single" w:color="000000"/>
        </w:rPr>
        <w:t>RESERVATIONS</w:t>
      </w:r>
      <w:r>
        <w:rPr>
          <w:rFonts w:ascii="Calibri" w:hAnsi="Calibri"/>
          <w:b/>
          <w:spacing w:val="-2"/>
          <w:sz w:val="22"/>
          <w:u w:val="single" w:color="000000"/>
        </w:rPr>
        <w:t> </w:t>
      </w:r>
      <w:r>
        <w:rPr>
          <w:rFonts w:ascii="Calibri" w:hAnsi="Calibri"/>
          <w:b/>
          <w:sz w:val="22"/>
          <w:u w:val="single" w:color="000000"/>
        </w:rPr>
        <w:t>OR</w:t>
      </w:r>
      <w:r>
        <w:rPr>
          <w:rFonts w:ascii="Calibri" w:hAnsi="Calibri"/>
          <w:b/>
          <w:spacing w:val="-3"/>
          <w:sz w:val="22"/>
          <w:u w:val="single" w:color="000000"/>
        </w:rPr>
        <w:t> </w:t>
      </w:r>
      <w:r>
        <w:rPr>
          <w:rFonts w:ascii="Calibri" w:hAnsi="Calibri"/>
          <w:b/>
          <w:sz w:val="22"/>
          <w:u w:val="single" w:color="000000"/>
        </w:rPr>
        <w:t>BOOKING</w:t>
      </w:r>
      <w:r>
        <w:rPr>
          <w:rFonts w:ascii="Calibri" w:hAnsi="Calibri"/>
          <w:b/>
          <w:spacing w:val="-2"/>
          <w:sz w:val="22"/>
          <w:u w:val="single" w:color="000000"/>
        </w:rPr>
        <w:t> </w:t>
      </w:r>
      <w:r>
        <w:rPr>
          <w:rFonts w:ascii="Calibri" w:hAnsi="Calibri"/>
          <w:b/>
          <w:spacing w:val="-2"/>
          <w:sz w:val="22"/>
        </w:rPr>
      </w:r>
      <w:r>
        <w:rPr>
          <w:rFonts w:ascii="Calibri" w:hAnsi="Calibri"/>
          <w:b/>
          <w:sz w:val="22"/>
        </w:rPr>
        <w:t>for</w:t>
      </w:r>
      <w:r>
        <w:rPr>
          <w:rFonts w:ascii="Calibri" w:hAnsi="Calibri"/>
          <w:b/>
          <w:spacing w:val="-3"/>
          <w:sz w:val="22"/>
        </w:rPr>
        <w:t> </w:t>
      </w:r>
      <w:r>
        <w:rPr>
          <w:rFonts w:ascii="Calibri" w:hAnsi="Calibri"/>
          <w:b/>
          <w:sz w:val="22"/>
        </w:rPr>
        <w:t>your</w:t>
      </w:r>
      <w:r>
        <w:rPr>
          <w:rFonts w:ascii="Calibri" w:hAnsi="Calibri"/>
          <w:b/>
          <w:spacing w:val="-1"/>
          <w:sz w:val="22"/>
        </w:rPr>
        <w:t> </w:t>
      </w:r>
      <w:r>
        <w:rPr>
          <w:rFonts w:ascii="Calibri" w:hAnsi="Calibri"/>
          <w:b/>
          <w:sz w:val="22"/>
        </w:rPr>
        <w:t>trip</w:t>
      </w:r>
      <w:r>
        <w:rPr>
          <w:rFonts w:ascii="Calibri" w:hAnsi="Calibri"/>
          <w:b/>
          <w:spacing w:val="-3"/>
          <w:sz w:val="22"/>
        </w:rPr>
        <w:t> </w:t>
      </w:r>
      <w:r>
        <w:rPr>
          <w:rFonts w:ascii="Calibri" w:hAnsi="Calibri"/>
          <w:b/>
          <w:sz w:val="22"/>
        </w:rPr>
        <w:t>to</w:t>
      </w:r>
      <w:r>
        <w:rPr>
          <w:rFonts w:ascii="Calibri" w:hAnsi="Calibri"/>
          <w:b/>
          <w:spacing w:val="-3"/>
          <w:sz w:val="22"/>
        </w:rPr>
        <w:t> </w:t>
      </w:r>
      <w:r>
        <w:rPr>
          <w:rFonts w:ascii="Calibri" w:hAnsi="Calibri"/>
          <w:b/>
          <w:sz w:val="22"/>
        </w:rPr>
        <w:t>Curaçao?</w:t>
      </w:r>
      <w:r>
        <w:rPr>
          <w:rFonts w:ascii="Calibri" w:hAnsi="Calibri"/>
          <w:b/>
          <w:spacing w:val="-2"/>
          <w:sz w:val="22"/>
        </w:rPr>
        <w:t> </w:t>
      </w:r>
      <w:r>
        <w:rPr>
          <w:rFonts w:ascii="Calibri" w:hAnsi="Calibri"/>
          <w:b/>
          <w:i/>
          <w:sz w:val="22"/>
        </w:rPr>
        <w:t>(Please</w:t>
      </w:r>
      <w:r>
        <w:rPr>
          <w:rFonts w:ascii="Calibri" w:hAnsi="Calibri"/>
          <w:b/>
          <w:i/>
          <w:spacing w:val="-3"/>
          <w:sz w:val="22"/>
        </w:rPr>
        <w:t> </w:t>
      </w:r>
      <w:r>
        <w:rPr>
          <w:rFonts w:ascii="Calibri" w:hAnsi="Calibri"/>
          <w:b/>
          <w:i/>
          <w:sz w:val="22"/>
        </w:rPr>
        <w:t>check</w:t>
      </w:r>
      <w:r>
        <w:rPr>
          <w:rFonts w:ascii="Calibri" w:hAnsi="Calibri"/>
          <w:b/>
          <w:i/>
          <w:spacing w:val="-2"/>
          <w:sz w:val="22"/>
        </w:rPr>
        <w:t> </w:t>
      </w:r>
      <w:r>
        <w:rPr>
          <w:rFonts w:ascii="Calibri" w:hAnsi="Calibri"/>
          <w:b/>
          <w:i/>
          <w:sz w:val="22"/>
        </w:rPr>
        <w:t>only</w:t>
      </w:r>
      <w:r>
        <w:rPr>
          <w:rFonts w:ascii="Calibri" w:hAnsi="Calibri"/>
          <w:b/>
          <w:i/>
          <w:spacing w:val="-2"/>
          <w:sz w:val="22"/>
        </w:rPr>
        <w:t> </w:t>
      </w:r>
      <w:r>
        <w:rPr>
          <w:rFonts w:ascii="Calibri" w:hAnsi="Calibri"/>
          <w:b/>
          <w:i/>
          <w:sz w:val="22"/>
        </w:rPr>
        <w:t>one)</w:t>
      </w:r>
      <w:r>
        <w:rPr>
          <w:rFonts w:ascii="Calibri" w:hAnsi="Calibri"/>
          <w:sz w:val="22"/>
        </w:rPr>
      </w:r>
    </w:p>
    <w:tbl>
      <w:tblPr>
        <w:tblW w:w="0" w:type="auto"/>
        <w:jc w:val="left"/>
        <w:tblInd w:w="421" w:type="dxa"/>
        <w:tblLayout w:type="fixed"/>
        <w:tblCellMar>
          <w:top w:w="0" w:type="dxa"/>
          <w:left w:w="0" w:type="dxa"/>
          <w:bottom w:w="0" w:type="dxa"/>
          <w:right w:w="0" w:type="dxa"/>
        </w:tblCellMar>
        <w:tblLook w:val="01E0"/>
      </w:tblPr>
      <w:tblGrid>
        <w:gridCol w:w="322"/>
        <w:gridCol w:w="3753"/>
        <w:gridCol w:w="1443"/>
        <w:gridCol w:w="2751"/>
      </w:tblGrid>
      <w:tr>
        <w:trPr>
          <w:trHeight w:val="282"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8"/>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753"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Less than 1 week</w:t>
            </w:r>
            <w:r>
              <w:rPr>
                <w:rFonts w:ascii="Calibri"/>
                <w:spacing w:val="-10"/>
                <w:sz w:val="22"/>
              </w:rPr>
              <w:t> </w:t>
            </w:r>
            <w:r>
              <w:rPr>
                <w:rFonts w:ascii="Calibri"/>
                <w:sz w:val="22"/>
              </w:rPr>
              <w:t>ago</w:t>
            </w:r>
          </w:p>
        </w:tc>
        <w:tc>
          <w:tcPr>
            <w:tcW w:w="1443"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51"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Between 1 and 3 months</w:t>
            </w:r>
            <w:r>
              <w:rPr>
                <w:rFonts w:ascii="Calibri"/>
                <w:spacing w:val="-11"/>
                <w:sz w:val="22"/>
              </w:rPr>
              <w:t> </w:t>
            </w:r>
            <w:r>
              <w:rPr>
                <w:rFonts w:ascii="Calibri"/>
                <w:sz w:val="22"/>
              </w:rPr>
              <w:t>ago</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753"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Between 1 and 2 weeks</w:t>
            </w:r>
            <w:r>
              <w:rPr>
                <w:rFonts w:ascii="Calibri"/>
                <w:spacing w:val="-8"/>
                <w:sz w:val="22"/>
              </w:rPr>
              <w:t> </w:t>
            </w:r>
            <w:r>
              <w:rPr>
                <w:rFonts w:ascii="Calibri"/>
                <w:sz w:val="22"/>
              </w:rPr>
              <w:t>ago</w:t>
            </w:r>
          </w:p>
        </w:tc>
        <w:tc>
          <w:tcPr>
            <w:tcW w:w="1443"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5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Between 3 and 6 months</w:t>
            </w:r>
            <w:r>
              <w:rPr>
                <w:rFonts w:ascii="Calibri"/>
                <w:spacing w:val="-11"/>
                <w:sz w:val="22"/>
              </w:rPr>
              <w:t> </w:t>
            </w:r>
            <w:r>
              <w:rPr>
                <w:rFonts w:ascii="Calibri"/>
                <w:sz w:val="22"/>
              </w:rPr>
              <w:t>ago</w:t>
            </w:r>
          </w:p>
        </w:tc>
      </w:tr>
      <w:tr>
        <w:trPr>
          <w:trHeight w:val="354"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753"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Between 2 and 4 weeks</w:t>
            </w:r>
            <w:r>
              <w:rPr>
                <w:rFonts w:ascii="Calibri"/>
                <w:spacing w:val="-8"/>
                <w:sz w:val="22"/>
              </w:rPr>
              <w:t> </w:t>
            </w:r>
            <w:r>
              <w:rPr>
                <w:rFonts w:ascii="Calibri"/>
                <w:sz w:val="22"/>
              </w:rPr>
              <w:t>ago</w:t>
            </w:r>
          </w:p>
        </w:tc>
        <w:tc>
          <w:tcPr>
            <w:tcW w:w="1443"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5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More than 6 months</w:t>
            </w:r>
            <w:r>
              <w:rPr>
                <w:rFonts w:ascii="Calibri"/>
                <w:spacing w:val="-6"/>
                <w:sz w:val="22"/>
              </w:rPr>
              <w:t> </w:t>
            </w:r>
            <w:r>
              <w:rPr>
                <w:rFonts w:ascii="Calibri"/>
                <w:sz w:val="22"/>
              </w:rPr>
              <w:t>ago</w:t>
            </w:r>
          </w:p>
        </w:tc>
      </w:tr>
    </w:tbl>
    <w:p>
      <w:pPr>
        <w:spacing w:after="0" w:line="258" w:lineRule="exact"/>
        <w:jc w:val="left"/>
        <w:rPr>
          <w:rFonts w:ascii="Calibri" w:hAnsi="Calibri" w:cs="Calibri" w:eastAsia="Calibri" w:hint="default"/>
          <w:sz w:val="22"/>
          <w:szCs w:val="22"/>
        </w:rPr>
        <w:sectPr>
          <w:footerReference w:type="default" r:id="rId102"/>
          <w:pgSz w:w="12240" w:h="15840"/>
          <w:pgMar w:footer="312" w:header="720" w:top="1280" w:bottom="500" w:left="220" w:right="280"/>
          <w:pgNumType w:start="2"/>
        </w:sectPr>
      </w:pPr>
    </w:p>
    <w:p>
      <w:pPr>
        <w:spacing w:line="240" w:lineRule="auto" w:before="11"/>
        <w:ind w:right="0"/>
        <w:rPr>
          <w:rFonts w:ascii="Calibri" w:hAnsi="Calibri" w:cs="Calibri" w:eastAsia="Calibri" w:hint="default"/>
          <w:b/>
          <w:bCs/>
          <w:i/>
          <w:sz w:val="18"/>
          <w:szCs w:val="18"/>
        </w:rPr>
      </w:pPr>
    </w:p>
    <w:p>
      <w:pPr>
        <w:pStyle w:val="ListParagraph"/>
        <w:numPr>
          <w:ilvl w:val="0"/>
          <w:numId w:val="23"/>
        </w:numPr>
        <w:tabs>
          <w:tab w:pos="690" w:val="left" w:leader="none"/>
        </w:tabs>
        <w:spacing w:line="240" w:lineRule="auto" w:before="55" w:after="36"/>
        <w:ind w:left="689" w:right="0" w:hanging="219"/>
        <w:jc w:val="left"/>
        <w:rPr>
          <w:rFonts w:ascii="Calibri" w:hAnsi="Calibri" w:cs="Calibri" w:eastAsia="Calibri" w:hint="default"/>
          <w:sz w:val="22"/>
          <w:szCs w:val="22"/>
        </w:rPr>
      </w:pPr>
      <w:r>
        <w:rPr>
          <w:rFonts w:ascii="Calibri" w:hAnsi="Calibri"/>
          <w:b/>
          <w:sz w:val="22"/>
        </w:rPr>
        <w:t>How did you arrange your lodging reservation for your visit to Curaçao? </w:t>
      </w:r>
      <w:r>
        <w:rPr>
          <w:rFonts w:ascii="Calibri" w:hAnsi="Calibri"/>
          <w:b/>
          <w:i/>
          <w:sz w:val="22"/>
        </w:rPr>
        <w:t>(Please check only</w:t>
      </w:r>
      <w:r>
        <w:rPr>
          <w:rFonts w:ascii="Calibri" w:hAnsi="Calibri"/>
          <w:b/>
          <w:i/>
          <w:spacing w:val="-34"/>
          <w:sz w:val="22"/>
        </w:rPr>
        <w:t> </w:t>
      </w:r>
      <w:r>
        <w:rPr>
          <w:rFonts w:ascii="Calibri" w:hAnsi="Calibri"/>
          <w:b/>
          <w:i/>
          <w:sz w:val="22"/>
        </w:rPr>
        <w:t>one)</w:t>
      </w:r>
      <w:r>
        <w:rPr>
          <w:rFonts w:ascii="Calibri" w:hAnsi="Calibri"/>
          <w:sz w:val="22"/>
        </w:rPr>
      </w:r>
    </w:p>
    <w:tbl>
      <w:tblPr>
        <w:tblW w:w="0" w:type="auto"/>
        <w:jc w:val="left"/>
        <w:tblInd w:w="435" w:type="dxa"/>
        <w:tblLayout w:type="fixed"/>
        <w:tblCellMar>
          <w:top w:w="0" w:type="dxa"/>
          <w:left w:w="0" w:type="dxa"/>
          <w:bottom w:w="0" w:type="dxa"/>
          <w:right w:w="0" w:type="dxa"/>
        </w:tblCellMar>
        <w:tblLook w:val="01E0"/>
      </w:tblPr>
      <w:tblGrid>
        <w:gridCol w:w="322"/>
        <w:gridCol w:w="2979"/>
        <w:gridCol w:w="654"/>
        <w:gridCol w:w="3118"/>
        <w:gridCol w:w="575"/>
        <w:gridCol w:w="2567"/>
      </w:tblGrid>
      <w:tr>
        <w:trPr>
          <w:trHeight w:val="282"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8"/>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979" w:type="dxa"/>
            <w:tcBorders>
              <w:top w:val="nil" w:sz="6" w:space="0" w:color="auto"/>
              <w:left w:val="nil" w:sz="6" w:space="0" w:color="auto"/>
              <w:bottom w:val="nil" w:sz="6" w:space="0" w:color="auto"/>
              <w:right w:val="nil" w:sz="6" w:space="0" w:color="auto"/>
            </w:tcBorders>
          </w:tcPr>
          <w:p>
            <w:pPr>
              <w:pStyle w:val="TableParagraph"/>
              <w:spacing w:line="252" w:lineRule="exact"/>
              <w:ind w:left="108" w:right="0"/>
              <w:jc w:val="left"/>
              <w:rPr>
                <w:rFonts w:ascii="Calibri" w:hAnsi="Calibri" w:cs="Calibri" w:eastAsia="Calibri" w:hint="default"/>
                <w:sz w:val="22"/>
                <w:szCs w:val="22"/>
              </w:rPr>
            </w:pPr>
            <w:r>
              <w:rPr>
                <w:rFonts w:ascii="Calibri"/>
                <w:sz w:val="22"/>
              </w:rPr>
              <w:t>Hotel telephone</w:t>
            </w:r>
            <w:r>
              <w:rPr>
                <w:rFonts w:ascii="Calibri"/>
                <w:spacing w:val="-9"/>
                <w:sz w:val="22"/>
              </w:rPr>
              <w:t> </w:t>
            </w:r>
            <w:r>
              <w:rPr>
                <w:rFonts w:ascii="Calibri"/>
                <w:sz w:val="22"/>
              </w:rPr>
              <w:t>reservation</w:t>
            </w:r>
          </w:p>
        </w:tc>
        <w:tc>
          <w:tcPr>
            <w:tcW w:w="654"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21"/>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118" w:type="dxa"/>
            <w:tcBorders>
              <w:top w:val="nil" w:sz="6" w:space="0" w:color="auto"/>
              <w:left w:val="nil" w:sz="6" w:space="0" w:color="auto"/>
              <w:bottom w:val="nil" w:sz="6" w:space="0" w:color="auto"/>
              <w:right w:val="nil" w:sz="6" w:space="0" w:color="auto"/>
            </w:tcBorders>
          </w:tcPr>
          <w:p>
            <w:pPr>
              <w:pStyle w:val="TableParagraph"/>
              <w:spacing w:line="252" w:lineRule="exact"/>
              <w:ind w:left="123" w:right="0"/>
              <w:jc w:val="left"/>
              <w:rPr>
                <w:rFonts w:ascii="Calibri" w:hAnsi="Calibri" w:cs="Calibri" w:eastAsia="Calibri" w:hint="default"/>
                <w:sz w:val="22"/>
                <w:szCs w:val="22"/>
              </w:rPr>
            </w:pPr>
            <w:r>
              <w:rPr>
                <w:rFonts w:ascii="Calibri"/>
                <w:sz w:val="22"/>
              </w:rPr>
              <w:t>Travel</w:t>
            </w:r>
            <w:r>
              <w:rPr>
                <w:rFonts w:ascii="Calibri"/>
                <w:spacing w:val="-6"/>
                <w:sz w:val="22"/>
              </w:rPr>
              <w:t> </w:t>
            </w:r>
            <w:r>
              <w:rPr>
                <w:rFonts w:ascii="Calibri"/>
                <w:sz w:val="22"/>
              </w:rPr>
              <w:t>agent</w:t>
            </w:r>
          </w:p>
        </w:tc>
        <w:tc>
          <w:tcPr>
            <w:tcW w:w="575"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07"/>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567" w:type="dxa"/>
            <w:tcBorders>
              <w:top w:val="nil" w:sz="6" w:space="0" w:color="auto"/>
              <w:left w:val="nil" w:sz="6" w:space="0" w:color="auto"/>
              <w:bottom w:val="nil" w:sz="6" w:space="0" w:color="auto"/>
              <w:right w:val="nil" w:sz="6" w:space="0" w:color="auto"/>
            </w:tcBorders>
          </w:tcPr>
          <w:p>
            <w:pPr>
              <w:pStyle w:val="TableParagraph"/>
              <w:spacing w:line="252" w:lineRule="exact"/>
              <w:ind w:left="109" w:right="0"/>
              <w:jc w:val="left"/>
              <w:rPr>
                <w:rFonts w:ascii="Calibri" w:hAnsi="Calibri" w:cs="Calibri" w:eastAsia="Calibri" w:hint="default"/>
                <w:sz w:val="22"/>
                <w:szCs w:val="22"/>
              </w:rPr>
            </w:pPr>
            <w:r>
              <w:rPr>
                <w:rFonts w:ascii="Calibri"/>
                <w:sz w:val="22"/>
              </w:rPr>
              <w:t>Airbnb.com</w:t>
            </w:r>
          </w:p>
        </w:tc>
      </w:tr>
      <w:tr>
        <w:trPr>
          <w:trHeight w:val="354"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979"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Hotel</w:t>
            </w:r>
            <w:r>
              <w:rPr>
                <w:rFonts w:ascii="Calibri"/>
                <w:spacing w:val="-6"/>
                <w:sz w:val="22"/>
              </w:rPr>
              <w:t> </w:t>
            </w:r>
            <w:r>
              <w:rPr>
                <w:rFonts w:ascii="Calibri"/>
                <w:sz w:val="22"/>
              </w:rPr>
              <w:t>website</w:t>
            </w:r>
          </w:p>
        </w:tc>
        <w:tc>
          <w:tcPr>
            <w:tcW w:w="654"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21"/>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118" w:type="dxa"/>
            <w:tcBorders>
              <w:top w:val="nil" w:sz="6" w:space="0" w:color="auto"/>
              <w:left w:val="nil" w:sz="6" w:space="0" w:color="auto"/>
              <w:bottom w:val="nil" w:sz="6" w:space="0" w:color="auto"/>
              <w:right w:val="nil" w:sz="6" w:space="0" w:color="auto"/>
            </w:tcBorders>
          </w:tcPr>
          <w:p>
            <w:pPr>
              <w:pStyle w:val="TableParagraph"/>
              <w:spacing w:line="258" w:lineRule="exact"/>
              <w:ind w:left="123" w:right="0"/>
              <w:jc w:val="left"/>
              <w:rPr>
                <w:rFonts w:ascii="Calibri" w:hAnsi="Calibri" w:cs="Calibri" w:eastAsia="Calibri" w:hint="default"/>
                <w:sz w:val="22"/>
                <w:szCs w:val="22"/>
              </w:rPr>
            </w:pPr>
            <w:r>
              <w:rPr>
                <w:rFonts w:ascii="Calibri"/>
                <w:sz w:val="22"/>
              </w:rPr>
              <w:t>Internet (e.g.</w:t>
            </w:r>
            <w:r>
              <w:rPr>
                <w:rFonts w:ascii="Calibri"/>
                <w:spacing w:val="-11"/>
                <w:sz w:val="22"/>
              </w:rPr>
              <w:t> </w:t>
            </w:r>
            <w:r>
              <w:rPr>
                <w:rFonts w:ascii="Calibri"/>
                <w:sz w:val="22"/>
              </w:rPr>
              <w:t>Travelocity.com)</w:t>
            </w:r>
          </w:p>
        </w:tc>
        <w:tc>
          <w:tcPr>
            <w:tcW w:w="575"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07"/>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567" w:type="dxa"/>
            <w:tcBorders>
              <w:top w:val="nil" w:sz="6" w:space="0" w:color="auto"/>
              <w:left w:val="nil" w:sz="6" w:space="0" w:color="auto"/>
              <w:bottom w:val="nil" w:sz="6" w:space="0" w:color="auto"/>
              <w:right w:val="nil" w:sz="6" w:space="0" w:color="auto"/>
            </w:tcBorders>
          </w:tcPr>
          <w:p>
            <w:pPr>
              <w:pStyle w:val="TableParagraph"/>
              <w:spacing w:line="258" w:lineRule="exact"/>
              <w:ind w:left="109" w:right="0"/>
              <w:jc w:val="left"/>
              <w:rPr>
                <w:rFonts w:ascii="Calibri" w:hAnsi="Calibri" w:cs="Calibri" w:eastAsia="Calibri" w:hint="default"/>
                <w:sz w:val="22"/>
                <w:szCs w:val="22"/>
              </w:rPr>
            </w:pPr>
            <w:r>
              <w:rPr>
                <w:rFonts w:ascii="Calibri"/>
                <w:sz w:val="22"/>
              </w:rPr>
              <w:t>Apartment rental</w:t>
            </w:r>
            <w:r>
              <w:rPr>
                <w:rFonts w:ascii="Calibri"/>
                <w:spacing w:val="-10"/>
                <w:sz w:val="22"/>
              </w:rPr>
              <w:t> </w:t>
            </w:r>
            <w:r>
              <w:rPr>
                <w:rFonts w:ascii="Calibri"/>
                <w:sz w:val="22"/>
              </w:rPr>
              <w:t>company</w:t>
            </w:r>
          </w:p>
        </w:tc>
      </w:tr>
    </w:tbl>
    <w:p>
      <w:pPr>
        <w:spacing w:line="240" w:lineRule="auto" w:before="3"/>
        <w:ind w:right="0"/>
        <w:rPr>
          <w:rFonts w:ascii="Calibri" w:hAnsi="Calibri" w:cs="Calibri" w:eastAsia="Calibri" w:hint="default"/>
          <w:b/>
          <w:bCs/>
          <w:i/>
          <w:sz w:val="11"/>
          <w:szCs w:val="11"/>
        </w:rPr>
      </w:pPr>
    </w:p>
    <w:p>
      <w:pPr>
        <w:pStyle w:val="ListParagraph"/>
        <w:numPr>
          <w:ilvl w:val="0"/>
          <w:numId w:val="23"/>
        </w:numPr>
        <w:tabs>
          <w:tab w:pos="802" w:val="left" w:leader="none"/>
        </w:tabs>
        <w:spacing w:line="240" w:lineRule="auto" w:before="55" w:after="36"/>
        <w:ind w:left="801" w:right="0" w:hanging="331"/>
        <w:jc w:val="left"/>
        <w:rPr>
          <w:rFonts w:ascii="Calibri" w:hAnsi="Calibri" w:cs="Calibri" w:eastAsia="Calibri" w:hint="default"/>
          <w:sz w:val="22"/>
          <w:szCs w:val="22"/>
        </w:rPr>
      </w:pPr>
      <w:r>
        <w:rPr>
          <w:rFonts w:ascii="Calibri" w:hAnsi="Calibri"/>
          <w:b/>
          <w:sz w:val="22"/>
        </w:rPr>
        <w:t>How</w:t>
      </w:r>
      <w:r>
        <w:rPr>
          <w:rFonts w:ascii="Calibri" w:hAnsi="Calibri"/>
          <w:b/>
          <w:spacing w:val="-3"/>
          <w:sz w:val="22"/>
        </w:rPr>
        <w:t> </w:t>
      </w:r>
      <w:r>
        <w:rPr>
          <w:rFonts w:ascii="Calibri" w:hAnsi="Calibri"/>
          <w:b/>
          <w:sz w:val="22"/>
        </w:rPr>
        <w:t>did</w:t>
      </w:r>
      <w:r>
        <w:rPr>
          <w:rFonts w:ascii="Calibri" w:hAnsi="Calibri"/>
          <w:b/>
          <w:spacing w:val="-3"/>
          <w:sz w:val="22"/>
        </w:rPr>
        <w:t> </w:t>
      </w:r>
      <w:r>
        <w:rPr>
          <w:rFonts w:ascii="Calibri" w:hAnsi="Calibri"/>
          <w:b/>
          <w:sz w:val="22"/>
        </w:rPr>
        <w:t>you</w:t>
      </w:r>
      <w:r>
        <w:rPr>
          <w:rFonts w:ascii="Calibri" w:hAnsi="Calibri"/>
          <w:b/>
          <w:spacing w:val="-4"/>
          <w:sz w:val="22"/>
        </w:rPr>
        <w:t> </w:t>
      </w:r>
      <w:r>
        <w:rPr>
          <w:rFonts w:ascii="Calibri" w:hAnsi="Calibri"/>
          <w:b/>
          <w:sz w:val="22"/>
        </w:rPr>
        <w:t>arrange</w:t>
      </w:r>
      <w:r>
        <w:rPr>
          <w:rFonts w:ascii="Calibri" w:hAnsi="Calibri"/>
          <w:b/>
          <w:spacing w:val="-2"/>
          <w:sz w:val="22"/>
        </w:rPr>
        <w:t> </w:t>
      </w:r>
      <w:r>
        <w:rPr>
          <w:rFonts w:ascii="Calibri" w:hAnsi="Calibri"/>
          <w:b/>
          <w:sz w:val="22"/>
        </w:rPr>
        <w:t>your</w:t>
      </w:r>
      <w:r>
        <w:rPr>
          <w:rFonts w:ascii="Calibri" w:hAnsi="Calibri"/>
          <w:b/>
          <w:spacing w:val="-5"/>
          <w:sz w:val="22"/>
        </w:rPr>
        <w:t> </w:t>
      </w:r>
      <w:r>
        <w:rPr>
          <w:rFonts w:ascii="Calibri" w:hAnsi="Calibri"/>
          <w:b/>
          <w:sz w:val="22"/>
        </w:rPr>
        <w:t>flight</w:t>
      </w:r>
      <w:r>
        <w:rPr>
          <w:rFonts w:ascii="Calibri" w:hAnsi="Calibri"/>
          <w:b/>
          <w:spacing w:val="-4"/>
          <w:sz w:val="22"/>
        </w:rPr>
        <w:t> </w:t>
      </w:r>
      <w:r>
        <w:rPr>
          <w:rFonts w:ascii="Calibri" w:hAnsi="Calibri"/>
          <w:b/>
          <w:sz w:val="22"/>
        </w:rPr>
        <w:t>reservation(s)</w:t>
      </w:r>
      <w:r>
        <w:rPr>
          <w:rFonts w:ascii="Calibri" w:hAnsi="Calibri"/>
          <w:b/>
          <w:spacing w:val="-3"/>
          <w:sz w:val="22"/>
        </w:rPr>
        <w:t> </w:t>
      </w:r>
      <w:r>
        <w:rPr>
          <w:rFonts w:ascii="Calibri" w:hAnsi="Calibri"/>
          <w:b/>
          <w:sz w:val="22"/>
        </w:rPr>
        <w:t>for</w:t>
      </w:r>
      <w:r>
        <w:rPr>
          <w:rFonts w:ascii="Calibri" w:hAnsi="Calibri"/>
          <w:b/>
          <w:spacing w:val="-5"/>
          <w:sz w:val="22"/>
        </w:rPr>
        <w:t> </w:t>
      </w:r>
      <w:r>
        <w:rPr>
          <w:rFonts w:ascii="Calibri" w:hAnsi="Calibri"/>
          <w:b/>
          <w:sz w:val="22"/>
        </w:rPr>
        <w:t>your</w:t>
      </w:r>
      <w:r>
        <w:rPr>
          <w:rFonts w:ascii="Calibri" w:hAnsi="Calibri"/>
          <w:b/>
          <w:spacing w:val="-3"/>
          <w:sz w:val="22"/>
        </w:rPr>
        <w:t> </w:t>
      </w:r>
      <w:r>
        <w:rPr>
          <w:rFonts w:ascii="Calibri" w:hAnsi="Calibri"/>
          <w:b/>
          <w:sz w:val="22"/>
        </w:rPr>
        <w:t>visit</w:t>
      </w:r>
      <w:r>
        <w:rPr>
          <w:rFonts w:ascii="Calibri" w:hAnsi="Calibri"/>
          <w:b/>
          <w:spacing w:val="-3"/>
          <w:sz w:val="22"/>
        </w:rPr>
        <w:t> </w:t>
      </w:r>
      <w:r>
        <w:rPr>
          <w:rFonts w:ascii="Calibri" w:hAnsi="Calibri"/>
          <w:b/>
          <w:sz w:val="22"/>
        </w:rPr>
        <w:t>to</w:t>
      </w:r>
      <w:r>
        <w:rPr>
          <w:rFonts w:ascii="Calibri" w:hAnsi="Calibri"/>
          <w:b/>
          <w:spacing w:val="-2"/>
          <w:sz w:val="22"/>
        </w:rPr>
        <w:t> </w:t>
      </w:r>
      <w:r>
        <w:rPr>
          <w:rFonts w:ascii="Calibri" w:hAnsi="Calibri"/>
          <w:b/>
          <w:sz w:val="22"/>
        </w:rPr>
        <w:t>Curaçao?</w:t>
      </w:r>
      <w:r>
        <w:rPr>
          <w:rFonts w:ascii="Calibri" w:hAnsi="Calibri"/>
          <w:b/>
          <w:spacing w:val="-4"/>
          <w:sz w:val="22"/>
        </w:rPr>
        <w:t> </w:t>
      </w:r>
      <w:r>
        <w:rPr>
          <w:rFonts w:ascii="Calibri" w:hAnsi="Calibri"/>
          <w:b/>
          <w:i/>
          <w:sz w:val="22"/>
        </w:rPr>
        <w:t>(Please</w:t>
      </w:r>
      <w:r>
        <w:rPr>
          <w:rFonts w:ascii="Calibri" w:hAnsi="Calibri"/>
          <w:b/>
          <w:i/>
          <w:spacing w:val="-2"/>
          <w:sz w:val="22"/>
        </w:rPr>
        <w:t> </w:t>
      </w:r>
      <w:r>
        <w:rPr>
          <w:rFonts w:ascii="Calibri" w:hAnsi="Calibri"/>
          <w:b/>
          <w:i/>
          <w:sz w:val="22"/>
        </w:rPr>
        <w:t>check</w:t>
      </w:r>
      <w:r>
        <w:rPr>
          <w:rFonts w:ascii="Calibri" w:hAnsi="Calibri"/>
          <w:b/>
          <w:i/>
          <w:spacing w:val="-4"/>
          <w:sz w:val="22"/>
        </w:rPr>
        <w:t> </w:t>
      </w:r>
      <w:r>
        <w:rPr>
          <w:rFonts w:ascii="Calibri" w:hAnsi="Calibri"/>
          <w:b/>
          <w:i/>
          <w:sz w:val="22"/>
        </w:rPr>
        <w:t>only)</w:t>
      </w:r>
      <w:r>
        <w:rPr>
          <w:rFonts w:ascii="Calibri" w:hAnsi="Calibri"/>
          <w:sz w:val="22"/>
        </w:rPr>
      </w:r>
    </w:p>
    <w:tbl>
      <w:tblPr>
        <w:tblW w:w="0" w:type="auto"/>
        <w:jc w:val="left"/>
        <w:tblInd w:w="435" w:type="dxa"/>
        <w:tblLayout w:type="fixed"/>
        <w:tblCellMar>
          <w:top w:w="0" w:type="dxa"/>
          <w:left w:w="0" w:type="dxa"/>
          <w:bottom w:w="0" w:type="dxa"/>
          <w:right w:w="0" w:type="dxa"/>
        </w:tblCellMar>
        <w:tblLook w:val="01E0"/>
      </w:tblPr>
      <w:tblGrid>
        <w:gridCol w:w="322"/>
        <w:gridCol w:w="3069"/>
        <w:gridCol w:w="563"/>
        <w:gridCol w:w="3117"/>
        <w:gridCol w:w="575"/>
        <w:gridCol w:w="1915"/>
      </w:tblGrid>
      <w:tr>
        <w:trPr>
          <w:trHeight w:val="282"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8"/>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069" w:type="dxa"/>
            <w:tcBorders>
              <w:top w:val="nil" w:sz="6" w:space="0" w:color="auto"/>
              <w:left w:val="nil" w:sz="6" w:space="0" w:color="auto"/>
              <w:bottom w:val="nil" w:sz="6" w:space="0" w:color="auto"/>
              <w:right w:val="nil" w:sz="6" w:space="0" w:color="auto"/>
            </w:tcBorders>
          </w:tcPr>
          <w:p>
            <w:pPr>
              <w:pStyle w:val="TableParagraph"/>
              <w:spacing w:line="252" w:lineRule="exact"/>
              <w:ind w:left="108" w:right="0"/>
              <w:jc w:val="left"/>
              <w:rPr>
                <w:rFonts w:ascii="Calibri" w:hAnsi="Calibri" w:cs="Calibri" w:eastAsia="Calibri" w:hint="default"/>
                <w:sz w:val="22"/>
                <w:szCs w:val="22"/>
              </w:rPr>
            </w:pPr>
            <w:r>
              <w:rPr>
                <w:rFonts w:ascii="Calibri"/>
                <w:sz w:val="22"/>
              </w:rPr>
              <w:t>Airline telephone</w:t>
            </w:r>
            <w:r>
              <w:rPr>
                <w:rFonts w:ascii="Calibri"/>
                <w:spacing w:val="-9"/>
                <w:sz w:val="22"/>
              </w:rPr>
              <w:t> </w:t>
            </w:r>
            <w:r>
              <w:rPr>
                <w:rFonts w:ascii="Calibri"/>
                <w:sz w:val="22"/>
              </w:rPr>
              <w:t>reservations</w:t>
            </w:r>
          </w:p>
        </w:tc>
        <w:tc>
          <w:tcPr>
            <w:tcW w:w="563"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20"/>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117" w:type="dxa"/>
            <w:tcBorders>
              <w:top w:val="nil" w:sz="6" w:space="0" w:color="auto"/>
              <w:left w:val="nil" w:sz="6" w:space="0" w:color="auto"/>
              <w:bottom w:val="nil" w:sz="6" w:space="0" w:color="auto"/>
              <w:right w:val="nil" w:sz="6" w:space="0" w:color="auto"/>
            </w:tcBorders>
          </w:tcPr>
          <w:p>
            <w:pPr>
              <w:pStyle w:val="TableParagraph"/>
              <w:spacing w:line="252" w:lineRule="exact"/>
              <w:ind w:left="122" w:right="0"/>
              <w:jc w:val="left"/>
              <w:rPr>
                <w:rFonts w:ascii="Calibri" w:hAnsi="Calibri" w:cs="Calibri" w:eastAsia="Calibri" w:hint="default"/>
                <w:sz w:val="22"/>
                <w:szCs w:val="22"/>
              </w:rPr>
            </w:pPr>
            <w:r>
              <w:rPr>
                <w:rFonts w:ascii="Calibri"/>
                <w:sz w:val="22"/>
              </w:rPr>
              <w:t>Travel</w:t>
            </w:r>
            <w:r>
              <w:rPr>
                <w:rFonts w:ascii="Calibri"/>
                <w:spacing w:val="-6"/>
                <w:sz w:val="22"/>
              </w:rPr>
              <w:t> </w:t>
            </w:r>
            <w:r>
              <w:rPr>
                <w:rFonts w:ascii="Calibri"/>
                <w:sz w:val="22"/>
              </w:rPr>
              <w:t>agent</w:t>
            </w:r>
          </w:p>
        </w:tc>
        <w:tc>
          <w:tcPr>
            <w:tcW w:w="575" w:type="dxa"/>
            <w:tcBorders>
              <w:top w:val="nil" w:sz="6" w:space="0" w:color="auto"/>
              <w:left w:val="nil" w:sz="6" w:space="0" w:color="auto"/>
              <w:bottom w:val="nil" w:sz="6" w:space="0" w:color="auto"/>
              <w:right w:val="nil" w:sz="6" w:space="0" w:color="auto"/>
            </w:tcBorders>
          </w:tcPr>
          <w:p>
            <w:pPr>
              <w:pStyle w:val="TableParagraph"/>
              <w:spacing w:line="240" w:lineRule="auto" w:before="8"/>
              <w:ind w:left="28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1915" w:type="dxa"/>
            <w:tcBorders>
              <w:top w:val="nil" w:sz="6" w:space="0" w:color="auto"/>
              <w:left w:val="nil" w:sz="6" w:space="0" w:color="auto"/>
              <w:bottom w:val="nil" w:sz="6" w:space="0" w:color="auto"/>
              <w:right w:val="nil" w:sz="6" w:space="0" w:color="auto"/>
            </w:tcBorders>
          </w:tcPr>
          <w:p>
            <w:pPr>
              <w:pStyle w:val="TableParagraph"/>
              <w:tabs>
                <w:tab w:pos="1880" w:val="left" w:leader="none"/>
              </w:tabs>
              <w:spacing w:line="252" w:lineRule="exact"/>
              <w:ind w:left="110" w:right="0"/>
              <w:jc w:val="left"/>
              <w:rPr>
                <w:rFonts w:ascii="Calibri" w:hAnsi="Calibri" w:cs="Calibri" w:eastAsia="Calibri" w:hint="default"/>
                <w:sz w:val="22"/>
                <w:szCs w:val="22"/>
              </w:rPr>
            </w:pPr>
            <w:r>
              <w:rPr>
                <w:rFonts w:ascii="Calibri"/>
                <w:sz w:val="22"/>
              </w:rPr>
              <w:t>Other</w:t>
            </w:r>
            <w:r>
              <w:rPr>
                <w:rFonts w:ascii="Calibri"/>
                <w:sz w:val="22"/>
                <w:u w:val="single" w:color="000000"/>
              </w:rPr>
              <w:t> </w:t>
              <w:tab/>
            </w:r>
            <w:r>
              <w:rPr>
                <w:rFonts w:ascii="Calibri"/>
                <w:sz w:val="22"/>
              </w:rPr>
            </w:r>
          </w:p>
        </w:tc>
      </w:tr>
      <w:tr>
        <w:trPr>
          <w:trHeight w:val="354"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069"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Airline</w:t>
            </w:r>
            <w:r>
              <w:rPr>
                <w:rFonts w:ascii="Calibri"/>
                <w:spacing w:val="-6"/>
                <w:sz w:val="22"/>
              </w:rPr>
              <w:t> </w:t>
            </w:r>
            <w:r>
              <w:rPr>
                <w:rFonts w:ascii="Calibri"/>
                <w:sz w:val="22"/>
              </w:rPr>
              <w:t>website</w:t>
            </w:r>
          </w:p>
        </w:tc>
        <w:tc>
          <w:tcPr>
            <w:tcW w:w="563"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20"/>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117" w:type="dxa"/>
            <w:tcBorders>
              <w:top w:val="nil" w:sz="6" w:space="0" w:color="auto"/>
              <w:left w:val="nil" w:sz="6" w:space="0" w:color="auto"/>
              <w:bottom w:val="nil" w:sz="6" w:space="0" w:color="auto"/>
              <w:right w:val="nil" w:sz="6" w:space="0" w:color="auto"/>
            </w:tcBorders>
          </w:tcPr>
          <w:p>
            <w:pPr>
              <w:pStyle w:val="TableParagraph"/>
              <w:spacing w:line="258" w:lineRule="exact"/>
              <w:ind w:left="122" w:right="0"/>
              <w:jc w:val="left"/>
              <w:rPr>
                <w:rFonts w:ascii="Calibri" w:hAnsi="Calibri" w:cs="Calibri" w:eastAsia="Calibri" w:hint="default"/>
                <w:sz w:val="22"/>
                <w:szCs w:val="22"/>
              </w:rPr>
            </w:pPr>
            <w:r>
              <w:rPr>
                <w:rFonts w:ascii="Calibri"/>
                <w:sz w:val="22"/>
              </w:rPr>
              <w:t>Internet (e.g.</w:t>
            </w:r>
            <w:r>
              <w:rPr>
                <w:rFonts w:ascii="Calibri"/>
                <w:spacing w:val="-11"/>
                <w:sz w:val="22"/>
              </w:rPr>
              <w:t> </w:t>
            </w:r>
            <w:r>
              <w:rPr>
                <w:rFonts w:ascii="Calibri"/>
                <w:sz w:val="22"/>
              </w:rPr>
              <w:t>Travelocity.com)</w:t>
            </w:r>
          </w:p>
        </w:tc>
        <w:tc>
          <w:tcPr>
            <w:tcW w:w="575" w:type="dxa"/>
            <w:tcBorders>
              <w:top w:val="nil" w:sz="6" w:space="0" w:color="auto"/>
              <w:left w:val="nil" w:sz="6" w:space="0" w:color="auto"/>
              <w:bottom w:val="nil" w:sz="6" w:space="0" w:color="auto"/>
              <w:right w:val="nil" w:sz="6" w:space="0" w:color="auto"/>
            </w:tcBorders>
          </w:tcPr>
          <w:p>
            <w:pPr/>
          </w:p>
        </w:tc>
        <w:tc>
          <w:tcPr>
            <w:tcW w:w="1915" w:type="dxa"/>
            <w:tcBorders>
              <w:top w:val="nil" w:sz="6" w:space="0" w:color="auto"/>
              <w:left w:val="nil" w:sz="6" w:space="0" w:color="auto"/>
              <w:bottom w:val="nil" w:sz="6" w:space="0" w:color="auto"/>
              <w:right w:val="nil" w:sz="6" w:space="0" w:color="auto"/>
            </w:tcBorders>
          </w:tcPr>
          <w:p>
            <w:pPr/>
          </w:p>
        </w:tc>
      </w:tr>
    </w:tbl>
    <w:p>
      <w:pPr>
        <w:spacing w:line="240" w:lineRule="auto" w:before="4"/>
        <w:ind w:right="0"/>
        <w:rPr>
          <w:rFonts w:ascii="Calibri" w:hAnsi="Calibri" w:cs="Calibri" w:eastAsia="Calibri" w:hint="default"/>
          <w:b/>
          <w:bCs/>
          <w:i/>
          <w:sz w:val="10"/>
          <w:szCs w:val="10"/>
        </w:rPr>
      </w:pPr>
    </w:p>
    <w:p>
      <w:pPr>
        <w:spacing w:before="55"/>
        <w:ind w:left="152" w:right="0" w:firstLine="0"/>
        <w:jc w:val="left"/>
        <w:rPr>
          <w:rFonts w:ascii="Calibri" w:hAnsi="Calibri" w:cs="Calibri" w:eastAsia="Calibri" w:hint="default"/>
          <w:sz w:val="22"/>
          <w:szCs w:val="22"/>
        </w:rPr>
      </w:pPr>
      <w:r>
        <w:rPr>
          <w:rFonts w:ascii="Calibri" w:hAnsi="Calibri" w:cs="Calibri" w:eastAsia="Calibri" w:hint="default"/>
          <w:b/>
          <w:bCs/>
          <w:sz w:val="22"/>
          <w:szCs w:val="22"/>
        </w:rPr>
        <w:t>SECTION 2: INFORMATION ABOUT THE T</w:t>
      </w:r>
      <w:r>
        <w:rPr>
          <w:rFonts w:ascii="Calibri" w:hAnsi="Calibri" w:cs="Calibri" w:eastAsia="Calibri" w:hint="default"/>
          <w:b/>
          <w:bCs/>
          <w:sz w:val="22"/>
          <w:szCs w:val="22"/>
        </w:rPr>
        <w:t>OURIST’S</w:t>
      </w:r>
      <w:r>
        <w:rPr>
          <w:rFonts w:ascii="Calibri" w:hAnsi="Calibri" w:cs="Calibri" w:eastAsia="Calibri" w:hint="default"/>
          <w:b/>
          <w:bCs/>
          <w:spacing w:val="-13"/>
          <w:sz w:val="22"/>
          <w:szCs w:val="22"/>
        </w:rPr>
        <w:t> </w:t>
      </w:r>
      <w:r>
        <w:rPr>
          <w:rFonts w:ascii="Calibri" w:hAnsi="Calibri" w:cs="Calibri" w:eastAsia="Calibri" w:hint="default"/>
          <w:b/>
          <w:bCs/>
          <w:sz w:val="22"/>
          <w:szCs w:val="22"/>
        </w:rPr>
        <w:t>SPENDING</w:t>
      </w:r>
      <w:r>
        <w:rPr>
          <w:rFonts w:ascii="Calibri" w:hAnsi="Calibri" w:cs="Calibri" w:eastAsia="Calibri" w:hint="default"/>
          <w:sz w:val="22"/>
          <w:szCs w:val="22"/>
        </w:rPr>
      </w:r>
    </w:p>
    <w:p>
      <w:pPr>
        <w:spacing w:line="240" w:lineRule="auto" w:before="10"/>
        <w:ind w:right="0"/>
        <w:rPr>
          <w:rFonts w:ascii="Calibri" w:hAnsi="Calibri" w:cs="Calibri" w:eastAsia="Calibri" w:hint="default"/>
          <w:b/>
          <w:bCs/>
          <w:sz w:val="22"/>
          <w:szCs w:val="22"/>
        </w:rPr>
      </w:pPr>
    </w:p>
    <w:p>
      <w:pPr>
        <w:pStyle w:val="ListParagraph"/>
        <w:numPr>
          <w:ilvl w:val="0"/>
          <w:numId w:val="23"/>
        </w:numPr>
        <w:tabs>
          <w:tab w:pos="801" w:val="left" w:leader="none"/>
        </w:tabs>
        <w:spacing w:line="240" w:lineRule="auto" w:before="0" w:after="0"/>
        <w:ind w:left="800" w:right="0" w:hanging="332"/>
        <w:jc w:val="both"/>
        <w:rPr>
          <w:rFonts w:ascii="Calibri" w:hAnsi="Calibri" w:cs="Calibri" w:eastAsia="Calibri" w:hint="default"/>
          <w:sz w:val="22"/>
          <w:szCs w:val="22"/>
        </w:rPr>
      </w:pPr>
      <w:r>
        <w:rPr>
          <w:rFonts w:ascii="Calibri"/>
          <w:b/>
          <w:sz w:val="22"/>
        </w:rPr>
        <w:t>Did you buy a travel</w:t>
      </w:r>
      <w:r>
        <w:rPr>
          <w:rFonts w:ascii="Calibri"/>
          <w:b/>
          <w:spacing w:val="-11"/>
          <w:sz w:val="22"/>
        </w:rPr>
        <w:t> </w:t>
      </w:r>
      <w:r>
        <w:rPr>
          <w:rFonts w:ascii="Calibri"/>
          <w:b/>
          <w:sz w:val="22"/>
        </w:rPr>
        <w:t>package?</w:t>
      </w:r>
      <w:r>
        <w:rPr>
          <w:rFonts w:ascii="Calibri"/>
          <w:sz w:val="22"/>
        </w:rPr>
      </w:r>
    </w:p>
    <w:p>
      <w:pPr>
        <w:tabs>
          <w:tab w:pos="3280" w:val="left" w:leader="none"/>
        </w:tabs>
        <w:spacing w:before="19"/>
        <w:ind w:left="468" w:right="0" w:firstLine="0"/>
        <w:jc w:val="both"/>
        <w:rPr>
          <w:rFonts w:ascii="Calibri" w:hAnsi="Calibri" w:cs="Calibri" w:eastAsia="Calibri" w:hint="default"/>
          <w:sz w:val="22"/>
          <w:szCs w:val="22"/>
        </w:rPr>
      </w:pPr>
      <w:r>
        <w:rPr>
          <w:rFonts w:ascii="Calibri" w:hAnsi="Calibri" w:cs="Calibri" w:eastAsia="Calibri" w:hint="default"/>
          <w:position w:val="1"/>
          <w:sz w:val="18"/>
          <w:szCs w:val="18"/>
        </w:rPr>
        <w:t>⃝    </w:t>
      </w:r>
      <w:r>
        <w:rPr>
          <w:rFonts w:ascii="Calibri" w:hAnsi="Calibri" w:cs="Calibri" w:eastAsia="Calibri" w:hint="default"/>
          <w:spacing w:val="9"/>
          <w:position w:val="1"/>
          <w:sz w:val="18"/>
          <w:szCs w:val="18"/>
        </w:rPr>
        <w:t> </w:t>
      </w:r>
      <w:r>
        <w:rPr>
          <w:rFonts w:ascii="Calibri" w:hAnsi="Calibri" w:cs="Calibri" w:eastAsia="Calibri" w:hint="default"/>
          <w:sz w:val="22"/>
          <w:szCs w:val="22"/>
        </w:rPr>
        <w:t>Yes</w:t>
        <w:tab/>
      </w:r>
      <w:r>
        <w:rPr>
          <w:rFonts w:ascii="Calibri" w:hAnsi="Calibri" w:cs="Calibri" w:eastAsia="Calibri" w:hint="default"/>
          <w:position w:val="1"/>
          <w:sz w:val="18"/>
          <w:szCs w:val="18"/>
        </w:rPr>
        <w:t>⃝     </w:t>
      </w:r>
      <w:r>
        <w:rPr>
          <w:rFonts w:ascii="Calibri" w:hAnsi="Calibri" w:cs="Calibri" w:eastAsia="Calibri" w:hint="default"/>
          <w:sz w:val="22"/>
          <w:szCs w:val="22"/>
        </w:rPr>
        <w:t>No       </w:t>
      </w:r>
      <w:r>
        <w:rPr>
          <w:rFonts w:ascii="Calibri" w:hAnsi="Calibri" w:cs="Calibri" w:eastAsia="Calibri" w:hint="default"/>
          <w:sz w:val="22"/>
          <w:szCs w:val="22"/>
        </w:rPr>
        <w:t>→     </w:t>
      </w:r>
      <w:r>
        <w:rPr>
          <w:rFonts w:ascii="Calibri" w:hAnsi="Calibri" w:cs="Calibri" w:eastAsia="Calibri" w:hint="default"/>
          <w:i/>
          <w:sz w:val="22"/>
          <w:szCs w:val="22"/>
        </w:rPr>
        <w:t>If No, please skip to question number</w:t>
      </w:r>
      <w:r>
        <w:rPr>
          <w:rFonts w:ascii="Calibri" w:hAnsi="Calibri" w:cs="Calibri" w:eastAsia="Calibri" w:hint="default"/>
          <w:i/>
          <w:spacing w:val="-5"/>
          <w:sz w:val="22"/>
          <w:szCs w:val="22"/>
        </w:rPr>
        <w:t> </w:t>
      </w:r>
      <w:r>
        <w:rPr>
          <w:rFonts w:ascii="Calibri" w:hAnsi="Calibri" w:cs="Calibri" w:eastAsia="Calibri" w:hint="default"/>
          <w:i/>
          <w:sz w:val="22"/>
          <w:szCs w:val="22"/>
        </w:rPr>
        <w:t>#14</w:t>
      </w:r>
      <w:r>
        <w:rPr>
          <w:rFonts w:ascii="Calibri" w:hAnsi="Calibri" w:cs="Calibri" w:eastAsia="Calibri" w:hint="default"/>
          <w:sz w:val="22"/>
          <w:szCs w:val="22"/>
        </w:rPr>
      </w:r>
    </w:p>
    <w:p>
      <w:pPr>
        <w:spacing w:line="240" w:lineRule="auto" w:before="10"/>
        <w:ind w:right="0"/>
        <w:rPr>
          <w:rFonts w:ascii="Calibri" w:hAnsi="Calibri" w:cs="Calibri" w:eastAsia="Calibri" w:hint="default"/>
          <w:i/>
          <w:sz w:val="22"/>
          <w:szCs w:val="22"/>
        </w:rPr>
      </w:pPr>
    </w:p>
    <w:p>
      <w:pPr>
        <w:pStyle w:val="ListParagraph"/>
        <w:numPr>
          <w:ilvl w:val="0"/>
          <w:numId w:val="23"/>
        </w:numPr>
        <w:tabs>
          <w:tab w:pos="801" w:val="left" w:leader="none"/>
        </w:tabs>
        <w:spacing w:line="240" w:lineRule="auto" w:before="0" w:after="0"/>
        <w:ind w:left="468" w:right="815" w:firstLine="0"/>
        <w:jc w:val="both"/>
        <w:rPr>
          <w:rFonts w:ascii="Calibri" w:hAnsi="Calibri" w:cs="Calibri" w:eastAsia="Calibri" w:hint="default"/>
          <w:sz w:val="22"/>
          <w:szCs w:val="22"/>
        </w:rPr>
      </w:pPr>
      <w:r>
        <w:rPr>
          <w:rFonts w:ascii="Calibri"/>
          <w:b/>
          <w:sz w:val="22"/>
        </w:rPr>
        <w:t>What</w:t>
      </w:r>
      <w:r>
        <w:rPr>
          <w:rFonts w:ascii="Calibri"/>
          <w:b/>
          <w:spacing w:val="-2"/>
          <w:sz w:val="22"/>
        </w:rPr>
        <w:t> </w:t>
      </w:r>
      <w:r>
        <w:rPr>
          <w:rFonts w:ascii="Calibri"/>
          <w:b/>
          <w:sz w:val="22"/>
        </w:rPr>
        <w:t>was</w:t>
      </w:r>
      <w:r>
        <w:rPr>
          <w:rFonts w:ascii="Calibri"/>
          <w:b/>
          <w:spacing w:val="-3"/>
          <w:sz w:val="22"/>
        </w:rPr>
        <w:t> </w:t>
      </w:r>
      <w:r>
        <w:rPr>
          <w:rFonts w:ascii="Calibri"/>
          <w:b/>
          <w:sz w:val="22"/>
        </w:rPr>
        <w:t>the</w:t>
      </w:r>
      <w:r>
        <w:rPr>
          <w:rFonts w:ascii="Calibri"/>
          <w:b/>
          <w:spacing w:val="-3"/>
          <w:sz w:val="22"/>
        </w:rPr>
        <w:t> </w:t>
      </w:r>
      <w:r>
        <w:rPr>
          <w:rFonts w:ascii="Calibri"/>
          <w:b/>
          <w:sz w:val="22"/>
        </w:rPr>
        <w:t>total</w:t>
      </w:r>
      <w:r>
        <w:rPr>
          <w:rFonts w:ascii="Calibri"/>
          <w:b/>
          <w:spacing w:val="-2"/>
          <w:sz w:val="22"/>
        </w:rPr>
        <w:t> </w:t>
      </w:r>
      <w:r>
        <w:rPr>
          <w:rFonts w:ascii="Calibri"/>
          <w:b/>
          <w:sz w:val="22"/>
        </w:rPr>
        <w:t>cost</w:t>
      </w:r>
      <w:r>
        <w:rPr>
          <w:rFonts w:ascii="Calibri"/>
          <w:b/>
          <w:spacing w:val="-3"/>
          <w:sz w:val="22"/>
        </w:rPr>
        <w:t> </w:t>
      </w:r>
      <w:r>
        <w:rPr>
          <w:rFonts w:ascii="Calibri"/>
          <w:b/>
          <w:sz w:val="22"/>
        </w:rPr>
        <w:t>of</w:t>
      </w:r>
      <w:r>
        <w:rPr>
          <w:rFonts w:ascii="Calibri"/>
          <w:b/>
          <w:spacing w:val="-3"/>
          <w:sz w:val="22"/>
        </w:rPr>
        <w:t> </w:t>
      </w:r>
      <w:r>
        <w:rPr>
          <w:rFonts w:ascii="Calibri"/>
          <w:b/>
          <w:sz w:val="22"/>
        </w:rPr>
        <w:t>your</w:t>
      </w:r>
      <w:r>
        <w:rPr>
          <w:rFonts w:ascii="Calibri"/>
          <w:b/>
          <w:spacing w:val="-2"/>
          <w:sz w:val="22"/>
        </w:rPr>
        <w:t> </w:t>
      </w:r>
      <w:r>
        <w:rPr>
          <w:rFonts w:ascii="Calibri"/>
          <w:b/>
          <w:sz w:val="22"/>
        </w:rPr>
        <w:t>tourism</w:t>
      </w:r>
      <w:r>
        <w:rPr>
          <w:rFonts w:ascii="Calibri"/>
          <w:b/>
          <w:spacing w:val="-3"/>
          <w:sz w:val="22"/>
        </w:rPr>
        <w:t> </w:t>
      </w:r>
      <w:r>
        <w:rPr>
          <w:rFonts w:ascii="Calibri"/>
          <w:b/>
          <w:sz w:val="22"/>
        </w:rPr>
        <w:t>package?</w:t>
      </w:r>
      <w:r>
        <w:rPr>
          <w:rFonts w:ascii="Calibri"/>
          <w:b/>
          <w:spacing w:val="-3"/>
          <w:sz w:val="22"/>
        </w:rPr>
        <w:t> </w:t>
      </w:r>
      <w:r>
        <w:rPr>
          <w:rFonts w:ascii="Calibri"/>
          <w:b/>
          <w:sz w:val="22"/>
        </w:rPr>
        <w:t>Please</w:t>
      </w:r>
      <w:r>
        <w:rPr>
          <w:rFonts w:ascii="Calibri"/>
          <w:b/>
          <w:spacing w:val="-2"/>
          <w:sz w:val="22"/>
        </w:rPr>
        <w:t> </w:t>
      </w:r>
      <w:r>
        <w:rPr>
          <w:rFonts w:ascii="Calibri"/>
          <w:b/>
          <w:sz w:val="22"/>
        </w:rPr>
        <w:t>enter</w:t>
      </w:r>
      <w:r>
        <w:rPr>
          <w:rFonts w:ascii="Calibri"/>
          <w:b/>
          <w:spacing w:val="-3"/>
          <w:sz w:val="22"/>
        </w:rPr>
        <w:t> </w:t>
      </w:r>
      <w:r>
        <w:rPr>
          <w:rFonts w:ascii="Calibri"/>
          <w:b/>
          <w:sz w:val="22"/>
        </w:rPr>
        <w:t>the</w:t>
      </w:r>
      <w:r>
        <w:rPr>
          <w:rFonts w:ascii="Calibri"/>
          <w:b/>
          <w:spacing w:val="-2"/>
          <w:sz w:val="22"/>
        </w:rPr>
        <w:t> </w:t>
      </w:r>
      <w:r>
        <w:rPr>
          <w:rFonts w:ascii="Calibri"/>
          <w:b/>
          <w:sz w:val="22"/>
        </w:rPr>
        <w:t>amount for</w:t>
      </w:r>
      <w:r>
        <w:rPr>
          <w:rFonts w:ascii="Calibri"/>
          <w:b/>
          <w:spacing w:val="-2"/>
          <w:sz w:val="22"/>
        </w:rPr>
        <w:t> </w:t>
      </w:r>
      <w:r>
        <w:rPr>
          <w:rFonts w:ascii="Calibri"/>
          <w:b/>
          <w:sz w:val="22"/>
        </w:rPr>
        <w:t>your</w:t>
      </w:r>
      <w:r>
        <w:rPr>
          <w:rFonts w:ascii="Calibri"/>
          <w:b/>
          <w:spacing w:val="-2"/>
          <w:sz w:val="22"/>
        </w:rPr>
        <w:t> </w:t>
      </w:r>
      <w:r>
        <w:rPr>
          <w:rFonts w:ascii="Calibri"/>
          <w:b/>
          <w:sz w:val="22"/>
        </w:rPr>
        <w:t>immediate</w:t>
      </w:r>
      <w:r>
        <w:rPr>
          <w:rFonts w:ascii="Calibri"/>
          <w:b/>
          <w:spacing w:val="-3"/>
          <w:sz w:val="22"/>
        </w:rPr>
        <w:t> </w:t>
      </w:r>
      <w:r>
        <w:rPr>
          <w:rFonts w:ascii="Calibri"/>
          <w:b/>
          <w:sz w:val="22"/>
        </w:rPr>
        <w:t>group</w:t>
      </w:r>
      <w:r>
        <w:rPr>
          <w:rFonts w:ascii="Calibri"/>
          <w:b/>
          <w:spacing w:val="-2"/>
          <w:sz w:val="22"/>
        </w:rPr>
        <w:t> </w:t>
      </w:r>
      <w:r>
        <w:rPr>
          <w:rFonts w:ascii="Calibri"/>
          <w:b/>
          <w:sz w:val="22"/>
        </w:rPr>
        <w:t>in</w:t>
      </w:r>
      <w:r>
        <w:rPr>
          <w:rFonts w:ascii="Calibri"/>
          <w:b/>
          <w:spacing w:val="-3"/>
          <w:sz w:val="22"/>
        </w:rPr>
        <w:t> </w:t>
      </w:r>
      <w:r>
        <w:rPr>
          <w:rFonts w:ascii="Calibri"/>
          <w:b/>
          <w:sz w:val="22"/>
        </w:rPr>
        <w:t>US$.</w:t>
      </w:r>
      <w:r>
        <w:rPr>
          <w:rFonts w:ascii="Calibri"/>
          <w:b/>
          <w:spacing w:val="-3"/>
          <w:sz w:val="22"/>
        </w:rPr>
        <w:t> </w:t>
      </w:r>
      <w:r>
        <w:rPr>
          <w:rFonts w:ascii="Calibri"/>
          <w:b/>
          <w:sz w:val="22"/>
        </w:rPr>
        <w:t>If </w:t>
      </w:r>
      <w:r>
        <w:rPr>
          <w:rFonts w:ascii="Calibri"/>
          <w:b/>
          <w:sz w:val="22"/>
        </w:rPr>
        <w:t>you cannot recall the exact price of the travel package please provide an approximate US$ amount for the tourism package(s).</w:t>
      </w:r>
      <w:r>
        <w:rPr>
          <w:rFonts w:ascii="Calibri"/>
          <w:sz w:val="22"/>
        </w:rPr>
      </w:r>
    </w:p>
    <w:p>
      <w:pPr>
        <w:pStyle w:val="Heading8"/>
        <w:tabs>
          <w:tab w:pos="7249" w:val="left" w:leader="none"/>
        </w:tabs>
        <w:spacing w:line="240" w:lineRule="auto"/>
        <w:ind w:right="0"/>
        <w:jc w:val="left"/>
        <w:rPr>
          <w:rFonts w:ascii="Calibri" w:hAnsi="Calibri" w:cs="Calibri" w:eastAsia="Calibri" w:hint="default"/>
          <w:i w:val="0"/>
          <w:u w:val="none"/>
        </w:rPr>
      </w:pPr>
      <w:r>
        <w:rPr>
          <w:rFonts w:ascii="Calibri"/>
          <w:i w:val="0"/>
          <w:w w:val="99"/>
          <w:u w:val="none"/>
        </w:rPr>
      </w:r>
      <w:r>
        <w:rPr>
          <w:rFonts w:ascii="Calibri"/>
          <w:i w:val="0"/>
          <w:w w:val="99"/>
          <w:u w:val="single" w:color="000000"/>
        </w:rPr>
        <w:t> </w:t>
      </w:r>
      <w:r>
        <w:rPr>
          <w:rFonts w:ascii="Calibri"/>
          <w:i w:val="0"/>
          <w:spacing w:val="23"/>
          <w:u w:val="single" w:color="000000"/>
        </w:rPr>
        <w:t> </w:t>
      </w:r>
      <w:r>
        <w:rPr>
          <w:rFonts w:ascii="Calibri"/>
          <w:i w:val="0"/>
          <w:w w:val="95"/>
          <w:u w:val="single" w:color="000000"/>
        </w:rPr>
        <w:t>US$</w:t>
        <w:tab/>
      </w:r>
      <w:r>
        <w:rPr>
          <w:rFonts w:ascii="Calibri"/>
          <w:i w:val="0"/>
          <w:w w:val="95"/>
          <w:u w:val="none"/>
        </w:rPr>
      </w:r>
      <w:r>
        <w:rPr>
          <w:rFonts w:ascii="Calibri"/>
          <w:i/>
          <w:u w:val="none"/>
        </w:rPr>
        <w:t>(Please enter total in</w:t>
      </w:r>
      <w:r>
        <w:rPr>
          <w:rFonts w:ascii="Calibri"/>
          <w:i/>
          <w:spacing w:val="-10"/>
          <w:u w:val="none"/>
        </w:rPr>
        <w:t> </w:t>
      </w:r>
      <w:r>
        <w:rPr>
          <w:rFonts w:ascii="Calibri"/>
          <w:i/>
          <w:u w:val="none"/>
        </w:rPr>
        <w:t>US$)</w:t>
      </w:r>
      <w:r>
        <w:rPr>
          <w:rFonts w:ascii="Calibri"/>
          <w:i w:val="0"/>
          <w:u w:val="none"/>
        </w:rPr>
      </w:r>
    </w:p>
    <w:p>
      <w:pPr>
        <w:spacing w:line="240" w:lineRule="auto" w:before="1"/>
        <w:ind w:right="0"/>
        <w:rPr>
          <w:rFonts w:ascii="Calibri" w:hAnsi="Calibri" w:cs="Calibri" w:eastAsia="Calibri" w:hint="default"/>
          <w:i/>
          <w:sz w:val="19"/>
          <w:szCs w:val="19"/>
        </w:rPr>
      </w:pPr>
    </w:p>
    <w:p>
      <w:pPr>
        <w:pStyle w:val="ListParagraph"/>
        <w:numPr>
          <w:ilvl w:val="0"/>
          <w:numId w:val="23"/>
        </w:numPr>
        <w:tabs>
          <w:tab w:pos="801" w:val="left" w:leader="none"/>
        </w:tabs>
        <w:spacing w:line="240" w:lineRule="auto" w:before="55" w:after="36"/>
        <w:ind w:left="800" w:right="0" w:hanging="332"/>
        <w:jc w:val="left"/>
        <w:rPr>
          <w:rFonts w:ascii="Calibri" w:hAnsi="Calibri" w:cs="Calibri" w:eastAsia="Calibri" w:hint="default"/>
          <w:sz w:val="22"/>
          <w:szCs w:val="22"/>
        </w:rPr>
      </w:pPr>
      <w:r>
        <w:rPr>
          <w:rFonts w:ascii="Calibri"/>
          <w:b/>
          <w:sz w:val="22"/>
        </w:rPr>
        <w:t>What was included in the package? </w:t>
      </w:r>
      <w:r>
        <w:rPr>
          <w:rFonts w:ascii="Calibri"/>
          <w:b/>
          <w:i/>
          <w:sz w:val="22"/>
        </w:rPr>
        <w:t>(Please check all that</w:t>
      </w:r>
      <w:r>
        <w:rPr>
          <w:rFonts w:ascii="Calibri"/>
          <w:b/>
          <w:i/>
          <w:spacing w:val="-22"/>
          <w:sz w:val="22"/>
        </w:rPr>
        <w:t> </w:t>
      </w:r>
      <w:r>
        <w:rPr>
          <w:rFonts w:ascii="Calibri"/>
          <w:b/>
          <w:i/>
          <w:sz w:val="22"/>
        </w:rPr>
        <w:t>apply)</w:t>
      </w:r>
      <w:r>
        <w:rPr>
          <w:rFonts w:ascii="Calibri"/>
          <w:sz w:val="22"/>
        </w:rPr>
      </w:r>
    </w:p>
    <w:tbl>
      <w:tblPr>
        <w:tblW w:w="0" w:type="auto"/>
        <w:jc w:val="left"/>
        <w:tblInd w:w="433" w:type="dxa"/>
        <w:tblLayout w:type="fixed"/>
        <w:tblCellMar>
          <w:top w:w="0" w:type="dxa"/>
          <w:left w:w="0" w:type="dxa"/>
          <w:bottom w:w="0" w:type="dxa"/>
          <w:right w:w="0" w:type="dxa"/>
        </w:tblCellMar>
        <w:tblLook w:val="01E0"/>
      </w:tblPr>
      <w:tblGrid>
        <w:gridCol w:w="322"/>
        <w:gridCol w:w="2681"/>
        <w:gridCol w:w="843"/>
        <w:gridCol w:w="2033"/>
        <w:gridCol w:w="1341"/>
        <w:gridCol w:w="2899"/>
      </w:tblGrid>
      <w:tr>
        <w:trPr>
          <w:trHeight w:val="282"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9"/>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681"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Airfare</w:t>
            </w:r>
          </w:p>
        </w:tc>
        <w:tc>
          <w:tcPr>
            <w:tcW w:w="843" w:type="dxa"/>
            <w:tcBorders>
              <w:top w:val="nil" w:sz="6" w:space="0" w:color="auto"/>
              <w:left w:val="nil" w:sz="6" w:space="0" w:color="auto"/>
              <w:bottom w:val="nil" w:sz="6" w:space="0" w:color="auto"/>
              <w:right w:val="nil" w:sz="6" w:space="0" w:color="auto"/>
            </w:tcBorders>
          </w:tcPr>
          <w:p>
            <w:pPr>
              <w:pStyle w:val="TableParagraph"/>
              <w:spacing w:line="240" w:lineRule="auto" w:before="9"/>
              <w:ind w:right="131"/>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033" w:type="dxa"/>
            <w:tcBorders>
              <w:top w:val="nil" w:sz="6" w:space="0" w:color="auto"/>
              <w:left w:val="nil" w:sz="6" w:space="0" w:color="auto"/>
              <w:bottom w:val="nil" w:sz="6" w:space="0" w:color="auto"/>
              <w:right w:val="nil" w:sz="6" w:space="0" w:color="auto"/>
            </w:tcBorders>
          </w:tcPr>
          <w:p>
            <w:pPr>
              <w:pStyle w:val="TableParagraph"/>
              <w:spacing w:line="252" w:lineRule="exact"/>
              <w:ind w:left="133" w:right="0"/>
              <w:jc w:val="left"/>
              <w:rPr>
                <w:rFonts w:ascii="Calibri" w:hAnsi="Calibri" w:cs="Calibri" w:eastAsia="Calibri" w:hint="default"/>
                <w:sz w:val="22"/>
                <w:szCs w:val="22"/>
              </w:rPr>
            </w:pPr>
            <w:r>
              <w:rPr>
                <w:rFonts w:ascii="Calibri"/>
                <w:sz w:val="22"/>
              </w:rPr>
              <w:t>Breakfast</w:t>
            </w:r>
          </w:p>
        </w:tc>
        <w:tc>
          <w:tcPr>
            <w:tcW w:w="1341" w:type="dxa"/>
            <w:tcBorders>
              <w:top w:val="nil" w:sz="6" w:space="0" w:color="auto"/>
              <w:left w:val="nil" w:sz="6" w:space="0" w:color="auto"/>
              <w:bottom w:val="nil" w:sz="6" w:space="0" w:color="auto"/>
              <w:right w:val="nil" w:sz="6" w:space="0" w:color="auto"/>
            </w:tcBorders>
          </w:tcPr>
          <w:p>
            <w:pPr>
              <w:pStyle w:val="TableParagraph"/>
              <w:spacing w:line="240" w:lineRule="auto" w:before="9"/>
              <w:ind w:right="10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899" w:type="dxa"/>
            <w:tcBorders>
              <w:top w:val="nil" w:sz="6" w:space="0" w:color="auto"/>
              <w:left w:val="nil" w:sz="6" w:space="0" w:color="auto"/>
              <w:bottom w:val="nil" w:sz="6" w:space="0" w:color="auto"/>
              <w:right w:val="nil" w:sz="6" w:space="0" w:color="auto"/>
            </w:tcBorders>
          </w:tcPr>
          <w:p>
            <w:pPr>
              <w:pStyle w:val="TableParagraph"/>
              <w:spacing w:line="252" w:lineRule="exact"/>
              <w:ind w:left="108" w:right="0"/>
              <w:jc w:val="left"/>
              <w:rPr>
                <w:rFonts w:ascii="Calibri" w:hAnsi="Calibri" w:cs="Calibri" w:eastAsia="Calibri" w:hint="default"/>
                <w:sz w:val="22"/>
                <w:szCs w:val="22"/>
              </w:rPr>
            </w:pPr>
            <w:r>
              <w:rPr>
                <w:rFonts w:ascii="Calibri"/>
                <w:sz w:val="22"/>
              </w:rPr>
              <w:t>Cultural</w:t>
            </w:r>
            <w:r>
              <w:rPr>
                <w:rFonts w:ascii="Calibri"/>
                <w:spacing w:val="-10"/>
                <w:sz w:val="22"/>
              </w:rPr>
              <w:t> </w:t>
            </w:r>
            <w:r>
              <w:rPr>
                <w:rFonts w:ascii="Calibri"/>
                <w:sz w:val="22"/>
              </w:rPr>
              <w:t>activities</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5"/>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68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All-inclusive</w:t>
            </w:r>
          </w:p>
        </w:tc>
        <w:tc>
          <w:tcPr>
            <w:tcW w:w="843" w:type="dxa"/>
            <w:tcBorders>
              <w:top w:val="nil" w:sz="6" w:space="0" w:color="auto"/>
              <w:left w:val="nil" w:sz="6" w:space="0" w:color="auto"/>
              <w:bottom w:val="nil" w:sz="6" w:space="0" w:color="auto"/>
              <w:right w:val="nil" w:sz="6" w:space="0" w:color="auto"/>
            </w:tcBorders>
          </w:tcPr>
          <w:p>
            <w:pPr>
              <w:pStyle w:val="TableParagraph"/>
              <w:spacing w:line="240" w:lineRule="auto" w:before="15"/>
              <w:ind w:right="131"/>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033" w:type="dxa"/>
            <w:tcBorders>
              <w:top w:val="nil" w:sz="6" w:space="0" w:color="auto"/>
              <w:left w:val="nil" w:sz="6" w:space="0" w:color="auto"/>
              <w:bottom w:val="nil" w:sz="6" w:space="0" w:color="auto"/>
              <w:right w:val="nil" w:sz="6" w:space="0" w:color="auto"/>
            </w:tcBorders>
          </w:tcPr>
          <w:p>
            <w:pPr>
              <w:pStyle w:val="TableParagraph"/>
              <w:spacing w:line="258" w:lineRule="exact"/>
              <w:ind w:left="133" w:right="0"/>
              <w:jc w:val="left"/>
              <w:rPr>
                <w:rFonts w:ascii="Calibri" w:hAnsi="Calibri" w:cs="Calibri" w:eastAsia="Calibri" w:hint="default"/>
                <w:sz w:val="22"/>
                <w:szCs w:val="22"/>
              </w:rPr>
            </w:pPr>
            <w:r>
              <w:rPr>
                <w:rFonts w:ascii="Calibri"/>
                <w:sz w:val="22"/>
              </w:rPr>
              <w:t>Lunch</w:t>
            </w:r>
          </w:p>
        </w:tc>
        <w:tc>
          <w:tcPr>
            <w:tcW w:w="1341" w:type="dxa"/>
            <w:tcBorders>
              <w:top w:val="nil" w:sz="6" w:space="0" w:color="auto"/>
              <w:left w:val="nil" w:sz="6" w:space="0" w:color="auto"/>
              <w:bottom w:val="nil" w:sz="6" w:space="0" w:color="auto"/>
              <w:right w:val="nil" w:sz="6" w:space="0" w:color="auto"/>
            </w:tcBorders>
          </w:tcPr>
          <w:p>
            <w:pPr>
              <w:pStyle w:val="TableParagraph"/>
              <w:spacing w:line="240" w:lineRule="auto" w:before="15"/>
              <w:ind w:right="10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899"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Transfer to</w:t>
            </w:r>
            <w:r>
              <w:rPr>
                <w:rFonts w:ascii="Calibri"/>
                <w:spacing w:val="-11"/>
                <w:sz w:val="22"/>
              </w:rPr>
              <w:t> </w:t>
            </w:r>
            <w:r>
              <w:rPr>
                <w:rFonts w:ascii="Calibri"/>
                <w:sz w:val="22"/>
              </w:rPr>
              <w:t>hotel/airport</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5"/>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68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Accommodation/room</w:t>
            </w:r>
          </w:p>
        </w:tc>
        <w:tc>
          <w:tcPr>
            <w:tcW w:w="843" w:type="dxa"/>
            <w:tcBorders>
              <w:top w:val="nil" w:sz="6" w:space="0" w:color="auto"/>
              <w:left w:val="nil" w:sz="6" w:space="0" w:color="auto"/>
              <w:bottom w:val="nil" w:sz="6" w:space="0" w:color="auto"/>
              <w:right w:val="nil" w:sz="6" w:space="0" w:color="auto"/>
            </w:tcBorders>
          </w:tcPr>
          <w:p>
            <w:pPr>
              <w:pStyle w:val="TableParagraph"/>
              <w:spacing w:line="240" w:lineRule="auto" w:before="15"/>
              <w:ind w:right="131"/>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033" w:type="dxa"/>
            <w:tcBorders>
              <w:top w:val="nil" w:sz="6" w:space="0" w:color="auto"/>
              <w:left w:val="nil" w:sz="6" w:space="0" w:color="auto"/>
              <w:bottom w:val="nil" w:sz="6" w:space="0" w:color="auto"/>
              <w:right w:val="nil" w:sz="6" w:space="0" w:color="auto"/>
            </w:tcBorders>
          </w:tcPr>
          <w:p>
            <w:pPr>
              <w:pStyle w:val="TableParagraph"/>
              <w:spacing w:line="258" w:lineRule="exact"/>
              <w:ind w:left="133" w:right="0"/>
              <w:jc w:val="left"/>
              <w:rPr>
                <w:rFonts w:ascii="Calibri" w:hAnsi="Calibri" w:cs="Calibri" w:eastAsia="Calibri" w:hint="default"/>
                <w:sz w:val="22"/>
                <w:szCs w:val="22"/>
              </w:rPr>
            </w:pPr>
            <w:r>
              <w:rPr>
                <w:rFonts w:ascii="Calibri"/>
                <w:sz w:val="22"/>
              </w:rPr>
              <w:t>Dinner</w:t>
            </w:r>
          </w:p>
        </w:tc>
        <w:tc>
          <w:tcPr>
            <w:tcW w:w="1341" w:type="dxa"/>
            <w:tcBorders>
              <w:top w:val="nil" w:sz="6" w:space="0" w:color="auto"/>
              <w:left w:val="nil" w:sz="6" w:space="0" w:color="auto"/>
              <w:bottom w:val="nil" w:sz="6" w:space="0" w:color="auto"/>
              <w:right w:val="nil" w:sz="6" w:space="0" w:color="auto"/>
            </w:tcBorders>
          </w:tcPr>
          <w:p>
            <w:pPr>
              <w:pStyle w:val="TableParagraph"/>
              <w:spacing w:line="240" w:lineRule="auto" w:before="15"/>
              <w:ind w:right="10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899"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Island</w:t>
            </w:r>
            <w:r>
              <w:rPr>
                <w:rFonts w:ascii="Calibri"/>
                <w:spacing w:val="-8"/>
                <w:sz w:val="22"/>
              </w:rPr>
              <w:t> </w:t>
            </w:r>
            <w:r>
              <w:rPr>
                <w:rFonts w:ascii="Calibri"/>
                <w:sz w:val="22"/>
              </w:rPr>
              <w:t>tours</w:t>
            </w:r>
          </w:p>
        </w:tc>
      </w:tr>
      <w:tr>
        <w:trPr>
          <w:trHeight w:val="354"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5"/>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68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Car</w:t>
            </w:r>
          </w:p>
        </w:tc>
        <w:tc>
          <w:tcPr>
            <w:tcW w:w="843" w:type="dxa"/>
            <w:tcBorders>
              <w:top w:val="nil" w:sz="6" w:space="0" w:color="auto"/>
              <w:left w:val="nil" w:sz="6" w:space="0" w:color="auto"/>
              <w:bottom w:val="nil" w:sz="6" w:space="0" w:color="auto"/>
              <w:right w:val="nil" w:sz="6" w:space="0" w:color="auto"/>
            </w:tcBorders>
          </w:tcPr>
          <w:p>
            <w:pPr>
              <w:pStyle w:val="TableParagraph"/>
              <w:spacing w:line="240" w:lineRule="auto" w:before="15"/>
              <w:ind w:right="131"/>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033" w:type="dxa"/>
            <w:tcBorders>
              <w:top w:val="nil" w:sz="6" w:space="0" w:color="auto"/>
              <w:left w:val="nil" w:sz="6" w:space="0" w:color="auto"/>
              <w:bottom w:val="nil" w:sz="6" w:space="0" w:color="auto"/>
              <w:right w:val="nil" w:sz="6" w:space="0" w:color="auto"/>
            </w:tcBorders>
          </w:tcPr>
          <w:p>
            <w:pPr>
              <w:pStyle w:val="TableParagraph"/>
              <w:spacing w:line="258" w:lineRule="exact"/>
              <w:ind w:left="133" w:right="0"/>
              <w:jc w:val="left"/>
              <w:rPr>
                <w:rFonts w:ascii="Calibri" w:hAnsi="Calibri" w:cs="Calibri" w:eastAsia="Calibri" w:hint="default"/>
                <w:sz w:val="22"/>
                <w:szCs w:val="22"/>
              </w:rPr>
            </w:pPr>
            <w:r>
              <w:rPr>
                <w:rFonts w:ascii="Calibri"/>
                <w:sz w:val="22"/>
              </w:rPr>
              <w:t>Dive</w:t>
            </w:r>
            <w:r>
              <w:rPr>
                <w:rFonts w:ascii="Calibri"/>
                <w:spacing w:val="-5"/>
                <w:sz w:val="22"/>
              </w:rPr>
              <w:t> </w:t>
            </w:r>
            <w:r>
              <w:rPr>
                <w:rFonts w:ascii="Calibri"/>
                <w:sz w:val="22"/>
              </w:rPr>
              <w:t>trips</w:t>
            </w:r>
          </w:p>
        </w:tc>
        <w:tc>
          <w:tcPr>
            <w:tcW w:w="1341" w:type="dxa"/>
            <w:tcBorders>
              <w:top w:val="nil" w:sz="6" w:space="0" w:color="auto"/>
              <w:left w:val="nil" w:sz="6" w:space="0" w:color="auto"/>
              <w:bottom w:val="nil" w:sz="6" w:space="0" w:color="auto"/>
              <w:right w:val="nil" w:sz="6" w:space="0" w:color="auto"/>
            </w:tcBorders>
          </w:tcPr>
          <w:p>
            <w:pPr>
              <w:pStyle w:val="TableParagraph"/>
              <w:spacing w:line="240" w:lineRule="auto" w:before="15"/>
              <w:ind w:right="10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899" w:type="dxa"/>
            <w:tcBorders>
              <w:top w:val="nil" w:sz="6" w:space="0" w:color="auto"/>
              <w:left w:val="nil" w:sz="6" w:space="0" w:color="auto"/>
              <w:bottom w:val="nil" w:sz="6" w:space="0" w:color="auto"/>
              <w:right w:val="nil" w:sz="6" w:space="0" w:color="auto"/>
            </w:tcBorders>
          </w:tcPr>
          <w:p>
            <w:pPr>
              <w:pStyle w:val="TableParagraph"/>
              <w:tabs>
                <w:tab w:pos="2863" w:val="left" w:leader="none"/>
              </w:tabs>
              <w:spacing w:line="258" w:lineRule="exact"/>
              <w:ind w:left="108" w:right="0"/>
              <w:jc w:val="left"/>
              <w:rPr>
                <w:rFonts w:ascii="Calibri" w:hAnsi="Calibri" w:cs="Calibri" w:eastAsia="Calibri" w:hint="default"/>
                <w:sz w:val="22"/>
                <w:szCs w:val="22"/>
              </w:rPr>
            </w:pPr>
            <w:r>
              <w:rPr>
                <w:rFonts w:ascii="Calibri"/>
                <w:sz w:val="22"/>
              </w:rPr>
              <w:t>Other</w:t>
            </w:r>
            <w:r>
              <w:rPr>
                <w:rFonts w:ascii="Calibri"/>
                <w:sz w:val="22"/>
                <w:u w:val="single" w:color="000000"/>
              </w:rPr>
              <w:t> </w:t>
              <w:tab/>
            </w:r>
            <w:r>
              <w:rPr>
                <w:rFonts w:ascii="Calibri"/>
                <w:sz w:val="22"/>
              </w:rPr>
            </w:r>
          </w:p>
        </w:tc>
      </w:tr>
    </w:tbl>
    <w:p>
      <w:pPr>
        <w:spacing w:line="240" w:lineRule="auto" w:before="7"/>
        <w:ind w:right="0"/>
        <w:rPr>
          <w:rFonts w:ascii="Calibri" w:hAnsi="Calibri" w:cs="Calibri" w:eastAsia="Calibri" w:hint="default"/>
          <w:b/>
          <w:bCs/>
          <w:i/>
          <w:sz w:val="10"/>
          <w:szCs w:val="10"/>
        </w:rPr>
      </w:pPr>
    </w:p>
    <w:p>
      <w:pPr>
        <w:spacing w:before="55" w:after="20"/>
        <w:ind w:left="152" w:right="0" w:firstLine="0"/>
        <w:jc w:val="left"/>
        <w:rPr>
          <w:rFonts w:ascii="Calibri" w:hAnsi="Calibri" w:cs="Calibri" w:eastAsia="Calibri" w:hint="default"/>
          <w:sz w:val="22"/>
          <w:szCs w:val="22"/>
        </w:rPr>
      </w:pPr>
      <w:r>
        <w:rPr>
          <w:rFonts w:ascii="Calibri" w:hAnsi="Calibri" w:cs="Calibri" w:eastAsia="Calibri" w:hint="default"/>
          <w:b/>
          <w:bCs/>
          <w:sz w:val="22"/>
          <w:szCs w:val="22"/>
        </w:rPr>
        <w:t>SECTION 3: INFORMATION ABOUT TH</w:t>
      </w:r>
      <w:r>
        <w:rPr>
          <w:rFonts w:ascii="Calibri" w:hAnsi="Calibri" w:cs="Calibri" w:eastAsia="Calibri" w:hint="default"/>
          <w:b/>
          <w:bCs/>
          <w:sz w:val="22"/>
          <w:szCs w:val="22"/>
        </w:rPr>
        <w:t>E TOURIST’S</w:t>
      </w:r>
      <w:r>
        <w:rPr>
          <w:rFonts w:ascii="Calibri" w:hAnsi="Calibri" w:cs="Calibri" w:eastAsia="Calibri" w:hint="default"/>
          <w:b/>
          <w:bCs/>
          <w:spacing w:val="-14"/>
          <w:sz w:val="22"/>
          <w:szCs w:val="22"/>
        </w:rPr>
        <w:t> </w:t>
      </w:r>
      <w:r>
        <w:rPr>
          <w:rFonts w:ascii="Calibri" w:hAnsi="Calibri" w:cs="Calibri" w:eastAsia="Calibri" w:hint="default"/>
          <w:b/>
          <w:bCs/>
          <w:sz w:val="22"/>
          <w:szCs w:val="22"/>
        </w:rPr>
        <w:t>SPENDING</w:t>
      </w:r>
      <w:r>
        <w:rPr>
          <w:rFonts w:ascii="Calibri" w:hAnsi="Calibri" w:cs="Calibri" w:eastAsia="Calibri" w:hint="default"/>
          <w:sz w:val="22"/>
          <w:szCs w:val="22"/>
        </w:rPr>
      </w:r>
    </w:p>
    <w:p>
      <w:pPr>
        <w:spacing w:line="20" w:lineRule="exact"/>
        <w:ind w:left="117" w:right="0" w:firstLine="0"/>
        <w:rPr>
          <w:rFonts w:ascii="Calibri" w:hAnsi="Calibri" w:cs="Calibri" w:eastAsia="Calibri" w:hint="default"/>
          <w:sz w:val="2"/>
          <w:szCs w:val="2"/>
        </w:rPr>
      </w:pPr>
      <w:r>
        <w:rPr>
          <w:rFonts w:ascii="Calibri" w:hAnsi="Calibri" w:cs="Calibri" w:eastAsia="Calibri" w:hint="default"/>
          <w:sz w:val="2"/>
          <w:szCs w:val="2"/>
        </w:rPr>
        <w:pict>
          <v:group style="width:576pt;height:.5pt;mso-position-horizontal-relative:char;mso-position-vertical-relative:line" coordorigin="0,0" coordsize="11520,10">
            <v:group style="position:absolute;left:5;top:5;width:11510;height:2" coordorigin="5,5" coordsize="11510,2">
              <v:shape style="position:absolute;left:5;top:5;width:11510;height:2" coordorigin="5,5" coordsize="11510,0" path="m5,5l11514,5e" filled="false" stroked="true" strokeweight=".48001pt" strokecolor="#000000">
                <v:path arrowok="t"/>
              </v:shape>
            </v:group>
          </v:group>
        </w:pict>
      </w:r>
      <w:r>
        <w:rPr>
          <w:rFonts w:ascii="Calibri" w:hAnsi="Calibri" w:cs="Calibri" w:eastAsia="Calibri" w:hint="default"/>
          <w:sz w:val="2"/>
          <w:szCs w:val="2"/>
        </w:rPr>
      </w:r>
    </w:p>
    <w:p>
      <w:pPr>
        <w:spacing w:line="240" w:lineRule="auto" w:before="7"/>
        <w:ind w:right="0"/>
        <w:rPr>
          <w:rFonts w:ascii="Calibri" w:hAnsi="Calibri" w:cs="Calibri" w:eastAsia="Calibri" w:hint="default"/>
          <w:b/>
          <w:bCs/>
          <w:sz w:val="16"/>
          <w:szCs w:val="16"/>
        </w:rPr>
      </w:pPr>
    </w:p>
    <w:p>
      <w:pPr>
        <w:pStyle w:val="ListParagraph"/>
        <w:numPr>
          <w:ilvl w:val="0"/>
          <w:numId w:val="23"/>
        </w:numPr>
        <w:tabs>
          <w:tab w:pos="788" w:val="left" w:leader="none"/>
        </w:tabs>
        <w:spacing w:line="240" w:lineRule="auto" w:before="55" w:after="0"/>
        <w:ind w:left="788" w:right="0" w:hanging="332"/>
        <w:jc w:val="both"/>
        <w:rPr>
          <w:rFonts w:ascii="Calibri" w:hAnsi="Calibri" w:cs="Calibri" w:eastAsia="Calibri" w:hint="default"/>
          <w:sz w:val="22"/>
          <w:szCs w:val="22"/>
        </w:rPr>
      </w:pPr>
      <w:r>
        <w:rPr>
          <w:rFonts w:ascii="Calibri" w:hAnsi="Calibri"/>
          <w:b/>
          <w:sz w:val="22"/>
        </w:rPr>
        <w:t>Please</w:t>
      </w:r>
      <w:r>
        <w:rPr>
          <w:rFonts w:ascii="Calibri" w:hAnsi="Calibri"/>
          <w:b/>
          <w:spacing w:val="-3"/>
          <w:sz w:val="22"/>
        </w:rPr>
        <w:t> </w:t>
      </w:r>
      <w:r>
        <w:rPr>
          <w:rFonts w:ascii="Calibri" w:hAnsi="Calibri"/>
          <w:b/>
          <w:sz w:val="22"/>
        </w:rPr>
        <w:t>indicate</w:t>
      </w:r>
      <w:r>
        <w:rPr>
          <w:rFonts w:ascii="Calibri" w:hAnsi="Calibri"/>
          <w:b/>
          <w:spacing w:val="-3"/>
          <w:sz w:val="22"/>
        </w:rPr>
        <w:t> </w:t>
      </w:r>
      <w:r>
        <w:rPr>
          <w:rFonts w:ascii="Calibri" w:hAnsi="Calibri"/>
          <w:b/>
          <w:sz w:val="22"/>
        </w:rPr>
        <w:t>how</w:t>
      </w:r>
      <w:r>
        <w:rPr>
          <w:rFonts w:ascii="Calibri" w:hAnsi="Calibri"/>
          <w:b/>
          <w:spacing w:val="-3"/>
          <w:sz w:val="22"/>
        </w:rPr>
        <w:t> </w:t>
      </w:r>
      <w:r>
        <w:rPr>
          <w:rFonts w:ascii="Calibri" w:hAnsi="Calibri"/>
          <w:b/>
          <w:sz w:val="22"/>
        </w:rPr>
        <w:t>much</w:t>
      </w:r>
      <w:r>
        <w:rPr>
          <w:rFonts w:ascii="Calibri" w:hAnsi="Calibri"/>
          <w:b/>
          <w:spacing w:val="-3"/>
          <w:sz w:val="22"/>
        </w:rPr>
        <w:t> </w:t>
      </w:r>
      <w:r>
        <w:rPr>
          <w:rFonts w:ascii="Calibri" w:hAnsi="Calibri"/>
          <w:b/>
          <w:sz w:val="22"/>
        </w:rPr>
        <w:t>(or</w:t>
      </w:r>
      <w:r>
        <w:rPr>
          <w:rFonts w:ascii="Calibri" w:hAnsi="Calibri"/>
          <w:b/>
          <w:spacing w:val="-3"/>
          <w:sz w:val="22"/>
        </w:rPr>
        <w:t> </w:t>
      </w:r>
      <w:r>
        <w:rPr>
          <w:rFonts w:ascii="Calibri" w:hAnsi="Calibri"/>
          <w:b/>
          <w:sz w:val="22"/>
        </w:rPr>
        <w:t>the</w:t>
      </w:r>
      <w:r>
        <w:rPr>
          <w:rFonts w:ascii="Calibri" w:hAnsi="Calibri"/>
          <w:b/>
          <w:spacing w:val="-3"/>
          <w:sz w:val="22"/>
        </w:rPr>
        <w:t> </w:t>
      </w:r>
      <w:r>
        <w:rPr>
          <w:rFonts w:ascii="Calibri" w:hAnsi="Calibri"/>
          <w:b/>
          <w:sz w:val="22"/>
        </w:rPr>
        <w:t>approximate</w:t>
      </w:r>
      <w:r>
        <w:rPr>
          <w:rFonts w:ascii="Calibri" w:hAnsi="Calibri"/>
          <w:b/>
          <w:spacing w:val="-3"/>
          <w:sz w:val="22"/>
        </w:rPr>
        <w:t> </w:t>
      </w:r>
      <w:r>
        <w:rPr>
          <w:rFonts w:ascii="Calibri" w:hAnsi="Calibri"/>
          <w:b/>
          <w:sz w:val="22"/>
        </w:rPr>
        <w:t>value)</w:t>
      </w:r>
      <w:r>
        <w:rPr>
          <w:rFonts w:ascii="Calibri" w:hAnsi="Calibri"/>
          <w:b/>
          <w:spacing w:val="-3"/>
          <w:sz w:val="22"/>
        </w:rPr>
        <w:t> </w:t>
      </w:r>
      <w:r>
        <w:rPr>
          <w:rFonts w:ascii="Calibri" w:hAnsi="Calibri"/>
          <w:b/>
          <w:sz w:val="22"/>
        </w:rPr>
        <w:t>that</w:t>
      </w:r>
      <w:r>
        <w:rPr>
          <w:rFonts w:ascii="Calibri" w:hAnsi="Calibri"/>
          <w:b/>
          <w:spacing w:val="-2"/>
          <w:sz w:val="22"/>
        </w:rPr>
        <w:t> </w:t>
      </w:r>
      <w:r>
        <w:rPr>
          <w:rFonts w:ascii="Calibri" w:hAnsi="Calibri"/>
          <w:b/>
          <w:sz w:val="22"/>
        </w:rPr>
        <w:t>was</w:t>
      </w:r>
      <w:r>
        <w:rPr>
          <w:rFonts w:ascii="Calibri" w:hAnsi="Calibri"/>
          <w:b/>
          <w:spacing w:val="-4"/>
          <w:sz w:val="22"/>
        </w:rPr>
        <w:t> </w:t>
      </w:r>
      <w:r>
        <w:rPr>
          <w:rFonts w:ascii="Calibri" w:hAnsi="Calibri"/>
          <w:b/>
          <w:sz w:val="22"/>
        </w:rPr>
        <w:t>spent</w:t>
      </w:r>
      <w:r>
        <w:rPr>
          <w:rFonts w:ascii="Calibri" w:hAnsi="Calibri"/>
          <w:b/>
          <w:spacing w:val="-3"/>
          <w:sz w:val="22"/>
        </w:rPr>
        <w:t> </w:t>
      </w:r>
      <w:r>
        <w:rPr>
          <w:rFonts w:ascii="Calibri" w:hAnsi="Calibri"/>
          <w:b/>
          <w:sz w:val="22"/>
        </w:rPr>
        <w:t>by</w:t>
      </w:r>
      <w:r>
        <w:rPr>
          <w:rFonts w:ascii="Calibri" w:hAnsi="Calibri"/>
          <w:b/>
          <w:spacing w:val="-3"/>
          <w:sz w:val="22"/>
        </w:rPr>
        <w:t> </w:t>
      </w:r>
      <w:r>
        <w:rPr>
          <w:rFonts w:ascii="Calibri" w:hAnsi="Calibri"/>
          <w:b/>
          <w:sz w:val="22"/>
        </w:rPr>
        <w:t>you</w:t>
      </w:r>
      <w:r>
        <w:rPr>
          <w:rFonts w:ascii="Calibri" w:hAnsi="Calibri"/>
          <w:b/>
          <w:spacing w:val="-3"/>
          <w:sz w:val="22"/>
        </w:rPr>
        <w:t> </w:t>
      </w:r>
      <w:r>
        <w:rPr>
          <w:rFonts w:ascii="Calibri" w:hAnsi="Calibri"/>
          <w:b/>
          <w:sz w:val="22"/>
        </w:rPr>
        <w:t>and</w:t>
      </w:r>
      <w:r>
        <w:rPr>
          <w:rFonts w:ascii="Calibri" w:hAnsi="Calibri"/>
          <w:b/>
          <w:spacing w:val="-3"/>
          <w:sz w:val="22"/>
        </w:rPr>
        <w:t> </w:t>
      </w:r>
      <w:r>
        <w:rPr>
          <w:rFonts w:ascii="Calibri" w:hAnsi="Calibri"/>
          <w:b/>
          <w:sz w:val="22"/>
        </w:rPr>
        <w:t>your</w:t>
      </w:r>
      <w:r>
        <w:rPr>
          <w:rFonts w:ascii="Calibri" w:hAnsi="Calibri"/>
          <w:b/>
          <w:spacing w:val="-3"/>
          <w:sz w:val="22"/>
        </w:rPr>
        <w:t> </w:t>
      </w:r>
      <w:r>
        <w:rPr>
          <w:rFonts w:ascii="Calibri" w:hAnsi="Calibri"/>
          <w:b/>
          <w:sz w:val="22"/>
        </w:rPr>
        <w:t>group</w:t>
      </w:r>
      <w:r>
        <w:rPr>
          <w:rFonts w:ascii="Calibri" w:hAnsi="Calibri"/>
          <w:b/>
          <w:spacing w:val="1"/>
          <w:sz w:val="22"/>
        </w:rPr>
        <w:t> </w:t>
      </w:r>
      <w:r>
        <w:rPr>
          <w:rFonts w:ascii="Calibri" w:hAnsi="Calibri"/>
          <w:b/>
          <w:sz w:val="22"/>
        </w:rPr>
        <w:t>in</w:t>
      </w:r>
      <w:r>
        <w:rPr>
          <w:rFonts w:ascii="Calibri" w:hAnsi="Calibri"/>
          <w:b/>
          <w:spacing w:val="-3"/>
          <w:sz w:val="22"/>
        </w:rPr>
        <w:t> </w:t>
      </w:r>
      <w:r>
        <w:rPr>
          <w:rFonts w:ascii="Calibri" w:hAnsi="Calibri"/>
          <w:b/>
          <w:sz w:val="22"/>
        </w:rPr>
        <w:t>Curaçao.</w:t>
      </w:r>
      <w:r>
        <w:rPr>
          <w:rFonts w:ascii="Calibri" w:hAnsi="Calibri"/>
          <w:sz w:val="22"/>
        </w:rPr>
      </w:r>
    </w:p>
    <w:p>
      <w:pPr>
        <w:spacing w:line="240" w:lineRule="auto" w:before="11"/>
        <w:ind w:right="0"/>
        <w:rPr>
          <w:rFonts w:ascii="Calibri" w:hAnsi="Calibri" w:cs="Calibri" w:eastAsia="Calibri" w:hint="default"/>
          <w:b/>
          <w:bCs/>
          <w:sz w:val="21"/>
          <w:szCs w:val="21"/>
        </w:rPr>
      </w:pPr>
    </w:p>
    <w:p>
      <w:pPr>
        <w:spacing w:before="0"/>
        <w:ind w:left="456" w:right="1108" w:firstLine="0"/>
        <w:jc w:val="both"/>
        <w:rPr>
          <w:rFonts w:ascii="Calibri" w:hAnsi="Calibri" w:cs="Calibri" w:eastAsia="Calibri" w:hint="default"/>
          <w:sz w:val="22"/>
          <w:szCs w:val="22"/>
        </w:rPr>
      </w:pPr>
      <w:r>
        <w:rPr>
          <w:rFonts w:ascii="Calibri"/>
          <w:b/>
          <w:sz w:val="22"/>
        </w:rPr>
        <w:t>Please enter the amounts in US$ and include all of the expenses for your entire immediate group. For example, include</w:t>
      </w:r>
      <w:r>
        <w:rPr>
          <w:rFonts w:ascii="Calibri"/>
          <w:b/>
          <w:spacing w:val="-2"/>
          <w:sz w:val="22"/>
        </w:rPr>
        <w:t> </w:t>
      </w:r>
      <w:r>
        <w:rPr>
          <w:rFonts w:ascii="Calibri"/>
          <w:b/>
          <w:sz w:val="22"/>
        </w:rPr>
        <w:t>the</w:t>
      </w:r>
      <w:r>
        <w:rPr>
          <w:rFonts w:ascii="Calibri"/>
          <w:b/>
          <w:spacing w:val="-3"/>
          <w:sz w:val="22"/>
        </w:rPr>
        <w:t> </w:t>
      </w:r>
      <w:r>
        <w:rPr>
          <w:rFonts w:ascii="Calibri"/>
          <w:b/>
          <w:sz w:val="22"/>
        </w:rPr>
        <w:t>expenses</w:t>
      </w:r>
      <w:r>
        <w:rPr>
          <w:rFonts w:ascii="Calibri"/>
          <w:b/>
          <w:spacing w:val="-2"/>
          <w:sz w:val="22"/>
        </w:rPr>
        <w:t> </w:t>
      </w:r>
      <w:r>
        <w:rPr>
          <w:rFonts w:ascii="Calibri"/>
          <w:b/>
          <w:sz w:val="22"/>
        </w:rPr>
        <w:t>of</w:t>
      </w:r>
      <w:r>
        <w:rPr>
          <w:rFonts w:ascii="Calibri"/>
          <w:b/>
          <w:spacing w:val="-3"/>
          <w:sz w:val="22"/>
        </w:rPr>
        <w:t> </w:t>
      </w:r>
      <w:r>
        <w:rPr>
          <w:rFonts w:ascii="Calibri"/>
          <w:b/>
          <w:sz w:val="22"/>
        </w:rPr>
        <w:t>your</w:t>
      </w:r>
      <w:r>
        <w:rPr>
          <w:rFonts w:ascii="Calibri"/>
          <w:b/>
          <w:spacing w:val="-2"/>
          <w:sz w:val="22"/>
        </w:rPr>
        <w:t> </w:t>
      </w:r>
      <w:r>
        <w:rPr>
          <w:rFonts w:ascii="Calibri"/>
          <w:b/>
          <w:sz w:val="22"/>
        </w:rPr>
        <w:t>travel</w:t>
      </w:r>
      <w:r>
        <w:rPr>
          <w:rFonts w:ascii="Calibri"/>
          <w:b/>
          <w:spacing w:val="-3"/>
          <w:sz w:val="22"/>
        </w:rPr>
        <w:t> </w:t>
      </w:r>
      <w:r>
        <w:rPr>
          <w:rFonts w:ascii="Calibri"/>
          <w:b/>
          <w:sz w:val="22"/>
        </w:rPr>
        <w:t>companion(s)</w:t>
      </w:r>
      <w:r>
        <w:rPr>
          <w:rFonts w:ascii="Calibri"/>
          <w:b/>
          <w:spacing w:val="-3"/>
          <w:sz w:val="22"/>
        </w:rPr>
        <w:t> </w:t>
      </w:r>
      <w:r>
        <w:rPr>
          <w:rFonts w:ascii="Calibri"/>
          <w:b/>
          <w:sz w:val="22"/>
        </w:rPr>
        <w:t>such</w:t>
      </w:r>
      <w:r>
        <w:rPr>
          <w:rFonts w:ascii="Calibri"/>
          <w:b/>
          <w:spacing w:val="-3"/>
          <w:sz w:val="22"/>
        </w:rPr>
        <w:t> </w:t>
      </w:r>
      <w:r>
        <w:rPr>
          <w:rFonts w:ascii="Calibri"/>
          <w:b/>
          <w:sz w:val="22"/>
        </w:rPr>
        <w:t>as</w:t>
      </w:r>
      <w:r>
        <w:rPr>
          <w:rFonts w:ascii="Calibri"/>
          <w:b/>
          <w:spacing w:val="-2"/>
          <w:sz w:val="22"/>
        </w:rPr>
        <w:t> </w:t>
      </w:r>
      <w:r>
        <w:rPr>
          <w:rFonts w:ascii="Calibri"/>
          <w:b/>
          <w:sz w:val="22"/>
        </w:rPr>
        <w:t>your</w:t>
      </w:r>
      <w:r>
        <w:rPr>
          <w:rFonts w:ascii="Calibri"/>
          <w:b/>
          <w:spacing w:val="-2"/>
          <w:sz w:val="22"/>
        </w:rPr>
        <w:t> </w:t>
      </w:r>
      <w:r>
        <w:rPr>
          <w:rFonts w:ascii="Calibri"/>
          <w:b/>
          <w:sz w:val="22"/>
        </w:rPr>
        <w:t>wife,</w:t>
      </w:r>
      <w:r>
        <w:rPr>
          <w:rFonts w:ascii="Calibri"/>
          <w:b/>
          <w:spacing w:val="-2"/>
          <w:sz w:val="22"/>
        </w:rPr>
        <w:t> </w:t>
      </w:r>
      <w:r>
        <w:rPr>
          <w:rFonts w:ascii="Calibri"/>
          <w:b/>
          <w:sz w:val="22"/>
        </w:rPr>
        <w:t>children,</w:t>
      </w:r>
      <w:r>
        <w:rPr>
          <w:rFonts w:ascii="Calibri"/>
          <w:b/>
          <w:spacing w:val="-2"/>
          <w:sz w:val="22"/>
        </w:rPr>
        <w:t> </w:t>
      </w:r>
      <w:r>
        <w:rPr>
          <w:rFonts w:ascii="Calibri"/>
          <w:b/>
          <w:sz w:val="22"/>
        </w:rPr>
        <w:t>or</w:t>
      </w:r>
      <w:r>
        <w:rPr>
          <w:rFonts w:ascii="Calibri"/>
          <w:b/>
          <w:spacing w:val="-3"/>
          <w:sz w:val="22"/>
        </w:rPr>
        <w:t> </w:t>
      </w:r>
      <w:r>
        <w:rPr>
          <w:rFonts w:ascii="Calibri"/>
          <w:b/>
          <w:sz w:val="22"/>
        </w:rPr>
        <w:t>other</w:t>
      </w:r>
      <w:r>
        <w:rPr>
          <w:rFonts w:ascii="Calibri"/>
          <w:b/>
          <w:spacing w:val="-2"/>
          <w:sz w:val="22"/>
        </w:rPr>
        <w:t> </w:t>
      </w:r>
      <w:r>
        <w:rPr>
          <w:rFonts w:ascii="Calibri"/>
          <w:b/>
          <w:sz w:val="22"/>
        </w:rPr>
        <w:t>individuals</w:t>
      </w:r>
      <w:r>
        <w:rPr>
          <w:rFonts w:ascii="Calibri"/>
          <w:b/>
          <w:spacing w:val="-3"/>
          <w:sz w:val="22"/>
        </w:rPr>
        <w:t> </w:t>
      </w:r>
      <w:r>
        <w:rPr>
          <w:rFonts w:ascii="Calibri"/>
          <w:b/>
          <w:sz w:val="22"/>
        </w:rPr>
        <w:t>for</w:t>
      </w:r>
      <w:r>
        <w:rPr>
          <w:rFonts w:ascii="Calibri"/>
          <w:b/>
          <w:spacing w:val="-3"/>
          <w:sz w:val="22"/>
        </w:rPr>
        <w:t> </w:t>
      </w:r>
      <w:r>
        <w:rPr>
          <w:rFonts w:ascii="Calibri"/>
          <w:b/>
          <w:sz w:val="22"/>
        </w:rPr>
        <w:t>which</w:t>
      </w:r>
      <w:r>
        <w:rPr>
          <w:rFonts w:ascii="Calibri"/>
          <w:b/>
          <w:spacing w:val="-1"/>
          <w:sz w:val="22"/>
        </w:rPr>
        <w:t> </w:t>
      </w:r>
      <w:r>
        <w:rPr>
          <w:rFonts w:ascii="Calibri"/>
          <w:b/>
          <w:sz w:val="22"/>
        </w:rPr>
        <w:t>you </w:t>
      </w:r>
      <w:r>
        <w:rPr>
          <w:rFonts w:ascii="Calibri"/>
          <w:b/>
          <w:sz w:val="22"/>
        </w:rPr>
        <w:t>covered the travel</w:t>
      </w:r>
      <w:r>
        <w:rPr>
          <w:rFonts w:ascii="Calibri"/>
          <w:b/>
          <w:spacing w:val="-16"/>
          <w:sz w:val="22"/>
        </w:rPr>
        <w:t> </w:t>
      </w:r>
      <w:r>
        <w:rPr>
          <w:rFonts w:ascii="Calibri"/>
          <w:b/>
          <w:sz w:val="22"/>
        </w:rPr>
        <w:t>expenses.</w:t>
      </w:r>
      <w:r>
        <w:rPr>
          <w:rFonts w:ascii="Calibri"/>
          <w:sz w:val="22"/>
        </w:rPr>
      </w:r>
    </w:p>
    <w:p>
      <w:pPr>
        <w:spacing w:line="240" w:lineRule="auto" w:before="1" w:after="0"/>
        <w:ind w:right="0"/>
        <w:rPr>
          <w:rFonts w:ascii="Calibri" w:hAnsi="Calibri" w:cs="Calibri" w:eastAsia="Calibri" w:hint="default"/>
          <w:b/>
          <w:bCs/>
          <w:sz w:val="19"/>
          <w:szCs w:val="19"/>
        </w:rPr>
      </w:pPr>
    </w:p>
    <w:tbl>
      <w:tblPr>
        <w:tblW w:w="0" w:type="auto"/>
        <w:jc w:val="left"/>
        <w:tblInd w:w="421" w:type="dxa"/>
        <w:tblLayout w:type="fixed"/>
        <w:tblCellMar>
          <w:top w:w="0" w:type="dxa"/>
          <w:left w:w="0" w:type="dxa"/>
          <w:bottom w:w="0" w:type="dxa"/>
          <w:right w:w="0" w:type="dxa"/>
        </w:tblCellMar>
        <w:tblLook w:val="01E0"/>
      </w:tblPr>
      <w:tblGrid>
        <w:gridCol w:w="3109"/>
        <w:gridCol w:w="2116"/>
        <w:gridCol w:w="3492"/>
        <w:gridCol w:w="2038"/>
      </w:tblGrid>
      <w:tr>
        <w:trPr>
          <w:trHeight w:val="647" w:hRule="exact"/>
        </w:trPr>
        <w:tc>
          <w:tcPr>
            <w:tcW w:w="3109" w:type="dxa"/>
            <w:tcBorders>
              <w:top w:val="nil" w:sz="6" w:space="0" w:color="auto"/>
              <w:left w:val="nil" w:sz="6" w:space="0" w:color="auto"/>
              <w:bottom w:val="nil" w:sz="6" w:space="0" w:color="auto"/>
              <w:right w:val="nil" w:sz="6" w:space="0" w:color="auto"/>
            </w:tcBorders>
          </w:tcPr>
          <w:p>
            <w:pPr>
              <w:pStyle w:val="TableParagraph"/>
              <w:spacing w:line="240" w:lineRule="auto" w:before="55"/>
              <w:ind w:left="35" w:right="0"/>
              <w:jc w:val="left"/>
              <w:rPr>
                <w:rFonts w:ascii="Calibri" w:hAnsi="Calibri" w:cs="Calibri" w:eastAsia="Calibri" w:hint="default"/>
                <w:sz w:val="22"/>
                <w:szCs w:val="22"/>
              </w:rPr>
            </w:pPr>
            <w:r>
              <w:rPr>
                <w:rFonts w:ascii="Calibri"/>
                <w:b/>
                <w:sz w:val="22"/>
              </w:rPr>
              <w:t>Expenditures</w:t>
            </w:r>
            <w:r>
              <w:rPr>
                <w:rFonts w:ascii="Calibri"/>
                <w:sz w:val="22"/>
              </w:rPr>
            </w:r>
          </w:p>
          <w:p>
            <w:pPr>
              <w:pStyle w:val="TableParagraph"/>
              <w:spacing w:line="240" w:lineRule="auto" w:before="19"/>
              <w:ind w:left="35" w:right="0"/>
              <w:jc w:val="left"/>
              <w:rPr>
                <w:rFonts w:ascii="Calibri" w:hAnsi="Calibri" w:cs="Calibri" w:eastAsia="Calibri" w:hint="default"/>
                <w:sz w:val="22"/>
                <w:szCs w:val="22"/>
              </w:rPr>
            </w:pPr>
            <w:r>
              <w:rPr>
                <w:rFonts w:ascii="Calibri"/>
                <w:sz w:val="22"/>
              </w:rPr>
              <w:t>1) Lodging (only room</w:t>
            </w:r>
            <w:r>
              <w:rPr>
                <w:rFonts w:ascii="Calibri"/>
                <w:spacing w:val="-14"/>
                <w:sz w:val="22"/>
              </w:rPr>
              <w:t> </w:t>
            </w:r>
            <w:r>
              <w:rPr>
                <w:rFonts w:ascii="Calibri"/>
                <w:sz w:val="22"/>
              </w:rPr>
              <w:t>expenses)</w:t>
            </w:r>
          </w:p>
        </w:tc>
        <w:tc>
          <w:tcPr>
            <w:tcW w:w="2116" w:type="dxa"/>
            <w:tcBorders>
              <w:top w:val="nil" w:sz="6" w:space="0" w:color="auto"/>
              <w:left w:val="nil" w:sz="6" w:space="0" w:color="auto"/>
              <w:bottom w:val="nil" w:sz="6" w:space="0" w:color="auto"/>
              <w:right w:val="nil" w:sz="6" w:space="0" w:color="auto"/>
            </w:tcBorders>
          </w:tcPr>
          <w:p>
            <w:pPr>
              <w:pStyle w:val="TableParagraph"/>
              <w:spacing w:line="240" w:lineRule="auto" w:before="1"/>
              <w:ind w:right="0"/>
              <w:jc w:val="left"/>
              <w:rPr>
                <w:rFonts w:ascii="Calibri" w:hAnsi="Calibri" w:cs="Calibri" w:eastAsia="Calibri" w:hint="default"/>
                <w:b/>
                <w:bCs/>
                <w:sz w:val="28"/>
                <w:szCs w:val="28"/>
              </w:rPr>
            </w:pPr>
          </w:p>
          <w:p>
            <w:pPr>
              <w:pStyle w:val="TableParagraph"/>
              <w:tabs>
                <w:tab w:pos="1861" w:val="left" w:leader="none"/>
              </w:tabs>
              <w:spacing w:line="240" w:lineRule="auto"/>
              <w:ind w:left="121" w:right="0"/>
              <w:jc w:val="lef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sz w:val="22"/>
                <w:u w:val="single" w:color="000000"/>
              </w:rPr>
              <w:t>US$</w:t>
              <w:tab/>
            </w:r>
            <w:r>
              <w:rPr>
                <w:rFonts w:ascii="Calibri"/>
                <w:b/>
                <w:sz w:val="22"/>
              </w:rPr>
            </w:r>
            <w:r>
              <w:rPr>
                <w:rFonts w:ascii="Calibri"/>
                <w:sz w:val="22"/>
              </w:rPr>
            </w:r>
          </w:p>
        </w:tc>
        <w:tc>
          <w:tcPr>
            <w:tcW w:w="3492" w:type="dxa"/>
            <w:tcBorders>
              <w:top w:val="nil" w:sz="6" w:space="0" w:color="auto"/>
              <w:left w:val="nil" w:sz="6" w:space="0" w:color="auto"/>
              <w:bottom w:val="nil" w:sz="6" w:space="0" w:color="auto"/>
              <w:right w:val="nil" w:sz="6" w:space="0" w:color="auto"/>
            </w:tcBorders>
          </w:tcPr>
          <w:p>
            <w:pPr>
              <w:pStyle w:val="TableParagraph"/>
              <w:spacing w:line="240" w:lineRule="auto" w:before="1"/>
              <w:ind w:right="0"/>
              <w:jc w:val="left"/>
              <w:rPr>
                <w:rFonts w:ascii="Calibri" w:hAnsi="Calibri" w:cs="Calibri" w:eastAsia="Calibri" w:hint="default"/>
                <w:b/>
                <w:bCs/>
                <w:sz w:val="28"/>
                <w:szCs w:val="28"/>
              </w:rPr>
            </w:pPr>
          </w:p>
          <w:p>
            <w:pPr>
              <w:pStyle w:val="TableParagraph"/>
              <w:spacing w:line="240" w:lineRule="auto"/>
              <w:ind w:left="254" w:right="0"/>
              <w:jc w:val="left"/>
              <w:rPr>
                <w:rFonts w:ascii="Calibri" w:hAnsi="Calibri" w:cs="Calibri" w:eastAsia="Calibri" w:hint="default"/>
                <w:sz w:val="22"/>
                <w:szCs w:val="22"/>
              </w:rPr>
            </w:pPr>
            <w:r>
              <w:rPr>
                <w:rFonts w:ascii="Calibri"/>
                <w:sz w:val="22"/>
              </w:rPr>
              <w:t>8) Local arts/cultural</w:t>
            </w:r>
            <w:r>
              <w:rPr>
                <w:rFonts w:ascii="Calibri"/>
                <w:spacing w:val="-13"/>
                <w:sz w:val="22"/>
              </w:rPr>
              <w:t> </w:t>
            </w:r>
            <w:r>
              <w:rPr>
                <w:rFonts w:ascii="Calibri"/>
                <w:sz w:val="22"/>
              </w:rPr>
              <w:t>events</w:t>
            </w:r>
          </w:p>
        </w:tc>
        <w:tc>
          <w:tcPr>
            <w:tcW w:w="2038" w:type="dxa"/>
            <w:tcBorders>
              <w:top w:val="nil" w:sz="6" w:space="0" w:color="auto"/>
              <w:left w:val="nil" w:sz="6" w:space="0" w:color="auto"/>
              <w:bottom w:val="nil" w:sz="6" w:space="0" w:color="auto"/>
              <w:right w:val="nil" w:sz="6" w:space="0" w:color="auto"/>
            </w:tcBorders>
          </w:tcPr>
          <w:p>
            <w:pPr>
              <w:pStyle w:val="TableParagraph"/>
              <w:spacing w:line="240" w:lineRule="auto" w:before="1"/>
              <w:ind w:right="0"/>
              <w:jc w:val="left"/>
              <w:rPr>
                <w:rFonts w:ascii="Calibri" w:hAnsi="Calibri" w:cs="Calibri" w:eastAsia="Calibri" w:hint="default"/>
                <w:b/>
                <w:bCs/>
                <w:sz w:val="28"/>
                <w:szCs w:val="28"/>
              </w:rPr>
            </w:pPr>
          </w:p>
          <w:p>
            <w:pPr>
              <w:pStyle w:val="TableParagraph"/>
              <w:tabs>
                <w:tab w:pos="1880" w:val="left" w:leader="none"/>
              </w:tabs>
              <w:spacing w:line="240" w:lineRule="auto"/>
              <w:ind w:right="33"/>
              <w:jc w:val="righ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w w:val="95"/>
                <w:sz w:val="22"/>
                <w:u w:val="single" w:color="000000"/>
              </w:rPr>
              <w:t>US$</w:t>
            </w:r>
            <w:r>
              <w:rPr>
                <w:rFonts w:ascii="Calibri"/>
                <w:b/>
                <w:sz w:val="22"/>
                <w:u w:val="single" w:color="000000"/>
              </w:rPr>
              <w:tab/>
            </w:r>
            <w:r>
              <w:rPr>
                <w:rFonts w:ascii="Calibri"/>
                <w:b/>
                <w:sz w:val="22"/>
              </w:rPr>
            </w:r>
            <w:r>
              <w:rPr>
                <w:rFonts w:ascii="Calibri"/>
                <w:sz w:val="22"/>
              </w:rPr>
            </w:r>
          </w:p>
        </w:tc>
      </w:tr>
      <w:tr>
        <w:trPr>
          <w:trHeight w:val="298" w:hRule="exact"/>
        </w:trPr>
        <w:tc>
          <w:tcPr>
            <w:tcW w:w="3109"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Calibri" w:hAnsi="Calibri" w:cs="Calibri" w:eastAsia="Calibri" w:hint="default"/>
                <w:sz w:val="22"/>
                <w:szCs w:val="22"/>
              </w:rPr>
            </w:pPr>
            <w:r>
              <w:rPr>
                <w:rFonts w:ascii="Calibri"/>
                <w:sz w:val="22"/>
              </w:rPr>
              <w:t>2) Food/beverage (inside</w:t>
            </w:r>
            <w:r>
              <w:rPr>
                <w:rFonts w:ascii="Calibri"/>
                <w:spacing w:val="-15"/>
                <w:sz w:val="22"/>
              </w:rPr>
              <w:t> </w:t>
            </w:r>
            <w:r>
              <w:rPr>
                <w:rFonts w:ascii="Calibri"/>
                <w:sz w:val="22"/>
              </w:rPr>
              <w:t>hotel)</w:t>
            </w:r>
          </w:p>
        </w:tc>
        <w:tc>
          <w:tcPr>
            <w:tcW w:w="2116" w:type="dxa"/>
            <w:tcBorders>
              <w:top w:val="nil" w:sz="6" w:space="0" w:color="auto"/>
              <w:left w:val="nil" w:sz="6" w:space="0" w:color="auto"/>
              <w:bottom w:val="nil" w:sz="6" w:space="0" w:color="auto"/>
              <w:right w:val="nil" w:sz="6" w:space="0" w:color="auto"/>
            </w:tcBorders>
          </w:tcPr>
          <w:p>
            <w:pPr>
              <w:pStyle w:val="TableParagraph"/>
              <w:tabs>
                <w:tab w:pos="1861" w:val="left" w:leader="none"/>
              </w:tabs>
              <w:spacing w:line="263" w:lineRule="exact"/>
              <w:ind w:left="121" w:right="0"/>
              <w:jc w:val="lef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sz w:val="22"/>
                <w:u w:val="single" w:color="000000"/>
              </w:rPr>
              <w:t>US$</w:t>
              <w:tab/>
            </w:r>
            <w:r>
              <w:rPr>
                <w:rFonts w:ascii="Calibri"/>
                <w:b/>
                <w:sz w:val="22"/>
              </w:rPr>
            </w:r>
            <w:r>
              <w:rPr>
                <w:rFonts w:ascii="Calibri"/>
                <w:sz w:val="22"/>
              </w:rPr>
            </w:r>
          </w:p>
        </w:tc>
        <w:tc>
          <w:tcPr>
            <w:tcW w:w="3492" w:type="dxa"/>
            <w:tcBorders>
              <w:top w:val="nil" w:sz="6" w:space="0" w:color="auto"/>
              <w:left w:val="nil" w:sz="6" w:space="0" w:color="auto"/>
              <w:bottom w:val="nil" w:sz="6" w:space="0" w:color="auto"/>
              <w:right w:val="nil" w:sz="6" w:space="0" w:color="auto"/>
            </w:tcBorders>
          </w:tcPr>
          <w:p>
            <w:pPr>
              <w:pStyle w:val="TableParagraph"/>
              <w:spacing w:line="263" w:lineRule="exact"/>
              <w:ind w:left="254" w:right="0"/>
              <w:jc w:val="left"/>
              <w:rPr>
                <w:rFonts w:ascii="Calibri" w:hAnsi="Calibri" w:cs="Calibri" w:eastAsia="Calibri" w:hint="default"/>
                <w:sz w:val="22"/>
                <w:szCs w:val="22"/>
              </w:rPr>
            </w:pPr>
            <w:r>
              <w:rPr>
                <w:rFonts w:ascii="Calibri"/>
                <w:sz w:val="22"/>
              </w:rPr>
              <w:t>9)</w:t>
            </w:r>
            <w:r>
              <w:rPr>
                <w:rFonts w:ascii="Calibri"/>
                <w:spacing w:val="-10"/>
                <w:sz w:val="22"/>
              </w:rPr>
              <w:t> </w:t>
            </w:r>
            <w:r>
              <w:rPr>
                <w:rFonts w:ascii="Calibri"/>
                <w:sz w:val="22"/>
              </w:rPr>
              <w:t>Shopping</w:t>
            </w:r>
          </w:p>
        </w:tc>
        <w:tc>
          <w:tcPr>
            <w:tcW w:w="2038" w:type="dxa"/>
            <w:tcBorders>
              <w:top w:val="nil" w:sz="6" w:space="0" w:color="auto"/>
              <w:left w:val="nil" w:sz="6" w:space="0" w:color="auto"/>
              <w:bottom w:val="nil" w:sz="6" w:space="0" w:color="auto"/>
              <w:right w:val="nil" w:sz="6" w:space="0" w:color="auto"/>
            </w:tcBorders>
          </w:tcPr>
          <w:p>
            <w:pPr>
              <w:pStyle w:val="TableParagraph"/>
              <w:tabs>
                <w:tab w:pos="1880" w:val="left" w:leader="none"/>
              </w:tabs>
              <w:spacing w:line="263" w:lineRule="exact"/>
              <w:ind w:right="33"/>
              <w:jc w:val="righ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w w:val="95"/>
                <w:sz w:val="22"/>
                <w:u w:val="single" w:color="000000"/>
              </w:rPr>
              <w:t>US$</w:t>
            </w:r>
            <w:r>
              <w:rPr>
                <w:rFonts w:ascii="Calibri"/>
                <w:b/>
                <w:sz w:val="22"/>
                <w:u w:val="single" w:color="000000"/>
              </w:rPr>
              <w:tab/>
            </w:r>
            <w:r>
              <w:rPr>
                <w:rFonts w:ascii="Calibri"/>
                <w:b/>
                <w:sz w:val="22"/>
              </w:rPr>
            </w:r>
            <w:r>
              <w:rPr>
                <w:rFonts w:ascii="Calibri"/>
                <w:sz w:val="22"/>
              </w:rPr>
            </w:r>
          </w:p>
        </w:tc>
      </w:tr>
      <w:tr>
        <w:trPr>
          <w:trHeight w:val="298" w:hRule="exact"/>
        </w:trPr>
        <w:tc>
          <w:tcPr>
            <w:tcW w:w="3109"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Calibri" w:hAnsi="Calibri" w:cs="Calibri" w:eastAsia="Calibri" w:hint="default"/>
                <w:sz w:val="22"/>
                <w:szCs w:val="22"/>
              </w:rPr>
            </w:pPr>
            <w:r>
              <w:rPr>
                <w:rFonts w:ascii="Calibri"/>
                <w:sz w:val="22"/>
              </w:rPr>
              <w:t>3) Food/beverage (outside</w:t>
            </w:r>
            <w:r>
              <w:rPr>
                <w:rFonts w:ascii="Calibri"/>
                <w:spacing w:val="-16"/>
                <w:sz w:val="22"/>
              </w:rPr>
              <w:t> </w:t>
            </w:r>
            <w:r>
              <w:rPr>
                <w:rFonts w:ascii="Calibri"/>
                <w:sz w:val="22"/>
              </w:rPr>
              <w:t>hotel)</w:t>
            </w:r>
          </w:p>
        </w:tc>
        <w:tc>
          <w:tcPr>
            <w:tcW w:w="2116" w:type="dxa"/>
            <w:tcBorders>
              <w:top w:val="nil" w:sz="6" w:space="0" w:color="auto"/>
              <w:left w:val="nil" w:sz="6" w:space="0" w:color="auto"/>
              <w:bottom w:val="nil" w:sz="6" w:space="0" w:color="auto"/>
              <w:right w:val="nil" w:sz="6" w:space="0" w:color="auto"/>
            </w:tcBorders>
          </w:tcPr>
          <w:p>
            <w:pPr>
              <w:pStyle w:val="TableParagraph"/>
              <w:tabs>
                <w:tab w:pos="1861" w:val="left" w:leader="none"/>
              </w:tabs>
              <w:spacing w:line="263" w:lineRule="exact"/>
              <w:ind w:left="121" w:right="0"/>
              <w:jc w:val="lef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sz w:val="22"/>
                <w:u w:val="single" w:color="000000"/>
              </w:rPr>
              <w:t>US$</w:t>
              <w:tab/>
            </w:r>
            <w:r>
              <w:rPr>
                <w:rFonts w:ascii="Calibri"/>
                <w:b/>
                <w:sz w:val="22"/>
              </w:rPr>
            </w:r>
            <w:r>
              <w:rPr>
                <w:rFonts w:ascii="Calibri"/>
                <w:sz w:val="22"/>
              </w:rPr>
            </w:r>
          </w:p>
        </w:tc>
        <w:tc>
          <w:tcPr>
            <w:tcW w:w="3492" w:type="dxa"/>
            <w:tcBorders>
              <w:top w:val="nil" w:sz="6" w:space="0" w:color="auto"/>
              <w:left w:val="nil" w:sz="6" w:space="0" w:color="auto"/>
              <w:bottom w:val="nil" w:sz="6" w:space="0" w:color="auto"/>
              <w:right w:val="nil" w:sz="6" w:space="0" w:color="auto"/>
            </w:tcBorders>
          </w:tcPr>
          <w:p>
            <w:pPr>
              <w:pStyle w:val="TableParagraph"/>
              <w:spacing w:line="263" w:lineRule="exact"/>
              <w:ind w:left="254" w:right="0"/>
              <w:jc w:val="left"/>
              <w:rPr>
                <w:rFonts w:ascii="Calibri" w:hAnsi="Calibri" w:cs="Calibri" w:eastAsia="Calibri" w:hint="default"/>
                <w:sz w:val="22"/>
                <w:szCs w:val="22"/>
              </w:rPr>
            </w:pPr>
            <w:r>
              <w:rPr>
                <w:rFonts w:ascii="Calibri"/>
                <w:sz w:val="22"/>
              </w:rPr>
              <w:t>10)</w:t>
            </w:r>
            <w:r>
              <w:rPr>
                <w:rFonts w:ascii="Calibri"/>
                <w:spacing w:val="-5"/>
                <w:sz w:val="22"/>
              </w:rPr>
              <w:t> </w:t>
            </w:r>
            <w:r>
              <w:rPr>
                <w:rFonts w:ascii="Calibri"/>
                <w:sz w:val="22"/>
              </w:rPr>
              <w:t>Internet/telephone</w:t>
            </w:r>
          </w:p>
        </w:tc>
        <w:tc>
          <w:tcPr>
            <w:tcW w:w="2038" w:type="dxa"/>
            <w:tcBorders>
              <w:top w:val="nil" w:sz="6" w:space="0" w:color="auto"/>
              <w:left w:val="nil" w:sz="6" w:space="0" w:color="auto"/>
              <w:bottom w:val="nil" w:sz="6" w:space="0" w:color="auto"/>
              <w:right w:val="nil" w:sz="6" w:space="0" w:color="auto"/>
            </w:tcBorders>
          </w:tcPr>
          <w:p>
            <w:pPr>
              <w:pStyle w:val="TableParagraph"/>
              <w:tabs>
                <w:tab w:pos="1880" w:val="left" w:leader="none"/>
              </w:tabs>
              <w:spacing w:line="263" w:lineRule="exact"/>
              <w:ind w:right="33"/>
              <w:jc w:val="righ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w w:val="95"/>
                <w:sz w:val="22"/>
                <w:u w:val="single" w:color="000000"/>
              </w:rPr>
              <w:t>US$</w:t>
            </w:r>
            <w:r>
              <w:rPr>
                <w:rFonts w:ascii="Calibri"/>
                <w:b/>
                <w:sz w:val="22"/>
                <w:u w:val="single" w:color="000000"/>
              </w:rPr>
              <w:tab/>
            </w:r>
            <w:r>
              <w:rPr>
                <w:rFonts w:ascii="Calibri"/>
                <w:b/>
                <w:sz w:val="22"/>
              </w:rPr>
            </w:r>
            <w:r>
              <w:rPr>
                <w:rFonts w:ascii="Calibri"/>
                <w:sz w:val="22"/>
              </w:rPr>
            </w:r>
          </w:p>
        </w:tc>
      </w:tr>
      <w:tr>
        <w:trPr>
          <w:trHeight w:val="298" w:hRule="exact"/>
        </w:trPr>
        <w:tc>
          <w:tcPr>
            <w:tcW w:w="3109"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Calibri" w:hAnsi="Calibri" w:cs="Calibri" w:eastAsia="Calibri" w:hint="default"/>
                <w:sz w:val="22"/>
                <w:szCs w:val="22"/>
              </w:rPr>
            </w:pPr>
            <w:r>
              <w:rPr>
                <w:rFonts w:ascii="Calibri"/>
                <w:sz w:val="22"/>
              </w:rPr>
              <w:t>4) Car</w:t>
            </w:r>
            <w:r>
              <w:rPr>
                <w:rFonts w:ascii="Calibri"/>
                <w:spacing w:val="-6"/>
                <w:sz w:val="22"/>
              </w:rPr>
              <w:t> </w:t>
            </w:r>
            <w:r>
              <w:rPr>
                <w:rFonts w:ascii="Calibri"/>
                <w:sz w:val="22"/>
              </w:rPr>
              <w:t>rental</w:t>
            </w:r>
          </w:p>
        </w:tc>
        <w:tc>
          <w:tcPr>
            <w:tcW w:w="2116" w:type="dxa"/>
            <w:tcBorders>
              <w:top w:val="nil" w:sz="6" w:space="0" w:color="auto"/>
              <w:left w:val="nil" w:sz="6" w:space="0" w:color="auto"/>
              <w:bottom w:val="nil" w:sz="6" w:space="0" w:color="auto"/>
              <w:right w:val="nil" w:sz="6" w:space="0" w:color="auto"/>
            </w:tcBorders>
          </w:tcPr>
          <w:p>
            <w:pPr>
              <w:pStyle w:val="TableParagraph"/>
              <w:tabs>
                <w:tab w:pos="1861" w:val="left" w:leader="none"/>
              </w:tabs>
              <w:spacing w:line="263" w:lineRule="exact"/>
              <w:ind w:left="121" w:right="0"/>
              <w:jc w:val="lef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sz w:val="22"/>
                <w:u w:val="single" w:color="000000"/>
              </w:rPr>
              <w:t>US$</w:t>
              <w:tab/>
            </w:r>
            <w:r>
              <w:rPr>
                <w:rFonts w:ascii="Calibri"/>
                <w:b/>
                <w:sz w:val="22"/>
              </w:rPr>
            </w:r>
            <w:r>
              <w:rPr>
                <w:rFonts w:ascii="Calibri"/>
                <w:sz w:val="22"/>
              </w:rPr>
            </w:r>
          </w:p>
        </w:tc>
        <w:tc>
          <w:tcPr>
            <w:tcW w:w="3492" w:type="dxa"/>
            <w:tcBorders>
              <w:top w:val="nil" w:sz="6" w:space="0" w:color="auto"/>
              <w:left w:val="nil" w:sz="6" w:space="0" w:color="auto"/>
              <w:bottom w:val="nil" w:sz="6" w:space="0" w:color="auto"/>
              <w:right w:val="nil" w:sz="6" w:space="0" w:color="auto"/>
            </w:tcBorders>
          </w:tcPr>
          <w:p>
            <w:pPr>
              <w:pStyle w:val="TableParagraph"/>
              <w:spacing w:line="263" w:lineRule="exact"/>
              <w:ind w:left="254" w:right="0"/>
              <w:jc w:val="left"/>
              <w:rPr>
                <w:rFonts w:ascii="Calibri" w:hAnsi="Calibri" w:cs="Calibri" w:eastAsia="Calibri" w:hint="default"/>
                <w:sz w:val="22"/>
                <w:szCs w:val="22"/>
              </w:rPr>
            </w:pPr>
            <w:r>
              <w:rPr>
                <w:rFonts w:ascii="Calibri"/>
                <w:sz w:val="22"/>
              </w:rPr>
              <w:t>11)</w:t>
            </w:r>
            <w:r>
              <w:rPr>
                <w:rFonts w:ascii="Calibri"/>
                <w:spacing w:val="-11"/>
                <w:sz w:val="22"/>
              </w:rPr>
              <w:t> </w:t>
            </w:r>
            <w:r>
              <w:rPr>
                <w:rFonts w:ascii="Calibri"/>
                <w:sz w:val="22"/>
              </w:rPr>
              <w:t>Groceries/sundries</w:t>
            </w:r>
          </w:p>
        </w:tc>
        <w:tc>
          <w:tcPr>
            <w:tcW w:w="2038" w:type="dxa"/>
            <w:tcBorders>
              <w:top w:val="nil" w:sz="6" w:space="0" w:color="auto"/>
              <w:left w:val="nil" w:sz="6" w:space="0" w:color="auto"/>
              <w:bottom w:val="nil" w:sz="6" w:space="0" w:color="auto"/>
              <w:right w:val="nil" w:sz="6" w:space="0" w:color="auto"/>
            </w:tcBorders>
          </w:tcPr>
          <w:p>
            <w:pPr>
              <w:pStyle w:val="TableParagraph"/>
              <w:tabs>
                <w:tab w:pos="1880" w:val="left" w:leader="none"/>
              </w:tabs>
              <w:spacing w:line="263" w:lineRule="exact"/>
              <w:ind w:right="33"/>
              <w:jc w:val="righ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w w:val="95"/>
                <w:sz w:val="22"/>
                <w:u w:val="single" w:color="000000"/>
              </w:rPr>
              <w:t>US$</w:t>
            </w:r>
            <w:r>
              <w:rPr>
                <w:rFonts w:ascii="Calibri"/>
                <w:b/>
                <w:sz w:val="22"/>
                <w:u w:val="single" w:color="000000"/>
              </w:rPr>
              <w:tab/>
            </w:r>
            <w:r>
              <w:rPr>
                <w:rFonts w:ascii="Calibri"/>
                <w:b/>
                <w:sz w:val="22"/>
              </w:rPr>
            </w:r>
            <w:r>
              <w:rPr>
                <w:rFonts w:ascii="Calibri"/>
                <w:sz w:val="22"/>
              </w:rPr>
            </w:r>
          </w:p>
        </w:tc>
      </w:tr>
      <w:tr>
        <w:trPr>
          <w:trHeight w:val="298" w:hRule="exact"/>
        </w:trPr>
        <w:tc>
          <w:tcPr>
            <w:tcW w:w="3109"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Calibri" w:hAnsi="Calibri" w:cs="Calibri" w:eastAsia="Calibri" w:hint="default"/>
                <w:sz w:val="22"/>
                <w:szCs w:val="22"/>
              </w:rPr>
            </w:pPr>
            <w:r>
              <w:rPr>
                <w:rFonts w:ascii="Calibri"/>
                <w:sz w:val="22"/>
              </w:rPr>
              <w:t>5)</w:t>
            </w:r>
            <w:r>
              <w:rPr>
                <w:rFonts w:ascii="Calibri"/>
                <w:spacing w:val="-3"/>
                <w:sz w:val="22"/>
              </w:rPr>
              <w:t> </w:t>
            </w:r>
            <w:r>
              <w:rPr>
                <w:rFonts w:ascii="Calibri"/>
                <w:sz w:val="22"/>
              </w:rPr>
              <w:t>Gasoline</w:t>
            </w:r>
          </w:p>
        </w:tc>
        <w:tc>
          <w:tcPr>
            <w:tcW w:w="2116" w:type="dxa"/>
            <w:tcBorders>
              <w:top w:val="nil" w:sz="6" w:space="0" w:color="auto"/>
              <w:left w:val="nil" w:sz="6" w:space="0" w:color="auto"/>
              <w:bottom w:val="nil" w:sz="6" w:space="0" w:color="auto"/>
              <w:right w:val="nil" w:sz="6" w:space="0" w:color="auto"/>
            </w:tcBorders>
          </w:tcPr>
          <w:p>
            <w:pPr>
              <w:pStyle w:val="TableParagraph"/>
              <w:tabs>
                <w:tab w:pos="1861" w:val="left" w:leader="none"/>
              </w:tabs>
              <w:spacing w:line="263" w:lineRule="exact"/>
              <w:ind w:left="121" w:right="0"/>
              <w:jc w:val="lef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sz w:val="22"/>
                <w:u w:val="single" w:color="000000"/>
              </w:rPr>
              <w:t>US$</w:t>
              <w:tab/>
            </w:r>
            <w:r>
              <w:rPr>
                <w:rFonts w:ascii="Calibri"/>
                <w:b/>
                <w:sz w:val="22"/>
              </w:rPr>
            </w:r>
            <w:r>
              <w:rPr>
                <w:rFonts w:ascii="Calibri"/>
                <w:sz w:val="22"/>
              </w:rPr>
            </w:r>
          </w:p>
        </w:tc>
        <w:tc>
          <w:tcPr>
            <w:tcW w:w="3492" w:type="dxa"/>
            <w:tcBorders>
              <w:top w:val="nil" w:sz="6" w:space="0" w:color="auto"/>
              <w:left w:val="nil" w:sz="6" w:space="0" w:color="auto"/>
              <w:bottom w:val="nil" w:sz="6" w:space="0" w:color="auto"/>
              <w:right w:val="nil" w:sz="6" w:space="0" w:color="auto"/>
            </w:tcBorders>
          </w:tcPr>
          <w:p>
            <w:pPr>
              <w:pStyle w:val="TableParagraph"/>
              <w:spacing w:line="263" w:lineRule="exact"/>
              <w:ind w:left="254" w:right="0"/>
              <w:jc w:val="left"/>
              <w:rPr>
                <w:rFonts w:ascii="Calibri" w:hAnsi="Calibri" w:cs="Calibri" w:eastAsia="Calibri" w:hint="default"/>
                <w:sz w:val="22"/>
                <w:szCs w:val="22"/>
              </w:rPr>
            </w:pPr>
            <w:r>
              <w:rPr>
                <w:rFonts w:ascii="Calibri"/>
                <w:sz w:val="22"/>
              </w:rPr>
              <w:t>12)</w:t>
            </w:r>
            <w:r>
              <w:rPr>
                <w:rFonts w:ascii="Calibri"/>
                <w:spacing w:val="-12"/>
                <w:sz w:val="22"/>
              </w:rPr>
              <w:t> </w:t>
            </w:r>
            <w:r>
              <w:rPr>
                <w:rFonts w:ascii="Calibri"/>
                <w:sz w:val="22"/>
              </w:rPr>
              <w:t>Entertainment/nightlife/casino</w:t>
            </w:r>
          </w:p>
        </w:tc>
        <w:tc>
          <w:tcPr>
            <w:tcW w:w="2038" w:type="dxa"/>
            <w:tcBorders>
              <w:top w:val="nil" w:sz="6" w:space="0" w:color="auto"/>
              <w:left w:val="nil" w:sz="6" w:space="0" w:color="auto"/>
              <w:bottom w:val="nil" w:sz="6" w:space="0" w:color="auto"/>
              <w:right w:val="nil" w:sz="6" w:space="0" w:color="auto"/>
            </w:tcBorders>
          </w:tcPr>
          <w:p>
            <w:pPr>
              <w:pStyle w:val="TableParagraph"/>
              <w:tabs>
                <w:tab w:pos="1880" w:val="left" w:leader="none"/>
              </w:tabs>
              <w:spacing w:line="263" w:lineRule="exact"/>
              <w:ind w:right="33"/>
              <w:jc w:val="righ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w w:val="95"/>
                <w:sz w:val="22"/>
                <w:u w:val="single" w:color="000000"/>
              </w:rPr>
              <w:t>US$</w:t>
            </w:r>
            <w:r>
              <w:rPr>
                <w:rFonts w:ascii="Calibri"/>
                <w:b/>
                <w:sz w:val="22"/>
                <w:u w:val="single" w:color="000000"/>
              </w:rPr>
              <w:tab/>
            </w:r>
            <w:r>
              <w:rPr>
                <w:rFonts w:ascii="Calibri"/>
                <w:b/>
                <w:sz w:val="22"/>
              </w:rPr>
            </w:r>
            <w:r>
              <w:rPr>
                <w:rFonts w:ascii="Calibri"/>
                <w:sz w:val="22"/>
              </w:rPr>
            </w:r>
          </w:p>
        </w:tc>
      </w:tr>
      <w:tr>
        <w:trPr>
          <w:trHeight w:val="298" w:hRule="exact"/>
        </w:trPr>
        <w:tc>
          <w:tcPr>
            <w:tcW w:w="3109"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Calibri" w:hAnsi="Calibri" w:cs="Calibri" w:eastAsia="Calibri" w:hint="default"/>
                <w:sz w:val="22"/>
                <w:szCs w:val="22"/>
              </w:rPr>
            </w:pPr>
            <w:r>
              <w:rPr>
                <w:rFonts w:ascii="Calibri"/>
                <w:sz w:val="22"/>
              </w:rPr>
              <w:t>6)Taxi</w:t>
            </w:r>
          </w:p>
        </w:tc>
        <w:tc>
          <w:tcPr>
            <w:tcW w:w="2116" w:type="dxa"/>
            <w:tcBorders>
              <w:top w:val="nil" w:sz="6" w:space="0" w:color="auto"/>
              <w:left w:val="nil" w:sz="6" w:space="0" w:color="auto"/>
              <w:bottom w:val="nil" w:sz="6" w:space="0" w:color="auto"/>
              <w:right w:val="nil" w:sz="6" w:space="0" w:color="auto"/>
            </w:tcBorders>
          </w:tcPr>
          <w:p>
            <w:pPr>
              <w:pStyle w:val="TableParagraph"/>
              <w:tabs>
                <w:tab w:pos="1861" w:val="left" w:leader="none"/>
              </w:tabs>
              <w:spacing w:line="263" w:lineRule="exact"/>
              <w:ind w:left="121" w:right="0"/>
              <w:jc w:val="lef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sz w:val="22"/>
                <w:u w:val="single" w:color="000000"/>
              </w:rPr>
              <w:t>US$</w:t>
              <w:tab/>
            </w:r>
            <w:r>
              <w:rPr>
                <w:rFonts w:ascii="Calibri"/>
                <w:b/>
                <w:sz w:val="22"/>
              </w:rPr>
            </w:r>
            <w:r>
              <w:rPr>
                <w:rFonts w:ascii="Calibri"/>
                <w:sz w:val="22"/>
              </w:rPr>
            </w:r>
          </w:p>
        </w:tc>
        <w:tc>
          <w:tcPr>
            <w:tcW w:w="3492" w:type="dxa"/>
            <w:tcBorders>
              <w:top w:val="nil" w:sz="6" w:space="0" w:color="auto"/>
              <w:left w:val="nil" w:sz="6" w:space="0" w:color="auto"/>
              <w:bottom w:val="nil" w:sz="6" w:space="0" w:color="auto"/>
              <w:right w:val="nil" w:sz="6" w:space="0" w:color="auto"/>
            </w:tcBorders>
          </w:tcPr>
          <w:p>
            <w:pPr>
              <w:pStyle w:val="TableParagraph"/>
              <w:spacing w:line="263" w:lineRule="exact"/>
              <w:ind w:left="254" w:right="0"/>
              <w:jc w:val="left"/>
              <w:rPr>
                <w:rFonts w:ascii="Calibri" w:hAnsi="Calibri" w:cs="Calibri" w:eastAsia="Calibri" w:hint="default"/>
                <w:sz w:val="22"/>
                <w:szCs w:val="22"/>
              </w:rPr>
            </w:pPr>
            <w:r>
              <w:rPr>
                <w:rFonts w:ascii="Calibri"/>
                <w:sz w:val="22"/>
              </w:rPr>
              <w:t>13) Water</w:t>
            </w:r>
            <w:r>
              <w:rPr>
                <w:rFonts w:ascii="Calibri"/>
                <w:spacing w:val="-5"/>
                <w:sz w:val="22"/>
              </w:rPr>
              <w:t> </w:t>
            </w:r>
            <w:r>
              <w:rPr>
                <w:rFonts w:ascii="Calibri"/>
                <w:sz w:val="22"/>
              </w:rPr>
              <w:t>activities/recreation</w:t>
            </w:r>
          </w:p>
        </w:tc>
        <w:tc>
          <w:tcPr>
            <w:tcW w:w="2038" w:type="dxa"/>
            <w:tcBorders>
              <w:top w:val="nil" w:sz="6" w:space="0" w:color="auto"/>
              <w:left w:val="nil" w:sz="6" w:space="0" w:color="auto"/>
              <w:bottom w:val="nil" w:sz="6" w:space="0" w:color="auto"/>
              <w:right w:val="nil" w:sz="6" w:space="0" w:color="auto"/>
            </w:tcBorders>
          </w:tcPr>
          <w:p>
            <w:pPr>
              <w:pStyle w:val="TableParagraph"/>
              <w:tabs>
                <w:tab w:pos="1880" w:val="left" w:leader="none"/>
              </w:tabs>
              <w:spacing w:line="263" w:lineRule="exact"/>
              <w:ind w:right="33"/>
              <w:jc w:val="righ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w w:val="95"/>
                <w:sz w:val="22"/>
                <w:u w:val="single" w:color="000000"/>
              </w:rPr>
              <w:t>US$</w:t>
            </w:r>
            <w:r>
              <w:rPr>
                <w:rFonts w:ascii="Calibri"/>
                <w:b/>
                <w:sz w:val="22"/>
                <w:u w:val="single" w:color="000000"/>
              </w:rPr>
              <w:tab/>
            </w:r>
            <w:r>
              <w:rPr>
                <w:rFonts w:ascii="Calibri"/>
                <w:b/>
                <w:sz w:val="22"/>
              </w:rPr>
            </w:r>
            <w:r>
              <w:rPr>
                <w:rFonts w:ascii="Calibri"/>
                <w:sz w:val="22"/>
              </w:rPr>
            </w:r>
          </w:p>
        </w:tc>
      </w:tr>
      <w:tr>
        <w:trPr>
          <w:trHeight w:val="359" w:hRule="exact"/>
        </w:trPr>
        <w:tc>
          <w:tcPr>
            <w:tcW w:w="3109" w:type="dxa"/>
            <w:tcBorders>
              <w:top w:val="nil" w:sz="6" w:space="0" w:color="auto"/>
              <w:left w:val="nil" w:sz="6" w:space="0" w:color="auto"/>
              <w:bottom w:val="nil" w:sz="6" w:space="0" w:color="auto"/>
              <w:right w:val="nil" w:sz="6" w:space="0" w:color="auto"/>
            </w:tcBorders>
          </w:tcPr>
          <w:p>
            <w:pPr>
              <w:pStyle w:val="TableParagraph"/>
              <w:spacing w:line="263" w:lineRule="exact"/>
              <w:ind w:left="35" w:right="0"/>
              <w:jc w:val="left"/>
              <w:rPr>
                <w:rFonts w:ascii="Calibri" w:hAnsi="Calibri" w:cs="Calibri" w:eastAsia="Calibri" w:hint="default"/>
                <w:sz w:val="22"/>
                <w:szCs w:val="22"/>
              </w:rPr>
            </w:pPr>
            <w:r>
              <w:rPr>
                <w:rFonts w:ascii="Calibri"/>
                <w:sz w:val="22"/>
              </w:rPr>
              <w:t>7) Public</w:t>
            </w:r>
            <w:r>
              <w:rPr>
                <w:rFonts w:ascii="Calibri"/>
                <w:spacing w:val="-7"/>
                <w:sz w:val="22"/>
              </w:rPr>
              <w:t> </w:t>
            </w:r>
            <w:r>
              <w:rPr>
                <w:rFonts w:ascii="Calibri"/>
                <w:sz w:val="22"/>
              </w:rPr>
              <w:t>transportation</w:t>
            </w:r>
          </w:p>
        </w:tc>
        <w:tc>
          <w:tcPr>
            <w:tcW w:w="2116" w:type="dxa"/>
            <w:tcBorders>
              <w:top w:val="nil" w:sz="6" w:space="0" w:color="auto"/>
              <w:left w:val="nil" w:sz="6" w:space="0" w:color="auto"/>
              <w:bottom w:val="nil" w:sz="6" w:space="0" w:color="auto"/>
              <w:right w:val="nil" w:sz="6" w:space="0" w:color="auto"/>
            </w:tcBorders>
          </w:tcPr>
          <w:p>
            <w:pPr>
              <w:pStyle w:val="TableParagraph"/>
              <w:tabs>
                <w:tab w:pos="1861" w:val="left" w:leader="none"/>
              </w:tabs>
              <w:spacing w:line="263" w:lineRule="exact"/>
              <w:ind w:left="121" w:right="0"/>
              <w:jc w:val="lef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sz w:val="22"/>
                <w:u w:val="single" w:color="000000"/>
              </w:rPr>
              <w:t>US$</w:t>
              <w:tab/>
            </w:r>
            <w:r>
              <w:rPr>
                <w:rFonts w:ascii="Calibri"/>
                <w:b/>
                <w:sz w:val="22"/>
              </w:rPr>
            </w:r>
            <w:r>
              <w:rPr>
                <w:rFonts w:ascii="Calibri"/>
                <w:sz w:val="22"/>
              </w:rPr>
            </w:r>
          </w:p>
        </w:tc>
        <w:tc>
          <w:tcPr>
            <w:tcW w:w="3492" w:type="dxa"/>
            <w:tcBorders>
              <w:top w:val="nil" w:sz="6" w:space="0" w:color="auto"/>
              <w:left w:val="nil" w:sz="6" w:space="0" w:color="auto"/>
              <w:bottom w:val="nil" w:sz="6" w:space="0" w:color="auto"/>
              <w:right w:val="nil" w:sz="6" w:space="0" w:color="auto"/>
            </w:tcBorders>
          </w:tcPr>
          <w:p>
            <w:pPr>
              <w:pStyle w:val="TableParagraph"/>
              <w:spacing w:line="263" w:lineRule="exact"/>
              <w:ind w:left="254" w:right="0"/>
              <w:jc w:val="left"/>
              <w:rPr>
                <w:rFonts w:ascii="Calibri" w:hAnsi="Calibri" w:cs="Calibri" w:eastAsia="Calibri" w:hint="default"/>
                <w:sz w:val="22"/>
                <w:szCs w:val="22"/>
              </w:rPr>
            </w:pPr>
            <w:r>
              <w:rPr>
                <w:rFonts w:ascii="Calibri"/>
                <w:sz w:val="22"/>
              </w:rPr>
              <w:t>14) Other</w:t>
            </w:r>
            <w:r>
              <w:rPr>
                <w:rFonts w:ascii="Calibri"/>
                <w:spacing w:val="-7"/>
                <w:sz w:val="22"/>
              </w:rPr>
              <w:t> </w:t>
            </w:r>
            <w:r>
              <w:rPr>
                <w:rFonts w:ascii="Calibri"/>
                <w:sz w:val="22"/>
              </w:rPr>
              <w:t>expenses</w:t>
            </w:r>
          </w:p>
        </w:tc>
        <w:tc>
          <w:tcPr>
            <w:tcW w:w="2038" w:type="dxa"/>
            <w:tcBorders>
              <w:top w:val="nil" w:sz="6" w:space="0" w:color="auto"/>
              <w:left w:val="nil" w:sz="6" w:space="0" w:color="auto"/>
              <w:bottom w:val="nil" w:sz="6" w:space="0" w:color="auto"/>
              <w:right w:val="nil" w:sz="6" w:space="0" w:color="auto"/>
            </w:tcBorders>
          </w:tcPr>
          <w:p>
            <w:pPr>
              <w:pStyle w:val="TableParagraph"/>
              <w:tabs>
                <w:tab w:pos="1880" w:val="left" w:leader="none"/>
              </w:tabs>
              <w:spacing w:line="263" w:lineRule="exact"/>
              <w:ind w:right="33"/>
              <w:jc w:val="right"/>
              <w:rPr>
                <w:rFonts w:ascii="Calibri" w:hAnsi="Calibri" w:cs="Calibri" w:eastAsia="Calibri" w:hint="default"/>
                <w:sz w:val="22"/>
                <w:szCs w:val="22"/>
              </w:rPr>
            </w:pPr>
            <w:r>
              <w:rPr>
                <w:rFonts w:ascii="Calibri"/>
                <w:b/>
                <w:w w:val="99"/>
                <w:sz w:val="22"/>
              </w:rPr>
            </w:r>
            <w:r>
              <w:rPr>
                <w:rFonts w:ascii="Calibri"/>
                <w:b/>
                <w:w w:val="99"/>
                <w:sz w:val="22"/>
                <w:u w:val="single" w:color="000000"/>
              </w:rPr>
              <w:t> </w:t>
            </w:r>
            <w:r>
              <w:rPr>
                <w:rFonts w:ascii="Calibri"/>
                <w:b/>
                <w:spacing w:val="8"/>
                <w:sz w:val="22"/>
                <w:u w:val="single" w:color="000000"/>
              </w:rPr>
              <w:t> </w:t>
            </w:r>
            <w:r>
              <w:rPr>
                <w:rFonts w:ascii="Calibri"/>
                <w:b/>
                <w:w w:val="95"/>
                <w:sz w:val="22"/>
                <w:u w:val="single" w:color="000000"/>
              </w:rPr>
              <w:t>US$</w:t>
            </w:r>
            <w:r>
              <w:rPr>
                <w:rFonts w:ascii="Calibri"/>
                <w:b/>
                <w:sz w:val="22"/>
                <w:u w:val="single" w:color="000000"/>
              </w:rPr>
              <w:tab/>
            </w:r>
            <w:r>
              <w:rPr>
                <w:rFonts w:ascii="Calibri"/>
                <w:b/>
                <w:sz w:val="22"/>
              </w:rPr>
            </w:r>
            <w:r>
              <w:rPr>
                <w:rFonts w:ascii="Calibri"/>
                <w:sz w:val="22"/>
              </w:rPr>
            </w:r>
          </w:p>
        </w:tc>
      </w:tr>
    </w:tbl>
    <w:p>
      <w:pPr>
        <w:spacing w:line="240" w:lineRule="auto" w:before="6"/>
        <w:ind w:right="0"/>
        <w:rPr>
          <w:rFonts w:ascii="Calibri" w:hAnsi="Calibri" w:cs="Calibri" w:eastAsia="Calibri" w:hint="default"/>
          <w:b/>
          <w:bCs/>
          <w:sz w:val="10"/>
          <w:szCs w:val="10"/>
        </w:rPr>
      </w:pPr>
    </w:p>
    <w:p>
      <w:pPr>
        <w:spacing w:line="268" w:lineRule="exact" w:before="55"/>
        <w:ind w:left="456" w:right="0" w:firstLine="0"/>
        <w:jc w:val="left"/>
        <w:rPr>
          <w:rFonts w:ascii="Calibri" w:hAnsi="Calibri" w:cs="Calibri" w:eastAsia="Calibri" w:hint="default"/>
          <w:sz w:val="22"/>
          <w:szCs w:val="22"/>
        </w:rPr>
      </w:pPr>
      <w:r>
        <w:rPr>
          <w:rFonts w:ascii="Calibri"/>
          <w:b/>
          <w:sz w:val="22"/>
        </w:rPr>
        <w:t>How many people do the above costs</w:t>
      </w:r>
      <w:r>
        <w:rPr>
          <w:rFonts w:ascii="Calibri"/>
          <w:b/>
          <w:spacing w:val="-13"/>
          <w:sz w:val="22"/>
        </w:rPr>
        <w:t> </w:t>
      </w:r>
      <w:r>
        <w:rPr>
          <w:rFonts w:ascii="Calibri"/>
          <w:b/>
          <w:sz w:val="22"/>
        </w:rPr>
        <w:t>cover?</w:t>
      </w:r>
      <w:r>
        <w:rPr>
          <w:rFonts w:ascii="Calibri"/>
          <w:sz w:val="22"/>
        </w:rPr>
      </w:r>
    </w:p>
    <w:p>
      <w:pPr>
        <w:tabs>
          <w:tab w:pos="4533" w:val="left" w:leader="none"/>
          <w:tab w:pos="5572" w:val="left" w:leader="none"/>
        </w:tabs>
        <w:spacing w:line="268" w:lineRule="exact" w:before="0"/>
        <w:ind w:left="456" w:right="0" w:firstLine="0"/>
        <w:jc w:val="left"/>
        <w:rPr>
          <w:rFonts w:ascii="Calibri" w:hAnsi="Calibri" w:cs="Calibri" w:eastAsia="Calibri" w:hint="default"/>
          <w:sz w:val="22"/>
          <w:szCs w:val="22"/>
        </w:rPr>
      </w:pPr>
      <w:r>
        <w:rPr>
          <w:rFonts w:ascii="Calibri" w:hAnsi="Calibri" w:cs="Calibri" w:eastAsia="Calibri" w:hint="default"/>
          <w:sz w:val="22"/>
          <w:szCs w:val="22"/>
        </w:rPr>
        <w:t>① ② ③ ④ ⑤ ⑥ ⑦  ⑧ ⑨</w:t>
      </w:r>
      <w:r>
        <w:rPr>
          <w:rFonts w:ascii="Calibri" w:hAnsi="Calibri" w:cs="Calibri" w:eastAsia="Calibri" w:hint="default"/>
          <w:spacing w:val="-5"/>
          <w:sz w:val="22"/>
          <w:szCs w:val="22"/>
        </w:rPr>
        <w:t> </w:t>
      </w:r>
      <w:r>
        <w:rPr>
          <w:rFonts w:ascii="Calibri" w:hAnsi="Calibri" w:cs="Calibri" w:eastAsia="Calibri" w:hint="default"/>
          <w:sz w:val="22"/>
          <w:szCs w:val="22"/>
        </w:rPr>
        <w:t>⑩  </w:t>
      </w:r>
      <w:r>
        <w:rPr>
          <w:rFonts w:ascii="Calibri" w:hAnsi="Calibri" w:cs="Calibri" w:eastAsia="Calibri" w:hint="default"/>
          <w:spacing w:val="30"/>
          <w:sz w:val="22"/>
          <w:szCs w:val="22"/>
        </w:rPr>
        <w:t> </w:t>
      </w:r>
      <w:r>
        <w:rPr>
          <w:rFonts w:ascii="Calibri" w:hAnsi="Calibri" w:cs="Calibri" w:eastAsia="Calibri" w:hint="default"/>
          <w:sz w:val="18"/>
          <w:szCs w:val="18"/>
        </w:rPr>
        <w:t>⃝</w:t>
        <w:tab/>
      </w:r>
      <w:r>
        <w:rPr>
          <w:rFonts w:ascii="Calibri" w:hAnsi="Calibri" w:cs="Calibri" w:eastAsia="Calibri" w:hint="default"/>
          <w:w w:val="95"/>
          <w:sz w:val="22"/>
          <w:szCs w:val="22"/>
        </w:rPr>
        <w:t>other</w:t>
      </w:r>
      <w:r>
        <w:rPr>
          <w:rFonts w:ascii="Calibri" w:hAnsi="Calibri" w:cs="Calibri" w:eastAsia="Calibri" w:hint="default"/>
          <w:w w:val="95"/>
          <w:sz w:val="22"/>
          <w:szCs w:val="22"/>
          <w:u w:val="single" w:color="000000"/>
        </w:rPr>
        <w:t> </w:t>
        <w:tab/>
      </w:r>
      <w:r>
        <w:rPr>
          <w:rFonts w:ascii="Calibri" w:hAnsi="Calibri" w:cs="Calibri" w:eastAsia="Calibri" w:hint="default"/>
          <w:w w:val="95"/>
          <w:sz w:val="22"/>
          <w:szCs w:val="22"/>
        </w:rPr>
      </w:r>
      <w:r>
        <w:rPr>
          <w:rFonts w:ascii="Calibri" w:hAnsi="Calibri" w:cs="Calibri" w:eastAsia="Calibri" w:hint="default"/>
          <w:sz w:val="22"/>
          <w:szCs w:val="22"/>
        </w:rPr>
        <w:t>(enter</w:t>
      </w:r>
      <w:r>
        <w:rPr>
          <w:rFonts w:ascii="Calibri" w:hAnsi="Calibri" w:cs="Calibri" w:eastAsia="Calibri" w:hint="default"/>
          <w:spacing w:val="-7"/>
          <w:sz w:val="22"/>
          <w:szCs w:val="22"/>
        </w:rPr>
        <w:t> </w:t>
      </w:r>
      <w:r>
        <w:rPr>
          <w:rFonts w:ascii="Calibri" w:hAnsi="Calibri" w:cs="Calibri" w:eastAsia="Calibri" w:hint="default"/>
          <w:sz w:val="22"/>
          <w:szCs w:val="22"/>
        </w:rPr>
        <w:t>number)</w:t>
      </w:r>
    </w:p>
    <w:p>
      <w:pPr>
        <w:spacing w:line="240" w:lineRule="auto" w:before="0"/>
        <w:ind w:right="0"/>
        <w:rPr>
          <w:rFonts w:ascii="Calibri" w:hAnsi="Calibri" w:cs="Calibri" w:eastAsia="Calibri" w:hint="default"/>
          <w:sz w:val="31"/>
          <w:szCs w:val="31"/>
        </w:rPr>
      </w:pPr>
    </w:p>
    <w:p>
      <w:pPr>
        <w:spacing w:before="0"/>
        <w:ind w:left="456" w:right="0" w:firstLine="0"/>
        <w:jc w:val="left"/>
        <w:rPr>
          <w:rFonts w:ascii="Calibri" w:hAnsi="Calibri" w:cs="Calibri" w:eastAsia="Calibri" w:hint="default"/>
          <w:sz w:val="22"/>
          <w:szCs w:val="22"/>
        </w:rPr>
      </w:pPr>
      <w:r>
        <w:rPr>
          <w:rFonts w:ascii="Calibri" w:hAnsi="Calibri"/>
          <w:b/>
          <w:sz w:val="22"/>
        </w:rPr>
        <w:t>What method of payment did you utilize the most while in Curaçao? </w:t>
      </w:r>
      <w:r>
        <w:rPr>
          <w:rFonts w:ascii="Calibri" w:hAnsi="Calibri"/>
          <w:b/>
          <w:i/>
          <w:sz w:val="22"/>
        </w:rPr>
        <w:t>(Please check only</w:t>
      </w:r>
      <w:r>
        <w:rPr>
          <w:rFonts w:ascii="Calibri" w:hAnsi="Calibri"/>
          <w:b/>
          <w:i/>
          <w:spacing w:val="-33"/>
          <w:sz w:val="22"/>
        </w:rPr>
        <w:t> </w:t>
      </w:r>
      <w:r>
        <w:rPr>
          <w:rFonts w:ascii="Calibri" w:hAnsi="Calibri"/>
          <w:b/>
          <w:i/>
          <w:sz w:val="22"/>
        </w:rPr>
        <w:t>one)</w:t>
      </w:r>
      <w:r>
        <w:rPr>
          <w:rFonts w:ascii="Calibri" w:hAnsi="Calibri"/>
          <w:sz w:val="22"/>
        </w:rPr>
      </w:r>
    </w:p>
    <w:p>
      <w:pPr>
        <w:tabs>
          <w:tab w:pos="1000" w:val="left" w:leader="none"/>
          <w:tab w:pos="3160" w:val="left" w:leader="none"/>
          <w:tab w:pos="3596" w:val="left" w:leader="none"/>
          <w:tab w:pos="5735" w:val="left" w:leader="none"/>
          <w:tab w:pos="6173" w:val="left" w:leader="none"/>
          <w:tab w:pos="8502" w:val="left" w:leader="none"/>
          <w:tab w:pos="8937" w:val="left" w:leader="none"/>
          <w:tab w:pos="10985" w:val="left" w:leader="none"/>
        </w:tabs>
        <w:spacing w:before="86"/>
        <w:ind w:left="564" w:right="0" w:firstLine="0"/>
        <w:jc w:val="left"/>
        <w:rPr>
          <w:rFonts w:ascii="Calibri" w:hAnsi="Calibri" w:cs="Calibri" w:eastAsia="Calibri" w:hint="default"/>
          <w:sz w:val="22"/>
          <w:szCs w:val="22"/>
        </w:rPr>
      </w:pPr>
      <w:r>
        <w:rPr>
          <w:rFonts w:ascii="Calibri" w:hAnsi="Calibri" w:cs="Calibri" w:eastAsia="Calibri" w:hint="default"/>
          <w:w w:val="95"/>
          <w:position w:val="1"/>
          <w:sz w:val="18"/>
          <w:szCs w:val="18"/>
        </w:rPr>
        <w:t>⃝</w:t>
        <w:tab/>
      </w:r>
      <w:r>
        <w:rPr>
          <w:rFonts w:ascii="Calibri" w:hAnsi="Calibri" w:cs="Calibri" w:eastAsia="Calibri" w:hint="default"/>
          <w:sz w:val="22"/>
          <w:szCs w:val="22"/>
        </w:rPr>
        <w:t>Credit</w:t>
      </w:r>
      <w:r>
        <w:rPr>
          <w:rFonts w:ascii="Calibri" w:hAnsi="Calibri" w:cs="Calibri" w:eastAsia="Calibri" w:hint="default"/>
          <w:spacing w:val="-6"/>
          <w:sz w:val="22"/>
          <w:szCs w:val="22"/>
        </w:rPr>
        <w:t> </w:t>
      </w:r>
      <w:r>
        <w:rPr>
          <w:rFonts w:ascii="Calibri" w:hAnsi="Calibri" w:cs="Calibri" w:eastAsia="Calibri" w:hint="default"/>
          <w:sz w:val="22"/>
          <w:szCs w:val="22"/>
        </w:rPr>
        <w:t>Card</w:t>
        <w:tab/>
      </w:r>
      <w:r>
        <w:rPr>
          <w:rFonts w:ascii="Calibri" w:hAnsi="Calibri" w:cs="Calibri" w:eastAsia="Calibri" w:hint="default"/>
          <w:w w:val="95"/>
          <w:position w:val="1"/>
          <w:sz w:val="18"/>
          <w:szCs w:val="18"/>
        </w:rPr>
        <w:t>⃝</w:t>
        <w:tab/>
      </w:r>
      <w:r>
        <w:rPr>
          <w:rFonts w:ascii="Calibri" w:hAnsi="Calibri" w:cs="Calibri" w:eastAsia="Calibri" w:hint="default"/>
          <w:sz w:val="22"/>
          <w:szCs w:val="22"/>
        </w:rPr>
        <w:t>Debit</w:t>
      </w:r>
      <w:r>
        <w:rPr>
          <w:rFonts w:ascii="Calibri" w:hAnsi="Calibri" w:cs="Calibri" w:eastAsia="Calibri" w:hint="default"/>
          <w:spacing w:val="-9"/>
          <w:sz w:val="22"/>
          <w:szCs w:val="22"/>
        </w:rPr>
        <w:t> </w:t>
      </w:r>
      <w:r>
        <w:rPr>
          <w:rFonts w:ascii="Calibri" w:hAnsi="Calibri" w:cs="Calibri" w:eastAsia="Calibri" w:hint="default"/>
          <w:sz w:val="22"/>
          <w:szCs w:val="22"/>
        </w:rPr>
        <w:t>Card</w:t>
        <w:tab/>
      </w:r>
      <w:r>
        <w:rPr>
          <w:rFonts w:ascii="Calibri" w:hAnsi="Calibri" w:cs="Calibri" w:eastAsia="Calibri" w:hint="default"/>
          <w:w w:val="95"/>
          <w:position w:val="1"/>
          <w:sz w:val="18"/>
          <w:szCs w:val="18"/>
        </w:rPr>
        <w:t>⃝</w:t>
        <w:tab/>
      </w:r>
      <w:r>
        <w:rPr>
          <w:rFonts w:ascii="Calibri" w:hAnsi="Calibri" w:cs="Calibri" w:eastAsia="Calibri" w:hint="default"/>
          <w:w w:val="95"/>
          <w:sz w:val="22"/>
          <w:szCs w:val="22"/>
        </w:rPr>
        <w:t>Cash</w:t>
        <w:tab/>
      </w:r>
      <w:r>
        <w:rPr>
          <w:rFonts w:ascii="Calibri" w:hAnsi="Calibri" w:cs="Calibri" w:eastAsia="Calibri" w:hint="default"/>
          <w:w w:val="95"/>
          <w:position w:val="1"/>
          <w:sz w:val="18"/>
          <w:szCs w:val="18"/>
        </w:rPr>
        <w:t>⃝</w:t>
        <w:tab/>
      </w:r>
      <w:r>
        <w:rPr>
          <w:rFonts w:ascii="Calibri" w:hAnsi="Calibri" w:cs="Calibri" w:eastAsia="Calibri" w:hint="default"/>
          <w:sz w:val="22"/>
          <w:szCs w:val="22"/>
        </w:rPr>
        <w:t>Other:</w:t>
      </w:r>
      <w:r>
        <w:rPr>
          <w:rFonts w:ascii="Calibri" w:hAnsi="Calibri" w:cs="Calibri" w:eastAsia="Calibri" w:hint="default"/>
          <w:sz w:val="22"/>
          <w:szCs w:val="22"/>
          <w:u w:val="single" w:color="000000"/>
        </w:rPr>
        <w:t> </w:t>
        <w:tab/>
      </w:r>
      <w:r>
        <w:rPr>
          <w:rFonts w:ascii="Calibri" w:hAnsi="Calibri" w:cs="Calibri" w:eastAsia="Calibri" w:hint="default"/>
          <w:sz w:val="22"/>
          <w:szCs w:val="22"/>
        </w:rPr>
      </w:r>
    </w:p>
    <w:p>
      <w:pPr>
        <w:spacing w:after="0"/>
        <w:jc w:val="left"/>
        <w:rPr>
          <w:rFonts w:ascii="Calibri" w:hAnsi="Calibri" w:cs="Calibri" w:eastAsia="Calibri" w:hint="default"/>
          <w:sz w:val="22"/>
          <w:szCs w:val="22"/>
        </w:rPr>
        <w:sectPr>
          <w:pgSz w:w="12240" w:h="15840"/>
          <w:pgMar w:header="720" w:footer="312" w:top="1280" w:bottom="500" w:left="280" w:right="220"/>
        </w:sectPr>
      </w:pPr>
    </w:p>
    <w:p>
      <w:pPr>
        <w:spacing w:line="240" w:lineRule="auto" w:before="2"/>
        <w:ind w:right="0"/>
        <w:rPr>
          <w:rFonts w:ascii="Calibri" w:hAnsi="Calibri" w:cs="Calibri" w:eastAsia="Calibri" w:hint="default"/>
          <w:sz w:val="18"/>
          <w:szCs w:val="18"/>
        </w:rPr>
      </w:pPr>
    </w:p>
    <w:p>
      <w:pPr>
        <w:tabs>
          <w:tab w:pos="689" w:val="left" w:leader="none"/>
          <w:tab w:pos="11160" w:val="left" w:leader="none"/>
        </w:tabs>
        <w:spacing w:before="55"/>
        <w:ind w:left="128" w:right="0" w:firstLine="0"/>
        <w:jc w:val="left"/>
        <w:rPr>
          <w:rFonts w:ascii="Calibri" w:hAnsi="Calibri" w:cs="Calibri" w:eastAsia="Calibri" w:hint="default"/>
          <w:sz w:val="22"/>
          <w:szCs w:val="22"/>
        </w:rPr>
      </w:pPr>
      <w:r>
        <w:rPr>
          <w:rFonts w:ascii="Calibri" w:hAnsi="Calibri"/>
          <w:b/>
          <w:w w:val="99"/>
          <w:sz w:val="22"/>
        </w:rPr>
      </w:r>
      <w:r>
        <w:rPr>
          <w:rFonts w:ascii="Calibri" w:hAnsi="Calibri"/>
          <w:b/>
          <w:w w:val="99"/>
          <w:sz w:val="22"/>
          <w:u w:val="single" w:color="000000"/>
        </w:rPr>
        <w:t> </w:t>
      </w:r>
      <w:r>
        <w:rPr>
          <w:rFonts w:ascii="Calibri" w:hAnsi="Calibri"/>
          <w:b/>
          <w:sz w:val="22"/>
          <w:u w:val="single" w:color="000000"/>
        </w:rPr>
        <w:tab/>
        <w:t>SECTION 4: EVALUATION ABOUT SERVICES PROVIDED IN</w:t>
      </w:r>
      <w:r>
        <w:rPr>
          <w:rFonts w:ascii="Calibri" w:hAnsi="Calibri"/>
          <w:b/>
          <w:spacing w:val="-22"/>
          <w:sz w:val="22"/>
          <w:u w:val="single" w:color="000000"/>
        </w:rPr>
        <w:t> </w:t>
      </w:r>
      <w:r>
        <w:rPr>
          <w:rFonts w:ascii="Calibri" w:hAnsi="Calibri"/>
          <w:b/>
          <w:sz w:val="22"/>
          <w:u w:val="single" w:color="000000"/>
        </w:rPr>
        <w:t>CURAÇAO</w:t>
        <w:tab/>
      </w:r>
      <w:r>
        <w:rPr>
          <w:rFonts w:ascii="Calibri" w:hAnsi="Calibri"/>
          <w:b/>
          <w:sz w:val="22"/>
        </w:rPr>
      </w:r>
      <w:r>
        <w:rPr>
          <w:rFonts w:ascii="Calibri" w:hAnsi="Calibri"/>
          <w:sz w:val="22"/>
        </w:rPr>
      </w:r>
    </w:p>
    <w:p>
      <w:pPr>
        <w:spacing w:after="0"/>
        <w:jc w:val="left"/>
        <w:rPr>
          <w:rFonts w:ascii="Calibri" w:hAnsi="Calibri" w:cs="Calibri" w:eastAsia="Calibri" w:hint="default"/>
          <w:sz w:val="22"/>
          <w:szCs w:val="22"/>
        </w:rPr>
        <w:sectPr>
          <w:pgSz w:w="12240" w:h="15840"/>
          <w:pgMar w:header="720" w:footer="312" w:top="1280" w:bottom="500" w:left="440" w:right="520"/>
        </w:sectPr>
      </w:pPr>
    </w:p>
    <w:p>
      <w:pPr>
        <w:pStyle w:val="ListParagraph"/>
        <w:numPr>
          <w:ilvl w:val="0"/>
          <w:numId w:val="23"/>
        </w:numPr>
        <w:tabs>
          <w:tab w:pos="569" w:val="left" w:leader="none"/>
          <w:tab w:pos="8005" w:val="left" w:leader="none"/>
        </w:tabs>
        <w:spacing w:line="240" w:lineRule="auto" w:before="14" w:after="0"/>
        <w:ind w:left="568" w:right="0" w:hanging="332"/>
        <w:jc w:val="left"/>
        <w:rPr>
          <w:rFonts w:ascii="Calibri" w:hAnsi="Calibri" w:cs="Calibri" w:eastAsia="Calibri" w:hint="default"/>
          <w:sz w:val="22"/>
          <w:szCs w:val="22"/>
        </w:rPr>
      </w:pPr>
      <w:r>
        <w:rPr/>
        <w:pict>
          <v:shape style="position:absolute;margin-left:28.440001pt;margin-top:16.158613pt;width:551.6pt;height:4.3pt;mso-position-horizontal-relative:page;mso-position-vertical-relative:paragraph;z-index:404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7286"/>
                    <w:gridCol w:w="1121"/>
                    <w:gridCol w:w="430"/>
                    <w:gridCol w:w="544"/>
                    <w:gridCol w:w="544"/>
                    <w:gridCol w:w="449"/>
                    <w:gridCol w:w="658"/>
                  </w:tblGrid>
                  <w:tr>
                    <w:trPr>
                      <w:trHeight w:val="230" w:hRule="exact"/>
                    </w:trPr>
                    <w:tc>
                      <w:tcPr>
                        <w:tcW w:w="7286" w:type="dxa"/>
                        <w:tcBorders>
                          <w:top w:val="nil" w:sz="6" w:space="0" w:color="auto"/>
                          <w:left w:val="nil" w:sz="6" w:space="0" w:color="auto"/>
                          <w:bottom w:val="single" w:sz="4" w:space="0" w:color="000000"/>
                          <w:right w:val="nil" w:sz="6" w:space="0" w:color="auto"/>
                        </w:tcBorders>
                      </w:tcPr>
                      <w:p>
                        <w:pPr/>
                      </w:p>
                    </w:tc>
                    <w:tc>
                      <w:tcPr>
                        <w:tcW w:w="1121" w:type="dxa"/>
                        <w:tcBorders>
                          <w:top w:val="nil" w:sz="6" w:space="0" w:color="auto"/>
                          <w:left w:val="nil" w:sz="6" w:space="0" w:color="auto"/>
                          <w:bottom w:val="single" w:sz="4" w:space="0" w:color="000000"/>
                          <w:right w:val="nil" w:sz="6" w:space="0" w:color="auto"/>
                        </w:tcBorders>
                      </w:tcPr>
                      <w:p>
                        <w:pPr>
                          <w:pStyle w:val="TableParagraph"/>
                          <w:spacing w:line="224" w:lineRule="exact"/>
                          <w:ind w:left="590" w:right="0"/>
                          <w:jc w:val="left"/>
                          <w:rPr>
                            <w:rFonts w:ascii="Calibri" w:hAnsi="Calibri" w:cs="Calibri" w:eastAsia="Calibri" w:hint="default"/>
                            <w:sz w:val="22"/>
                            <w:szCs w:val="22"/>
                          </w:rPr>
                        </w:pPr>
                        <w:r>
                          <w:rPr>
                            <w:rFonts w:ascii="Calibri"/>
                            <w:b/>
                            <w:i/>
                            <w:sz w:val="22"/>
                          </w:rPr>
                          <w:t>Likely</w:t>
                        </w:r>
                        <w:r>
                          <w:rPr>
                            <w:rFonts w:ascii="Calibri"/>
                            <w:sz w:val="22"/>
                          </w:rPr>
                        </w:r>
                      </w:p>
                    </w:tc>
                    <w:tc>
                      <w:tcPr>
                        <w:tcW w:w="430"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449" w:type="dxa"/>
                        <w:tcBorders>
                          <w:top w:val="nil" w:sz="6" w:space="0" w:color="auto"/>
                          <w:left w:val="nil" w:sz="6" w:space="0" w:color="auto"/>
                          <w:bottom w:val="single" w:sz="4" w:space="0" w:color="000000"/>
                          <w:right w:val="nil" w:sz="6" w:space="0" w:color="auto"/>
                        </w:tcBorders>
                      </w:tcPr>
                      <w:p>
                        <w:pPr/>
                      </w:p>
                    </w:tc>
                    <w:tc>
                      <w:tcPr>
                        <w:tcW w:w="658" w:type="dxa"/>
                        <w:tcBorders>
                          <w:top w:val="nil" w:sz="6" w:space="0" w:color="auto"/>
                          <w:left w:val="nil" w:sz="6" w:space="0" w:color="auto"/>
                          <w:bottom w:val="single" w:sz="4" w:space="0" w:color="000000"/>
                          <w:right w:val="nil" w:sz="6" w:space="0" w:color="auto"/>
                        </w:tcBorders>
                      </w:tcPr>
                      <w:p>
                        <w:pPr>
                          <w:pStyle w:val="TableParagraph"/>
                          <w:spacing w:line="224" w:lineRule="exact"/>
                          <w:ind w:left="31" w:right="0"/>
                          <w:jc w:val="left"/>
                          <w:rPr>
                            <w:rFonts w:ascii="Calibri" w:hAnsi="Calibri" w:cs="Calibri" w:eastAsia="Calibri" w:hint="default"/>
                            <w:sz w:val="22"/>
                            <w:szCs w:val="22"/>
                          </w:rPr>
                        </w:pPr>
                        <w:r>
                          <w:rPr>
                            <w:rFonts w:ascii="Calibri"/>
                            <w:b/>
                            <w:i/>
                            <w:sz w:val="22"/>
                          </w:rPr>
                          <w:t>Likely</w:t>
                        </w:r>
                        <w:r>
                          <w:rPr>
                            <w:rFonts w:ascii="Calibri"/>
                            <w:sz w:val="22"/>
                          </w:rPr>
                        </w:r>
                      </w:p>
                    </w:tc>
                  </w:tr>
                  <w:tr>
                    <w:trPr>
                      <w:trHeight w:val="313" w:hRule="exact"/>
                    </w:trPr>
                    <w:tc>
                      <w:tcPr>
                        <w:tcW w:w="7286" w:type="dxa"/>
                        <w:tcBorders>
                          <w:top w:val="single" w:sz="4" w:space="0" w:color="000000"/>
                          <w:left w:val="nil" w:sz="6" w:space="0" w:color="auto"/>
                          <w:bottom w:val="nil" w:sz="6" w:space="0" w:color="auto"/>
                          <w:right w:val="nil" w:sz="6" w:space="0" w:color="auto"/>
                        </w:tcBorders>
                      </w:tcPr>
                      <w:p>
                        <w:pPr/>
                      </w:p>
                    </w:tc>
                    <w:tc>
                      <w:tcPr>
                        <w:tcW w:w="1121" w:type="dxa"/>
                        <w:tcBorders>
                          <w:top w:val="single" w:sz="4" w:space="0" w:color="000000"/>
                          <w:left w:val="nil" w:sz="6" w:space="0" w:color="auto"/>
                          <w:bottom w:val="nil" w:sz="6" w:space="0" w:color="auto"/>
                          <w:right w:val="nil" w:sz="6" w:space="0" w:color="auto"/>
                        </w:tcBorders>
                      </w:tcPr>
                      <w:p>
                        <w:pPr/>
                      </w:p>
                    </w:tc>
                    <w:tc>
                      <w:tcPr>
                        <w:tcW w:w="430" w:type="dxa"/>
                        <w:tcBorders>
                          <w:top w:val="single" w:sz="4" w:space="0" w:color="000000"/>
                          <w:left w:val="nil" w:sz="6" w:space="0" w:color="auto"/>
                          <w:bottom w:val="nil" w:sz="6" w:space="0" w:color="auto"/>
                          <w:right w:val="nil" w:sz="6" w:space="0" w:color="auto"/>
                        </w:tcBorders>
                      </w:tcPr>
                      <w:p>
                        <w:pPr/>
                      </w:p>
                    </w:tc>
                    <w:tc>
                      <w:tcPr>
                        <w:tcW w:w="544" w:type="dxa"/>
                        <w:tcBorders>
                          <w:top w:val="single" w:sz="4" w:space="0" w:color="000000"/>
                          <w:left w:val="nil" w:sz="6" w:space="0" w:color="auto"/>
                          <w:bottom w:val="nil" w:sz="6" w:space="0" w:color="auto"/>
                          <w:right w:val="nil" w:sz="6" w:space="0" w:color="auto"/>
                        </w:tcBorders>
                      </w:tcPr>
                      <w:p>
                        <w:pPr/>
                      </w:p>
                    </w:tc>
                    <w:tc>
                      <w:tcPr>
                        <w:tcW w:w="544" w:type="dxa"/>
                        <w:tcBorders>
                          <w:top w:val="single" w:sz="4" w:space="0" w:color="000000"/>
                          <w:left w:val="nil" w:sz="6" w:space="0" w:color="auto"/>
                          <w:bottom w:val="nil" w:sz="6" w:space="0" w:color="auto"/>
                          <w:right w:val="nil" w:sz="6" w:space="0" w:color="auto"/>
                        </w:tcBorders>
                      </w:tcPr>
                      <w:p>
                        <w:pPr/>
                      </w:p>
                    </w:tc>
                    <w:tc>
                      <w:tcPr>
                        <w:tcW w:w="449" w:type="dxa"/>
                        <w:tcBorders>
                          <w:top w:val="single" w:sz="4" w:space="0" w:color="000000"/>
                          <w:left w:val="nil" w:sz="6" w:space="0" w:color="auto"/>
                          <w:bottom w:val="nil" w:sz="6" w:space="0" w:color="auto"/>
                          <w:right w:val="nil" w:sz="6" w:space="0" w:color="auto"/>
                        </w:tcBorders>
                      </w:tcPr>
                      <w:p>
                        <w:pPr/>
                      </w:p>
                    </w:tc>
                    <w:tc>
                      <w:tcPr>
                        <w:tcW w:w="658" w:type="dxa"/>
                        <w:tcBorders>
                          <w:top w:val="single" w:sz="4" w:space="0" w:color="000000"/>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73" w:hRule="exact"/>
                    </w:trPr>
                    <w:tc>
                      <w:tcPr>
                        <w:tcW w:w="7286" w:type="dxa"/>
                        <w:tcBorders>
                          <w:top w:val="nil" w:sz="6" w:space="0" w:color="auto"/>
                          <w:left w:val="nil" w:sz="6" w:space="0" w:color="auto"/>
                          <w:bottom w:val="single" w:sz="4" w:space="0" w:color="000000"/>
                          <w:right w:val="nil" w:sz="6" w:space="0" w:color="auto"/>
                        </w:tcBorders>
                      </w:tcPr>
                      <w:p>
                        <w:pPr/>
                      </w:p>
                    </w:tc>
                    <w:tc>
                      <w:tcPr>
                        <w:tcW w:w="1121" w:type="dxa"/>
                        <w:tcBorders>
                          <w:top w:val="nil" w:sz="6" w:space="0" w:color="auto"/>
                          <w:left w:val="nil" w:sz="6" w:space="0" w:color="auto"/>
                          <w:bottom w:val="single" w:sz="4" w:space="0" w:color="000000"/>
                          <w:right w:val="nil" w:sz="6" w:space="0" w:color="auto"/>
                        </w:tcBorders>
                      </w:tcPr>
                      <w:p>
                        <w:pPr/>
                      </w:p>
                    </w:tc>
                    <w:tc>
                      <w:tcPr>
                        <w:tcW w:w="430"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449" w:type="dxa"/>
                        <w:tcBorders>
                          <w:top w:val="nil" w:sz="6" w:space="0" w:color="auto"/>
                          <w:left w:val="nil" w:sz="6" w:space="0" w:color="auto"/>
                          <w:bottom w:val="single" w:sz="4" w:space="0" w:color="000000"/>
                          <w:right w:val="nil" w:sz="6" w:space="0" w:color="auto"/>
                        </w:tcBorders>
                      </w:tcPr>
                      <w:p>
                        <w:pPr/>
                      </w:p>
                    </w:tc>
                    <w:tc>
                      <w:tcPr>
                        <w:tcW w:w="658" w:type="dxa"/>
                        <w:tcBorders>
                          <w:top w:val="nil" w:sz="6" w:space="0" w:color="auto"/>
                          <w:left w:val="nil" w:sz="6" w:space="0" w:color="auto"/>
                          <w:bottom w:val="single" w:sz="4" w:space="0" w:color="000000"/>
                          <w:right w:val="nil" w:sz="6" w:space="0" w:color="auto"/>
                        </w:tcBorders>
                      </w:tcPr>
                      <w:p>
                        <w:pPr/>
                      </w:p>
                    </w:tc>
                  </w:tr>
                  <w:tr>
                    <w:trPr>
                      <w:trHeight w:val="572" w:hRule="exact"/>
                    </w:trPr>
                    <w:tc>
                      <w:tcPr>
                        <w:tcW w:w="11032" w:type="dxa"/>
                        <w:gridSpan w:val="7"/>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Calibri" w:hAnsi="Calibri" w:cs="Calibri" w:eastAsia="Calibri" w:hint="default"/>
                            <w:sz w:val="20"/>
                            <w:szCs w:val="20"/>
                          </w:rPr>
                        </w:pPr>
                      </w:p>
                      <w:p>
                        <w:pPr>
                          <w:pStyle w:val="TableParagraph"/>
                          <w:spacing w:line="240" w:lineRule="auto" w:before="10"/>
                          <w:ind w:right="0"/>
                          <w:jc w:val="left"/>
                          <w:rPr>
                            <w:rFonts w:ascii="Calibri" w:hAnsi="Calibri" w:cs="Calibri" w:eastAsia="Calibri" w:hint="default"/>
                            <w:sz w:val="26"/>
                            <w:szCs w:val="26"/>
                          </w:rPr>
                        </w:pPr>
                      </w:p>
                    </w:tc>
                  </w:tr>
                  <w:tr>
                    <w:trPr>
                      <w:trHeight w:val="254" w:hRule="exact"/>
                    </w:trPr>
                    <w:tc>
                      <w:tcPr>
                        <w:tcW w:w="7286" w:type="dxa"/>
                        <w:tcBorders>
                          <w:top w:val="nil" w:sz="6" w:space="0" w:color="auto"/>
                          <w:left w:val="nil" w:sz="6" w:space="0" w:color="auto"/>
                          <w:bottom w:val="single" w:sz="4" w:space="0" w:color="000000"/>
                          <w:right w:val="nil" w:sz="6" w:space="0" w:color="auto"/>
                        </w:tcBorders>
                      </w:tcPr>
                      <w:p>
                        <w:pPr/>
                      </w:p>
                    </w:tc>
                    <w:tc>
                      <w:tcPr>
                        <w:tcW w:w="1121" w:type="dxa"/>
                        <w:tcBorders>
                          <w:top w:val="nil" w:sz="6" w:space="0" w:color="auto"/>
                          <w:left w:val="nil" w:sz="6" w:space="0" w:color="auto"/>
                          <w:bottom w:val="single" w:sz="4" w:space="0" w:color="000000"/>
                          <w:right w:val="nil" w:sz="6" w:space="0" w:color="auto"/>
                        </w:tcBorders>
                      </w:tcPr>
                      <w:p>
                        <w:pPr/>
                      </w:p>
                    </w:tc>
                    <w:tc>
                      <w:tcPr>
                        <w:tcW w:w="430"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449" w:type="dxa"/>
                        <w:tcBorders>
                          <w:top w:val="nil" w:sz="6" w:space="0" w:color="auto"/>
                          <w:left w:val="nil" w:sz="6" w:space="0" w:color="auto"/>
                          <w:bottom w:val="single" w:sz="4" w:space="0" w:color="000000"/>
                          <w:right w:val="nil" w:sz="6" w:space="0" w:color="auto"/>
                        </w:tcBorders>
                      </w:tcPr>
                      <w:p>
                        <w:pPr/>
                      </w:p>
                    </w:tc>
                    <w:tc>
                      <w:tcPr>
                        <w:tcW w:w="658" w:type="dxa"/>
                        <w:tcBorders>
                          <w:top w:val="nil" w:sz="6" w:space="0" w:color="auto"/>
                          <w:left w:val="nil" w:sz="6" w:space="0" w:color="auto"/>
                          <w:bottom w:val="single" w:sz="4" w:space="0" w:color="000000"/>
                          <w:right w:val="nil" w:sz="6" w:space="0" w:color="auto"/>
                        </w:tcBorders>
                      </w:tcPr>
                      <w:p>
                        <w:pPr/>
                      </w:p>
                    </w:tc>
                  </w:tr>
                  <w:tr>
                    <w:trPr>
                      <w:trHeight w:val="312" w:hRule="exact"/>
                    </w:trPr>
                    <w:tc>
                      <w:tcPr>
                        <w:tcW w:w="7286" w:type="dxa"/>
                        <w:tcBorders>
                          <w:top w:val="single" w:sz="4" w:space="0" w:color="000000"/>
                          <w:left w:val="nil" w:sz="6" w:space="0" w:color="auto"/>
                          <w:bottom w:val="nil" w:sz="6" w:space="0" w:color="auto"/>
                          <w:right w:val="nil" w:sz="6" w:space="0" w:color="auto"/>
                        </w:tcBorders>
                      </w:tcPr>
                      <w:p>
                        <w:pPr/>
                      </w:p>
                    </w:tc>
                    <w:tc>
                      <w:tcPr>
                        <w:tcW w:w="1121" w:type="dxa"/>
                        <w:tcBorders>
                          <w:top w:val="single" w:sz="4" w:space="0" w:color="000000"/>
                          <w:left w:val="nil" w:sz="6" w:space="0" w:color="auto"/>
                          <w:bottom w:val="nil" w:sz="6" w:space="0" w:color="auto"/>
                          <w:right w:val="nil" w:sz="6" w:space="0" w:color="auto"/>
                        </w:tcBorders>
                      </w:tcPr>
                      <w:p>
                        <w:pPr/>
                      </w:p>
                    </w:tc>
                    <w:tc>
                      <w:tcPr>
                        <w:tcW w:w="430" w:type="dxa"/>
                        <w:tcBorders>
                          <w:top w:val="single" w:sz="4" w:space="0" w:color="000000"/>
                          <w:left w:val="nil" w:sz="6" w:space="0" w:color="auto"/>
                          <w:bottom w:val="nil" w:sz="6" w:space="0" w:color="auto"/>
                          <w:right w:val="nil" w:sz="6" w:space="0" w:color="auto"/>
                        </w:tcBorders>
                      </w:tcPr>
                      <w:p>
                        <w:pPr/>
                      </w:p>
                    </w:tc>
                    <w:tc>
                      <w:tcPr>
                        <w:tcW w:w="544" w:type="dxa"/>
                        <w:tcBorders>
                          <w:top w:val="single" w:sz="4" w:space="0" w:color="000000"/>
                          <w:left w:val="nil" w:sz="6" w:space="0" w:color="auto"/>
                          <w:bottom w:val="nil" w:sz="6" w:space="0" w:color="auto"/>
                          <w:right w:val="nil" w:sz="6" w:space="0" w:color="auto"/>
                        </w:tcBorders>
                      </w:tcPr>
                      <w:p>
                        <w:pPr/>
                      </w:p>
                    </w:tc>
                    <w:tc>
                      <w:tcPr>
                        <w:tcW w:w="544" w:type="dxa"/>
                        <w:tcBorders>
                          <w:top w:val="single" w:sz="4" w:space="0" w:color="000000"/>
                          <w:left w:val="nil" w:sz="6" w:space="0" w:color="auto"/>
                          <w:bottom w:val="nil" w:sz="6" w:space="0" w:color="auto"/>
                          <w:right w:val="nil" w:sz="6" w:space="0" w:color="auto"/>
                        </w:tcBorders>
                      </w:tcPr>
                      <w:p>
                        <w:pPr/>
                      </w:p>
                    </w:tc>
                    <w:tc>
                      <w:tcPr>
                        <w:tcW w:w="449" w:type="dxa"/>
                        <w:tcBorders>
                          <w:top w:val="single" w:sz="4" w:space="0" w:color="000000"/>
                          <w:left w:val="nil" w:sz="6" w:space="0" w:color="auto"/>
                          <w:bottom w:val="nil" w:sz="6" w:space="0" w:color="auto"/>
                          <w:right w:val="nil" w:sz="6" w:space="0" w:color="auto"/>
                        </w:tcBorders>
                      </w:tcPr>
                      <w:p>
                        <w:pPr/>
                      </w:p>
                    </w:tc>
                    <w:tc>
                      <w:tcPr>
                        <w:tcW w:w="658" w:type="dxa"/>
                        <w:tcBorders>
                          <w:top w:val="single" w:sz="4" w:space="0" w:color="000000"/>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74" w:hRule="exact"/>
                    </w:trPr>
                    <w:tc>
                      <w:tcPr>
                        <w:tcW w:w="7286" w:type="dxa"/>
                        <w:tcBorders>
                          <w:top w:val="nil" w:sz="6" w:space="0" w:color="auto"/>
                          <w:left w:val="nil" w:sz="6" w:space="0" w:color="auto"/>
                          <w:bottom w:val="single" w:sz="4" w:space="0" w:color="000000"/>
                          <w:right w:val="nil" w:sz="6" w:space="0" w:color="auto"/>
                        </w:tcBorders>
                      </w:tcPr>
                      <w:p>
                        <w:pPr/>
                      </w:p>
                    </w:tc>
                    <w:tc>
                      <w:tcPr>
                        <w:tcW w:w="1121" w:type="dxa"/>
                        <w:tcBorders>
                          <w:top w:val="nil" w:sz="6" w:space="0" w:color="auto"/>
                          <w:left w:val="nil" w:sz="6" w:space="0" w:color="auto"/>
                          <w:bottom w:val="single" w:sz="4" w:space="0" w:color="000000"/>
                          <w:right w:val="nil" w:sz="6" w:space="0" w:color="auto"/>
                        </w:tcBorders>
                      </w:tcPr>
                      <w:p>
                        <w:pPr/>
                      </w:p>
                    </w:tc>
                    <w:tc>
                      <w:tcPr>
                        <w:tcW w:w="430"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449" w:type="dxa"/>
                        <w:tcBorders>
                          <w:top w:val="nil" w:sz="6" w:space="0" w:color="auto"/>
                          <w:left w:val="nil" w:sz="6" w:space="0" w:color="auto"/>
                          <w:bottom w:val="single" w:sz="4" w:space="0" w:color="000000"/>
                          <w:right w:val="nil" w:sz="6" w:space="0" w:color="auto"/>
                        </w:tcBorders>
                      </w:tcPr>
                      <w:p>
                        <w:pPr/>
                      </w:p>
                    </w:tc>
                    <w:tc>
                      <w:tcPr>
                        <w:tcW w:w="658" w:type="dxa"/>
                        <w:tcBorders>
                          <w:top w:val="nil" w:sz="6" w:space="0" w:color="auto"/>
                          <w:left w:val="nil" w:sz="6" w:space="0" w:color="auto"/>
                          <w:bottom w:val="single" w:sz="4" w:space="0" w:color="000000"/>
                          <w:right w:val="nil" w:sz="6" w:space="0" w:color="auto"/>
                        </w:tcBorders>
                      </w:tcPr>
                      <w:p>
                        <w:pPr/>
                      </w:p>
                    </w:tc>
                  </w:tr>
                  <w:tr>
                    <w:trPr>
                      <w:trHeight w:val="277" w:hRule="exact"/>
                    </w:trPr>
                    <w:tc>
                      <w:tcPr>
                        <w:tcW w:w="7286" w:type="dxa"/>
                        <w:tcBorders>
                          <w:top w:val="single" w:sz="4" w:space="0" w:color="000000"/>
                          <w:left w:val="nil" w:sz="6" w:space="0" w:color="auto"/>
                          <w:bottom w:val="single" w:sz="4" w:space="0" w:color="000000"/>
                          <w:right w:val="nil" w:sz="6" w:space="0" w:color="auto"/>
                        </w:tcBorders>
                      </w:tcPr>
                      <w:p>
                        <w:pPr/>
                      </w:p>
                    </w:tc>
                    <w:tc>
                      <w:tcPr>
                        <w:tcW w:w="1121" w:type="dxa"/>
                        <w:tcBorders>
                          <w:top w:val="single" w:sz="4" w:space="0" w:color="000000"/>
                          <w:left w:val="nil" w:sz="6" w:space="0" w:color="auto"/>
                          <w:bottom w:val="single" w:sz="4" w:space="0" w:color="000000"/>
                          <w:right w:val="nil" w:sz="6" w:space="0" w:color="auto"/>
                        </w:tcBorders>
                      </w:tcPr>
                      <w:p>
                        <w:pPr/>
                      </w:p>
                    </w:tc>
                    <w:tc>
                      <w:tcPr>
                        <w:tcW w:w="430" w:type="dxa"/>
                        <w:tcBorders>
                          <w:top w:val="single" w:sz="4" w:space="0" w:color="000000"/>
                          <w:left w:val="nil" w:sz="6" w:space="0" w:color="auto"/>
                          <w:bottom w:val="single" w:sz="4" w:space="0" w:color="000000"/>
                          <w:right w:val="nil" w:sz="6" w:space="0" w:color="auto"/>
                        </w:tcBorders>
                      </w:tcPr>
                      <w:p>
                        <w:pPr/>
                      </w:p>
                    </w:tc>
                    <w:tc>
                      <w:tcPr>
                        <w:tcW w:w="544" w:type="dxa"/>
                        <w:tcBorders>
                          <w:top w:val="single" w:sz="4" w:space="0" w:color="000000"/>
                          <w:left w:val="nil" w:sz="6" w:space="0" w:color="auto"/>
                          <w:bottom w:val="single" w:sz="4" w:space="0" w:color="000000"/>
                          <w:right w:val="nil" w:sz="6" w:space="0" w:color="auto"/>
                        </w:tcBorders>
                      </w:tcPr>
                      <w:p>
                        <w:pPr/>
                      </w:p>
                    </w:tc>
                    <w:tc>
                      <w:tcPr>
                        <w:tcW w:w="544" w:type="dxa"/>
                        <w:tcBorders>
                          <w:top w:val="single" w:sz="4" w:space="0" w:color="000000"/>
                          <w:left w:val="nil" w:sz="6" w:space="0" w:color="auto"/>
                          <w:bottom w:val="single" w:sz="4" w:space="0" w:color="000000"/>
                          <w:right w:val="nil" w:sz="6" w:space="0" w:color="auto"/>
                        </w:tcBorders>
                      </w:tcPr>
                      <w:p>
                        <w:pPr/>
                      </w:p>
                    </w:tc>
                    <w:tc>
                      <w:tcPr>
                        <w:tcW w:w="449" w:type="dxa"/>
                        <w:tcBorders>
                          <w:top w:val="single" w:sz="4" w:space="0" w:color="000000"/>
                          <w:left w:val="nil" w:sz="6" w:space="0" w:color="auto"/>
                          <w:bottom w:val="single" w:sz="4" w:space="0" w:color="000000"/>
                          <w:right w:val="nil" w:sz="6" w:space="0" w:color="auto"/>
                        </w:tcBorders>
                      </w:tcPr>
                      <w:p>
                        <w:pPr/>
                      </w:p>
                    </w:tc>
                    <w:tc>
                      <w:tcPr>
                        <w:tcW w:w="658" w:type="dxa"/>
                        <w:tcBorders>
                          <w:top w:val="single" w:sz="4" w:space="0" w:color="000000"/>
                          <w:left w:val="nil" w:sz="6" w:space="0" w:color="auto"/>
                          <w:bottom w:val="single" w:sz="4" w:space="0" w:color="000000"/>
                          <w:right w:val="nil" w:sz="6" w:space="0" w:color="auto"/>
                        </w:tcBorders>
                      </w:tcPr>
                      <w:p>
                        <w:pPr/>
                      </w:p>
                    </w:tc>
                  </w:tr>
                  <w:tr>
                    <w:trPr>
                      <w:trHeight w:val="299" w:hRule="exact"/>
                    </w:trPr>
                    <w:tc>
                      <w:tcPr>
                        <w:tcW w:w="7286" w:type="dxa"/>
                        <w:tcBorders>
                          <w:top w:val="single" w:sz="4" w:space="0" w:color="000000"/>
                          <w:left w:val="nil" w:sz="6" w:space="0" w:color="auto"/>
                          <w:bottom w:val="single" w:sz="4" w:space="0" w:color="000000"/>
                          <w:right w:val="nil" w:sz="6" w:space="0" w:color="auto"/>
                        </w:tcBorders>
                      </w:tcPr>
                      <w:p>
                        <w:pPr/>
                      </w:p>
                    </w:tc>
                    <w:tc>
                      <w:tcPr>
                        <w:tcW w:w="1121" w:type="dxa"/>
                        <w:tcBorders>
                          <w:top w:val="single" w:sz="4" w:space="0" w:color="000000"/>
                          <w:left w:val="nil" w:sz="6" w:space="0" w:color="auto"/>
                          <w:bottom w:val="single" w:sz="4" w:space="0" w:color="000000"/>
                          <w:right w:val="nil" w:sz="6" w:space="0" w:color="auto"/>
                        </w:tcBorders>
                      </w:tcPr>
                      <w:p>
                        <w:pPr/>
                      </w:p>
                    </w:tc>
                    <w:tc>
                      <w:tcPr>
                        <w:tcW w:w="430" w:type="dxa"/>
                        <w:tcBorders>
                          <w:top w:val="single" w:sz="4" w:space="0" w:color="000000"/>
                          <w:left w:val="nil" w:sz="6" w:space="0" w:color="auto"/>
                          <w:bottom w:val="single" w:sz="4" w:space="0" w:color="000000"/>
                          <w:right w:val="nil" w:sz="6" w:space="0" w:color="auto"/>
                        </w:tcBorders>
                      </w:tcPr>
                      <w:p>
                        <w:pPr/>
                      </w:p>
                    </w:tc>
                    <w:tc>
                      <w:tcPr>
                        <w:tcW w:w="544" w:type="dxa"/>
                        <w:tcBorders>
                          <w:top w:val="single" w:sz="4" w:space="0" w:color="000000"/>
                          <w:left w:val="nil" w:sz="6" w:space="0" w:color="auto"/>
                          <w:bottom w:val="single" w:sz="4" w:space="0" w:color="000000"/>
                          <w:right w:val="nil" w:sz="6" w:space="0" w:color="auto"/>
                        </w:tcBorders>
                      </w:tcPr>
                      <w:p>
                        <w:pPr/>
                      </w:p>
                    </w:tc>
                    <w:tc>
                      <w:tcPr>
                        <w:tcW w:w="544" w:type="dxa"/>
                        <w:tcBorders>
                          <w:top w:val="single" w:sz="4" w:space="0" w:color="000000"/>
                          <w:left w:val="nil" w:sz="6" w:space="0" w:color="auto"/>
                          <w:bottom w:val="single" w:sz="4" w:space="0" w:color="000000"/>
                          <w:right w:val="nil" w:sz="6" w:space="0" w:color="auto"/>
                        </w:tcBorders>
                      </w:tcPr>
                      <w:p>
                        <w:pPr/>
                      </w:p>
                    </w:tc>
                    <w:tc>
                      <w:tcPr>
                        <w:tcW w:w="449" w:type="dxa"/>
                        <w:tcBorders>
                          <w:top w:val="single" w:sz="4" w:space="0" w:color="000000"/>
                          <w:left w:val="nil" w:sz="6" w:space="0" w:color="auto"/>
                          <w:bottom w:val="single" w:sz="4" w:space="0" w:color="000000"/>
                          <w:right w:val="nil" w:sz="6" w:space="0" w:color="auto"/>
                        </w:tcBorders>
                      </w:tcPr>
                      <w:p>
                        <w:pPr/>
                      </w:p>
                    </w:tc>
                    <w:tc>
                      <w:tcPr>
                        <w:tcW w:w="658" w:type="dxa"/>
                        <w:tcBorders>
                          <w:top w:val="single" w:sz="4" w:space="0" w:color="000000"/>
                          <w:left w:val="nil" w:sz="6" w:space="0" w:color="auto"/>
                          <w:bottom w:val="single" w:sz="4" w:space="0" w:color="000000"/>
                          <w:right w:val="nil" w:sz="6" w:space="0" w:color="auto"/>
                        </w:tcBorders>
                      </w:tcPr>
                      <w:p>
                        <w:pPr/>
                      </w:p>
                    </w:tc>
                  </w:tr>
                  <w:tr>
                    <w:trPr>
                      <w:trHeight w:val="312" w:hRule="exact"/>
                    </w:trPr>
                    <w:tc>
                      <w:tcPr>
                        <w:tcW w:w="7286" w:type="dxa"/>
                        <w:tcBorders>
                          <w:top w:val="single" w:sz="4" w:space="0" w:color="000000"/>
                          <w:left w:val="nil" w:sz="6" w:space="0" w:color="auto"/>
                          <w:bottom w:val="nil" w:sz="6" w:space="0" w:color="auto"/>
                          <w:right w:val="nil" w:sz="6" w:space="0" w:color="auto"/>
                        </w:tcBorders>
                      </w:tcPr>
                      <w:p>
                        <w:pPr/>
                      </w:p>
                    </w:tc>
                    <w:tc>
                      <w:tcPr>
                        <w:tcW w:w="1121" w:type="dxa"/>
                        <w:tcBorders>
                          <w:top w:val="single" w:sz="4" w:space="0" w:color="000000"/>
                          <w:left w:val="nil" w:sz="6" w:space="0" w:color="auto"/>
                          <w:bottom w:val="nil" w:sz="6" w:space="0" w:color="auto"/>
                          <w:right w:val="nil" w:sz="6" w:space="0" w:color="auto"/>
                        </w:tcBorders>
                      </w:tcPr>
                      <w:p>
                        <w:pPr/>
                      </w:p>
                    </w:tc>
                    <w:tc>
                      <w:tcPr>
                        <w:tcW w:w="430" w:type="dxa"/>
                        <w:tcBorders>
                          <w:top w:val="single" w:sz="4" w:space="0" w:color="000000"/>
                          <w:left w:val="nil" w:sz="6" w:space="0" w:color="auto"/>
                          <w:bottom w:val="nil" w:sz="6" w:space="0" w:color="auto"/>
                          <w:right w:val="nil" w:sz="6" w:space="0" w:color="auto"/>
                        </w:tcBorders>
                      </w:tcPr>
                      <w:p>
                        <w:pPr/>
                      </w:p>
                    </w:tc>
                    <w:tc>
                      <w:tcPr>
                        <w:tcW w:w="544" w:type="dxa"/>
                        <w:tcBorders>
                          <w:top w:val="single" w:sz="4" w:space="0" w:color="000000"/>
                          <w:left w:val="nil" w:sz="6" w:space="0" w:color="auto"/>
                          <w:bottom w:val="nil" w:sz="6" w:space="0" w:color="auto"/>
                          <w:right w:val="nil" w:sz="6" w:space="0" w:color="auto"/>
                        </w:tcBorders>
                      </w:tcPr>
                      <w:p>
                        <w:pPr/>
                      </w:p>
                    </w:tc>
                    <w:tc>
                      <w:tcPr>
                        <w:tcW w:w="544" w:type="dxa"/>
                        <w:tcBorders>
                          <w:top w:val="single" w:sz="4" w:space="0" w:color="000000"/>
                          <w:left w:val="nil" w:sz="6" w:space="0" w:color="auto"/>
                          <w:bottom w:val="nil" w:sz="6" w:space="0" w:color="auto"/>
                          <w:right w:val="nil" w:sz="6" w:space="0" w:color="auto"/>
                        </w:tcBorders>
                      </w:tcPr>
                      <w:p>
                        <w:pPr/>
                      </w:p>
                    </w:tc>
                    <w:tc>
                      <w:tcPr>
                        <w:tcW w:w="449" w:type="dxa"/>
                        <w:tcBorders>
                          <w:top w:val="single" w:sz="4" w:space="0" w:color="000000"/>
                          <w:left w:val="nil" w:sz="6" w:space="0" w:color="auto"/>
                          <w:bottom w:val="nil" w:sz="6" w:space="0" w:color="auto"/>
                          <w:right w:val="nil" w:sz="6" w:space="0" w:color="auto"/>
                        </w:tcBorders>
                      </w:tcPr>
                      <w:p>
                        <w:pPr/>
                      </w:p>
                    </w:tc>
                    <w:tc>
                      <w:tcPr>
                        <w:tcW w:w="658" w:type="dxa"/>
                        <w:tcBorders>
                          <w:top w:val="single" w:sz="4" w:space="0" w:color="000000"/>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r>
                    <w:trPr>
                      <w:trHeight w:val="273" w:hRule="exact"/>
                    </w:trPr>
                    <w:tc>
                      <w:tcPr>
                        <w:tcW w:w="7286" w:type="dxa"/>
                        <w:tcBorders>
                          <w:top w:val="nil" w:sz="6" w:space="0" w:color="auto"/>
                          <w:left w:val="nil" w:sz="6" w:space="0" w:color="auto"/>
                          <w:bottom w:val="single" w:sz="4" w:space="0" w:color="000000"/>
                          <w:right w:val="nil" w:sz="6" w:space="0" w:color="auto"/>
                        </w:tcBorders>
                      </w:tcPr>
                      <w:p>
                        <w:pPr/>
                      </w:p>
                    </w:tc>
                    <w:tc>
                      <w:tcPr>
                        <w:tcW w:w="1121" w:type="dxa"/>
                        <w:tcBorders>
                          <w:top w:val="nil" w:sz="6" w:space="0" w:color="auto"/>
                          <w:left w:val="nil" w:sz="6" w:space="0" w:color="auto"/>
                          <w:bottom w:val="single" w:sz="4" w:space="0" w:color="000000"/>
                          <w:right w:val="nil" w:sz="6" w:space="0" w:color="auto"/>
                        </w:tcBorders>
                      </w:tcPr>
                      <w:p>
                        <w:pPr/>
                      </w:p>
                    </w:tc>
                    <w:tc>
                      <w:tcPr>
                        <w:tcW w:w="430"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544" w:type="dxa"/>
                        <w:tcBorders>
                          <w:top w:val="nil" w:sz="6" w:space="0" w:color="auto"/>
                          <w:left w:val="nil" w:sz="6" w:space="0" w:color="auto"/>
                          <w:bottom w:val="single" w:sz="4" w:space="0" w:color="000000"/>
                          <w:right w:val="nil" w:sz="6" w:space="0" w:color="auto"/>
                        </w:tcBorders>
                      </w:tcPr>
                      <w:p>
                        <w:pPr/>
                      </w:p>
                    </w:tc>
                    <w:tc>
                      <w:tcPr>
                        <w:tcW w:w="449" w:type="dxa"/>
                        <w:tcBorders>
                          <w:top w:val="nil" w:sz="6" w:space="0" w:color="auto"/>
                          <w:left w:val="nil" w:sz="6" w:space="0" w:color="auto"/>
                          <w:bottom w:val="single" w:sz="4" w:space="0" w:color="000000"/>
                          <w:right w:val="nil" w:sz="6" w:space="0" w:color="auto"/>
                        </w:tcBorders>
                      </w:tcPr>
                      <w:p>
                        <w:pPr/>
                      </w:p>
                    </w:tc>
                    <w:tc>
                      <w:tcPr>
                        <w:tcW w:w="658" w:type="dxa"/>
                        <w:tcBorders>
                          <w:top w:val="nil" w:sz="6" w:space="0" w:color="auto"/>
                          <w:left w:val="nil" w:sz="6" w:space="0" w:color="auto"/>
                          <w:bottom w:val="single" w:sz="4" w:space="0" w:color="000000"/>
                          <w:right w:val="nil" w:sz="6" w:space="0" w:color="auto"/>
                        </w:tcBorders>
                      </w:tcPr>
                      <w:p>
                        <w:pPr/>
                      </w:p>
                    </w:tc>
                  </w:tr>
                  <w:tr>
                    <w:trPr>
                      <w:trHeight w:val="280" w:hRule="exact"/>
                    </w:trPr>
                    <w:tc>
                      <w:tcPr>
                        <w:tcW w:w="7286" w:type="dxa"/>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
                    </w:tc>
                    <w:tc>
                      <w:tcPr>
                        <w:tcW w:w="430"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544" w:type="dxa"/>
                        <w:tcBorders>
                          <w:top w:val="nil" w:sz="6" w:space="0" w:color="auto"/>
                          <w:left w:val="nil" w:sz="6" w:space="0" w:color="auto"/>
                          <w:bottom w:val="nil" w:sz="6" w:space="0" w:color="auto"/>
                          <w:right w:val="nil" w:sz="6" w:space="0" w:color="auto"/>
                        </w:tcBorders>
                      </w:tcPr>
                      <w:p>
                        <w:pPr/>
                      </w:p>
                    </w:tc>
                    <w:tc>
                      <w:tcPr>
                        <w:tcW w:w="449" w:type="dxa"/>
                        <w:tcBorders>
                          <w:top w:val="nil" w:sz="6" w:space="0" w:color="auto"/>
                          <w:left w:val="nil" w:sz="6" w:space="0" w:color="auto"/>
                          <w:bottom w:val="nil" w:sz="6" w:space="0" w:color="auto"/>
                          <w:right w:val="nil" w:sz="6" w:space="0" w:color="auto"/>
                        </w:tcBorders>
                      </w:tcPr>
                      <w:p>
                        <w:pPr/>
                      </w:p>
                    </w:tc>
                    <w:tc>
                      <w:tcPr>
                        <w:tcW w:w="658" w:type="dxa"/>
                        <w:tcBorders>
                          <w:top w:val="nil" w:sz="6" w:space="0" w:color="auto"/>
                          <w:left w:val="nil" w:sz="6" w:space="0" w:color="auto"/>
                          <w:bottom w:val="nil" w:sz="6" w:space="0" w:color="auto"/>
                          <w:right w:val="nil" w:sz="6" w:space="0" w:color="auto"/>
                        </w:tcBorders>
                      </w:tcPr>
                      <w:p>
                        <w:pPr/>
                      </w:p>
                    </w:tc>
                  </w:tr>
                </w:tbl>
                <w:p>
                  <w:pPr/>
                </w:p>
              </w:txbxContent>
            </v:textbox>
            <w10:wrap type="none"/>
          </v:shape>
        </w:pict>
      </w:r>
      <w:r>
        <w:rPr>
          <w:rFonts w:ascii="Calibri"/>
          <w:b/>
          <w:spacing w:val="-1"/>
          <w:sz w:val="22"/>
        </w:rPr>
        <w:t>Please</w:t>
      </w:r>
      <w:r>
        <w:rPr>
          <w:rFonts w:ascii="Calibri"/>
          <w:b/>
          <w:sz w:val="22"/>
        </w:rPr>
        <w:t> tell </w:t>
      </w:r>
      <w:r>
        <w:rPr>
          <w:rFonts w:ascii="Calibri"/>
          <w:b/>
          <w:spacing w:val="-1"/>
          <w:sz w:val="22"/>
        </w:rPr>
        <w:t>us</w:t>
      </w:r>
      <w:r>
        <w:rPr>
          <w:rFonts w:ascii="Calibri"/>
          <w:b/>
          <w:sz w:val="22"/>
        </w:rPr>
        <w:t> how </w:t>
      </w:r>
      <w:r>
        <w:rPr>
          <w:rFonts w:ascii="Calibri"/>
          <w:b/>
          <w:spacing w:val="-1"/>
          <w:sz w:val="22"/>
        </w:rPr>
        <w:t>likely</w:t>
      </w:r>
      <w:r>
        <w:rPr>
          <w:rFonts w:ascii="Calibri"/>
          <w:b/>
          <w:sz w:val="22"/>
        </w:rPr>
        <w:t> you are to do</w:t>
      </w:r>
      <w:r>
        <w:rPr>
          <w:rFonts w:ascii="Calibri"/>
          <w:b/>
          <w:spacing w:val="-3"/>
          <w:sz w:val="22"/>
        </w:rPr>
        <w:t> </w:t>
      </w:r>
      <w:r>
        <w:rPr>
          <w:rFonts w:ascii="Calibri"/>
          <w:b/>
          <w:sz w:val="22"/>
        </w:rPr>
        <w:t>the</w:t>
      </w:r>
      <w:r>
        <w:rPr>
          <w:rFonts w:ascii="Calibri"/>
          <w:b/>
          <w:spacing w:val="1"/>
          <w:sz w:val="22"/>
        </w:rPr>
        <w:t> </w:t>
      </w:r>
      <w:r>
        <w:rPr>
          <w:rFonts w:ascii="Calibri"/>
          <w:b/>
          <w:sz w:val="22"/>
        </w:rPr>
        <w:t>following</w:t>
        <w:tab/>
      </w:r>
      <w:r>
        <w:rPr>
          <w:rFonts w:ascii="Calibri"/>
          <w:b/>
          <w:i/>
          <w:spacing w:val="-1"/>
          <w:position w:val="13"/>
          <w:sz w:val="22"/>
        </w:rPr>
        <w:t>Not</w:t>
      </w:r>
      <w:r>
        <w:rPr>
          <w:rFonts w:ascii="Calibri"/>
          <w:sz w:val="22"/>
        </w:rPr>
      </w:r>
    </w:p>
    <w:p>
      <w:pPr>
        <w:spacing w:before="10"/>
        <w:ind w:left="236" w:right="0" w:firstLine="0"/>
        <w:jc w:val="left"/>
        <w:rPr>
          <w:rFonts w:ascii="Calibri" w:hAnsi="Calibri" w:cs="Calibri" w:eastAsia="Calibri" w:hint="default"/>
          <w:sz w:val="22"/>
          <w:szCs w:val="22"/>
        </w:rPr>
      </w:pPr>
      <w:r>
        <w:rPr/>
        <w:br w:type="column"/>
      </w:r>
      <w:r>
        <w:rPr>
          <w:rFonts w:ascii="Calibri"/>
          <w:b/>
          <w:i/>
          <w:sz w:val="22"/>
        </w:rPr>
        <w:t>Very</w:t>
      </w:r>
      <w:r>
        <w:rPr>
          <w:rFonts w:ascii="Calibri"/>
          <w:sz w:val="22"/>
        </w:rPr>
      </w:r>
    </w:p>
    <w:p>
      <w:pPr>
        <w:spacing w:after="0"/>
        <w:jc w:val="left"/>
        <w:rPr>
          <w:rFonts w:ascii="Calibri" w:hAnsi="Calibri" w:cs="Calibri" w:eastAsia="Calibri" w:hint="default"/>
          <w:sz w:val="22"/>
          <w:szCs w:val="22"/>
        </w:rPr>
        <w:sectPr>
          <w:type w:val="continuous"/>
          <w:pgSz w:w="12240" w:h="15840"/>
          <w:pgMar w:top="1500" w:bottom="280" w:left="440" w:right="520"/>
          <w:cols w:num="2" w:equalWidth="0">
            <w:col w:w="8341" w:space="2055"/>
            <w:col w:w="884"/>
          </w:cols>
        </w:sectPr>
      </w:pPr>
    </w:p>
    <w:p>
      <w:pPr>
        <w:spacing w:line="240" w:lineRule="auto" w:before="1"/>
        <w:ind w:right="0"/>
        <w:rPr>
          <w:rFonts w:ascii="Calibri" w:hAnsi="Calibri" w:cs="Calibri" w:eastAsia="Calibri" w:hint="default"/>
          <w:b/>
          <w:bCs/>
          <w:i/>
          <w:sz w:val="11"/>
          <w:szCs w:val="11"/>
        </w:rPr>
      </w:pPr>
    </w:p>
    <w:p>
      <w:pPr>
        <w:spacing w:line="20" w:lineRule="exact"/>
        <w:ind w:left="123" w:right="0" w:firstLine="0"/>
        <w:rPr>
          <w:rFonts w:ascii="Calibri" w:hAnsi="Calibri" w:cs="Calibri" w:eastAsia="Calibri" w:hint="default"/>
          <w:sz w:val="2"/>
          <w:szCs w:val="2"/>
        </w:rPr>
      </w:pPr>
      <w:r>
        <w:rPr>
          <w:rFonts w:ascii="Calibri" w:hAnsi="Calibri" w:cs="Calibri" w:eastAsia="Calibri" w:hint="default"/>
          <w:sz w:val="2"/>
          <w:szCs w:val="2"/>
        </w:rPr>
        <w:pict>
          <v:group style="width:552.1pt;height:.5pt;mso-position-horizontal-relative:char;mso-position-vertical-relative:line" coordorigin="0,0" coordsize="11042,10">
            <v:group style="position:absolute;left:5;top:5;width:7769;height:2" coordorigin="5,5" coordsize="7769,2">
              <v:shape style="position:absolute;left:5;top:5;width:7769;height:2" coordorigin="5,5" coordsize="7769,0" path="m5,5l7773,5e" filled="false" stroked="true" strokeweight=".48pt" strokecolor="#000000">
                <v:path arrowok="t"/>
              </v:shape>
            </v:group>
            <v:group style="position:absolute;left:7773;top:5;width:10;height:2" coordorigin="7773,5" coordsize="10,2">
              <v:shape style="position:absolute;left:7773;top:5;width:10;height:2" coordorigin="7773,5" coordsize="10,0" path="m7773,5l7783,5e" filled="false" stroked="true" strokeweight=".48pt" strokecolor="#000000">
                <v:path arrowok="t"/>
              </v:shape>
            </v:group>
            <v:group style="position:absolute;left:7783;top:5;width:533;height:2" coordorigin="7783,5" coordsize="533,2">
              <v:shape style="position:absolute;left:7783;top:5;width:533;height:2" coordorigin="7783,5" coordsize="533,0" path="m7783,5l8316,5e" filled="false" stroked="true" strokeweight=".48pt" strokecolor="#000000">
                <v:path arrowok="t"/>
              </v:shape>
            </v:group>
            <v:group style="position:absolute;left:8316;top:5;width:10;height:2" coordorigin="8316,5" coordsize="10,2">
              <v:shape style="position:absolute;left:8316;top:5;width:10;height:2" coordorigin="8316,5" coordsize="10,0" path="m8316,5l8325,5e" filled="false" stroked="true" strokeweight=".48pt" strokecolor="#000000">
                <v:path arrowok="t"/>
              </v:shape>
            </v:group>
            <v:group style="position:absolute;left:8325;top:5;width:534;height:2" coordorigin="8325,5" coordsize="534,2">
              <v:shape style="position:absolute;left:8325;top:5;width:534;height:2" coordorigin="8325,5" coordsize="534,0" path="m8325,5l8859,5e" filled="false" stroked="true" strokeweight=".48pt" strokecolor="#000000">
                <v:path arrowok="t"/>
              </v:shape>
            </v:group>
            <v:group style="position:absolute;left:8859;top:5;width:10;height:2" coordorigin="8859,5" coordsize="10,2">
              <v:shape style="position:absolute;left:8859;top:5;width:10;height:2" coordorigin="8859,5" coordsize="10,0" path="m8859,5l8869,5e" filled="false" stroked="true" strokeweight=".48pt" strokecolor="#000000">
                <v:path arrowok="t"/>
              </v:shape>
            </v:group>
            <v:group style="position:absolute;left:8869;top:5;width:536;height:2" coordorigin="8869,5" coordsize="536,2">
              <v:shape style="position:absolute;left:8869;top:5;width:536;height:2" coordorigin="8869,5" coordsize="536,0" path="m8869,5l9404,5e" filled="false" stroked="true" strokeweight=".48pt" strokecolor="#000000">
                <v:path arrowok="t"/>
              </v:shape>
            </v:group>
            <v:group style="position:absolute;left:9404;top:5;width:10;height:2" coordorigin="9404,5" coordsize="10,2">
              <v:shape style="position:absolute;left:9404;top:5;width:10;height:2" coordorigin="9404,5" coordsize="10,0" path="m9404,5l9414,5e" filled="false" stroked="true" strokeweight=".48pt" strokecolor="#000000">
                <v:path arrowok="t"/>
              </v:shape>
            </v:group>
            <v:group style="position:absolute;left:9414;top:5;width:534;height:2" coordorigin="9414,5" coordsize="534,2">
              <v:shape style="position:absolute;left:9414;top:5;width:534;height:2" coordorigin="9414,5" coordsize="534,0" path="m9414,5l9948,5e" filled="false" stroked="true" strokeweight=".48pt" strokecolor="#000000">
                <v:path arrowok="t"/>
              </v:shape>
            </v:group>
            <v:group style="position:absolute;left:9948;top:5;width:10;height:2" coordorigin="9948,5" coordsize="10,2">
              <v:shape style="position:absolute;left:9948;top:5;width:10;height:2" coordorigin="9948,5" coordsize="10,0" path="m9948,5l9957,5e" filled="false" stroked="true" strokeweight=".48pt" strokecolor="#000000">
                <v:path arrowok="t"/>
              </v:shape>
            </v:group>
            <v:group style="position:absolute;left:9957;top:5;width:535;height:2" coordorigin="9957,5" coordsize="535,2">
              <v:shape style="position:absolute;left:9957;top:5;width:535;height:2" coordorigin="9957,5" coordsize="535,0" path="m9957,5l10492,5e" filled="false" stroked="true" strokeweight=".48pt" strokecolor="#000000">
                <v:path arrowok="t"/>
              </v:shape>
            </v:group>
            <v:group style="position:absolute;left:10492;top:5;width:10;height:2" coordorigin="10492,5" coordsize="10,2">
              <v:shape style="position:absolute;left:10492;top:5;width:10;height:2" coordorigin="10492,5" coordsize="10,0" path="m10492,5l10501,5e" filled="false" stroked="true" strokeweight=".48pt" strokecolor="#000000">
                <v:path arrowok="t"/>
              </v:shape>
            </v:group>
            <v:group style="position:absolute;left:10501;top:5;width:536;height:2" coordorigin="10501,5" coordsize="536,2">
              <v:shape style="position:absolute;left:10501;top:5;width:536;height:2" coordorigin="10501,5" coordsize="536,0" path="m10501,5l11037,5e" filled="false" stroked="true" strokeweight=".48pt" strokecolor="#000000">
                <v:path arrowok="t"/>
              </v:shape>
            </v:group>
          </v:group>
        </w:pict>
      </w:r>
      <w:r>
        <w:rPr>
          <w:rFonts w:ascii="Calibri" w:hAnsi="Calibri" w:cs="Calibri" w:eastAsia="Calibri" w:hint="default"/>
          <w:sz w:val="2"/>
          <w:szCs w:val="2"/>
        </w:rPr>
      </w:r>
    </w:p>
    <w:p>
      <w:pPr>
        <w:tabs>
          <w:tab w:pos="8005" w:val="left" w:leader="none"/>
          <w:tab w:pos="8547" w:val="left" w:leader="none"/>
          <w:tab w:pos="9091" w:val="left" w:leader="none"/>
          <w:tab w:pos="9635" w:val="left" w:leader="none"/>
          <w:tab w:pos="10179" w:val="left" w:leader="none"/>
          <w:tab w:pos="10723" w:val="left" w:leader="none"/>
        </w:tabs>
        <w:spacing w:before="0"/>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Share my vacation experience on</w:t>
      </w:r>
      <w:r>
        <w:rPr>
          <w:rFonts w:ascii="Calibri" w:hAnsi="Calibri" w:cs="Calibri" w:eastAsia="Calibri" w:hint="default"/>
          <w:spacing w:val="-17"/>
          <w:sz w:val="22"/>
          <w:szCs w:val="22"/>
        </w:rPr>
        <w:t> </w:t>
      </w:r>
      <w:r>
        <w:rPr>
          <w:rFonts w:ascii="Calibri" w:hAnsi="Calibri" w:cs="Calibri" w:eastAsia="Calibri" w:hint="default"/>
          <w:sz w:val="22"/>
          <w:szCs w:val="22"/>
        </w:rPr>
        <w:t>social</w:t>
      </w:r>
      <w:r>
        <w:rPr>
          <w:rFonts w:ascii="Calibri" w:hAnsi="Calibri" w:cs="Calibri" w:eastAsia="Calibri" w:hint="default"/>
          <w:spacing w:val="-3"/>
          <w:sz w:val="22"/>
          <w:szCs w:val="22"/>
        </w:rPr>
        <w:t> </w:t>
      </w:r>
      <w:r>
        <w:rPr>
          <w:rFonts w:ascii="Calibri" w:hAnsi="Calibri" w:cs="Calibri" w:eastAsia="Calibri" w:hint="default"/>
          <w:sz w:val="22"/>
          <w:szCs w:val="22"/>
        </w:rPr>
        <w:t>media</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20"/>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Come back</w:t>
      </w:r>
      <w:r>
        <w:rPr>
          <w:rFonts w:ascii="Calibri" w:hAnsi="Calibri" w:cs="Calibri" w:eastAsia="Calibri" w:hint="default"/>
          <w:spacing w:val="-9"/>
          <w:sz w:val="22"/>
          <w:szCs w:val="22"/>
        </w:rPr>
        <w:t> </w:t>
      </w:r>
      <w:r>
        <w:rPr>
          <w:rFonts w:ascii="Calibri" w:hAnsi="Calibri" w:cs="Calibri" w:eastAsia="Calibri" w:hint="default"/>
          <w:sz w:val="22"/>
          <w:szCs w:val="22"/>
        </w:rPr>
        <w:t>to</w:t>
      </w:r>
      <w:r>
        <w:rPr>
          <w:rFonts w:ascii="Calibri" w:hAnsi="Calibri" w:cs="Calibri" w:eastAsia="Calibri" w:hint="default"/>
          <w:spacing w:val="-3"/>
          <w:sz w:val="22"/>
          <w:szCs w:val="22"/>
        </w:rPr>
        <w:t> </w:t>
      </w:r>
      <w:r>
        <w:rPr>
          <w:rFonts w:ascii="Calibri" w:hAnsi="Calibri" w:cs="Calibri" w:eastAsia="Calibri" w:hint="default"/>
          <w:sz w:val="22"/>
          <w:szCs w:val="22"/>
        </w:rPr>
        <w:t>Curaçao</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Give good references of Curaçao</w:t>
      </w:r>
      <w:r>
        <w:rPr>
          <w:rFonts w:ascii="Calibri" w:hAnsi="Calibri" w:cs="Calibri" w:eastAsia="Calibri" w:hint="default"/>
          <w:spacing w:val="-13"/>
          <w:sz w:val="22"/>
          <w:szCs w:val="22"/>
        </w:rPr>
        <w:t> </w:t>
      </w:r>
      <w:r>
        <w:rPr>
          <w:rFonts w:ascii="Calibri" w:hAnsi="Calibri" w:cs="Calibri" w:eastAsia="Calibri" w:hint="default"/>
          <w:sz w:val="22"/>
          <w:szCs w:val="22"/>
        </w:rPr>
        <w:t>to</w:t>
      </w:r>
      <w:r>
        <w:rPr>
          <w:rFonts w:ascii="Calibri" w:hAnsi="Calibri" w:cs="Calibri" w:eastAsia="Calibri" w:hint="default"/>
          <w:spacing w:val="-3"/>
          <w:sz w:val="22"/>
          <w:szCs w:val="22"/>
        </w:rPr>
        <w:t> </w:t>
      </w:r>
      <w:r>
        <w:rPr>
          <w:rFonts w:ascii="Calibri" w:hAnsi="Calibri" w:cs="Calibri" w:eastAsia="Calibri" w:hint="default"/>
          <w:sz w:val="22"/>
          <w:szCs w:val="22"/>
        </w:rPr>
        <w:t>others</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Consider Curaçao my first choice</w:t>
      </w:r>
      <w:r>
        <w:rPr>
          <w:rFonts w:ascii="Calibri" w:hAnsi="Calibri" w:cs="Calibri" w:eastAsia="Calibri" w:hint="default"/>
          <w:spacing w:val="-19"/>
          <w:sz w:val="22"/>
          <w:szCs w:val="22"/>
        </w:rPr>
        <w:t> </w:t>
      </w:r>
      <w:r>
        <w:rPr>
          <w:rFonts w:ascii="Calibri" w:hAnsi="Calibri" w:cs="Calibri" w:eastAsia="Calibri" w:hint="default"/>
          <w:sz w:val="22"/>
          <w:szCs w:val="22"/>
        </w:rPr>
        <w:t>for</w:t>
      </w:r>
      <w:r>
        <w:rPr>
          <w:rFonts w:ascii="Calibri" w:hAnsi="Calibri" w:cs="Calibri" w:eastAsia="Calibri" w:hint="default"/>
          <w:spacing w:val="-5"/>
          <w:sz w:val="22"/>
          <w:szCs w:val="22"/>
        </w:rPr>
        <w:t> </w:t>
      </w:r>
      <w:r>
        <w:rPr>
          <w:rFonts w:ascii="Calibri" w:hAnsi="Calibri" w:cs="Calibri" w:eastAsia="Calibri" w:hint="default"/>
          <w:sz w:val="22"/>
          <w:szCs w:val="22"/>
        </w:rPr>
        <w:t>vacation</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Encourage my family and friends to</w:t>
      </w:r>
      <w:r>
        <w:rPr>
          <w:rFonts w:ascii="Calibri" w:hAnsi="Calibri" w:cs="Calibri" w:eastAsia="Calibri" w:hint="default"/>
          <w:spacing w:val="-20"/>
          <w:sz w:val="22"/>
          <w:szCs w:val="22"/>
        </w:rPr>
        <w:t> </w:t>
      </w:r>
      <w:r>
        <w:rPr>
          <w:rFonts w:ascii="Calibri" w:hAnsi="Calibri" w:cs="Calibri" w:eastAsia="Calibri" w:hint="default"/>
          <w:sz w:val="22"/>
          <w:szCs w:val="22"/>
        </w:rPr>
        <w:t>visit</w:t>
      </w:r>
      <w:r>
        <w:rPr>
          <w:rFonts w:ascii="Calibri" w:hAnsi="Calibri" w:cs="Calibri" w:eastAsia="Calibri" w:hint="default"/>
          <w:spacing w:val="-3"/>
          <w:sz w:val="22"/>
          <w:szCs w:val="22"/>
        </w:rPr>
        <w:t> </w:t>
      </w:r>
      <w:r>
        <w:rPr>
          <w:rFonts w:ascii="Calibri" w:hAnsi="Calibri" w:cs="Calibri" w:eastAsia="Calibri" w:hint="default"/>
          <w:sz w:val="22"/>
          <w:szCs w:val="22"/>
        </w:rPr>
        <w:t>Curaçao</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Continue to come to Curaçao even if the prices</w:t>
      </w:r>
      <w:r>
        <w:rPr>
          <w:rFonts w:ascii="Calibri" w:hAnsi="Calibri" w:cs="Calibri" w:eastAsia="Calibri" w:hint="default"/>
          <w:spacing w:val="-28"/>
          <w:sz w:val="22"/>
          <w:szCs w:val="22"/>
        </w:rPr>
        <w:t> </w:t>
      </w:r>
      <w:r>
        <w:rPr>
          <w:rFonts w:ascii="Calibri" w:hAnsi="Calibri" w:cs="Calibri" w:eastAsia="Calibri" w:hint="default"/>
          <w:sz w:val="22"/>
          <w:szCs w:val="22"/>
        </w:rPr>
        <w:t>were</w:t>
      </w:r>
      <w:r>
        <w:rPr>
          <w:rFonts w:ascii="Calibri" w:hAnsi="Calibri" w:cs="Calibri" w:eastAsia="Calibri" w:hint="default"/>
          <w:spacing w:val="-3"/>
          <w:sz w:val="22"/>
          <w:szCs w:val="22"/>
        </w:rPr>
        <w:t> </w:t>
      </w:r>
      <w:r>
        <w:rPr>
          <w:rFonts w:ascii="Calibri" w:hAnsi="Calibri" w:cs="Calibri" w:eastAsia="Calibri" w:hint="default"/>
          <w:sz w:val="22"/>
          <w:szCs w:val="22"/>
        </w:rPr>
        <w:t>higher</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after="10"/>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Recommend Curaçao to anyone that</w:t>
      </w:r>
      <w:r>
        <w:rPr>
          <w:rFonts w:ascii="Calibri" w:hAnsi="Calibri" w:cs="Calibri" w:eastAsia="Calibri" w:hint="default"/>
          <w:spacing w:val="-15"/>
          <w:sz w:val="22"/>
          <w:szCs w:val="22"/>
        </w:rPr>
        <w:t> </w:t>
      </w:r>
      <w:r>
        <w:rPr>
          <w:rFonts w:ascii="Calibri" w:hAnsi="Calibri" w:cs="Calibri" w:eastAsia="Calibri" w:hint="default"/>
          <w:sz w:val="22"/>
          <w:szCs w:val="22"/>
        </w:rPr>
        <w:t>asks</w:t>
      </w:r>
      <w:r>
        <w:rPr>
          <w:rFonts w:ascii="Calibri" w:hAnsi="Calibri" w:cs="Calibri" w:eastAsia="Calibri" w:hint="default"/>
          <w:spacing w:val="-4"/>
          <w:sz w:val="22"/>
          <w:szCs w:val="22"/>
        </w:rPr>
        <w:t> </w:t>
      </w:r>
      <w:r>
        <w:rPr>
          <w:rFonts w:ascii="Calibri" w:hAnsi="Calibri" w:cs="Calibri" w:eastAsia="Calibri" w:hint="default"/>
          <w:sz w:val="22"/>
          <w:szCs w:val="22"/>
        </w:rPr>
        <w:t>me</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spacing w:line="20" w:lineRule="exact"/>
        <w:ind w:left="109" w:right="0" w:firstLine="0"/>
        <w:rPr>
          <w:rFonts w:ascii="Calibri" w:hAnsi="Calibri" w:cs="Calibri" w:eastAsia="Calibri" w:hint="default"/>
          <w:sz w:val="2"/>
          <w:szCs w:val="2"/>
        </w:rPr>
      </w:pPr>
      <w:r>
        <w:rPr>
          <w:rFonts w:ascii="Calibri" w:hAnsi="Calibri" w:cs="Calibri" w:eastAsia="Calibri" w:hint="default"/>
          <w:sz w:val="2"/>
          <w:szCs w:val="2"/>
        </w:rPr>
        <w:pict>
          <v:group style="width:552.8pt;height:.5pt;mso-position-horizontal-relative:char;mso-position-vertical-relative:line" coordorigin="0,0" coordsize="11056,10">
            <v:group style="position:absolute;left:5;top:5;width:7783;height:2" coordorigin="5,5" coordsize="7783,2">
              <v:shape style="position:absolute;left:5;top:5;width:7783;height:2" coordorigin="5,5" coordsize="7783,0" path="m5,5l7788,5e" filled="false" stroked="true" strokeweight=".48pt" strokecolor="#000000">
                <v:path arrowok="t"/>
              </v:shape>
            </v:group>
            <v:group style="position:absolute;left:7773;top:5;width:10;height:2" coordorigin="7773,5" coordsize="10,2">
              <v:shape style="position:absolute;left:7773;top:5;width:10;height:2" coordorigin="7773,5" coordsize="10,0" path="m7773,5l7783,5e" filled="false" stroked="true" strokeweight=".48pt" strokecolor="#000000">
                <v:path arrowok="t"/>
              </v:shape>
            </v:group>
            <v:group style="position:absolute;left:7783;top:5;width:548;height:2" coordorigin="7783,5" coordsize="548,2">
              <v:shape style="position:absolute;left:7783;top:5;width:548;height:2" coordorigin="7783,5" coordsize="548,0" path="m7783,5l8330,5e" filled="false" stroked="true" strokeweight=".48pt" strokecolor="#000000">
                <v:path arrowok="t"/>
              </v:shape>
            </v:group>
            <v:group style="position:absolute;left:8316;top:5;width:10;height:2" coordorigin="8316,5" coordsize="10,2">
              <v:shape style="position:absolute;left:8316;top:5;width:10;height:2" coordorigin="8316,5" coordsize="10,0" path="m8316,5l8325,5e" filled="false" stroked="true" strokeweight=".48pt" strokecolor="#000000">
                <v:path arrowok="t"/>
              </v:shape>
            </v:group>
            <v:group style="position:absolute;left:8325;top:5;width:549;height:2" coordorigin="8325,5" coordsize="549,2">
              <v:shape style="position:absolute;left:8325;top:5;width:549;height:2" coordorigin="8325,5" coordsize="549,0" path="m8325,5l8874,5e" filled="false" stroked="true" strokeweight=".48pt" strokecolor="#000000">
                <v:path arrowok="t"/>
              </v:shape>
            </v:group>
            <v:group style="position:absolute;left:8859;top:5;width:10;height:2" coordorigin="8859,5" coordsize="10,2">
              <v:shape style="position:absolute;left:8859;top:5;width:10;height:2" coordorigin="8859,5" coordsize="10,0" path="m8859,5l8869,5e" filled="false" stroked="true" strokeweight=".48pt" strokecolor="#000000">
                <v:path arrowok="t"/>
              </v:shape>
            </v:group>
            <v:group style="position:absolute;left:8869;top:5;width:550;height:2" coordorigin="8869,5" coordsize="550,2">
              <v:shape style="position:absolute;left:8869;top:5;width:550;height:2" coordorigin="8869,5" coordsize="550,0" path="m8869,5l9419,5e" filled="false" stroked="true" strokeweight=".48pt" strokecolor="#000000">
                <v:path arrowok="t"/>
              </v:shape>
            </v:group>
            <v:group style="position:absolute;left:9404;top:5;width:10;height:2" coordorigin="9404,5" coordsize="10,2">
              <v:shape style="position:absolute;left:9404;top:5;width:10;height:2" coordorigin="9404,5" coordsize="10,0" path="m9404,5l9414,5e" filled="false" stroked="true" strokeweight=".48pt" strokecolor="#000000">
                <v:path arrowok="t"/>
              </v:shape>
            </v:group>
            <v:group style="position:absolute;left:9414;top:5;width:549;height:2" coordorigin="9414,5" coordsize="549,2">
              <v:shape style="position:absolute;left:9414;top:5;width:549;height:2" coordorigin="9414,5" coordsize="549,0" path="m9414,5l9962,5e" filled="false" stroked="true" strokeweight=".48pt" strokecolor="#000000">
                <v:path arrowok="t"/>
              </v:shape>
            </v:group>
            <v:group style="position:absolute;left:9948;top:5;width:10;height:2" coordorigin="9948,5" coordsize="10,2">
              <v:shape style="position:absolute;left:9948;top:5;width:10;height:2" coordorigin="9948,5" coordsize="10,0" path="m9948,5l9957,5e" filled="false" stroked="true" strokeweight=".48pt" strokecolor="#000000">
                <v:path arrowok="t"/>
              </v:shape>
            </v:group>
            <v:group style="position:absolute;left:9957;top:5;width:549;height:2" coordorigin="9957,5" coordsize="549,2">
              <v:shape style="position:absolute;left:9957;top:5;width:549;height:2" coordorigin="9957,5" coordsize="549,0" path="m9957,5l10506,5e" filled="false" stroked="true" strokeweight=".48pt" strokecolor="#000000">
                <v:path arrowok="t"/>
              </v:shape>
            </v:group>
            <v:group style="position:absolute;left:10492;top:5;width:10;height:2" coordorigin="10492,5" coordsize="10,2">
              <v:shape style="position:absolute;left:10492;top:5;width:10;height:2" coordorigin="10492,5" coordsize="10,0" path="m10492,5l10501,5e" filled="false" stroked="true" strokeweight=".48pt" strokecolor="#000000">
                <v:path arrowok="t"/>
              </v:shape>
            </v:group>
            <v:group style="position:absolute;left:10501;top:5;width:550;height:2" coordorigin="10501,5" coordsize="550,2">
              <v:shape style="position:absolute;left:10501;top:5;width:550;height:2" coordorigin="10501,5" coordsize="550,0" path="m10501,5l11051,5e" filled="false" stroked="true" strokeweight=".48pt" strokecolor="#000000">
                <v:path arrowok="t"/>
              </v:shape>
            </v:group>
          </v:group>
        </w:pict>
      </w:r>
      <w:r>
        <w:rPr>
          <w:rFonts w:ascii="Calibri" w:hAnsi="Calibri" w:cs="Calibri" w:eastAsia="Calibri" w:hint="default"/>
          <w:sz w:val="2"/>
          <w:szCs w:val="2"/>
        </w:rPr>
      </w:r>
    </w:p>
    <w:p>
      <w:pPr>
        <w:spacing w:line="240" w:lineRule="auto" w:before="2" w:after="0"/>
        <w:ind w:right="0"/>
        <w:rPr>
          <w:rFonts w:ascii="Calibri" w:hAnsi="Calibri" w:cs="Calibri" w:eastAsia="Calibri" w:hint="default"/>
          <w:sz w:val="21"/>
          <w:szCs w:val="21"/>
        </w:rPr>
      </w:pPr>
    </w:p>
    <w:p>
      <w:pPr>
        <w:spacing w:line="20" w:lineRule="exact"/>
        <w:ind w:left="123" w:right="0" w:firstLine="0"/>
        <w:rPr>
          <w:rFonts w:ascii="Calibri" w:hAnsi="Calibri" w:cs="Calibri" w:eastAsia="Calibri" w:hint="default"/>
          <w:sz w:val="2"/>
          <w:szCs w:val="2"/>
        </w:rPr>
      </w:pPr>
      <w:r>
        <w:rPr>
          <w:rFonts w:ascii="Calibri" w:hAnsi="Calibri" w:cs="Calibri" w:eastAsia="Calibri" w:hint="default"/>
          <w:sz w:val="2"/>
          <w:szCs w:val="2"/>
        </w:rPr>
        <w:pict>
          <v:group style="width:552.1pt;height:.5pt;mso-position-horizontal-relative:char;mso-position-vertical-relative:line" coordorigin="0,0" coordsize="11042,10">
            <v:group style="position:absolute;left:5;top:5;width:7769;height:2" coordorigin="5,5" coordsize="7769,2">
              <v:shape style="position:absolute;left:5;top:5;width:7769;height:2" coordorigin="5,5" coordsize="7769,0" path="m5,5l7773,5e" filled="false" stroked="true" strokeweight=".48pt" strokecolor="#000000">
                <v:path arrowok="t"/>
              </v:shape>
            </v:group>
            <v:group style="position:absolute;left:7773;top:5;width:10;height:2" coordorigin="7773,5" coordsize="10,2">
              <v:shape style="position:absolute;left:7773;top:5;width:10;height:2" coordorigin="7773,5" coordsize="10,0" path="m7773,5l7783,5e" filled="false" stroked="true" strokeweight=".48pt" strokecolor="#000000">
                <v:path arrowok="t"/>
              </v:shape>
            </v:group>
            <v:group style="position:absolute;left:7783;top:5;width:1622;height:2" coordorigin="7783,5" coordsize="1622,2">
              <v:shape style="position:absolute;left:7783;top:5;width:1622;height:2" coordorigin="7783,5" coordsize="1622,0" path="m7783,5l9404,5e" filled="false" stroked="true" strokeweight=".48pt" strokecolor="#000000">
                <v:path arrowok="t"/>
              </v:shape>
            </v:group>
            <v:group style="position:absolute;left:9404;top:5;width:10;height:2" coordorigin="9404,5" coordsize="10,2">
              <v:shape style="position:absolute;left:9404;top:5;width:10;height:2" coordorigin="9404,5" coordsize="10,0" path="m9404,5l9414,5e" filled="false" stroked="true" strokeweight=".48pt" strokecolor="#000000">
                <v:path arrowok="t"/>
              </v:shape>
            </v:group>
            <v:group style="position:absolute;left:9414;top:5;width:1623;height:2" coordorigin="9414,5" coordsize="1623,2">
              <v:shape style="position:absolute;left:9414;top:5;width:1623;height:2" coordorigin="9414,5" coordsize="1623,0" path="m9414,5l11037,5e" filled="false" stroked="true" strokeweight=".48pt" strokecolor="#000000">
                <v:path arrowok="t"/>
              </v:shape>
            </v:group>
          </v:group>
        </w:pict>
      </w:r>
      <w:r>
        <w:rPr>
          <w:rFonts w:ascii="Calibri" w:hAnsi="Calibri" w:cs="Calibri" w:eastAsia="Calibri" w:hint="default"/>
          <w:sz w:val="2"/>
          <w:szCs w:val="2"/>
        </w:rPr>
      </w:r>
    </w:p>
    <w:p>
      <w:pPr>
        <w:pStyle w:val="ListParagraph"/>
        <w:numPr>
          <w:ilvl w:val="0"/>
          <w:numId w:val="23"/>
        </w:numPr>
        <w:tabs>
          <w:tab w:pos="569" w:val="left" w:leader="none"/>
        </w:tabs>
        <w:spacing w:line="193" w:lineRule="exact" w:before="0" w:after="0"/>
        <w:ind w:left="568" w:right="0" w:hanging="332"/>
        <w:jc w:val="left"/>
        <w:rPr>
          <w:rFonts w:ascii="Calibri" w:hAnsi="Calibri" w:cs="Calibri" w:eastAsia="Calibri" w:hint="default"/>
          <w:sz w:val="22"/>
          <w:szCs w:val="22"/>
        </w:rPr>
      </w:pPr>
      <w:r>
        <w:rPr>
          <w:rFonts w:ascii="Calibri"/>
          <w:b/>
          <w:sz w:val="22"/>
        </w:rPr>
        <w:t>Based on your experience, rate how the </w:t>
      </w:r>
      <w:r>
        <w:rPr>
          <w:rFonts w:ascii="Calibri"/>
          <w:b/>
          <w:sz w:val="22"/>
          <w:u w:val="single" w:color="000000"/>
        </w:rPr>
        <w:t>LODGING AND</w:t>
      </w:r>
      <w:r>
        <w:rPr>
          <w:rFonts w:ascii="Calibri"/>
          <w:b/>
          <w:spacing w:val="-25"/>
          <w:sz w:val="22"/>
          <w:u w:val="single" w:color="000000"/>
        </w:rPr>
        <w:t> </w:t>
      </w:r>
      <w:r>
        <w:rPr>
          <w:rFonts w:ascii="Calibri"/>
          <w:b/>
          <w:sz w:val="22"/>
          <w:u w:val="single" w:color="000000"/>
        </w:rPr>
        <w:t>RESTAURANTS</w:t>
      </w:r>
      <w:r>
        <w:rPr>
          <w:rFonts w:ascii="Calibri"/>
          <w:b/>
          <w:sz w:val="22"/>
        </w:rPr>
      </w:r>
      <w:r>
        <w:rPr>
          <w:rFonts w:ascii="Calibri"/>
          <w:sz w:val="22"/>
        </w:rPr>
      </w:r>
    </w:p>
    <w:p>
      <w:pPr>
        <w:tabs>
          <w:tab w:pos="8005" w:val="left" w:leader="none"/>
          <w:tab w:pos="10575" w:val="left" w:leader="none"/>
        </w:tabs>
        <w:spacing w:line="334" w:lineRule="exact" w:before="0"/>
        <w:ind w:left="236" w:right="0" w:firstLine="0"/>
        <w:jc w:val="left"/>
        <w:rPr>
          <w:rFonts w:ascii="Calibri" w:hAnsi="Calibri" w:cs="Calibri" w:eastAsia="Calibri" w:hint="default"/>
          <w:sz w:val="22"/>
          <w:szCs w:val="22"/>
        </w:rPr>
      </w:pPr>
      <w:r>
        <w:rPr>
          <w:rFonts w:ascii="Calibri"/>
          <w:b/>
          <w:sz w:val="22"/>
        </w:rPr>
        <w:t>performed in the</w:t>
      </w:r>
      <w:r>
        <w:rPr>
          <w:rFonts w:ascii="Calibri"/>
          <w:b/>
          <w:spacing w:val="-9"/>
          <w:sz w:val="22"/>
        </w:rPr>
        <w:t> </w:t>
      </w:r>
      <w:r>
        <w:rPr>
          <w:rFonts w:ascii="Calibri"/>
          <w:b/>
          <w:sz w:val="22"/>
        </w:rPr>
        <w:t>following</w:t>
      </w:r>
      <w:r>
        <w:rPr>
          <w:rFonts w:ascii="Calibri"/>
          <w:b/>
          <w:spacing w:val="-3"/>
          <w:sz w:val="22"/>
        </w:rPr>
        <w:t> </w:t>
      </w:r>
      <w:r>
        <w:rPr>
          <w:rFonts w:ascii="Calibri"/>
          <w:b/>
          <w:sz w:val="22"/>
        </w:rPr>
        <w:t>areas:</w:t>
        <w:tab/>
      </w:r>
      <w:r>
        <w:rPr>
          <w:rFonts w:ascii="Calibri"/>
          <w:b/>
          <w:w w:val="95"/>
          <w:position w:val="13"/>
          <w:sz w:val="22"/>
        </w:rPr>
        <w:t>LOW</w:t>
        <w:tab/>
      </w:r>
      <w:r>
        <w:rPr>
          <w:rFonts w:ascii="Calibri"/>
          <w:b/>
          <w:position w:val="13"/>
          <w:sz w:val="22"/>
        </w:rPr>
        <w:t>HIGH</w:t>
      </w:r>
      <w:r>
        <w:rPr>
          <w:rFonts w:ascii="Calibri"/>
          <w:sz w:val="22"/>
        </w:rPr>
      </w:r>
    </w:p>
    <w:p>
      <w:pPr>
        <w:spacing w:line="20" w:lineRule="exact"/>
        <w:ind w:left="123" w:right="0" w:firstLine="0"/>
        <w:rPr>
          <w:rFonts w:ascii="Calibri" w:hAnsi="Calibri" w:cs="Calibri" w:eastAsia="Calibri" w:hint="default"/>
          <w:sz w:val="2"/>
          <w:szCs w:val="2"/>
        </w:rPr>
      </w:pPr>
      <w:r>
        <w:rPr>
          <w:rFonts w:ascii="Calibri" w:hAnsi="Calibri" w:cs="Calibri" w:eastAsia="Calibri" w:hint="default"/>
          <w:sz w:val="2"/>
          <w:szCs w:val="2"/>
        </w:rPr>
        <w:pict>
          <v:group style="width:552.1pt;height:.5pt;mso-position-horizontal-relative:char;mso-position-vertical-relative:line" coordorigin="0,0" coordsize="11042,10">
            <v:group style="position:absolute;left:5;top:5;width:7769;height:2" coordorigin="5,5" coordsize="7769,2">
              <v:shape style="position:absolute;left:5;top:5;width:7769;height:2" coordorigin="5,5" coordsize="7769,0" path="m5,5l7773,5e" filled="false" stroked="true" strokeweight=".47998pt" strokecolor="#000000">
                <v:path arrowok="t"/>
              </v:shape>
            </v:group>
            <v:group style="position:absolute;left:7773;top:5;width:10;height:2" coordorigin="7773,5" coordsize="10,2">
              <v:shape style="position:absolute;left:7773;top:5;width:10;height:2" coordorigin="7773,5" coordsize="10,0" path="m7773,5l7783,5e" filled="false" stroked="true" strokeweight=".47998pt" strokecolor="#000000">
                <v:path arrowok="t"/>
              </v:shape>
            </v:group>
            <v:group style="position:absolute;left:7783;top:5;width:533;height:2" coordorigin="7783,5" coordsize="533,2">
              <v:shape style="position:absolute;left:7783;top:5;width:533;height:2" coordorigin="7783,5" coordsize="533,0" path="m7783,5l8316,5e" filled="false" stroked="true" strokeweight=".47998pt" strokecolor="#000000">
                <v:path arrowok="t"/>
              </v:shape>
            </v:group>
            <v:group style="position:absolute;left:8316;top:5;width:10;height:2" coordorigin="8316,5" coordsize="10,2">
              <v:shape style="position:absolute;left:8316;top:5;width:10;height:2" coordorigin="8316,5" coordsize="10,0" path="m8316,5l8325,5e" filled="false" stroked="true" strokeweight=".47998pt" strokecolor="#000000">
                <v:path arrowok="t"/>
              </v:shape>
            </v:group>
            <v:group style="position:absolute;left:8325;top:5;width:534;height:2" coordorigin="8325,5" coordsize="534,2">
              <v:shape style="position:absolute;left:8325;top:5;width:534;height:2" coordorigin="8325,5" coordsize="534,0" path="m8325,5l8859,5e" filled="false" stroked="true" strokeweight=".47998pt" strokecolor="#000000">
                <v:path arrowok="t"/>
              </v:shape>
            </v:group>
            <v:group style="position:absolute;left:8859;top:5;width:10;height:2" coordorigin="8859,5" coordsize="10,2">
              <v:shape style="position:absolute;left:8859;top:5;width:10;height:2" coordorigin="8859,5" coordsize="10,0" path="m8859,5l8869,5e" filled="false" stroked="true" strokeweight=".47998pt" strokecolor="#000000">
                <v:path arrowok="t"/>
              </v:shape>
            </v:group>
            <v:group style="position:absolute;left:8869;top:5;width:536;height:2" coordorigin="8869,5" coordsize="536,2">
              <v:shape style="position:absolute;left:8869;top:5;width:536;height:2" coordorigin="8869,5" coordsize="536,0" path="m8869,5l9404,5e" filled="false" stroked="true" strokeweight=".47998pt" strokecolor="#000000">
                <v:path arrowok="t"/>
              </v:shape>
            </v:group>
            <v:group style="position:absolute;left:9404;top:5;width:10;height:2" coordorigin="9404,5" coordsize="10,2">
              <v:shape style="position:absolute;left:9404;top:5;width:10;height:2" coordorigin="9404,5" coordsize="10,0" path="m9404,5l9414,5e" filled="false" stroked="true" strokeweight=".47998pt" strokecolor="#000000">
                <v:path arrowok="t"/>
              </v:shape>
            </v:group>
            <v:group style="position:absolute;left:9414;top:5;width:534;height:2" coordorigin="9414,5" coordsize="534,2">
              <v:shape style="position:absolute;left:9414;top:5;width:534;height:2" coordorigin="9414,5" coordsize="534,0" path="m9414,5l9948,5e" filled="false" stroked="true" strokeweight=".47998pt" strokecolor="#000000">
                <v:path arrowok="t"/>
              </v:shape>
            </v:group>
            <v:group style="position:absolute;left:9948;top:5;width:10;height:2" coordorigin="9948,5" coordsize="10,2">
              <v:shape style="position:absolute;left:9948;top:5;width:10;height:2" coordorigin="9948,5" coordsize="10,0" path="m9948,5l9957,5e" filled="false" stroked="true" strokeweight=".47998pt" strokecolor="#000000">
                <v:path arrowok="t"/>
              </v:shape>
            </v:group>
            <v:group style="position:absolute;left:9957;top:5;width:535;height:2" coordorigin="9957,5" coordsize="535,2">
              <v:shape style="position:absolute;left:9957;top:5;width:535;height:2" coordorigin="9957,5" coordsize="535,0" path="m9957,5l10492,5e" filled="false" stroked="true" strokeweight=".47998pt" strokecolor="#000000">
                <v:path arrowok="t"/>
              </v:shape>
            </v:group>
            <v:group style="position:absolute;left:10492;top:5;width:10;height:2" coordorigin="10492,5" coordsize="10,2">
              <v:shape style="position:absolute;left:10492;top:5;width:10;height:2" coordorigin="10492,5" coordsize="10,0" path="m10492,5l10501,5e" filled="false" stroked="true" strokeweight=".47998pt" strokecolor="#000000">
                <v:path arrowok="t"/>
              </v:shape>
            </v:group>
            <v:group style="position:absolute;left:10501;top:5;width:536;height:2" coordorigin="10501,5" coordsize="536,2">
              <v:shape style="position:absolute;left:10501;top:5;width:536;height:2" coordorigin="10501,5" coordsize="536,0" path="m10501,5l11037,5e" filled="false" stroked="true" strokeweight=".47998pt" strokecolor="#000000">
                <v:path arrowok="t"/>
              </v:shape>
            </v:group>
          </v:group>
        </w:pict>
      </w:r>
      <w:r>
        <w:rPr>
          <w:rFonts w:ascii="Calibri" w:hAnsi="Calibri" w:cs="Calibri" w:eastAsia="Calibri" w:hint="default"/>
          <w:sz w:val="2"/>
          <w:szCs w:val="2"/>
        </w:rPr>
      </w:r>
    </w:p>
    <w:p>
      <w:pPr>
        <w:tabs>
          <w:tab w:pos="8005" w:val="left" w:leader="none"/>
          <w:tab w:pos="8547" w:val="left" w:leader="none"/>
          <w:tab w:pos="9091" w:val="left" w:leader="none"/>
          <w:tab w:pos="9635" w:val="left" w:leader="none"/>
          <w:tab w:pos="10179" w:val="left" w:leader="none"/>
          <w:tab w:pos="10723" w:val="left" w:leader="none"/>
        </w:tabs>
        <w:spacing w:before="0"/>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Cleanliness</w:t>
      </w:r>
      <w:r>
        <w:rPr>
          <w:rFonts w:ascii="Calibri" w:hAnsi="Calibri" w:cs="Calibri" w:eastAsia="Calibri" w:hint="default"/>
          <w:spacing w:val="-4"/>
          <w:sz w:val="22"/>
          <w:szCs w:val="22"/>
        </w:rPr>
        <w:t> </w:t>
      </w:r>
      <w:r>
        <w:rPr>
          <w:rFonts w:ascii="Calibri" w:hAnsi="Calibri" w:cs="Calibri" w:eastAsia="Calibri" w:hint="default"/>
          <w:sz w:val="22"/>
          <w:szCs w:val="22"/>
        </w:rPr>
        <w:t>of</w:t>
      </w:r>
      <w:r>
        <w:rPr>
          <w:rFonts w:ascii="Calibri" w:hAnsi="Calibri" w:cs="Calibri" w:eastAsia="Calibri" w:hint="default"/>
          <w:spacing w:val="-4"/>
          <w:sz w:val="22"/>
          <w:szCs w:val="22"/>
        </w:rPr>
        <w:t> </w:t>
      </w:r>
      <w:r>
        <w:rPr>
          <w:rFonts w:ascii="Calibri" w:hAnsi="Calibri" w:cs="Calibri" w:eastAsia="Calibri" w:hint="default"/>
          <w:sz w:val="22"/>
          <w:szCs w:val="22"/>
        </w:rPr>
        <w:t>accommodation</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Restaurant</w:t>
      </w:r>
      <w:r>
        <w:rPr>
          <w:rFonts w:ascii="Calibri" w:hAnsi="Calibri" w:cs="Calibri" w:eastAsia="Calibri" w:hint="default"/>
          <w:spacing w:val="-4"/>
          <w:sz w:val="22"/>
          <w:szCs w:val="22"/>
        </w:rPr>
        <w:t> </w:t>
      </w:r>
      <w:r>
        <w:rPr>
          <w:rFonts w:ascii="Calibri" w:hAnsi="Calibri" w:cs="Calibri" w:eastAsia="Calibri" w:hint="default"/>
          <w:sz w:val="22"/>
          <w:szCs w:val="22"/>
        </w:rPr>
        <w:t>cleanliness</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Security</w:t>
      </w:r>
      <w:r>
        <w:rPr>
          <w:rFonts w:ascii="Calibri" w:hAnsi="Calibri" w:cs="Calibri" w:eastAsia="Calibri" w:hint="default"/>
          <w:spacing w:val="-3"/>
          <w:sz w:val="22"/>
          <w:szCs w:val="22"/>
        </w:rPr>
        <w:t> </w:t>
      </w:r>
      <w:r>
        <w:rPr>
          <w:rFonts w:ascii="Calibri" w:hAnsi="Calibri" w:cs="Calibri" w:eastAsia="Calibri" w:hint="default"/>
          <w:sz w:val="22"/>
          <w:szCs w:val="22"/>
        </w:rPr>
        <w:t>of</w:t>
      </w:r>
      <w:r>
        <w:rPr>
          <w:rFonts w:ascii="Calibri" w:hAnsi="Calibri" w:cs="Calibri" w:eastAsia="Calibri" w:hint="default"/>
          <w:spacing w:val="-3"/>
          <w:sz w:val="22"/>
          <w:szCs w:val="22"/>
        </w:rPr>
        <w:t> </w:t>
      </w:r>
      <w:r>
        <w:rPr>
          <w:rFonts w:ascii="Calibri" w:hAnsi="Calibri" w:cs="Calibri" w:eastAsia="Calibri" w:hint="default"/>
          <w:sz w:val="22"/>
          <w:szCs w:val="22"/>
        </w:rPr>
        <w:t>accommodation</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Restaurant</w:t>
      </w:r>
      <w:r>
        <w:rPr>
          <w:rFonts w:ascii="Calibri" w:hAnsi="Calibri" w:cs="Calibri" w:eastAsia="Calibri" w:hint="default"/>
          <w:spacing w:val="45"/>
          <w:sz w:val="22"/>
          <w:szCs w:val="22"/>
        </w:rPr>
        <w:t> </w:t>
      </w:r>
      <w:r>
        <w:rPr>
          <w:rFonts w:ascii="Calibri" w:hAnsi="Calibri" w:cs="Calibri" w:eastAsia="Calibri" w:hint="default"/>
          <w:sz w:val="22"/>
          <w:szCs w:val="22"/>
        </w:rPr>
        <w:t>security</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line="256" w:lineRule="auto" w:before="19"/>
        <w:ind w:left="236" w:right="262" w:firstLine="0"/>
        <w:jc w:val="left"/>
        <w:rPr>
          <w:rFonts w:ascii="Calibri" w:hAnsi="Calibri" w:cs="Calibri" w:eastAsia="Calibri" w:hint="default"/>
          <w:sz w:val="22"/>
          <w:szCs w:val="22"/>
        </w:rPr>
      </w:pPr>
      <w:r>
        <w:rPr>
          <w:rFonts w:ascii="Calibri" w:hAnsi="Calibri" w:cs="Calibri" w:eastAsia="Calibri" w:hint="default"/>
          <w:sz w:val="22"/>
          <w:szCs w:val="22"/>
        </w:rPr>
        <w:t>Friendliness and welcoming attitude of the staff</w:t>
      </w:r>
      <w:r>
        <w:rPr>
          <w:rFonts w:ascii="Calibri" w:hAnsi="Calibri" w:cs="Calibri" w:eastAsia="Calibri" w:hint="default"/>
          <w:spacing w:val="-23"/>
          <w:sz w:val="22"/>
          <w:szCs w:val="22"/>
        </w:rPr>
        <w:t> </w:t>
      </w:r>
      <w:r>
        <w:rPr>
          <w:rFonts w:ascii="Calibri" w:hAnsi="Calibri" w:cs="Calibri" w:eastAsia="Calibri" w:hint="default"/>
          <w:sz w:val="22"/>
          <w:szCs w:val="22"/>
        </w:rPr>
        <w:t>in</w:t>
      </w:r>
      <w:r>
        <w:rPr>
          <w:rFonts w:ascii="Calibri" w:hAnsi="Calibri" w:cs="Calibri" w:eastAsia="Calibri" w:hint="default"/>
          <w:spacing w:val="-4"/>
          <w:sz w:val="22"/>
          <w:szCs w:val="22"/>
        </w:rPr>
        <w:t> </w:t>
      </w:r>
      <w:r>
        <w:rPr>
          <w:rFonts w:ascii="Calibri" w:hAnsi="Calibri" w:cs="Calibri" w:eastAsia="Calibri" w:hint="default"/>
          <w:sz w:val="22"/>
          <w:szCs w:val="22"/>
        </w:rPr>
        <w:t>accommodation</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 </w:t>
      </w:r>
      <w:r>
        <w:rPr>
          <w:rFonts w:ascii="Calibri" w:hAnsi="Calibri" w:cs="Calibri" w:eastAsia="Calibri" w:hint="default"/>
          <w:sz w:val="22"/>
          <w:szCs w:val="22"/>
        </w:rPr>
      </w:r>
      <w:r>
        <w:rPr>
          <w:rFonts w:ascii="Calibri" w:hAnsi="Calibri" w:cs="Calibri" w:eastAsia="Calibri" w:hint="default"/>
          <w:sz w:val="22"/>
          <w:szCs w:val="22"/>
        </w:rPr>
        <w:t>Friendliness and welcoming attitude of the</w:t>
      </w:r>
      <w:r>
        <w:rPr>
          <w:rFonts w:ascii="Calibri" w:hAnsi="Calibri" w:cs="Calibri" w:eastAsia="Calibri" w:hint="default"/>
          <w:spacing w:val="-23"/>
          <w:sz w:val="22"/>
          <w:szCs w:val="22"/>
        </w:rPr>
        <w:t> </w:t>
      </w:r>
      <w:r>
        <w:rPr>
          <w:rFonts w:ascii="Calibri" w:hAnsi="Calibri" w:cs="Calibri" w:eastAsia="Calibri" w:hint="default"/>
          <w:sz w:val="22"/>
          <w:szCs w:val="22"/>
        </w:rPr>
        <w:t>restaurant</w:t>
      </w:r>
      <w:r>
        <w:rPr>
          <w:rFonts w:ascii="Calibri" w:hAnsi="Calibri" w:cs="Calibri" w:eastAsia="Calibri" w:hint="default"/>
          <w:spacing w:val="-4"/>
          <w:sz w:val="22"/>
          <w:szCs w:val="22"/>
        </w:rPr>
        <w:t> </w:t>
      </w:r>
      <w:r>
        <w:rPr>
          <w:rFonts w:ascii="Calibri" w:hAnsi="Calibri" w:cs="Calibri" w:eastAsia="Calibri" w:hint="default"/>
          <w:sz w:val="22"/>
          <w:szCs w:val="22"/>
        </w:rPr>
        <w:t>staff</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0"/>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Attractiveness of</w:t>
      </w:r>
      <w:r>
        <w:rPr>
          <w:rFonts w:ascii="Calibri" w:hAnsi="Calibri" w:cs="Calibri" w:eastAsia="Calibri" w:hint="default"/>
          <w:spacing w:val="-11"/>
          <w:sz w:val="22"/>
          <w:szCs w:val="22"/>
        </w:rPr>
        <w:t> </w:t>
      </w:r>
      <w:r>
        <w:rPr>
          <w:rFonts w:ascii="Calibri" w:hAnsi="Calibri" w:cs="Calibri" w:eastAsia="Calibri" w:hint="default"/>
          <w:sz w:val="22"/>
          <w:szCs w:val="22"/>
        </w:rPr>
        <w:t>accommodation</w:t>
      </w:r>
      <w:r>
        <w:rPr>
          <w:rFonts w:ascii="Calibri" w:hAnsi="Calibri" w:cs="Calibri" w:eastAsia="Calibri" w:hint="default"/>
          <w:spacing w:val="-5"/>
          <w:sz w:val="22"/>
          <w:szCs w:val="22"/>
        </w:rPr>
        <w:t> </w:t>
      </w:r>
      <w:r>
        <w:rPr>
          <w:rFonts w:ascii="Calibri" w:hAnsi="Calibri" w:cs="Calibri" w:eastAsia="Calibri" w:hint="default"/>
          <w:sz w:val="22"/>
          <w:szCs w:val="22"/>
        </w:rPr>
        <w:t>facilities</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Attractiveness</w:t>
      </w:r>
      <w:r>
        <w:rPr>
          <w:rFonts w:ascii="Calibri" w:hAnsi="Calibri" w:cs="Calibri" w:eastAsia="Calibri" w:hint="default"/>
          <w:spacing w:val="-4"/>
          <w:sz w:val="22"/>
          <w:szCs w:val="22"/>
        </w:rPr>
        <w:t> </w:t>
      </w:r>
      <w:r>
        <w:rPr>
          <w:rFonts w:ascii="Calibri" w:hAnsi="Calibri" w:cs="Calibri" w:eastAsia="Calibri" w:hint="default"/>
          <w:sz w:val="22"/>
          <w:szCs w:val="22"/>
        </w:rPr>
        <w:t>of</w:t>
      </w:r>
      <w:r>
        <w:rPr>
          <w:rFonts w:ascii="Calibri" w:hAnsi="Calibri" w:cs="Calibri" w:eastAsia="Calibri" w:hint="default"/>
          <w:spacing w:val="-4"/>
          <w:sz w:val="22"/>
          <w:szCs w:val="22"/>
        </w:rPr>
        <w:t> </w:t>
      </w:r>
      <w:r>
        <w:rPr>
          <w:rFonts w:ascii="Calibri" w:hAnsi="Calibri" w:cs="Calibri" w:eastAsia="Calibri" w:hint="default"/>
          <w:sz w:val="22"/>
          <w:szCs w:val="22"/>
        </w:rPr>
        <w:t>restaurants</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after="12"/>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Payment options (accepts a variety of</w:t>
      </w:r>
      <w:r>
        <w:rPr>
          <w:rFonts w:ascii="Calibri" w:hAnsi="Calibri" w:cs="Calibri" w:eastAsia="Calibri" w:hint="default"/>
          <w:spacing w:val="-13"/>
          <w:sz w:val="22"/>
          <w:szCs w:val="22"/>
        </w:rPr>
        <w:t> </w:t>
      </w:r>
      <w:r>
        <w:rPr>
          <w:rFonts w:ascii="Calibri" w:hAnsi="Calibri" w:cs="Calibri" w:eastAsia="Calibri" w:hint="default"/>
          <w:sz w:val="22"/>
          <w:szCs w:val="22"/>
        </w:rPr>
        <w:t>credit</w:t>
      </w:r>
      <w:r>
        <w:rPr>
          <w:rFonts w:ascii="Calibri" w:hAnsi="Calibri" w:cs="Calibri" w:eastAsia="Calibri" w:hint="default"/>
          <w:spacing w:val="-2"/>
          <w:sz w:val="22"/>
          <w:szCs w:val="22"/>
        </w:rPr>
        <w:t> </w:t>
      </w:r>
      <w:r>
        <w:rPr>
          <w:rFonts w:ascii="Calibri" w:hAnsi="Calibri" w:cs="Calibri" w:eastAsia="Calibri" w:hint="default"/>
          <w:sz w:val="22"/>
          <w:szCs w:val="22"/>
        </w:rPr>
        <w:t>cards)</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spacing w:line="20" w:lineRule="exact"/>
        <w:ind w:left="109" w:right="0" w:firstLine="0"/>
        <w:rPr>
          <w:rFonts w:ascii="Calibri" w:hAnsi="Calibri" w:cs="Calibri" w:eastAsia="Calibri" w:hint="default"/>
          <w:sz w:val="2"/>
          <w:szCs w:val="2"/>
        </w:rPr>
      </w:pPr>
      <w:r>
        <w:rPr>
          <w:rFonts w:ascii="Calibri" w:hAnsi="Calibri" w:cs="Calibri" w:eastAsia="Calibri" w:hint="default"/>
          <w:sz w:val="2"/>
          <w:szCs w:val="2"/>
        </w:rPr>
        <w:pict>
          <v:group style="width:552.8pt;height:.5pt;mso-position-horizontal-relative:char;mso-position-vertical-relative:line" coordorigin="0,0" coordsize="11056,10">
            <v:group style="position:absolute;left:5;top:5;width:7783;height:2" coordorigin="5,5" coordsize="7783,2">
              <v:shape style="position:absolute;left:5;top:5;width:7783;height:2" coordorigin="5,5" coordsize="7783,0" path="m5,5l7788,5e" filled="false" stroked="true" strokeweight=".48001pt" strokecolor="#000000">
                <v:path arrowok="t"/>
              </v:shape>
            </v:group>
            <v:group style="position:absolute;left:7773;top:5;width:10;height:2" coordorigin="7773,5" coordsize="10,2">
              <v:shape style="position:absolute;left:7773;top:5;width:10;height:2" coordorigin="7773,5" coordsize="10,0" path="m7773,5l7783,5e" filled="false" stroked="true" strokeweight=".48001pt" strokecolor="#000000">
                <v:path arrowok="t"/>
              </v:shape>
            </v:group>
            <v:group style="position:absolute;left:7783;top:5;width:548;height:2" coordorigin="7783,5" coordsize="548,2">
              <v:shape style="position:absolute;left:7783;top:5;width:548;height:2" coordorigin="7783,5" coordsize="548,0" path="m7783,5l8330,5e" filled="false" stroked="true" strokeweight=".48001pt" strokecolor="#000000">
                <v:path arrowok="t"/>
              </v:shape>
            </v:group>
            <v:group style="position:absolute;left:8316;top:5;width:10;height:2" coordorigin="8316,5" coordsize="10,2">
              <v:shape style="position:absolute;left:8316;top:5;width:10;height:2" coordorigin="8316,5" coordsize="10,0" path="m8316,5l8325,5e" filled="false" stroked="true" strokeweight=".48001pt" strokecolor="#000000">
                <v:path arrowok="t"/>
              </v:shape>
            </v:group>
            <v:group style="position:absolute;left:8325;top:5;width:549;height:2" coordorigin="8325,5" coordsize="549,2">
              <v:shape style="position:absolute;left:8325;top:5;width:549;height:2" coordorigin="8325,5" coordsize="549,0" path="m8325,5l8874,5e" filled="false" stroked="true" strokeweight=".48001pt" strokecolor="#000000">
                <v:path arrowok="t"/>
              </v:shape>
            </v:group>
            <v:group style="position:absolute;left:8859;top:5;width:10;height:2" coordorigin="8859,5" coordsize="10,2">
              <v:shape style="position:absolute;left:8859;top:5;width:10;height:2" coordorigin="8859,5" coordsize="10,0" path="m8859,5l8869,5e" filled="false" stroked="true" strokeweight=".48001pt" strokecolor="#000000">
                <v:path arrowok="t"/>
              </v:shape>
            </v:group>
            <v:group style="position:absolute;left:8869;top:5;width:550;height:2" coordorigin="8869,5" coordsize="550,2">
              <v:shape style="position:absolute;left:8869;top:5;width:550;height:2" coordorigin="8869,5" coordsize="550,0" path="m8869,5l9419,5e" filled="false" stroked="true" strokeweight=".48001pt" strokecolor="#000000">
                <v:path arrowok="t"/>
              </v:shape>
            </v:group>
            <v:group style="position:absolute;left:9404;top:5;width:10;height:2" coordorigin="9404,5" coordsize="10,2">
              <v:shape style="position:absolute;left:9404;top:5;width:10;height:2" coordorigin="9404,5" coordsize="10,0" path="m9404,5l9414,5e" filled="false" stroked="true" strokeweight=".48001pt" strokecolor="#000000">
                <v:path arrowok="t"/>
              </v:shape>
            </v:group>
            <v:group style="position:absolute;left:9414;top:5;width:549;height:2" coordorigin="9414,5" coordsize="549,2">
              <v:shape style="position:absolute;left:9414;top:5;width:549;height:2" coordorigin="9414,5" coordsize="549,0" path="m9414,5l9962,5e" filled="false" stroked="true" strokeweight=".48001pt" strokecolor="#000000">
                <v:path arrowok="t"/>
              </v:shape>
            </v:group>
            <v:group style="position:absolute;left:9948;top:5;width:10;height:2" coordorigin="9948,5" coordsize="10,2">
              <v:shape style="position:absolute;left:9948;top:5;width:10;height:2" coordorigin="9948,5" coordsize="10,0" path="m9948,5l9957,5e" filled="false" stroked="true" strokeweight=".48001pt" strokecolor="#000000">
                <v:path arrowok="t"/>
              </v:shape>
            </v:group>
            <v:group style="position:absolute;left:9957;top:5;width:549;height:2" coordorigin="9957,5" coordsize="549,2">
              <v:shape style="position:absolute;left:9957;top:5;width:549;height:2" coordorigin="9957,5" coordsize="549,0" path="m9957,5l10506,5e" filled="false" stroked="true" strokeweight=".48001pt" strokecolor="#000000">
                <v:path arrowok="t"/>
              </v:shape>
            </v:group>
            <v:group style="position:absolute;left:10492;top:5;width:10;height:2" coordorigin="10492,5" coordsize="10,2">
              <v:shape style="position:absolute;left:10492;top:5;width:10;height:2" coordorigin="10492,5" coordsize="10,0" path="m10492,5l10501,5e" filled="false" stroked="true" strokeweight=".48001pt" strokecolor="#000000">
                <v:path arrowok="t"/>
              </v:shape>
            </v:group>
            <v:group style="position:absolute;left:10501;top:5;width:550;height:2" coordorigin="10501,5" coordsize="550,2">
              <v:shape style="position:absolute;left:10501;top:5;width:550;height:2" coordorigin="10501,5" coordsize="550,0" path="m10501,5l11051,5e" filled="false" stroked="true" strokeweight=".48001pt" strokecolor="#000000">
                <v:path arrowok="t"/>
              </v:shape>
            </v:group>
          </v:group>
        </w:pict>
      </w:r>
      <w:r>
        <w:rPr>
          <w:rFonts w:ascii="Calibri" w:hAnsi="Calibri" w:cs="Calibri" w:eastAsia="Calibri" w:hint="default"/>
          <w:sz w:val="2"/>
          <w:szCs w:val="2"/>
        </w:rPr>
      </w:r>
    </w:p>
    <w:p>
      <w:pPr>
        <w:spacing w:line="240" w:lineRule="auto" w:before="1" w:after="0"/>
        <w:ind w:right="0"/>
        <w:rPr>
          <w:rFonts w:ascii="Calibri" w:hAnsi="Calibri" w:cs="Calibri" w:eastAsia="Calibri" w:hint="default"/>
          <w:sz w:val="21"/>
          <w:szCs w:val="21"/>
        </w:rPr>
      </w:pPr>
    </w:p>
    <w:p>
      <w:pPr>
        <w:spacing w:line="20" w:lineRule="exact"/>
        <w:ind w:left="123" w:right="0" w:firstLine="0"/>
        <w:rPr>
          <w:rFonts w:ascii="Calibri" w:hAnsi="Calibri" w:cs="Calibri" w:eastAsia="Calibri" w:hint="default"/>
          <w:sz w:val="2"/>
          <w:szCs w:val="2"/>
        </w:rPr>
      </w:pPr>
      <w:r>
        <w:rPr>
          <w:rFonts w:ascii="Calibri" w:hAnsi="Calibri" w:cs="Calibri" w:eastAsia="Calibri" w:hint="default"/>
          <w:sz w:val="2"/>
          <w:szCs w:val="2"/>
        </w:rPr>
        <w:pict>
          <v:group style="width:552.1pt;height:.5pt;mso-position-horizontal-relative:char;mso-position-vertical-relative:line" coordorigin="0,0" coordsize="11042,10">
            <v:group style="position:absolute;left:5;top:5;width:7769;height:2" coordorigin="5,5" coordsize="7769,2">
              <v:shape style="position:absolute;left:5;top:5;width:7769;height:2" coordorigin="5,5" coordsize="7769,0" path="m5,5l7773,5e" filled="false" stroked="true" strokeweight=".48001pt" strokecolor="#000000">
                <v:path arrowok="t"/>
              </v:shape>
            </v:group>
            <v:group style="position:absolute;left:7773;top:5;width:10;height:2" coordorigin="7773,5" coordsize="10,2">
              <v:shape style="position:absolute;left:7773;top:5;width:10;height:2" coordorigin="7773,5" coordsize="10,0" path="m7773,5l7783,5e" filled="false" stroked="true" strokeweight=".48001pt" strokecolor="#000000">
                <v:path arrowok="t"/>
              </v:shape>
            </v:group>
            <v:group style="position:absolute;left:7783;top:5;width:1622;height:2" coordorigin="7783,5" coordsize="1622,2">
              <v:shape style="position:absolute;left:7783;top:5;width:1622;height:2" coordorigin="7783,5" coordsize="1622,0" path="m7783,5l9404,5e" filled="false" stroked="true" strokeweight=".48001pt" strokecolor="#000000">
                <v:path arrowok="t"/>
              </v:shape>
            </v:group>
            <v:group style="position:absolute;left:9404;top:5;width:10;height:2" coordorigin="9404,5" coordsize="10,2">
              <v:shape style="position:absolute;left:9404;top:5;width:10;height:2" coordorigin="9404,5" coordsize="10,0" path="m9404,5l9414,5e" filled="false" stroked="true" strokeweight=".48001pt" strokecolor="#000000">
                <v:path arrowok="t"/>
              </v:shape>
            </v:group>
            <v:group style="position:absolute;left:9414;top:5;width:1623;height:2" coordorigin="9414,5" coordsize="1623,2">
              <v:shape style="position:absolute;left:9414;top:5;width:1623;height:2" coordorigin="9414,5" coordsize="1623,0" path="m9414,5l11037,5e" filled="false" stroked="true" strokeweight=".48001pt" strokecolor="#000000">
                <v:path arrowok="t"/>
              </v:shape>
            </v:group>
          </v:group>
        </w:pict>
      </w:r>
      <w:r>
        <w:rPr>
          <w:rFonts w:ascii="Calibri" w:hAnsi="Calibri" w:cs="Calibri" w:eastAsia="Calibri" w:hint="default"/>
          <w:sz w:val="2"/>
          <w:szCs w:val="2"/>
        </w:rPr>
      </w:r>
    </w:p>
    <w:p>
      <w:pPr>
        <w:pStyle w:val="ListParagraph"/>
        <w:numPr>
          <w:ilvl w:val="0"/>
          <w:numId w:val="23"/>
        </w:numPr>
        <w:tabs>
          <w:tab w:pos="569" w:val="left" w:leader="none"/>
          <w:tab w:pos="8005" w:val="left" w:leader="none"/>
          <w:tab w:pos="10575" w:val="left" w:leader="none"/>
        </w:tabs>
        <w:spacing w:line="240" w:lineRule="auto" w:before="0" w:after="10"/>
        <w:ind w:left="568" w:right="0" w:hanging="332"/>
        <w:jc w:val="left"/>
        <w:rPr>
          <w:rFonts w:ascii="Calibri" w:hAnsi="Calibri" w:cs="Calibri" w:eastAsia="Calibri" w:hint="default"/>
          <w:sz w:val="22"/>
          <w:szCs w:val="22"/>
        </w:rPr>
      </w:pPr>
      <w:r>
        <w:rPr>
          <w:rFonts w:ascii="Calibri" w:hAnsi="Calibri"/>
          <w:b/>
          <w:sz w:val="22"/>
        </w:rPr>
        <w:t>Based on your experience, rate how Curaçao performed in</w:t>
      </w:r>
      <w:r>
        <w:rPr>
          <w:rFonts w:ascii="Calibri" w:hAnsi="Calibri"/>
          <w:b/>
          <w:spacing w:val="14"/>
          <w:sz w:val="22"/>
        </w:rPr>
        <w:t> </w:t>
      </w:r>
      <w:r>
        <w:rPr>
          <w:rFonts w:ascii="Calibri" w:hAnsi="Calibri"/>
          <w:b/>
          <w:sz w:val="22"/>
        </w:rPr>
        <w:t>terms</w:t>
      </w:r>
      <w:r>
        <w:rPr>
          <w:rFonts w:ascii="Calibri" w:hAnsi="Calibri"/>
          <w:b/>
          <w:spacing w:val="-3"/>
          <w:sz w:val="22"/>
        </w:rPr>
        <w:t> </w:t>
      </w:r>
      <w:r>
        <w:rPr>
          <w:rFonts w:ascii="Calibri" w:hAnsi="Calibri"/>
          <w:b/>
          <w:sz w:val="22"/>
        </w:rPr>
        <w:t>of:</w:t>
        <w:tab/>
      </w:r>
      <w:r>
        <w:rPr>
          <w:rFonts w:ascii="Calibri" w:hAnsi="Calibri"/>
          <w:b/>
          <w:w w:val="95"/>
          <w:sz w:val="22"/>
        </w:rPr>
        <w:t>LOW</w:t>
        <w:tab/>
      </w:r>
      <w:r>
        <w:rPr>
          <w:rFonts w:ascii="Calibri" w:hAnsi="Calibri"/>
          <w:b/>
          <w:sz w:val="22"/>
        </w:rPr>
        <w:t>HIGH</w:t>
      </w:r>
      <w:r>
        <w:rPr>
          <w:rFonts w:ascii="Calibri" w:hAnsi="Calibri"/>
          <w:sz w:val="22"/>
        </w:rPr>
      </w:r>
    </w:p>
    <w:p>
      <w:pPr>
        <w:spacing w:line="20" w:lineRule="exact"/>
        <w:ind w:left="123" w:right="0" w:firstLine="0"/>
        <w:rPr>
          <w:rFonts w:ascii="Calibri" w:hAnsi="Calibri" w:cs="Calibri" w:eastAsia="Calibri" w:hint="default"/>
          <w:sz w:val="2"/>
          <w:szCs w:val="2"/>
        </w:rPr>
      </w:pPr>
      <w:r>
        <w:rPr>
          <w:rFonts w:ascii="Calibri" w:hAnsi="Calibri" w:cs="Calibri" w:eastAsia="Calibri" w:hint="default"/>
          <w:sz w:val="2"/>
          <w:szCs w:val="2"/>
        </w:rPr>
        <w:pict>
          <v:group style="width:552.1pt;height:.5pt;mso-position-horizontal-relative:char;mso-position-vertical-relative:line" coordorigin="0,0" coordsize="11042,10">
            <v:group style="position:absolute;left:5;top:5;width:7769;height:2" coordorigin="5,5" coordsize="7769,2">
              <v:shape style="position:absolute;left:5;top:5;width:7769;height:2" coordorigin="5,5" coordsize="7769,0" path="m5,5l7773,5e" filled="false" stroked="true" strokeweight=".47998pt" strokecolor="#000000">
                <v:path arrowok="t"/>
              </v:shape>
            </v:group>
            <v:group style="position:absolute;left:7773;top:5;width:10;height:2" coordorigin="7773,5" coordsize="10,2">
              <v:shape style="position:absolute;left:7773;top:5;width:10;height:2" coordorigin="7773,5" coordsize="10,0" path="m7773,5l7783,5e" filled="false" stroked="true" strokeweight=".47998pt" strokecolor="#000000">
                <v:path arrowok="t"/>
              </v:shape>
            </v:group>
            <v:group style="position:absolute;left:7783;top:5;width:533;height:2" coordorigin="7783,5" coordsize="533,2">
              <v:shape style="position:absolute;left:7783;top:5;width:533;height:2" coordorigin="7783,5" coordsize="533,0" path="m7783,5l8316,5e" filled="false" stroked="true" strokeweight=".47998pt" strokecolor="#000000">
                <v:path arrowok="t"/>
              </v:shape>
            </v:group>
            <v:group style="position:absolute;left:8316;top:5;width:10;height:2" coordorigin="8316,5" coordsize="10,2">
              <v:shape style="position:absolute;left:8316;top:5;width:10;height:2" coordorigin="8316,5" coordsize="10,0" path="m8316,5l8325,5e" filled="false" stroked="true" strokeweight=".47998pt" strokecolor="#000000">
                <v:path arrowok="t"/>
              </v:shape>
            </v:group>
            <v:group style="position:absolute;left:8325;top:5;width:534;height:2" coordorigin="8325,5" coordsize="534,2">
              <v:shape style="position:absolute;left:8325;top:5;width:534;height:2" coordorigin="8325,5" coordsize="534,0" path="m8325,5l8859,5e" filled="false" stroked="true" strokeweight=".47998pt" strokecolor="#000000">
                <v:path arrowok="t"/>
              </v:shape>
            </v:group>
            <v:group style="position:absolute;left:8859;top:5;width:10;height:2" coordorigin="8859,5" coordsize="10,2">
              <v:shape style="position:absolute;left:8859;top:5;width:10;height:2" coordorigin="8859,5" coordsize="10,0" path="m8859,5l8869,5e" filled="false" stroked="true" strokeweight=".47998pt" strokecolor="#000000">
                <v:path arrowok="t"/>
              </v:shape>
            </v:group>
            <v:group style="position:absolute;left:8869;top:5;width:536;height:2" coordorigin="8869,5" coordsize="536,2">
              <v:shape style="position:absolute;left:8869;top:5;width:536;height:2" coordorigin="8869,5" coordsize="536,0" path="m8869,5l9404,5e" filled="false" stroked="true" strokeweight=".47998pt" strokecolor="#000000">
                <v:path arrowok="t"/>
              </v:shape>
            </v:group>
            <v:group style="position:absolute;left:9404;top:5;width:10;height:2" coordorigin="9404,5" coordsize="10,2">
              <v:shape style="position:absolute;left:9404;top:5;width:10;height:2" coordorigin="9404,5" coordsize="10,0" path="m9404,5l9414,5e" filled="false" stroked="true" strokeweight=".47998pt" strokecolor="#000000">
                <v:path arrowok="t"/>
              </v:shape>
            </v:group>
            <v:group style="position:absolute;left:9414;top:5;width:534;height:2" coordorigin="9414,5" coordsize="534,2">
              <v:shape style="position:absolute;left:9414;top:5;width:534;height:2" coordorigin="9414,5" coordsize="534,0" path="m9414,5l9948,5e" filled="false" stroked="true" strokeweight=".47998pt" strokecolor="#000000">
                <v:path arrowok="t"/>
              </v:shape>
            </v:group>
            <v:group style="position:absolute;left:9948;top:5;width:10;height:2" coordorigin="9948,5" coordsize="10,2">
              <v:shape style="position:absolute;left:9948;top:5;width:10;height:2" coordorigin="9948,5" coordsize="10,0" path="m9948,5l9957,5e" filled="false" stroked="true" strokeweight=".47998pt" strokecolor="#000000">
                <v:path arrowok="t"/>
              </v:shape>
            </v:group>
            <v:group style="position:absolute;left:9957;top:5;width:535;height:2" coordorigin="9957,5" coordsize="535,2">
              <v:shape style="position:absolute;left:9957;top:5;width:535;height:2" coordorigin="9957,5" coordsize="535,0" path="m9957,5l10492,5e" filled="false" stroked="true" strokeweight=".47998pt" strokecolor="#000000">
                <v:path arrowok="t"/>
              </v:shape>
            </v:group>
            <v:group style="position:absolute;left:10492;top:5;width:10;height:2" coordorigin="10492,5" coordsize="10,2">
              <v:shape style="position:absolute;left:10492;top:5;width:10;height:2" coordorigin="10492,5" coordsize="10,0" path="m10492,5l10501,5e" filled="false" stroked="true" strokeweight=".47998pt" strokecolor="#000000">
                <v:path arrowok="t"/>
              </v:shape>
            </v:group>
            <v:group style="position:absolute;left:10501;top:5;width:536;height:2" coordorigin="10501,5" coordsize="536,2">
              <v:shape style="position:absolute;left:10501;top:5;width:536;height:2" coordorigin="10501,5" coordsize="536,0" path="m10501,5l11037,5e" filled="false" stroked="true" strokeweight=".47998pt" strokecolor="#000000">
                <v:path arrowok="t"/>
              </v:shape>
            </v:group>
          </v:group>
        </w:pict>
      </w:r>
      <w:r>
        <w:rPr>
          <w:rFonts w:ascii="Calibri" w:hAnsi="Calibri" w:cs="Calibri" w:eastAsia="Calibri" w:hint="default"/>
          <w:sz w:val="2"/>
          <w:szCs w:val="2"/>
        </w:rPr>
      </w:r>
    </w:p>
    <w:p>
      <w:pPr>
        <w:tabs>
          <w:tab w:pos="8005" w:val="left" w:leader="none"/>
          <w:tab w:pos="8547" w:val="left" w:leader="none"/>
          <w:tab w:pos="9091" w:val="left" w:leader="none"/>
          <w:tab w:pos="9635" w:val="left" w:leader="none"/>
          <w:tab w:pos="10179" w:val="left" w:leader="none"/>
          <w:tab w:pos="10723" w:val="left" w:leader="none"/>
        </w:tabs>
        <w:spacing w:before="0"/>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Quality</w:t>
      </w:r>
      <w:r>
        <w:rPr>
          <w:rFonts w:ascii="Calibri" w:hAnsi="Calibri" w:cs="Calibri" w:eastAsia="Calibri" w:hint="default"/>
          <w:spacing w:val="-3"/>
          <w:sz w:val="22"/>
          <w:szCs w:val="22"/>
        </w:rPr>
        <w:t> </w:t>
      </w:r>
      <w:r>
        <w:rPr>
          <w:rFonts w:ascii="Calibri" w:hAnsi="Calibri" w:cs="Calibri" w:eastAsia="Calibri" w:hint="default"/>
          <w:sz w:val="22"/>
          <w:szCs w:val="22"/>
        </w:rPr>
        <w:t>of</w:t>
      </w:r>
      <w:r>
        <w:rPr>
          <w:rFonts w:ascii="Calibri" w:hAnsi="Calibri" w:cs="Calibri" w:eastAsia="Calibri" w:hint="default"/>
          <w:spacing w:val="-2"/>
          <w:sz w:val="22"/>
          <w:szCs w:val="22"/>
        </w:rPr>
        <w:t> </w:t>
      </w:r>
      <w:r>
        <w:rPr>
          <w:rFonts w:ascii="Calibri" w:hAnsi="Calibri" w:cs="Calibri" w:eastAsia="Calibri" w:hint="default"/>
          <w:sz w:val="22"/>
          <w:szCs w:val="22"/>
        </w:rPr>
        <w:t>roads</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Social</w:t>
      </w:r>
      <w:r>
        <w:rPr>
          <w:rFonts w:ascii="Calibri" w:hAnsi="Calibri" w:cs="Calibri" w:eastAsia="Calibri" w:hint="default"/>
          <w:spacing w:val="-8"/>
          <w:sz w:val="22"/>
          <w:szCs w:val="22"/>
        </w:rPr>
        <w:t> </w:t>
      </w:r>
      <w:r>
        <w:rPr>
          <w:rFonts w:ascii="Calibri" w:hAnsi="Calibri" w:cs="Calibri" w:eastAsia="Calibri" w:hint="default"/>
          <w:sz w:val="22"/>
          <w:szCs w:val="22"/>
        </w:rPr>
        <w:t>atmosphere</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Drinking</w:t>
      </w:r>
      <w:r>
        <w:rPr>
          <w:rFonts w:ascii="Calibri" w:hAnsi="Calibri" w:cs="Calibri" w:eastAsia="Calibri" w:hint="default"/>
          <w:spacing w:val="-5"/>
          <w:sz w:val="22"/>
          <w:szCs w:val="22"/>
        </w:rPr>
        <w:t> </w:t>
      </w:r>
      <w:r>
        <w:rPr>
          <w:rFonts w:ascii="Calibri" w:hAnsi="Calibri" w:cs="Calibri" w:eastAsia="Calibri" w:hint="default"/>
          <w:sz w:val="22"/>
          <w:szCs w:val="22"/>
        </w:rPr>
        <w:t>water</w:t>
      </w:r>
      <w:r>
        <w:rPr>
          <w:rFonts w:ascii="Calibri" w:hAnsi="Calibri" w:cs="Calibri" w:eastAsia="Calibri" w:hint="default"/>
          <w:spacing w:val="-6"/>
          <w:sz w:val="22"/>
          <w:szCs w:val="22"/>
        </w:rPr>
        <w:t> </w:t>
      </w:r>
      <w:r>
        <w:rPr>
          <w:rFonts w:ascii="Calibri" w:hAnsi="Calibri" w:cs="Calibri" w:eastAsia="Calibri" w:hint="default"/>
          <w:sz w:val="22"/>
          <w:szCs w:val="22"/>
        </w:rPr>
        <w:t>quality</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Presence of signage</w:t>
      </w:r>
      <w:r>
        <w:rPr>
          <w:rFonts w:ascii="Calibri" w:hAnsi="Calibri" w:cs="Calibri" w:eastAsia="Calibri" w:hint="default"/>
          <w:spacing w:val="-9"/>
          <w:sz w:val="22"/>
          <w:szCs w:val="22"/>
        </w:rPr>
        <w:t> </w:t>
      </w:r>
      <w:r>
        <w:rPr>
          <w:rFonts w:ascii="Calibri" w:hAnsi="Calibri" w:cs="Calibri" w:eastAsia="Calibri" w:hint="default"/>
          <w:sz w:val="22"/>
          <w:szCs w:val="22"/>
        </w:rPr>
        <w:t>and</w:t>
      </w:r>
      <w:r>
        <w:rPr>
          <w:rFonts w:ascii="Calibri" w:hAnsi="Calibri" w:cs="Calibri" w:eastAsia="Calibri" w:hint="default"/>
          <w:spacing w:val="-3"/>
          <w:sz w:val="22"/>
          <w:szCs w:val="22"/>
        </w:rPr>
        <w:t> </w:t>
      </w:r>
      <w:r>
        <w:rPr>
          <w:rFonts w:ascii="Calibri" w:hAnsi="Calibri" w:cs="Calibri" w:eastAsia="Calibri" w:hint="default"/>
          <w:sz w:val="22"/>
          <w:szCs w:val="22"/>
        </w:rPr>
        <w:t>directions</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Clarity of</w:t>
      </w:r>
      <w:r>
        <w:rPr>
          <w:rFonts w:ascii="Calibri" w:hAnsi="Calibri" w:cs="Calibri" w:eastAsia="Calibri" w:hint="default"/>
          <w:spacing w:val="-11"/>
          <w:sz w:val="22"/>
          <w:szCs w:val="22"/>
        </w:rPr>
        <w:t> </w:t>
      </w:r>
      <w:r>
        <w:rPr>
          <w:rFonts w:ascii="Calibri" w:hAnsi="Calibri" w:cs="Calibri" w:eastAsia="Calibri" w:hint="default"/>
          <w:sz w:val="22"/>
          <w:szCs w:val="22"/>
        </w:rPr>
        <w:t>road</w:t>
      </w:r>
      <w:r>
        <w:rPr>
          <w:rFonts w:ascii="Calibri" w:hAnsi="Calibri" w:cs="Calibri" w:eastAsia="Calibri" w:hint="default"/>
          <w:spacing w:val="-6"/>
          <w:sz w:val="22"/>
          <w:szCs w:val="22"/>
        </w:rPr>
        <w:t> </w:t>
      </w:r>
      <w:r>
        <w:rPr>
          <w:rFonts w:ascii="Calibri" w:hAnsi="Calibri" w:cs="Calibri" w:eastAsia="Calibri" w:hint="default"/>
          <w:sz w:val="22"/>
          <w:szCs w:val="22"/>
        </w:rPr>
        <w:t>signage</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Cleanliness of</w:t>
      </w:r>
      <w:r>
        <w:rPr>
          <w:rFonts w:ascii="Calibri" w:hAnsi="Calibri" w:cs="Calibri" w:eastAsia="Calibri" w:hint="default"/>
          <w:spacing w:val="-6"/>
          <w:sz w:val="22"/>
          <w:szCs w:val="22"/>
        </w:rPr>
        <w:t> </w:t>
      </w:r>
      <w:r>
        <w:rPr>
          <w:rFonts w:ascii="Calibri" w:hAnsi="Calibri" w:cs="Calibri" w:eastAsia="Calibri" w:hint="default"/>
          <w:sz w:val="22"/>
          <w:szCs w:val="22"/>
        </w:rPr>
        <w:t>the</w:t>
      </w:r>
      <w:r>
        <w:rPr>
          <w:rFonts w:ascii="Calibri" w:hAnsi="Calibri" w:cs="Calibri" w:eastAsia="Calibri" w:hint="default"/>
          <w:spacing w:val="-3"/>
          <w:sz w:val="22"/>
          <w:szCs w:val="22"/>
        </w:rPr>
        <w:t> </w:t>
      </w:r>
      <w:r>
        <w:rPr>
          <w:rFonts w:ascii="Calibri" w:hAnsi="Calibri" w:cs="Calibri" w:eastAsia="Calibri" w:hint="default"/>
          <w:sz w:val="22"/>
          <w:szCs w:val="22"/>
        </w:rPr>
        <w:t>island</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Safety</w:t>
      </w:r>
      <w:r>
        <w:rPr>
          <w:rFonts w:ascii="Calibri" w:hAnsi="Calibri" w:cs="Calibri" w:eastAsia="Calibri" w:hint="default"/>
          <w:spacing w:val="-3"/>
          <w:sz w:val="22"/>
          <w:szCs w:val="22"/>
        </w:rPr>
        <w:t> </w:t>
      </w:r>
      <w:r>
        <w:rPr>
          <w:rFonts w:ascii="Calibri" w:hAnsi="Calibri" w:cs="Calibri" w:eastAsia="Calibri" w:hint="default"/>
          <w:sz w:val="22"/>
          <w:szCs w:val="22"/>
        </w:rPr>
        <w:t>and</w:t>
      </w:r>
      <w:r>
        <w:rPr>
          <w:rFonts w:ascii="Calibri" w:hAnsi="Calibri" w:cs="Calibri" w:eastAsia="Calibri" w:hint="default"/>
          <w:spacing w:val="-3"/>
          <w:sz w:val="22"/>
          <w:szCs w:val="22"/>
        </w:rPr>
        <w:t> </w:t>
      </w:r>
      <w:r>
        <w:rPr>
          <w:rFonts w:ascii="Calibri" w:hAnsi="Calibri" w:cs="Calibri" w:eastAsia="Calibri" w:hint="default"/>
          <w:sz w:val="22"/>
          <w:szCs w:val="22"/>
        </w:rPr>
        <w:t>security</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Accessibility to sites</w:t>
      </w:r>
      <w:r>
        <w:rPr>
          <w:rFonts w:ascii="Calibri" w:hAnsi="Calibri" w:cs="Calibri" w:eastAsia="Calibri" w:hint="default"/>
          <w:spacing w:val="-9"/>
          <w:sz w:val="22"/>
          <w:szCs w:val="22"/>
        </w:rPr>
        <w:t> </w:t>
      </w:r>
      <w:r>
        <w:rPr>
          <w:rFonts w:ascii="Calibri" w:hAnsi="Calibri" w:cs="Calibri" w:eastAsia="Calibri" w:hint="default"/>
          <w:sz w:val="22"/>
          <w:szCs w:val="22"/>
        </w:rPr>
        <w:t>of</w:t>
      </w:r>
      <w:r>
        <w:rPr>
          <w:rFonts w:ascii="Calibri" w:hAnsi="Calibri" w:cs="Calibri" w:eastAsia="Calibri" w:hint="default"/>
          <w:spacing w:val="-4"/>
          <w:sz w:val="22"/>
          <w:szCs w:val="22"/>
        </w:rPr>
        <w:t> </w:t>
      </w:r>
      <w:r>
        <w:rPr>
          <w:rFonts w:ascii="Calibri" w:hAnsi="Calibri" w:cs="Calibri" w:eastAsia="Calibri" w:hint="default"/>
          <w:sz w:val="22"/>
          <w:szCs w:val="22"/>
        </w:rPr>
        <w:t>interest</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Multi-lingual skills of the</w:t>
      </w:r>
      <w:r>
        <w:rPr>
          <w:rFonts w:ascii="Calibri" w:hAnsi="Calibri" w:cs="Calibri" w:eastAsia="Calibri" w:hint="default"/>
          <w:spacing w:val="-12"/>
          <w:sz w:val="22"/>
          <w:szCs w:val="22"/>
        </w:rPr>
        <w:t> </w:t>
      </w:r>
      <w:r>
        <w:rPr>
          <w:rFonts w:ascii="Calibri" w:hAnsi="Calibri" w:cs="Calibri" w:eastAsia="Calibri" w:hint="default"/>
          <w:sz w:val="22"/>
          <w:szCs w:val="22"/>
        </w:rPr>
        <w:t>local</w:t>
      </w:r>
      <w:r>
        <w:rPr>
          <w:rFonts w:ascii="Calibri" w:hAnsi="Calibri" w:cs="Calibri" w:eastAsia="Calibri" w:hint="default"/>
          <w:spacing w:val="-4"/>
          <w:sz w:val="22"/>
          <w:szCs w:val="22"/>
        </w:rPr>
        <w:t> </w:t>
      </w:r>
      <w:r>
        <w:rPr>
          <w:rFonts w:ascii="Calibri" w:hAnsi="Calibri" w:cs="Calibri" w:eastAsia="Calibri" w:hint="default"/>
          <w:sz w:val="22"/>
          <w:szCs w:val="22"/>
        </w:rPr>
        <w:t>people</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tabs>
          <w:tab w:pos="8005" w:val="left" w:leader="none"/>
          <w:tab w:pos="8547" w:val="left" w:leader="none"/>
          <w:tab w:pos="9091" w:val="left" w:leader="none"/>
          <w:tab w:pos="9635" w:val="left" w:leader="none"/>
          <w:tab w:pos="10179" w:val="left" w:leader="none"/>
          <w:tab w:pos="10723" w:val="left" w:leader="none"/>
        </w:tabs>
        <w:spacing w:before="19" w:after="10"/>
        <w:ind w:left="236" w:right="0" w:firstLine="0"/>
        <w:jc w:val="left"/>
        <w:rPr>
          <w:rFonts w:ascii="Calibri" w:hAnsi="Calibri" w:cs="Calibri" w:eastAsia="Calibri" w:hint="default"/>
          <w:sz w:val="22"/>
          <w:szCs w:val="22"/>
        </w:rPr>
      </w:pPr>
      <w:r>
        <w:rPr>
          <w:rFonts w:ascii="Calibri" w:hAnsi="Calibri" w:cs="Calibri" w:eastAsia="Calibri" w:hint="default"/>
          <w:sz w:val="22"/>
          <w:szCs w:val="22"/>
        </w:rPr>
        <w:t>Friendliness of the</w:t>
      </w:r>
      <w:r>
        <w:rPr>
          <w:rFonts w:ascii="Calibri" w:hAnsi="Calibri" w:cs="Calibri" w:eastAsia="Calibri" w:hint="default"/>
          <w:spacing w:val="-15"/>
          <w:sz w:val="22"/>
          <w:szCs w:val="22"/>
        </w:rPr>
        <w:t> </w:t>
      </w:r>
      <w:r>
        <w:rPr>
          <w:rFonts w:ascii="Calibri" w:hAnsi="Calibri" w:cs="Calibri" w:eastAsia="Calibri" w:hint="default"/>
          <w:sz w:val="22"/>
          <w:szCs w:val="22"/>
        </w:rPr>
        <w:t>local</w:t>
      </w:r>
      <w:r>
        <w:rPr>
          <w:rFonts w:ascii="Calibri" w:hAnsi="Calibri" w:cs="Calibri" w:eastAsia="Calibri" w:hint="default"/>
          <w:spacing w:val="-6"/>
          <w:sz w:val="22"/>
          <w:szCs w:val="22"/>
        </w:rPr>
        <w:t> </w:t>
      </w:r>
      <w:r>
        <w:rPr>
          <w:rFonts w:ascii="Calibri" w:hAnsi="Calibri" w:cs="Calibri" w:eastAsia="Calibri" w:hint="default"/>
          <w:sz w:val="22"/>
          <w:szCs w:val="22"/>
        </w:rPr>
        <w:t>people</w:t>
        <w:tab/>
      </w:r>
      <w:r>
        <w:rPr>
          <w:rFonts w:ascii="Calibri" w:hAnsi="Calibri" w:cs="Calibri" w:eastAsia="Calibri" w:hint="default"/>
          <w:w w:val="95"/>
          <w:sz w:val="22"/>
          <w:szCs w:val="22"/>
        </w:rPr>
        <w:t>①</w:t>
        <w:tab/>
        <w:t>②</w:t>
        <w:tab/>
        <w:t>③</w:t>
        <w:tab/>
        <w:t>④</w:t>
        <w:tab/>
        <w:t>⑤</w:t>
        <w:tab/>
      </w:r>
      <w:r>
        <w:rPr>
          <w:rFonts w:ascii="Calibri" w:hAnsi="Calibri" w:cs="Calibri" w:eastAsia="Calibri" w:hint="default"/>
          <w:sz w:val="22"/>
          <w:szCs w:val="22"/>
        </w:rPr>
        <w:t>⑥</w:t>
      </w:r>
    </w:p>
    <w:p>
      <w:pPr>
        <w:spacing w:line="20" w:lineRule="exact"/>
        <w:ind w:left="109" w:right="0" w:firstLine="0"/>
        <w:rPr>
          <w:rFonts w:ascii="Calibri" w:hAnsi="Calibri" w:cs="Calibri" w:eastAsia="Calibri" w:hint="default"/>
          <w:sz w:val="2"/>
          <w:szCs w:val="2"/>
        </w:rPr>
      </w:pPr>
      <w:r>
        <w:rPr>
          <w:rFonts w:ascii="Calibri" w:hAnsi="Calibri" w:cs="Calibri" w:eastAsia="Calibri" w:hint="default"/>
          <w:sz w:val="2"/>
          <w:szCs w:val="2"/>
        </w:rPr>
        <w:pict>
          <v:group style="width:552.8pt;height:.5pt;mso-position-horizontal-relative:char;mso-position-vertical-relative:line" coordorigin="0,0" coordsize="11056,10">
            <v:group style="position:absolute;left:5;top:5;width:7783;height:2" coordorigin="5,5" coordsize="7783,2">
              <v:shape style="position:absolute;left:5;top:5;width:7783;height:2" coordorigin="5,5" coordsize="7783,0" path="m5,5l7788,5e" filled="false" stroked="true" strokeweight=".47998pt" strokecolor="#000000">
                <v:path arrowok="t"/>
              </v:shape>
            </v:group>
            <v:group style="position:absolute;left:7773;top:5;width:10;height:2" coordorigin="7773,5" coordsize="10,2">
              <v:shape style="position:absolute;left:7773;top:5;width:10;height:2" coordorigin="7773,5" coordsize="10,0" path="m7773,5l7783,5e" filled="false" stroked="true" strokeweight=".47998pt" strokecolor="#000000">
                <v:path arrowok="t"/>
              </v:shape>
            </v:group>
            <v:group style="position:absolute;left:7783;top:5;width:548;height:2" coordorigin="7783,5" coordsize="548,2">
              <v:shape style="position:absolute;left:7783;top:5;width:548;height:2" coordorigin="7783,5" coordsize="548,0" path="m7783,5l8330,5e" filled="false" stroked="true" strokeweight=".47998pt" strokecolor="#000000">
                <v:path arrowok="t"/>
              </v:shape>
            </v:group>
            <v:group style="position:absolute;left:8316;top:5;width:10;height:2" coordorigin="8316,5" coordsize="10,2">
              <v:shape style="position:absolute;left:8316;top:5;width:10;height:2" coordorigin="8316,5" coordsize="10,0" path="m8316,5l8325,5e" filled="false" stroked="true" strokeweight=".47998pt" strokecolor="#000000">
                <v:path arrowok="t"/>
              </v:shape>
            </v:group>
            <v:group style="position:absolute;left:8325;top:5;width:549;height:2" coordorigin="8325,5" coordsize="549,2">
              <v:shape style="position:absolute;left:8325;top:5;width:549;height:2" coordorigin="8325,5" coordsize="549,0" path="m8325,5l8874,5e" filled="false" stroked="true" strokeweight=".47998pt" strokecolor="#000000">
                <v:path arrowok="t"/>
              </v:shape>
            </v:group>
            <v:group style="position:absolute;left:8859;top:5;width:10;height:2" coordorigin="8859,5" coordsize="10,2">
              <v:shape style="position:absolute;left:8859;top:5;width:10;height:2" coordorigin="8859,5" coordsize="10,0" path="m8859,5l8869,5e" filled="false" stroked="true" strokeweight=".47998pt" strokecolor="#000000">
                <v:path arrowok="t"/>
              </v:shape>
            </v:group>
            <v:group style="position:absolute;left:8869;top:5;width:550;height:2" coordorigin="8869,5" coordsize="550,2">
              <v:shape style="position:absolute;left:8869;top:5;width:550;height:2" coordorigin="8869,5" coordsize="550,0" path="m8869,5l9419,5e" filled="false" stroked="true" strokeweight=".47998pt" strokecolor="#000000">
                <v:path arrowok="t"/>
              </v:shape>
            </v:group>
            <v:group style="position:absolute;left:9404;top:5;width:10;height:2" coordorigin="9404,5" coordsize="10,2">
              <v:shape style="position:absolute;left:9404;top:5;width:10;height:2" coordorigin="9404,5" coordsize="10,0" path="m9404,5l9414,5e" filled="false" stroked="true" strokeweight=".47998pt" strokecolor="#000000">
                <v:path arrowok="t"/>
              </v:shape>
            </v:group>
            <v:group style="position:absolute;left:9414;top:5;width:549;height:2" coordorigin="9414,5" coordsize="549,2">
              <v:shape style="position:absolute;left:9414;top:5;width:549;height:2" coordorigin="9414,5" coordsize="549,0" path="m9414,5l9962,5e" filled="false" stroked="true" strokeweight=".47998pt" strokecolor="#000000">
                <v:path arrowok="t"/>
              </v:shape>
            </v:group>
            <v:group style="position:absolute;left:9948;top:5;width:10;height:2" coordorigin="9948,5" coordsize="10,2">
              <v:shape style="position:absolute;left:9948;top:5;width:10;height:2" coordorigin="9948,5" coordsize="10,0" path="m9948,5l9957,5e" filled="false" stroked="true" strokeweight=".47998pt" strokecolor="#000000">
                <v:path arrowok="t"/>
              </v:shape>
            </v:group>
            <v:group style="position:absolute;left:9957;top:5;width:549;height:2" coordorigin="9957,5" coordsize="549,2">
              <v:shape style="position:absolute;left:9957;top:5;width:549;height:2" coordorigin="9957,5" coordsize="549,0" path="m9957,5l10506,5e" filled="false" stroked="true" strokeweight=".47998pt" strokecolor="#000000">
                <v:path arrowok="t"/>
              </v:shape>
            </v:group>
            <v:group style="position:absolute;left:10492;top:5;width:10;height:2" coordorigin="10492,5" coordsize="10,2">
              <v:shape style="position:absolute;left:10492;top:5;width:10;height:2" coordorigin="10492,5" coordsize="10,0" path="m10492,5l10501,5e" filled="false" stroked="true" strokeweight=".47998pt" strokecolor="#000000">
                <v:path arrowok="t"/>
              </v:shape>
            </v:group>
            <v:group style="position:absolute;left:10501;top:5;width:550;height:2" coordorigin="10501,5" coordsize="550,2">
              <v:shape style="position:absolute;left:10501;top:5;width:550;height:2" coordorigin="10501,5" coordsize="550,0" path="m10501,5l11051,5e" filled="false" stroked="true" strokeweight=".47998pt" strokecolor="#000000">
                <v:path arrowok="t"/>
              </v:shape>
            </v:group>
          </v:group>
        </w:pict>
      </w:r>
      <w:r>
        <w:rPr>
          <w:rFonts w:ascii="Calibri" w:hAnsi="Calibri" w:cs="Calibri" w:eastAsia="Calibri" w:hint="default"/>
          <w:sz w:val="2"/>
          <w:szCs w:val="2"/>
        </w:rPr>
      </w:r>
    </w:p>
    <w:p>
      <w:pPr>
        <w:spacing w:line="240" w:lineRule="auto" w:before="7" w:after="0"/>
        <w:ind w:right="0"/>
        <w:rPr>
          <w:rFonts w:ascii="Calibri" w:hAnsi="Calibri" w:cs="Calibri" w:eastAsia="Calibri" w:hint="default"/>
          <w:sz w:val="21"/>
          <w:szCs w:val="21"/>
        </w:rPr>
      </w:pPr>
    </w:p>
    <w:tbl>
      <w:tblPr>
        <w:tblW w:w="0" w:type="auto"/>
        <w:jc w:val="left"/>
        <w:tblInd w:w="128" w:type="dxa"/>
        <w:tblLayout w:type="fixed"/>
        <w:tblCellMar>
          <w:top w:w="0" w:type="dxa"/>
          <w:left w:w="0" w:type="dxa"/>
          <w:bottom w:w="0" w:type="dxa"/>
          <w:right w:w="0" w:type="dxa"/>
        </w:tblCellMar>
        <w:tblLook w:val="01E0"/>
      </w:tblPr>
      <w:tblGrid>
        <w:gridCol w:w="7286"/>
        <w:gridCol w:w="1121"/>
        <w:gridCol w:w="430"/>
        <w:gridCol w:w="544"/>
        <w:gridCol w:w="544"/>
        <w:gridCol w:w="449"/>
        <w:gridCol w:w="658"/>
      </w:tblGrid>
      <w:tr>
        <w:trPr>
          <w:trHeight w:val="859" w:hRule="exact"/>
        </w:trPr>
        <w:tc>
          <w:tcPr>
            <w:tcW w:w="7286" w:type="dxa"/>
            <w:tcBorders>
              <w:top w:val="single" w:sz="4" w:space="0" w:color="000000"/>
              <w:left w:val="nil" w:sz="6" w:space="0" w:color="auto"/>
              <w:bottom w:val="nil" w:sz="6" w:space="0" w:color="auto"/>
              <w:right w:val="nil" w:sz="6" w:space="0" w:color="auto"/>
            </w:tcBorders>
          </w:tcPr>
          <w:p>
            <w:pPr>
              <w:pStyle w:val="TableParagraph"/>
              <w:spacing w:line="268" w:lineRule="exact"/>
              <w:ind w:left="108" w:right="0"/>
              <w:jc w:val="left"/>
              <w:rPr>
                <w:rFonts w:ascii="Calibri" w:hAnsi="Calibri" w:cs="Calibri" w:eastAsia="Calibri" w:hint="default"/>
                <w:sz w:val="22"/>
                <w:szCs w:val="22"/>
              </w:rPr>
            </w:pPr>
            <w:r>
              <w:rPr>
                <w:rFonts w:ascii="Calibri" w:hAnsi="Calibri"/>
                <w:b/>
                <w:sz w:val="22"/>
              </w:rPr>
              <w:t>18. Based on your experience, rate how Curaçao performed in terms</w:t>
            </w:r>
            <w:r>
              <w:rPr>
                <w:rFonts w:ascii="Calibri" w:hAnsi="Calibri"/>
                <w:b/>
                <w:spacing w:val="11"/>
                <w:sz w:val="22"/>
              </w:rPr>
              <w:t> </w:t>
            </w:r>
            <w:r>
              <w:rPr>
                <w:rFonts w:ascii="Calibri" w:hAnsi="Calibri"/>
                <w:b/>
                <w:sz w:val="22"/>
              </w:rPr>
              <w:t>of</w:t>
            </w:r>
            <w:r>
              <w:rPr>
                <w:rFonts w:ascii="Calibri" w:hAnsi="Calibri"/>
                <w:sz w:val="22"/>
              </w:rPr>
            </w:r>
          </w:p>
          <w:p>
            <w:pPr>
              <w:pStyle w:val="TableParagraph"/>
              <w:tabs>
                <w:tab w:pos="11031" w:val="left" w:leader="none"/>
              </w:tabs>
              <w:spacing w:line="240" w:lineRule="auto"/>
              <w:ind w:left="108" w:right="-3746"/>
              <w:jc w:val="left"/>
              <w:rPr>
                <w:rFonts w:ascii="Calibri" w:hAnsi="Calibri" w:cs="Calibri" w:eastAsia="Calibri" w:hint="default"/>
                <w:sz w:val="22"/>
                <w:szCs w:val="22"/>
              </w:rPr>
            </w:pPr>
            <w:r>
              <w:rPr>
                <w:rFonts w:ascii="Calibri"/>
                <w:b/>
                <w:w w:val="99"/>
                <w:sz w:val="22"/>
              </w:rPr>
            </w:r>
            <w:r>
              <w:rPr>
                <w:rFonts w:ascii="Calibri"/>
                <w:b/>
                <w:sz w:val="22"/>
                <w:u w:val="double" w:color="000000"/>
              </w:rPr>
              <w:t>TRANSPORTATI</w:t>
            </w:r>
            <w:r>
              <w:rPr>
                <w:rFonts w:ascii="Calibri"/>
                <w:b/>
                <w:sz w:val="22"/>
                <w:u w:val="single" w:color="000000"/>
              </w:rPr>
              <w:t>O</w:t>
            </w:r>
            <w:r>
              <w:rPr>
                <w:rFonts w:ascii="Calibri"/>
                <w:b/>
                <w:sz w:val="22"/>
              </w:rPr>
              <w:t>N  /</w:t>
            </w:r>
            <w:r>
              <w:rPr>
                <w:rFonts w:ascii="Calibri"/>
                <w:b/>
                <w:spacing w:val="-8"/>
                <w:sz w:val="22"/>
              </w:rPr>
              <w:t> </w:t>
            </w:r>
            <w:r>
              <w:rPr>
                <w:rFonts w:ascii="Calibri"/>
                <w:b/>
                <w:sz w:val="22"/>
              </w:rPr>
              <w:t>ACCESSIBILITY:</w:t>
              <w:tab/>
            </w:r>
            <w:r>
              <w:rPr>
                <w:rFonts w:ascii="Calibri"/>
                <w:b/>
                <w:sz w:val="22"/>
              </w:rPr>
            </w:r>
            <w:r>
              <w:rPr>
                <w:rFonts w:ascii="Calibri"/>
                <w:sz w:val="22"/>
              </w:rPr>
            </w:r>
          </w:p>
          <w:p>
            <w:pPr>
              <w:pStyle w:val="TableParagraph"/>
              <w:spacing w:line="240" w:lineRule="auto" w:before="19"/>
              <w:ind w:left="108" w:right="0"/>
              <w:jc w:val="left"/>
              <w:rPr>
                <w:rFonts w:ascii="Calibri" w:hAnsi="Calibri" w:cs="Calibri" w:eastAsia="Calibri" w:hint="default"/>
                <w:sz w:val="22"/>
                <w:szCs w:val="22"/>
              </w:rPr>
            </w:pPr>
            <w:r>
              <w:rPr>
                <w:rFonts w:ascii="Calibri"/>
                <w:sz w:val="22"/>
              </w:rPr>
              <w:t>Cleanliness of the</w:t>
            </w:r>
            <w:r>
              <w:rPr>
                <w:rFonts w:ascii="Calibri"/>
                <w:spacing w:val="-13"/>
                <w:sz w:val="22"/>
              </w:rPr>
              <w:t> </w:t>
            </w:r>
            <w:r>
              <w:rPr>
                <w:rFonts w:ascii="Calibri"/>
                <w:sz w:val="22"/>
              </w:rPr>
              <w:t>airport</w:t>
            </w:r>
          </w:p>
        </w:tc>
        <w:tc>
          <w:tcPr>
            <w:tcW w:w="1121" w:type="dxa"/>
            <w:tcBorders>
              <w:top w:val="single" w:sz="4" w:space="0" w:color="000000"/>
              <w:left w:val="nil" w:sz="6" w:space="0" w:color="auto"/>
              <w:bottom w:val="nil" w:sz="6" w:space="0" w:color="auto"/>
              <w:right w:val="nil" w:sz="6" w:space="0" w:color="auto"/>
            </w:tcBorders>
          </w:tcPr>
          <w:p>
            <w:pPr>
              <w:pStyle w:val="TableParagraph"/>
              <w:spacing w:line="240" w:lineRule="auto" w:before="133"/>
              <w:ind w:left="590" w:right="0"/>
              <w:jc w:val="left"/>
              <w:rPr>
                <w:rFonts w:ascii="Calibri" w:hAnsi="Calibri" w:cs="Calibri" w:eastAsia="Calibri" w:hint="default"/>
                <w:sz w:val="22"/>
                <w:szCs w:val="22"/>
              </w:rPr>
            </w:pPr>
            <w:r>
              <w:rPr>
                <w:rFonts w:ascii="Calibri"/>
                <w:b/>
                <w:sz w:val="22"/>
              </w:rPr>
              <w:t>LOW</w:t>
            </w:r>
            <w:r>
              <w:rPr>
                <w:rFonts w:ascii="Calibri"/>
                <w:sz w:val="22"/>
              </w:rPr>
            </w:r>
          </w:p>
          <w:p>
            <w:pPr>
              <w:pStyle w:val="TableParagraph"/>
              <w:spacing w:line="240" w:lineRule="auto" w:before="154"/>
              <w:ind w:left="590" w:right="0"/>
              <w:jc w:val="left"/>
              <w:rPr>
                <w:rFonts w:ascii="Calibri" w:hAnsi="Calibri" w:cs="Calibri" w:eastAsia="Calibri" w:hint="default"/>
                <w:sz w:val="22"/>
                <w:szCs w:val="22"/>
              </w:rPr>
            </w:pPr>
            <w:r>
              <w:rPr>
                <w:rFonts w:ascii="Calibri" w:hAnsi="Calibri" w:cs="Calibri" w:eastAsia="Calibri" w:hint="default"/>
                <w:sz w:val="22"/>
                <w:szCs w:val="22"/>
              </w:rPr>
              <w:t>①</w:t>
            </w:r>
          </w:p>
        </w:tc>
        <w:tc>
          <w:tcPr>
            <w:tcW w:w="430" w:type="dxa"/>
            <w:tcBorders>
              <w:top w:val="single" w:sz="4" w:space="0" w:color="000000"/>
              <w:left w:val="nil" w:sz="6" w:space="0" w:color="auto"/>
              <w:bottom w:val="nil" w:sz="6" w:space="0" w:color="auto"/>
              <w:right w:val="nil" w:sz="6" w:space="0" w:color="auto"/>
            </w:tcBorders>
          </w:tcPr>
          <w:p>
            <w:pPr>
              <w:pStyle w:val="TableParagraph"/>
              <w:spacing w:line="240" w:lineRule="auto"/>
              <w:ind w:right="0"/>
              <w:jc w:val="left"/>
              <w:rPr>
                <w:rFonts w:ascii="Calibri" w:hAnsi="Calibri" w:cs="Calibri" w:eastAsia="Calibri" w:hint="default"/>
                <w:sz w:val="22"/>
                <w:szCs w:val="22"/>
              </w:rPr>
            </w:pPr>
          </w:p>
          <w:p>
            <w:pPr>
              <w:pStyle w:val="TableParagraph"/>
              <w:spacing w:line="240" w:lineRule="auto" w:before="7"/>
              <w:ind w:right="0"/>
              <w:jc w:val="left"/>
              <w:rPr>
                <w:rFonts w:ascii="Calibri" w:hAnsi="Calibri" w:cs="Calibri" w:eastAsia="Calibri" w:hint="default"/>
                <w:sz w:val="23"/>
                <w:szCs w:val="23"/>
              </w:rPr>
            </w:pPr>
          </w:p>
          <w:p>
            <w:pPr>
              <w:pStyle w:val="TableParagraph"/>
              <w:spacing w:line="240" w:lineRule="auto"/>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single" w:sz="4" w:space="0" w:color="000000"/>
              <w:left w:val="nil" w:sz="6" w:space="0" w:color="auto"/>
              <w:bottom w:val="nil" w:sz="6" w:space="0" w:color="auto"/>
              <w:right w:val="nil" w:sz="6" w:space="0" w:color="auto"/>
            </w:tcBorders>
          </w:tcPr>
          <w:p>
            <w:pPr>
              <w:pStyle w:val="TableParagraph"/>
              <w:spacing w:line="240" w:lineRule="auto"/>
              <w:ind w:right="0"/>
              <w:jc w:val="left"/>
              <w:rPr>
                <w:rFonts w:ascii="Calibri" w:hAnsi="Calibri" w:cs="Calibri" w:eastAsia="Calibri" w:hint="default"/>
                <w:sz w:val="22"/>
                <w:szCs w:val="22"/>
              </w:rPr>
            </w:pPr>
          </w:p>
          <w:p>
            <w:pPr>
              <w:pStyle w:val="TableParagraph"/>
              <w:spacing w:line="240" w:lineRule="auto" w:before="7"/>
              <w:ind w:right="0"/>
              <w:jc w:val="left"/>
              <w:rPr>
                <w:rFonts w:ascii="Calibri" w:hAnsi="Calibri" w:cs="Calibri" w:eastAsia="Calibri" w:hint="default"/>
                <w:sz w:val="23"/>
                <w:szCs w:val="23"/>
              </w:rPr>
            </w:pPr>
          </w:p>
          <w:p>
            <w:pPr>
              <w:pStyle w:val="TableParagraph"/>
              <w:spacing w:line="240" w:lineRule="auto"/>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single" w:sz="4" w:space="0" w:color="000000"/>
              <w:left w:val="nil" w:sz="6" w:space="0" w:color="auto"/>
              <w:bottom w:val="nil" w:sz="6" w:space="0" w:color="auto"/>
              <w:right w:val="nil" w:sz="6" w:space="0" w:color="auto"/>
            </w:tcBorders>
          </w:tcPr>
          <w:p>
            <w:pPr>
              <w:pStyle w:val="TableParagraph"/>
              <w:spacing w:line="240" w:lineRule="auto"/>
              <w:ind w:right="0"/>
              <w:jc w:val="left"/>
              <w:rPr>
                <w:rFonts w:ascii="Calibri" w:hAnsi="Calibri" w:cs="Calibri" w:eastAsia="Calibri" w:hint="default"/>
                <w:sz w:val="22"/>
                <w:szCs w:val="22"/>
              </w:rPr>
            </w:pPr>
          </w:p>
          <w:p>
            <w:pPr>
              <w:pStyle w:val="TableParagraph"/>
              <w:spacing w:line="240" w:lineRule="auto" w:before="7"/>
              <w:ind w:right="0"/>
              <w:jc w:val="left"/>
              <w:rPr>
                <w:rFonts w:ascii="Calibri" w:hAnsi="Calibri" w:cs="Calibri" w:eastAsia="Calibri" w:hint="default"/>
                <w:sz w:val="23"/>
                <w:szCs w:val="23"/>
              </w:rPr>
            </w:pPr>
          </w:p>
          <w:p>
            <w:pPr>
              <w:pStyle w:val="TableParagraph"/>
              <w:spacing w:line="240" w:lineRule="auto"/>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single" w:sz="4" w:space="0" w:color="000000"/>
              <w:left w:val="nil" w:sz="6" w:space="0" w:color="auto"/>
              <w:bottom w:val="nil" w:sz="6" w:space="0" w:color="auto"/>
              <w:right w:val="nil" w:sz="6" w:space="0" w:color="auto"/>
            </w:tcBorders>
          </w:tcPr>
          <w:p>
            <w:pPr>
              <w:pStyle w:val="TableParagraph"/>
              <w:spacing w:line="240" w:lineRule="auto"/>
              <w:ind w:right="0"/>
              <w:jc w:val="left"/>
              <w:rPr>
                <w:rFonts w:ascii="Calibri" w:hAnsi="Calibri" w:cs="Calibri" w:eastAsia="Calibri" w:hint="default"/>
                <w:sz w:val="22"/>
                <w:szCs w:val="22"/>
              </w:rPr>
            </w:pPr>
          </w:p>
          <w:p>
            <w:pPr>
              <w:pStyle w:val="TableParagraph"/>
              <w:spacing w:line="240" w:lineRule="auto" w:before="7"/>
              <w:ind w:right="0"/>
              <w:jc w:val="left"/>
              <w:rPr>
                <w:rFonts w:ascii="Calibri" w:hAnsi="Calibri" w:cs="Calibri" w:eastAsia="Calibri" w:hint="default"/>
                <w:sz w:val="23"/>
                <w:szCs w:val="23"/>
              </w:rPr>
            </w:pPr>
          </w:p>
          <w:p>
            <w:pPr>
              <w:pStyle w:val="TableParagraph"/>
              <w:spacing w:line="240" w:lineRule="auto"/>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single" w:sz="4" w:space="0" w:color="000000"/>
              <w:left w:val="nil" w:sz="6" w:space="0" w:color="auto"/>
              <w:bottom w:val="nil" w:sz="6" w:space="0" w:color="auto"/>
              <w:right w:val="nil" w:sz="6" w:space="0" w:color="auto"/>
            </w:tcBorders>
          </w:tcPr>
          <w:p>
            <w:pPr>
              <w:pStyle w:val="TableParagraph"/>
              <w:spacing w:line="240" w:lineRule="auto" w:before="133"/>
              <w:ind w:right="33"/>
              <w:jc w:val="center"/>
              <w:rPr>
                <w:rFonts w:ascii="Calibri" w:hAnsi="Calibri" w:cs="Calibri" w:eastAsia="Calibri" w:hint="default"/>
                <w:sz w:val="22"/>
                <w:szCs w:val="22"/>
              </w:rPr>
            </w:pPr>
            <w:r>
              <w:rPr>
                <w:rFonts w:ascii="Calibri"/>
                <w:b/>
                <w:sz w:val="22"/>
              </w:rPr>
              <w:t>HIGH</w:t>
            </w:r>
            <w:r>
              <w:rPr>
                <w:rFonts w:ascii="Calibri"/>
                <w:sz w:val="22"/>
              </w:rPr>
            </w:r>
          </w:p>
          <w:p>
            <w:pPr>
              <w:pStyle w:val="TableParagraph"/>
              <w:spacing w:line="240" w:lineRule="auto" w:before="154"/>
              <w:ind w:left="75" w:right="0"/>
              <w:jc w:val="center"/>
              <w:rPr>
                <w:rFonts w:ascii="Calibri" w:hAnsi="Calibri" w:cs="Calibri" w:eastAsia="Calibri" w:hint="default"/>
                <w:sz w:val="22"/>
                <w:szCs w:val="22"/>
              </w:rPr>
            </w:pPr>
            <w:r>
              <w:rPr>
                <w:rFonts w:ascii="Calibri" w:hAnsi="Calibri" w:cs="Calibri" w:eastAsia="Calibri" w:hint="default"/>
                <w:sz w:val="22"/>
                <w:szCs w:val="22"/>
              </w:rPr>
              <w:t>⑥</w:t>
            </w: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Cleanliness of</w:t>
            </w:r>
            <w:r>
              <w:rPr>
                <w:rFonts w:ascii="Calibri"/>
                <w:spacing w:val="-11"/>
                <w:sz w:val="22"/>
              </w:rPr>
              <w:t> </w:t>
            </w:r>
            <w:r>
              <w:rPr>
                <w:rFonts w:ascii="Calibri"/>
                <w:sz w:val="22"/>
              </w:rPr>
              <w:t>taxis</w:t>
            </w:r>
          </w:p>
        </w:tc>
        <w:tc>
          <w:tcPr>
            <w:tcW w:w="1121" w:type="dxa"/>
            <w:tcBorders>
              <w:top w:val="nil" w:sz="6" w:space="0" w:color="auto"/>
              <w:left w:val="nil" w:sz="6" w:space="0" w:color="auto"/>
              <w:bottom w:val="nil" w:sz="6" w:space="0" w:color="auto"/>
              <w:right w:val="nil" w:sz="6" w:space="0" w:color="auto"/>
            </w:tcBorders>
          </w:tcPr>
          <w:p>
            <w:pPr>
              <w:pStyle w:val="TableParagraph"/>
              <w:spacing w:line="258" w:lineRule="exact"/>
              <w:ind w:right="236"/>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430" w:type="dxa"/>
            <w:tcBorders>
              <w:top w:val="nil" w:sz="6" w:space="0" w:color="auto"/>
              <w:left w:val="nil" w:sz="6" w:space="0" w:color="auto"/>
              <w:bottom w:val="nil" w:sz="6" w:space="0" w:color="auto"/>
              <w:right w:val="nil" w:sz="6" w:space="0" w:color="auto"/>
            </w:tcBorders>
          </w:tcPr>
          <w:p>
            <w:pPr>
              <w:pStyle w:val="TableParagraph"/>
              <w:spacing w:line="258" w:lineRule="exact"/>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nil" w:sz="6" w:space="0" w:color="auto"/>
              <w:left w:val="nil" w:sz="6" w:space="0" w:color="auto"/>
              <w:bottom w:val="nil" w:sz="6" w:space="0" w:color="auto"/>
              <w:right w:val="nil" w:sz="6" w:space="0" w:color="auto"/>
            </w:tcBorders>
          </w:tcPr>
          <w:p>
            <w:pPr>
              <w:pStyle w:val="TableParagraph"/>
              <w:spacing w:line="258" w:lineRule="exact"/>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nil" w:sz="6" w:space="0" w:color="auto"/>
              <w:left w:val="nil" w:sz="6" w:space="0" w:color="auto"/>
              <w:bottom w:val="nil" w:sz="6" w:space="0" w:color="auto"/>
              <w:right w:val="nil" w:sz="6" w:space="0" w:color="auto"/>
            </w:tcBorders>
          </w:tcPr>
          <w:p>
            <w:pPr>
              <w:pStyle w:val="TableParagraph"/>
              <w:spacing w:line="258" w:lineRule="exact"/>
              <w:ind w:right="143"/>
              <w:jc w:val="right"/>
              <w:rPr>
                <w:rFonts w:ascii="Calibri" w:hAnsi="Calibri" w:cs="Calibri" w:eastAsia="Calibri" w:hint="default"/>
                <w:sz w:val="22"/>
                <w:szCs w:val="22"/>
              </w:rPr>
            </w:pPr>
            <w:r>
              <w:rPr>
                <w:rFonts w:ascii="Calibri" w:hAnsi="Calibri" w:cs="Calibri" w:eastAsia="Calibri" w:hint="default"/>
                <w:w w:val="95"/>
                <w:sz w:val="22"/>
                <w:szCs w:val="22"/>
              </w:rPr>
              <w:t>⑥</w:t>
            </w:r>
            <w:r>
              <w:rPr>
                <w:rFonts w:ascii="Calibri" w:hAnsi="Calibri" w:cs="Calibri" w:eastAsia="Calibri" w:hint="default"/>
                <w:sz w:val="22"/>
                <w:szCs w:val="22"/>
              </w:rPr>
            </w: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Safety and security at the</w:t>
            </w:r>
            <w:r>
              <w:rPr>
                <w:rFonts w:ascii="Calibri"/>
                <w:spacing w:val="-9"/>
                <w:sz w:val="22"/>
              </w:rPr>
              <w:t> </w:t>
            </w:r>
            <w:r>
              <w:rPr>
                <w:rFonts w:ascii="Calibri"/>
                <w:sz w:val="22"/>
              </w:rPr>
              <w:t>airport</w:t>
            </w:r>
          </w:p>
        </w:tc>
        <w:tc>
          <w:tcPr>
            <w:tcW w:w="1121" w:type="dxa"/>
            <w:tcBorders>
              <w:top w:val="nil" w:sz="6" w:space="0" w:color="auto"/>
              <w:left w:val="nil" w:sz="6" w:space="0" w:color="auto"/>
              <w:bottom w:val="nil" w:sz="6" w:space="0" w:color="auto"/>
              <w:right w:val="nil" w:sz="6" w:space="0" w:color="auto"/>
            </w:tcBorders>
          </w:tcPr>
          <w:p>
            <w:pPr>
              <w:pStyle w:val="TableParagraph"/>
              <w:spacing w:line="258" w:lineRule="exact"/>
              <w:ind w:right="236"/>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430" w:type="dxa"/>
            <w:tcBorders>
              <w:top w:val="nil" w:sz="6" w:space="0" w:color="auto"/>
              <w:left w:val="nil" w:sz="6" w:space="0" w:color="auto"/>
              <w:bottom w:val="nil" w:sz="6" w:space="0" w:color="auto"/>
              <w:right w:val="nil" w:sz="6" w:space="0" w:color="auto"/>
            </w:tcBorders>
          </w:tcPr>
          <w:p>
            <w:pPr>
              <w:pStyle w:val="TableParagraph"/>
              <w:spacing w:line="258" w:lineRule="exact"/>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nil" w:sz="6" w:space="0" w:color="auto"/>
              <w:left w:val="nil" w:sz="6" w:space="0" w:color="auto"/>
              <w:bottom w:val="nil" w:sz="6" w:space="0" w:color="auto"/>
              <w:right w:val="nil" w:sz="6" w:space="0" w:color="auto"/>
            </w:tcBorders>
          </w:tcPr>
          <w:p>
            <w:pPr>
              <w:pStyle w:val="TableParagraph"/>
              <w:spacing w:line="258" w:lineRule="exact"/>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nil" w:sz="6" w:space="0" w:color="auto"/>
              <w:left w:val="nil" w:sz="6" w:space="0" w:color="auto"/>
              <w:bottom w:val="nil" w:sz="6" w:space="0" w:color="auto"/>
              <w:right w:val="nil" w:sz="6" w:space="0" w:color="auto"/>
            </w:tcBorders>
          </w:tcPr>
          <w:p>
            <w:pPr>
              <w:pStyle w:val="TableParagraph"/>
              <w:spacing w:line="258" w:lineRule="exact"/>
              <w:ind w:right="143"/>
              <w:jc w:val="right"/>
              <w:rPr>
                <w:rFonts w:ascii="Calibri" w:hAnsi="Calibri" w:cs="Calibri" w:eastAsia="Calibri" w:hint="default"/>
                <w:sz w:val="22"/>
                <w:szCs w:val="22"/>
              </w:rPr>
            </w:pPr>
            <w:r>
              <w:rPr>
                <w:rFonts w:ascii="Calibri" w:hAnsi="Calibri" w:cs="Calibri" w:eastAsia="Calibri" w:hint="default"/>
                <w:w w:val="95"/>
                <w:sz w:val="22"/>
                <w:szCs w:val="22"/>
              </w:rPr>
              <w:t>⑥</w:t>
            </w:r>
            <w:r>
              <w:rPr>
                <w:rFonts w:ascii="Calibri" w:hAnsi="Calibri" w:cs="Calibri" w:eastAsia="Calibri" w:hint="default"/>
                <w:sz w:val="22"/>
                <w:szCs w:val="22"/>
              </w:rPr>
            </w: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Safety and security of</w:t>
            </w:r>
            <w:r>
              <w:rPr>
                <w:rFonts w:ascii="Calibri"/>
                <w:spacing w:val="-12"/>
                <w:sz w:val="22"/>
              </w:rPr>
              <w:t> </w:t>
            </w:r>
            <w:r>
              <w:rPr>
                <w:rFonts w:ascii="Calibri"/>
                <w:sz w:val="22"/>
              </w:rPr>
              <w:t>taxis</w:t>
            </w:r>
          </w:p>
        </w:tc>
        <w:tc>
          <w:tcPr>
            <w:tcW w:w="1121" w:type="dxa"/>
            <w:tcBorders>
              <w:top w:val="nil" w:sz="6" w:space="0" w:color="auto"/>
              <w:left w:val="nil" w:sz="6" w:space="0" w:color="auto"/>
              <w:bottom w:val="nil" w:sz="6" w:space="0" w:color="auto"/>
              <w:right w:val="nil" w:sz="6" w:space="0" w:color="auto"/>
            </w:tcBorders>
          </w:tcPr>
          <w:p>
            <w:pPr>
              <w:pStyle w:val="TableParagraph"/>
              <w:spacing w:line="258" w:lineRule="exact"/>
              <w:ind w:right="236"/>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430" w:type="dxa"/>
            <w:tcBorders>
              <w:top w:val="nil" w:sz="6" w:space="0" w:color="auto"/>
              <w:left w:val="nil" w:sz="6" w:space="0" w:color="auto"/>
              <w:bottom w:val="nil" w:sz="6" w:space="0" w:color="auto"/>
              <w:right w:val="nil" w:sz="6" w:space="0" w:color="auto"/>
            </w:tcBorders>
          </w:tcPr>
          <w:p>
            <w:pPr>
              <w:pStyle w:val="TableParagraph"/>
              <w:spacing w:line="258" w:lineRule="exact"/>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nil" w:sz="6" w:space="0" w:color="auto"/>
              <w:left w:val="nil" w:sz="6" w:space="0" w:color="auto"/>
              <w:bottom w:val="nil" w:sz="6" w:space="0" w:color="auto"/>
              <w:right w:val="nil" w:sz="6" w:space="0" w:color="auto"/>
            </w:tcBorders>
          </w:tcPr>
          <w:p>
            <w:pPr>
              <w:pStyle w:val="TableParagraph"/>
              <w:spacing w:line="258" w:lineRule="exact"/>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nil" w:sz="6" w:space="0" w:color="auto"/>
              <w:left w:val="nil" w:sz="6" w:space="0" w:color="auto"/>
              <w:bottom w:val="nil" w:sz="6" w:space="0" w:color="auto"/>
              <w:right w:val="nil" w:sz="6" w:space="0" w:color="auto"/>
            </w:tcBorders>
          </w:tcPr>
          <w:p>
            <w:pPr>
              <w:pStyle w:val="TableParagraph"/>
              <w:spacing w:line="258" w:lineRule="exact"/>
              <w:ind w:right="143"/>
              <w:jc w:val="right"/>
              <w:rPr>
                <w:rFonts w:ascii="Calibri" w:hAnsi="Calibri" w:cs="Calibri" w:eastAsia="Calibri" w:hint="default"/>
                <w:sz w:val="22"/>
                <w:szCs w:val="22"/>
              </w:rPr>
            </w:pPr>
            <w:r>
              <w:rPr>
                <w:rFonts w:ascii="Calibri" w:hAnsi="Calibri" w:cs="Calibri" w:eastAsia="Calibri" w:hint="default"/>
                <w:w w:val="95"/>
                <w:sz w:val="22"/>
                <w:szCs w:val="22"/>
              </w:rPr>
              <w:t>⑥</w:t>
            </w:r>
            <w:r>
              <w:rPr>
                <w:rFonts w:ascii="Calibri" w:hAnsi="Calibri" w:cs="Calibri" w:eastAsia="Calibri" w:hint="default"/>
                <w:sz w:val="22"/>
                <w:szCs w:val="22"/>
              </w:rPr>
            </w: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Hospitableness of customs and immigrations</w:t>
            </w:r>
            <w:r>
              <w:rPr>
                <w:rFonts w:ascii="Calibri"/>
                <w:spacing w:val="-24"/>
                <w:sz w:val="22"/>
              </w:rPr>
              <w:t> </w:t>
            </w:r>
            <w:r>
              <w:rPr>
                <w:rFonts w:ascii="Calibri"/>
                <w:sz w:val="22"/>
              </w:rPr>
              <w:t>personnel</w:t>
            </w:r>
          </w:p>
        </w:tc>
        <w:tc>
          <w:tcPr>
            <w:tcW w:w="1121" w:type="dxa"/>
            <w:tcBorders>
              <w:top w:val="nil" w:sz="6" w:space="0" w:color="auto"/>
              <w:left w:val="nil" w:sz="6" w:space="0" w:color="auto"/>
              <w:bottom w:val="nil" w:sz="6" w:space="0" w:color="auto"/>
              <w:right w:val="nil" w:sz="6" w:space="0" w:color="auto"/>
            </w:tcBorders>
          </w:tcPr>
          <w:p>
            <w:pPr>
              <w:pStyle w:val="TableParagraph"/>
              <w:spacing w:line="258" w:lineRule="exact"/>
              <w:ind w:right="236"/>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430" w:type="dxa"/>
            <w:tcBorders>
              <w:top w:val="nil" w:sz="6" w:space="0" w:color="auto"/>
              <w:left w:val="nil" w:sz="6" w:space="0" w:color="auto"/>
              <w:bottom w:val="nil" w:sz="6" w:space="0" w:color="auto"/>
              <w:right w:val="nil" w:sz="6" w:space="0" w:color="auto"/>
            </w:tcBorders>
          </w:tcPr>
          <w:p>
            <w:pPr>
              <w:pStyle w:val="TableParagraph"/>
              <w:spacing w:line="258" w:lineRule="exact"/>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nil" w:sz="6" w:space="0" w:color="auto"/>
              <w:left w:val="nil" w:sz="6" w:space="0" w:color="auto"/>
              <w:bottom w:val="nil" w:sz="6" w:space="0" w:color="auto"/>
              <w:right w:val="nil" w:sz="6" w:space="0" w:color="auto"/>
            </w:tcBorders>
          </w:tcPr>
          <w:p>
            <w:pPr>
              <w:pStyle w:val="TableParagraph"/>
              <w:spacing w:line="258" w:lineRule="exact"/>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nil" w:sz="6" w:space="0" w:color="auto"/>
              <w:left w:val="nil" w:sz="6" w:space="0" w:color="auto"/>
              <w:bottom w:val="nil" w:sz="6" w:space="0" w:color="auto"/>
              <w:right w:val="nil" w:sz="6" w:space="0" w:color="auto"/>
            </w:tcBorders>
          </w:tcPr>
          <w:p>
            <w:pPr>
              <w:pStyle w:val="TableParagraph"/>
              <w:spacing w:line="258" w:lineRule="exact"/>
              <w:ind w:right="143"/>
              <w:jc w:val="right"/>
              <w:rPr>
                <w:rFonts w:ascii="Calibri" w:hAnsi="Calibri" w:cs="Calibri" w:eastAsia="Calibri" w:hint="default"/>
                <w:sz w:val="22"/>
                <w:szCs w:val="22"/>
              </w:rPr>
            </w:pPr>
            <w:r>
              <w:rPr>
                <w:rFonts w:ascii="Calibri" w:hAnsi="Calibri" w:cs="Calibri" w:eastAsia="Calibri" w:hint="default"/>
                <w:w w:val="95"/>
                <w:sz w:val="22"/>
                <w:szCs w:val="22"/>
              </w:rPr>
              <w:t>⑥</w:t>
            </w:r>
            <w:r>
              <w:rPr>
                <w:rFonts w:ascii="Calibri" w:hAnsi="Calibri" w:cs="Calibri" w:eastAsia="Calibri" w:hint="default"/>
                <w:sz w:val="22"/>
                <w:szCs w:val="22"/>
              </w:rPr>
            </w: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Hospitableness of taxi</w:t>
            </w:r>
            <w:r>
              <w:rPr>
                <w:rFonts w:ascii="Calibri"/>
                <w:spacing w:val="-18"/>
                <w:sz w:val="22"/>
              </w:rPr>
              <w:t> </w:t>
            </w:r>
            <w:r>
              <w:rPr>
                <w:rFonts w:ascii="Calibri"/>
                <w:sz w:val="22"/>
              </w:rPr>
              <w:t>drivers</w:t>
            </w:r>
          </w:p>
        </w:tc>
        <w:tc>
          <w:tcPr>
            <w:tcW w:w="1121" w:type="dxa"/>
            <w:tcBorders>
              <w:top w:val="nil" w:sz="6" w:space="0" w:color="auto"/>
              <w:left w:val="nil" w:sz="6" w:space="0" w:color="auto"/>
              <w:bottom w:val="nil" w:sz="6" w:space="0" w:color="auto"/>
              <w:right w:val="nil" w:sz="6" w:space="0" w:color="auto"/>
            </w:tcBorders>
          </w:tcPr>
          <w:p>
            <w:pPr>
              <w:pStyle w:val="TableParagraph"/>
              <w:spacing w:line="258" w:lineRule="exact"/>
              <w:ind w:right="236"/>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430" w:type="dxa"/>
            <w:tcBorders>
              <w:top w:val="nil" w:sz="6" w:space="0" w:color="auto"/>
              <w:left w:val="nil" w:sz="6" w:space="0" w:color="auto"/>
              <w:bottom w:val="nil" w:sz="6" w:space="0" w:color="auto"/>
              <w:right w:val="nil" w:sz="6" w:space="0" w:color="auto"/>
            </w:tcBorders>
          </w:tcPr>
          <w:p>
            <w:pPr>
              <w:pStyle w:val="TableParagraph"/>
              <w:spacing w:line="258" w:lineRule="exact"/>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nil" w:sz="6" w:space="0" w:color="auto"/>
              <w:left w:val="nil" w:sz="6" w:space="0" w:color="auto"/>
              <w:bottom w:val="nil" w:sz="6" w:space="0" w:color="auto"/>
              <w:right w:val="nil" w:sz="6" w:space="0" w:color="auto"/>
            </w:tcBorders>
          </w:tcPr>
          <w:p>
            <w:pPr>
              <w:pStyle w:val="TableParagraph"/>
              <w:spacing w:line="258" w:lineRule="exact"/>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nil" w:sz="6" w:space="0" w:color="auto"/>
              <w:left w:val="nil" w:sz="6" w:space="0" w:color="auto"/>
              <w:bottom w:val="nil" w:sz="6" w:space="0" w:color="auto"/>
              <w:right w:val="nil" w:sz="6" w:space="0" w:color="auto"/>
            </w:tcBorders>
          </w:tcPr>
          <w:p>
            <w:pPr>
              <w:pStyle w:val="TableParagraph"/>
              <w:spacing w:line="258" w:lineRule="exact"/>
              <w:ind w:right="143"/>
              <w:jc w:val="right"/>
              <w:rPr>
                <w:rFonts w:ascii="Calibri" w:hAnsi="Calibri" w:cs="Calibri" w:eastAsia="Calibri" w:hint="default"/>
                <w:sz w:val="22"/>
                <w:szCs w:val="22"/>
              </w:rPr>
            </w:pPr>
            <w:r>
              <w:rPr>
                <w:rFonts w:ascii="Calibri" w:hAnsi="Calibri" w:cs="Calibri" w:eastAsia="Calibri" w:hint="default"/>
                <w:w w:val="95"/>
                <w:sz w:val="22"/>
                <w:szCs w:val="22"/>
              </w:rPr>
              <w:t>⑥</w:t>
            </w:r>
            <w:r>
              <w:rPr>
                <w:rFonts w:ascii="Calibri" w:hAnsi="Calibri" w:cs="Calibri" w:eastAsia="Calibri" w:hint="default"/>
                <w:sz w:val="22"/>
                <w:szCs w:val="22"/>
              </w:rPr>
            </w: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Quality of taxi</w:t>
            </w:r>
            <w:r>
              <w:rPr>
                <w:rFonts w:ascii="Calibri"/>
                <w:spacing w:val="-12"/>
                <w:sz w:val="22"/>
              </w:rPr>
              <w:t> </w:t>
            </w:r>
            <w:r>
              <w:rPr>
                <w:rFonts w:ascii="Calibri"/>
                <w:sz w:val="22"/>
              </w:rPr>
              <w:t>service</w:t>
            </w:r>
          </w:p>
        </w:tc>
        <w:tc>
          <w:tcPr>
            <w:tcW w:w="1121" w:type="dxa"/>
            <w:tcBorders>
              <w:top w:val="nil" w:sz="6" w:space="0" w:color="auto"/>
              <w:left w:val="nil" w:sz="6" w:space="0" w:color="auto"/>
              <w:bottom w:val="nil" w:sz="6" w:space="0" w:color="auto"/>
              <w:right w:val="nil" w:sz="6" w:space="0" w:color="auto"/>
            </w:tcBorders>
          </w:tcPr>
          <w:p>
            <w:pPr>
              <w:pStyle w:val="TableParagraph"/>
              <w:spacing w:line="258" w:lineRule="exact"/>
              <w:ind w:right="236"/>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430" w:type="dxa"/>
            <w:tcBorders>
              <w:top w:val="nil" w:sz="6" w:space="0" w:color="auto"/>
              <w:left w:val="nil" w:sz="6" w:space="0" w:color="auto"/>
              <w:bottom w:val="nil" w:sz="6" w:space="0" w:color="auto"/>
              <w:right w:val="nil" w:sz="6" w:space="0" w:color="auto"/>
            </w:tcBorders>
          </w:tcPr>
          <w:p>
            <w:pPr>
              <w:pStyle w:val="TableParagraph"/>
              <w:spacing w:line="258" w:lineRule="exact"/>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nil" w:sz="6" w:space="0" w:color="auto"/>
              <w:left w:val="nil" w:sz="6" w:space="0" w:color="auto"/>
              <w:bottom w:val="nil" w:sz="6" w:space="0" w:color="auto"/>
              <w:right w:val="nil" w:sz="6" w:space="0" w:color="auto"/>
            </w:tcBorders>
          </w:tcPr>
          <w:p>
            <w:pPr>
              <w:pStyle w:val="TableParagraph"/>
              <w:spacing w:line="258" w:lineRule="exact"/>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nil" w:sz="6" w:space="0" w:color="auto"/>
              <w:left w:val="nil" w:sz="6" w:space="0" w:color="auto"/>
              <w:bottom w:val="nil" w:sz="6" w:space="0" w:color="auto"/>
              <w:right w:val="nil" w:sz="6" w:space="0" w:color="auto"/>
            </w:tcBorders>
          </w:tcPr>
          <w:p>
            <w:pPr>
              <w:pStyle w:val="TableParagraph"/>
              <w:spacing w:line="258" w:lineRule="exact"/>
              <w:ind w:right="143"/>
              <w:jc w:val="right"/>
              <w:rPr>
                <w:rFonts w:ascii="Calibri" w:hAnsi="Calibri" w:cs="Calibri" w:eastAsia="Calibri" w:hint="default"/>
                <w:sz w:val="22"/>
                <w:szCs w:val="22"/>
              </w:rPr>
            </w:pPr>
            <w:r>
              <w:rPr>
                <w:rFonts w:ascii="Calibri" w:hAnsi="Calibri" w:cs="Calibri" w:eastAsia="Calibri" w:hint="default"/>
                <w:w w:val="95"/>
                <w:sz w:val="22"/>
                <w:szCs w:val="22"/>
              </w:rPr>
              <w:t>⑥</w:t>
            </w:r>
            <w:r>
              <w:rPr>
                <w:rFonts w:ascii="Calibri" w:hAnsi="Calibri" w:cs="Calibri" w:eastAsia="Calibri" w:hint="default"/>
                <w:sz w:val="22"/>
                <w:szCs w:val="22"/>
              </w:rPr>
            </w:r>
          </w:p>
        </w:tc>
      </w:tr>
      <w:tr>
        <w:trPr>
          <w:trHeight w:val="288" w:hRule="exact"/>
        </w:trPr>
        <w:tc>
          <w:tcPr>
            <w:tcW w:w="7286" w:type="dxa"/>
            <w:tcBorders>
              <w:top w:val="nil" w:sz="6" w:space="0" w:color="auto"/>
              <w:left w:val="nil" w:sz="6" w:space="0" w:color="auto"/>
              <w:bottom w:val="nil" w:sz="6" w:space="0" w:color="auto"/>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Reliability of taxi</w:t>
            </w:r>
            <w:r>
              <w:rPr>
                <w:rFonts w:ascii="Calibri"/>
                <w:spacing w:val="-10"/>
                <w:sz w:val="22"/>
              </w:rPr>
              <w:t> </w:t>
            </w:r>
            <w:r>
              <w:rPr>
                <w:rFonts w:ascii="Calibri"/>
                <w:sz w:val="22"/>
              </w:rPr>
              <w:t>services</w:t>
            </w:r>
          </w:p>
        </w:tc>
        <w:tc>
          <w:tcPr>
            <w:tcW w:w="1121" w:type="dxa"/>
            <w:tcBorders>
              <w:top w:val="nil" w:sz="6" w:space="0" w:color="auto"/>
              <w:left w:val="nil" w:sz="6" w:space="0" w:color="auto"/>
              <w:bottom w:val="nil" w:sz="6" w:space="0" w:color="auto"/>
              <w:right w:val="nil" w:sz="6" w:space="0" w:color="auto"/>
            </w:tcBorders>
          </w:tcPr>
          <w:p>
            <w:pPr>
              <w:pStyle w:val="TableParagraph"/>
              <w:spacing w:line="258" w:lineRule="exact"/>
              <w:ind w:right="236"/>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430" w:type="dxa"/>
            <w:tcBorders>
              <w:top w:val="nil" w:sz="6" w:space="0" w:color="auto"/>
              <w:left w:val="nil" w:sz="6" w:space="0" w:color="auto"/>
              <w:bottom w:val="nil" w:sz="6" w:space="0" w:color="auto"/>
              <w:right w:val="nil" w:sz="6" w:space="0" w:color="auto"/>
            </w:tcBorders>
          </w:tcPr>
          <w:p>
            <w:pPr>
              <w:pStyle w:val="TableParagraph"/>
              <w:spacing w:line="258" w:lineRule="exact"/>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nil" w:sz="6" w:space="0" w:color="auto"/>
              <w:left w:val="nil" w:sz="6" w:space="0" w:color="auto"/>
              <w:bottom w:val="nil" w:sz="6" w:space="0" w:color="auto"/>
              <w:right w:val="nil" w:sz="6" w:space="0" w:color="auto"/>
            </w:tcBorders>
          </w:tcPr>
          <w:p>
            <w:pPr>
              <w:pStyle w:val="TableParagraph"/>
              <w:spacing w:line="258" w:lineRule="exact"/>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nil" w:sz="6" w:space="0" w:color="auto"/>
              <w:left w:val="nil" w:sz="6" w:space="0" w:color="auto"/>
              <w:bottom w:val="nil" w:sz="6" w:space="0" w:color="auto"/>
              <w:right w:val="nil" w:sz="6" w:space="0" w:color="auto"/>
            </w:tcBorders>
          </w:tcPr>
          <w:p>
            <w:pPr>
              <w:pStyle w:val="TableParagraph"/>
              <w:spacing w:line="258" w:lineRule="exact"/>
              <w:ind w:right="143"/>
              <w:jc w:val="right"/>
              <w:rPr>
                <w:rFonts w:ascii="Calibri" w:hAnsi="Calibri" w:cs="Calibri" w:eastAsia="Calibri" w:hint="default"/>
                <w:sz w:val="22"/>
                <w:szCs w:val="22"/>
              </w:rPr>
            </w:pPr>
            <w:r>
              <w:rPr>
                <w:rFonts w:ascii="Calibri" w:hAnsi="Calibri" w:cs="Calibri" w:eastAsia="Calibri" w:hint="default"/>
                <w:w w:val="95"/>
                <w:sz w:val="22"/>
                <w:szCs w:val="22"/>
              </w:rPr>
              <w:t>⑥</w:t>
            </w:r>
            <w:r>
              <w:rPr>
                <w:rFonts w:ascii="Calibri" w:hAnsi="Calibri" w:cs="Calibri" w:eastAsia="Calibri" w:hint="default"/>
                <w:sz w:val="22"/>
                <w:szCs w:val="22"/>
              </w:rPr>
            </w:r>
          </w:p>
        </w:tc>
      </w:tr>
      <w:tr>
        <w:trPr>
          <w:trHeight w:val="275" w:hRule="exact"/>
        </w:trPr>
        <w:tc>
          <w:tcPr>
            <w:tcW w:w="7286" w:type="dxa"/>
            <w:tcBorders>
              <w:top w:val="nil" w:sz="6" w:space="0" w:color="auto"/>
              <w:left w:val="nil" w:sz="6" w:space="0" w:color="auto"/>
              <w:bottom w:val="single" w:sz="4" w:space="0" w:color="000000"/>
              <w:right w:val="nil" w:sz="6" w:space="0" w:color="auto"/>
            </w:tcBorders>
          </w:tcPr>
          <w:p>
            <w:pPr>
              <w:pStyle w:val="TableParagraph"/>
              <w:spacing w:line="258" w:lineRule="exact"/>
              <w:ind w:left="108" w:right="0"/>
              <w:jc w:val="left"/>
              <w:rPr>
                <w:rFonts w:ascii="Calibri" w:hAnsi="Calibri" w:cs="Calibri" w:eastAsia="Calibri" w:hint="default"/>
                <w:sz w:val="22"/>
                <w:szCs w:val="22"/>
              </w:rPr>
            </w:pPr>
            <w:r>
              <w:rPr>
                <w:rFonts w:ascii="Calibri"/>
                <w:sz w:val="22"/>
              </w:rPr>
              <w:t>Convenience car rental</w:t>
            </w:r>
            <w:r>
              <w:rPr>
                <w:rFonts w:ascii="Calibri"/>
                <w:spacing w:val="-18"/>
                <w:sz w:val="22"/>
              </w:rPr>
              <w:t> </w:t>
            </w:r>
            <w:r>
              <w:rPr>
                <w:rFonts w:ascii="Calibri"/>
                <w:sz w:val="22"/>
              </w:rPr>
              <w:t>facilities</w:t>
            </w:r>
          </w:p>
        </w:tc>
        <w:tc>
          <w:tcPr>
            <w:tcW w:w="1121" w:type="dxa"/>
            <w:tcBorders>
              <w:top w:val="nil" w:sz="6" w:space="0" w:color="auto"/>
              <w:left w:val="nil" w:sz="6" w:space="0" w:color="auto"/>
              <w:bottom w:val="single" w:sz="4" w:space="0" w:color="000000"/>
              <w:right w:val="nil" w:sz="6" w:space="0" w:color="auto"/>
            </w:tcBorders>
          </w:tcPr>
          <w:p>
            <w:pPr>
              <w:pStyle w:val="TableParagraph"/>
              <w:spacing w:line="258" w:lineRule="exact"/>
              <w:ind w:right="236"/>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430" w:type="dxa"/>
            <w:tcBorders>
              <w:top w:val="nil" w:sz="6" w:space="0" w:color="auto"/>
              <w:left w:val="nil" w:sz="6" w:space="0" w:color="auto"/>
              <w:bottom w:val="single" w:sz="4" w:space="0" w:color="000000"/>
              <w:right w:val="nil" w:sz="6" w:space="0" w:color="auto"/>
            </w:tcBorders>
          </w:tcPr>
          <w:p>
            <w:pPr>
              <w:pStyle w:val="TableParagraph"/>
              <w:spacing w:line="258" w:lineRule="exact"/>
              <w:ind w:left="12"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544" w:type="dxa"/>
            <w:tcBorders>
              <w:top w:val="nil" w:sz="6" w:space="0" w:color="auto"/>
              <w:left w:val="nil" w:sz="6" w:space="0" w:color="auto"/>
              <w:bottom w:val="single" w:sz="4" w:space="0" w:color="000000"/>
              <w:right w:val="nil" w:sz="6" w:space="0" w:color="auto"/>
            </w:tcBorders>
          </w:tcPr>
          <w:p>
            <w:pPr>
              <w:pStyle w:val="TableParagraph"/>
              <w:spacing w:line="258"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single" w:sz="4" w:space="0" w:color="000000"/>
              <w:right w:val="nil" w:sz="6" w:space="0" w:color="auto"/>
            </w:tcBorders>
          </w:tcPr>
          <w:p>
            <w:pPr>
              <w:pStyle w:val="TableParagraph"/>
              <w:spacing w:line="258"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449" w:type="dxa"/>
            <w:tcBorders>
              <w:top w:val="nil" w:sz="6" w:space="0" w:color="auto"/>
              <w:left w:val="nil" w:sz="6" w:space="0" w:color="auto"/>
              <w:bottom w:val="single" w:sz="4" w:space="0" w:color="000000"/>
              <w:right w:val="nil" w:sz="6" w:space="0" w:color="auto"/>
            </w:tcBorders>
          </w:tcPr>
          <w:p>
            <w:pPr>
              <w:pStyle w:val="TableParagraph"/>
              <w:spacing w:line="258" w:lineRule="exact"/>
              <w:ind w:right="29"/>
              <w:jc w:val="right"/>
              <w:rPr>
                <w:rFonts w:ascii="Calibri" w:hAnsi="Calibri" w:cs="Calibri" w:eastAsia="Calibri" w:hint="default"/>
                <w:sz w:val="22"/>
                <w:szCs w:val="22"/>
              </w:rPr>
            </w:pPr>
            <w:r>
              <w:rPr>
                <w:rFonts w:ascii="Calibri" w:hAnsi="Calibri" w:cs="Calibri" w:eastAsia="Calibri" w:hint="default"/>
                <w:w w:val="95"/>
                <w:sz w:val="22"/>
                <w:szCs w:val="22"/>
              </w:rPr>
              <w:t>⑤</w:t>
            </w:r>
            <w:r>
              <w:rPr>
                <w:rFonts w:ascii="Calibri" w:hAnsi="Calibri" w:cs="Calibri" w:eastAsia="Calibri" w:hint="default"/>
                <w:sz w:val="22"/>
                <w:szCs w:val="22"/>
              </w:rPr>
            </w:r>
          </w:p>
        </w:tc>
        <w:tc>
          <w:tcPr>
            <w:tcW w:w="658" w:type="dxa"/>
            <w:tcBorders>
              <w:top w:val="nil" w:sz="6" w:space="0" w:color="auto"/>
              <w:left w:val="nil" w:sz="6" w:space="0" w:color="auto"/>
              <w:bottom w:val="single" w:sz="4" w:space="0" w:color="000000"/>
              <w:right w:val="nil" w:sz="6" w:space="0" w:color="auto"/>
            </w:tcBorders>
          </w:tcPr>
          <w:p>
            <w:pPr>
              <w:pStyle w:val="TableParagraph"/>
              <w:spacing w:line="258" w:lineRule="exact"/>
              <w:ind w:right="143"/>
              <w:jc w:val="right"/>
              <w:rPr>
                <w:rFonts w:ascii="Calibri" w:hAnsi="Calibri" w:cs="Calibri" w:eastAsia="Calibri" w:hint="default"/>
                <w:sz w:val="22"/>
                <w:szCs w:val="22"/>
              </w:rPr>
            </w:pPr>
            <w:r>
              <w:rPr>
                <w:rFonts w:ascii="Calibri" w:hAnsi="Calibri" w:cs="Calibri" w:eastAsia="Calibri" w:hint="default"/>
                <w:w w:val="95"/>
                <w:sz w:val="22"/>
                <w:szCs w:val="22"/>
              </w:rPr>
              <w:t>⑥</w:t>
            </w:r>
            <w:r>
              <w:rPr>
                <w:rFonts w:ascii="Calibri" w:hAnsi="Calibri" w:cs="Calibri" w:eastAsia="Calibri" w:hint="default"/>
                <w:sz w:val="22"/>
                <w:szCs w:val="22"/>
              </w:rPr>
            </w:r>
          </w:p>
        </w:tc>
      </w:tr>
    </w:tbl>
    <w:p>
      <w:pPr>
        <w:spacing w:after="0" w:line="258" w:lineRule="exact"/>
        <w:jc w:val="right"/>
        <w:rPr>
          <w:rFonts w:ascii="Calibri" w:hAnsi="Calibri" w:cs="Calibri" w:eastAsia="Calibri" w:hint="default"/>
          <w:sz w:val="22"/>
          <w:szCs w:val="22"/>
        </w:rPr>
        <w:sectPr>
          <w:type w:val="continuous"/>
          <w:pgSz w:w="12240" w:h="15840"/>
          <w:pgMar w:top="1500" w:bottom="280" w:left="440" w:right="520"/>
        </w:sectPr>
      </w:pPr>
    </w:p>
    <w:p>
      <w:pPr>
        <w:spacing w:before="7"/>
        <w:ind w:left="612" w:right="0" w:firstLine="0"/>
        <w:jc w:val="left"/>
        <w:rPr>
          <w:rFonts w:ascii="Calibri" w:hAnsi="Calibri" w:cs="Calibri" w:eastAsia="Calibri" w:hint="default"/>
          <w:sz w:val="22"/>
          <w:szCs w:val="22"/>
        </w:rPr>
      </w:pPr>
      <w:r>
        <w:rPr>
          <w:rFonts w:ascii="Calibri" w:hAnsi="Calibri"/>
          <w:b/>
          <w:sz w:val="22"/>
        </w:rPr>
        <w:t>SECTION 5: EVALUATION OF YOUR EXPERIENCE IN</w:t>
      </w:r>
      <w:r>
        <w:rPr>
          <w:rFonts w:ascii="Calibri" w:hAnsi="Calibri"/>
          <w:b/>
          <w:spacing w:val="-16"/>
          <w:sz w:val="22"/>
        </w:rPr>
        <w:t> </w:t>
      </w:r>
      <w:r>
        <w:rPr>
          <w:rFonts w:ascii="Calibri" w:hAnsi="Calibri"/>
          <w:b/>
          <w:sz w:val="22"/>
        </w:rPr>
        <w:t>CURAÇAO</w:t>
      </w:r>
      <w:r>
        <w:rPr>
          <w:rFonts w:ascii="Calibri" w:hAnsi="Calibri"/>
          <w:sz w:val="22"/>
        </w:rPr>
      </w:r>
    </w:p>
    <w:p>
      <w:pPr>
        <w:spacing w:line="240" w:lineRule="auto" w:before="6" w:after="0"/>
        <w:ind w:right="0"/>
        <w:rPr>
          <w:rFonts w:ascii="Calibri" w:hAnsi="Calibri" w:cs="Calibri" w:eastAsia="Calibri" w:hint="default"/>
          <w:b/>
          <w:bCs/>
          <w:sz w:val="22"/>
          <w:szCs w:val="22"/>
        </w:rPr>
      </w:pPr>
    </w:p>
    <w:tbl>
      <w:tblPr>
        <w:tblW w:w="0" w:type="auto"/>
        <w:jc w:val="left"/>
        <w:tblInd w:w="100" w:type="dxa"/>
        <w:tblLayout w:type="fixed"/>
        <w:tblCellMar>
          <w:top w:w="0" w:type="dxa"/>
          <w:left w:w="0" w:type="dxa"/>
          <w:bottom w:w="0" w:type="dxa"/>
          <w:right w:w="0" w:type="dxa"/>
        </w:tblCellMar>
        <w:tblLook w:val="01E0"/>
      </w:tblPr>
      <w:tblGrid>
        <w:gridCol w:w="7444"/>
        <w:gridCol w:w="974"/>
        <w:gridCol w:w="544"/>
        <w:gridCol w:w="418"/>
        <w:gridCol w:w="531"/>
        <w:gridCol w:w="1120"/>
      </w:tblGrid>
      <w:tr>
        <w:trPr>
          <w:trHeight w:val="547" w:hRule="exact"/>
        </w:trPr>
        <w:tc>
          <w:tcPr>
            <w:tcW w:w="7444" w:type="dxa"/>
            <w:tcBorders>
              <w:top w:val="single" w:sz="4" w:space="0" w:color="000000"/>
              <w:left w:val="nil" w:sz="6" w:space="0" w:color="auto"/>
              <w:bottom w:val="single" w:sz="4" w:space="0" w:color="000000"/>
              <w:right w:val="nil" w:sz="6" w:space="0" w:color="auto"/>
            </w:tcBorders>
          </w:tcPr>
          <w:p>
            <w:pPr>
              <w:pStyle w:val="TableParagraph"/>
              <w:spacing w:line="268" w:lineRule="exact"/>
              <w:ind w:left="107" w:right="0"/>
              <w:jc w:val="left"/>
              <w:rPr>
                <w:rFonts w:ascii="Calibri" w:hAnsi="Calibri" w:cs="Calibri" w:eastAsia="Calibri" w:hint="default"/>
                <w:sz w:val="22"/>
                <w:szCs w:val="22"/>
              </w:rPr>
            </w:pPr>
            <w:r>
              <w:rPr>
                <w:rFonts w:ascii="Calibri" w:hAnsi="Calibri"/>
                <w:b/>
                <w:sz w:val="22"/>
              </w:rPr>
              <w:t>19. Please tell us how you perceive the </w:t>
            </w:r>
            <w:r>
              <w:rPr>
                <w:rFonts w:ascii="Calibri" w:hAnsi="Calibri"/>
                <w:b/>
                <w:sz w:val="22"/>
                <w:u w:val="single" w:color="000000"/>
              </w:rPr>
              <w:t>PRICES </w:t>
            </w:r>
            <w:r>
              <w:rPr>
                <w:rFonts w:ascii="Calibri" w:hAnsi="Calibri"/>
                <w:b/>
                <w:sz w:val="22"/>
              </w:rPr>
              <w:t>of the following</w:t>
            </w:r>
            <w:r>
              <w:rPr>
                <w:rFonts w:ascii="Calibri" w:hAnsi="Calibri"/>
                <w:b/>
                <w:spacing w:val="-34"/>
                <w:sz w:val="22"/>
              </w:rPr>
              <w:t> </w:t>
            </w:r>
            <w:r>
              <w:rPr>
                <w:rFonts w:ascii="Calibri" w:hAnsi="Calibri"/>
                <w:b/>
                <w:sz w:val="22"/>
              </w:rPr>
              <w:t>in Curaçao</w:t>
            </w:r>
            <w:r>
              <w:rPr>
                <w:rFonts w:ascii="Calibri" w:hAnsi="Calibri"/>
                <w:sz w:val="22"/>
              </w:rPr>
            </w:r>
          </w:p>
        </w:tc>
        <w:tc>
          <w:tcPr>
            <w:tcW w:w="974" w:type="dxa"/>
            <w:tcBorders>
              <w:top w:val="single" w:sz="4" w:space="0" w:color="000000"/>
              <w:left w:val="nil" w:sz="6" w:space="0" w:color="auto"/>
              <w:bottom w:val="single" w:sz="4" w:space="0" w:color="000000"/>
              <w:right w:val="nil" w:sz="6" w:space="0" w:color="auto"/>
            </w:tcBorders>
          </w:tcPr>
          <w:p>
            <w:pPr>
              <w:pStyle w:val="TableParagraph"/>
              <w:spacing w:line="240" w:lineRule="auto"/>
              <w:ind w:left="432" w:right="-28"/>
              <w:jc w:val="left"/>
              <w:rPr>
                <w:rFonts w:ascii="Calibri" w:hAnsi="Calibri" w:cs="Calibri" w:eastAsia="Calibri" w:hint="default"/>
                <w:sz w:val="22"/>
                <w:szCs w:val="22"/>
              </w:rPr>
            </w:pPr>
            <w:r>
              <w:rPr>
                <w:rFonts w:ascii="Calibri"/>
                <w:b/>
                <w:i/>
                <w:sz w:val="22"/>
              </w:rPr>
              <w:t>Very </w:t>
            </w:r>
            <w:r>
              <w:rPr>
                <w:rFonts w:ascii="Calibri"/>
                <w:b/>
                <w:i/>
                <w:spacing w:val="-1"/>
                <w:sz w:val="22"/>
              </w:rPr>
              <w:t>Cheap</w:t>
            </w:r>
            <w:r>
              <w:rPr>
                <w:rFonts w:ascii="Calibri"/>
                <w:sz w:val="22"/>
              </w:rPr>
            </w:r>
          </w:p>
        </w:tc>
        <w:tc>
          <w:tcPr>
            <w:tcW w:w="544" w:type="dxa"/>
            <w:tcBorders>
              <w:top w:val="single" w:sz="4" w:space="0" w:color="000000"/>
              <w:left w:val="nil" w:sz="6" w:space="0" w:color="auto"/>
              <w:bottom w:val="single" w:sz="4" w:space="0" w:color="000000"/>
              <w:right w:val="nil" w:sz="6" w:space="0" w:color="auto"/>
            </w:tcBorders>
          </w:tcPr>
          <w:p>
            <w:pPr/>
          </w:p>
        </w:tc>
        <w:tc>
          <w:tcPr>
            <w:tcW w:w="418" w:type="dxa"/>
            <w:tcBorders>
              <w:top w:val="single" w:sz="4" w:space="0" w:color="000000"/>
              <w:left w:val="nil" w:sz="6" w:space="0" w:color="auto"/>
              <w:bottom w:val="single" w:sz="4" w:space="0" w:color="000000"/>
              <w:right w:val="nil" w:sz="6" w:space="0" w:color="auto"/>
            </w:tcBorders>
          </w:tcPr>
          <w:p>
            <w:pPr/>
          </w:p>
        </w:tc>
        <w:tc>
          <w:tcPr>
            <w:tcW w:w="531" w:type="dxa"/>
            <w:tcBorders>
              <w:top w:val="single" w:sz="4" w:space="0" w:color="000000"/>
              <w:left w:val="nil" w:sz="6" w:space="0" w:color="auto"/>
              <w:bottom w:val="single" w:sz="4" w:space="0" w:color="000000"/>
              <w:right w:val="nil" w:sz="6" w:space="0" w:color="auto"/>
            </w:tcBorders>
          </w:tcPr>
          <w:p>
            <w:pPr/>
          </w:p>
        </w:tc>
        <w:tc>
          <w:tcPr>
            <w:tcW w:w="1120" w:type="dxa"/>
            <w:tcBorders>
              <w:top w:val="single" w:sz="4" w:space="0" w:color="000000"/>
              <w:left w:val="nil" w:sz="6" w:space="0" w:color="auto"/>
              <w:bottom w:val="single" w:sz="4" w:space="0" w:color="000000"/>
              <w:right w:val="nil" w:sz="6" w:space="0" w:color="auto"/>
            </w:tcBorders>
          </w:tcPr>
          <w:p>
            <w:pPr>
              <w:pStyle w:val="TableParagraph"/>
              <w:spacing w:line="240" w:lineRule="auto"/>
              <w:ind w:left="112" w:right="106" w:firstLine="481"/>
              <w:jc w:val="left"/>
              <w:rPr>
                <w:rFonts w:ascii="Calibri" w:hAnsi="Calibri" w:cs="Calibri" w:eastAsia="Calibri" w:hint="default"/>
                <w:sz w:val="22"/>
                <w:szCs w:val="22"/>
              </w:rPr>
            </w:pPr>
            <w:r>
              <w:rPr>
                <w:rFonts w:ascii="Calibri"/>
                <w:b/>
                <w:i/>
                <w:w w:val="95"/>
                <w:sz w:val="22"/>
              </w:rPr>
              <w:t>Very </w:t>
            </w:r>
            <w:r>
              <w:rPr>
                <w:rFonts w:ascii="Calibri"/>
                <w:b/>
                <w:i/>
                <w:sz w:val="22"/>
              </w:rPr>
              <w:t>Expensive</w:t>
            </w:r>
            <w:r>
              <w:rPr>
                <w:rFonts w:ascii="Calibri"/>
                <w:sz w:val="22"/>
              </w:rPr>
            </w:r>
          </w:p>
        </w:tc>
      </w:tr>
      <w:tr>
        <w:trPr>
          <w:trHeight w:val="313" w:hRule="exact"/>
        </w:trPr>
        <w:tc>
          <w:tcPr>
            <w:tcW w:w="7444" w:type="dxa"/>
            <w:tcBorders>
              <w:top w:val="single" w:sz="4" w:space="0" w:color="000000"/>
              <w:left w:val="nil" w:sz="6" w:space="0" w:color="auto"/>
              <w:bottom w:val="nil" w:sz="6" w:space="0" w:color="auto"/>
              <w:right w:val="nil" w:sz="6" w:space="0" w:color="auto"/>
            </w:tcBorders>
          </w:tcPr>
          <w:p>
            <w:pPr>
              <w:pStyle w:val="TableParagraph"/>
              <w:spacing w:line="240" w:lineRule="auto" w:before="9"/>
              <w:ind w:left="107" w:right="0"/>
              <w:jc w:val="left"/>
              <w:rPr>
                <w:rFonts w:ascii="Calibri" w:hAnsi="Calibri" w:cs="Calibri" w:eastAsia="Calibri" w:hint="default"/>
                <w:sz w:val="22"/>
                <w:szCs w:val="22"/>
              </w:rPr>
            </w:pPr>
            <w:r>
              <w:rPr>
                <w:rFonts w:ascii="Calibri"/>
                <w:sz w:val="22"/>
              </w:rPr>
              <w:t>Accommodations</w:t>
            </w:r>
          </w:p>
        </w:tc>
        <w:tc>
          <w:tcPr>
            <w:tcW w:w="974" w:type="dxa"/>
            <w:tcBorders>
              <w:top w:val="single" w:sz="4" w:space="0" w:color="000000"/>
              <w:left w:val="nil" w:sz="6" w:space="0" w:color="auto"/>
              <w:bottom w:val="nil" w:sz="6" w:space="0" w:color="auto"/>
              <w:right w:val="nil" w:sz="6" w:space="0" w:color="auto"/>
            </w:tcBorders>
          </w:tcPr>
          <w:p>
            <w:pPr>
              <w:pStyle w:val="TableParagraph"/>
              <w:spacing w:line="240" w:lineRule="auto" w:before="9"/>
              <w:ind w:right="248"/>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544" w:type="dxa"/>
            <w:tcBorders>
              <w:top w:val="single" w:sz="4" w:space="0" w:color="000000"/>
              <w:left w:val="nil" w:sz="6" w:space="0" w:color="auto"/>
              <w:bottom w:val="nil" w:sz="6" w:space="0" w:color="auto"/>
              <w:right w:val="nil" w:sz="6" w:space="0" w:color="auto"/>
            </w:tcBorders>
          </w:tcPr>
          <w:p>
            <w:pPr>
              <w:pStyle w:val="TableParagraph"/>
              <w:spacing w:line="240" w:lineRule="auto" w:before="9"/>
              <w:ind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418" w:type="dxa"/>
            <w:tcBorders>
              <w:top w:val="single" w:sz="4" w:space="0" w:color="000000"/>
              <w:left w:val="nil" w:sz="6" w:space="0" w:color="auto"/>
              <w:bottom w:val="nil" w:sz="6" w:space="0" w:color="auto"/>
              <w:right w:val="nil" w:sz="6" w:space="0" w:color="auto"/>
            </w:tcBorders>
          </w:tcPr>
          <w:p>
            <w:pPr>
              <w:pStyle w:val="TableParagraph"/>
              <w:spacing w:line="240" w:lineRule="auto" w:before="9"/>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single" w:sz="4" w:space="0" w:color="000000"/>
              <w:left w:val="nil" w:sz="6" w:space="0" w:color="auto"/>
              <w:bottom w:val="nil" w:sz="6" w:space="0" w:color="auto"/>
              <w:right w:val="nil" w:sz="6" w:space="0" w:color="auto"/>
            </w:tcBorders>
          </w:tcPr>
          <w:p>
            <w:pPr>
              <w:pStyle w:val="TableParagraph"/>
              <w:spacing w:line="240" w:lineRule="auto" w:before="9"/>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single" w:sz="4" w:space="0" w:color="000000"/>
              <w:left w:val="nil" w:sz="6" w:space="0" w:color="auto"/>
              <w:bottom w:val="nil" w:sz="6" w:space="0" w:color="auto"/>
              <w:right w:val="nil" w:sz="6" w:space="0" w:color="auto"/>
            </w:tcBorders>
          </w:tcPr>
          <w:p>
            <w:pPr>
              <w:pStyle w:val="TableParagraph"/>
              <w:tabs>
                <w:tab w:pos="544" w:val="left" w:leader="none"/>
              </w:tabs>
              <w:spacing w:line="240" w:lineRule="auto" w:before="9"/>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Restaurants</w:t>
            </w:r>
          </w:p>
        </w:tc>
        <w:tc>
          <w:tcPr>
            <w:tcW w:w="974" w:type="dxa"/>
            <w:tcBorders>
              <w:top w:val="nil" w:sz="6" w:space="0" w:color="auto"/>
              <w:left w:val="nil" w:sz="6" w:space="0" w:color="auto"/>
              <w:bottom w:val="nil" w:sz="6" w:space="0" w:color="auto"/>
              <w:right w:val="nil" w:sz="6" w:space="0" w:color="auto"/>
            </w:tcBorders>
          </w:tcPr>
          <w:p>
            <w:pPr>
              <w:pStyle w:val="TableParagraph"/>
              <w:spacing w:line="258" w:lineRule="exact"/>
              <w:ind w:right="248"/>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Taxis</w:t>
            </w:r>
          </w:p>
        </w:tc>
        <w:tc>
          <w:tcPr>
            <w:tcW w:w="974" w:type="dxa"/>
            <w:tcBorders>
              <w:top w:val="nil" w:sz="6" w:space="0" w:color="auto"/>
              <w:left w:val="nil" w:sz="6" w:space="0" w:color="auto"/>
              <w:bottom w:val="nil" w:sz="6" w:space="0" w:color="auto"/>
              <w:right w:val="nil" w:sz="6" w:space="0" w:color="auto"/>
            </w:tcBorders>
          </w:tcPr>
          <w:p>
            <w:pPr>
              <w:pStyle w:val="TableParagraph"/>
              <w:spacing w:line="258" w:lineRule="exact"/>
              <w:ind w:right="248"/>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Entertainment</w:t>
            </w:r>
          </w:p>
        </w:tc>
        <w:tc>
          <w:tcPr>
            <w:tcW w:w="974" w:type="dxa"/>
            <w:tcBorders>
              <w:top w:val="nil" w:sz="6" w:space="0" w:color="auto"/>
              <w:left w:val="nil" w:sz="6" w:space="0" w:color="auto"/>
              <w:bottom w:val="nil" w:sz="6" w:space="0" w:color="auto"/>
              <w:right w:val="nil" w:sz="6" w:space="0" w:color="auto"/>
            </w:tcBorders>
          </w:tcPr>
          <w:p>
            <w:pPr>
              <w:pStyle w:val="TableParagraph"/>
              <w:spacing w:line="258" w:lineRule="exact"/>
              <w:ind w:right="248"/>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Shopping</w:t>
            </w:r>
          </w:p>
        </w:tc>
        <w:tc>
          <w:tcPr>
            <w:tcW w:w="974" w:type="dxa"/>
            <w:tcBorders>
              <w:top w:val="nil" w:sz="6" w:space="0" w:color="auto"/>
              <w:left w:val="nil" w:sz="6" w:space="0" w:color="auto"/>
              <w:bottom w:val="nil" w:sz="6" w:space="0" w:color="auto"/>
              <w:right w:val="nil" w:sz="6" w:space="0" w:color="auto"/>
            </w:tcBorders>
          </w:tcPr>
          <w:p>
            <w:pPr>
              <w:pStyle w:val="TableParagraph"/>
              <w:spacing w:line="258" w:lineRule="exact"/>
              <w:ind w:right="248"/>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Rental</w:t>
            </w:r>
            <w:r>
              <w:rPr>
                <w:rFonts w:ascii="Calibri"/>
                <w:spacing w:val="-7"/>
                <w:sz w:val="22"/>
              </w:rPr>
              <w:t> </w:t>
            </w:r>
            <w:r>
              <w:rPr>
                <w:rFonts w:ascii="Calibri"/>
                <w:sz w:val="22"/>
              </w:rPr>
              <w:t>car</w:t>
            </w:r>
          </w:p>
        </w:tc>
        <w:tc>
          <w:tcPr>
            <w:tcW w:w="974" w:type="dxa"/>
            <w:tcBorders>
              <w:top w:val="nil" w:sz="6" w:space="0" w:color="auto"/>
              <w:left w:val="nil" w:sz="6" w:space="0" w:color="auto"/>
              <w:bottom w:val="nil" w:sz="6" w:space="0" w:color="auto"/>
              <w:right w:val="nil" w:sz="6" w:space="0" w:color="auto"/>
            </w:tcBorders>
          </w:tcPr>
          <w:p>
            <w:pPr>
              <w:pStyle w:val="TableParagraph"/>
              <w:spacing w:line="258" w:lineRule="exact"/>
              <w:ind w:right="248"/>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Airfare</w:t>
            </w:r>
          </w:p>
        </w:tc>
        <w:tc>
          <w:tcPr>
            <w:tcW w:w="974" w:type="dxa"/>
            <w:tcBorders>
              <w:top w:val="nil" w:sz="6" w:space="0" w:color="auto"/>
              <w:left w:val="nil" w:sz="6" w:space="0" w:color="auto"/>
              <w:bottom w:val="nil" w:sz="6" w:space="0" w:color="auto"/>
              <w:right w:val="nil" w:sz="6" w:space="0" w:color="auto"/>
            </w:tcBorders>
          </w:tcPr>
          <w:p>
            <w:pPr>
              <w:pStyle w:val="TableParagraph"/>
              <w:spacing w:line="258" w:lineRule="exact"/>
              <w:ind w:right="248"/>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73" w:hRule="exact"/>
        </w:trPr>
        <w:tc>
          <w:tcPr>
            <w:tcW w:w="7444" w:type="dxa"/>
            <w:tcBorders>
              <w:top w:val="nil" w:sz="6" w:space="0" w:color="auto"/>
              <w:left w:val="nil" w:sz="6" w:space="0" w:color="auto"/>
              <w:bottom w:val="single" w:sz="4" w:space="0" w:color="000000"/>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hAnsi="Calibri"/>
                <w:sz w:val="22"/>
              </w:rPr>
              <w:t>Overall perception of prices in</w:t>
            </w:r>
            <w:r>
              <w:rPr>
                <w:rFonts w:ascii="Calibri" w:hAnsi="Calibri"/>
                <w:spacing w:val="-23"/>
                <w:sz w:val="22"/>
              </w:rPr>
              <w:t> </w:t>
            </w:r>
            <w:r>
              <w:rPr>
                <w:rFonts w:ascii="Calibri" w:hAnsi="Calibri"/>
                <w:sz w:val="22"/>
              </w:rPr>
              <w:t>Curaçao</w:t>
            </w:r>
          </w:p>
        </w:tc>
        <w:tc>
          <w:tcPr>
            <w:tcW w:w="974" w:type="dxa"/>
            <w:tcBorders>
              <w:top w:val="nil" w:sz="6" w:space="0" w:color="auto"/>
              <w:left w:val="nil" w:sz="6" w:space="0" w:color="auto"/>
              <w:bottom w:val="single" w:sz="4" w:space="0" w:color="000000"/>
              <w:right w:val="nil" w:sz="6" w:space="0" w:color="auto"/>
            </w:tcBorders>
          </w:tcPr>
          <w:p>
            <w:pPr>
              <w:pStyle w:val="TableParagraph"/>
              <w:spacing w:line="258" w:lineRule="exact"/>
              <w:ind w:right="248"/>
              <w:jc w:val="right"/>
              <w:rPr>
                <w:rFonts w:ascii="Calibri" w:hAnsi="Calibri" w:cs="Calibri" w:eastAsia="Calibri" w:hint="default"/>
                <w:sz w:val="22"/>
                <w:szCs w:val="22"/>
              </w:rPr>
            </w:pPr>
            <w:r>
              <w:rPr>
                <w:rFonts w:ascii="Calibri" w:hAnsi="Calibri" w:cs="Calibri" w:eastAsia="Calibri" w:hint="default"/>
                <w:w w:val="95"/>
                <w:sz w:val="22"/>
                <w:szCs w:val="22"/>
              </w:rPr>
              <w:t>①</w:t>
            </w:r>
            <w:r>
              <w:rPr>
                <w:rFonts w:ascii="Calibri" w:hAnsi="Calibri" w:cs="Calibri" w:eastAsia="Calibri" w:hint="default"/>
                <w:sz w:val="22"/>
                <w:szCs w:val="22"/>
              </w:rPr>
            </w:r>
          </w:p>
        </w:tc>
        <w:tc>
          <w:tcPr>
            <w:tcW w:w="544" w:type="dxa"/>
            <w:tcBorders>
              <w:top w:val="nil" w:sz="6" w:space="0" w:color="auto"/>
              <w:left w:val="nil" w:sz="6" w:space="0" w:color="auto"/>
              <w:bottom w:val="single" w:sz="4" w:space="0" w:color="000000"/>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②</w:t>
            </w:r>
          </w:p>
        </w:tc>
        <w:tc>
          <w:tcPr>
            <w:tcW w:w="418" w:type="dxa"/>
            <w:tcBorders>
              <w:top w:val="nil" w:sz="6" w:space="0" w:color="auto"/>
              <w:left w:val="nil" w:sz="6" w:space="0" w:color="auto"/>
              <w:bottom w:val="single" w:sz="4" w:space="0" w:color="000000"/>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single" w:sz="4" w:space="0" w:color="000000"/>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single" w:sz="4" w:space="0" w:color="000000"/>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bl>
    <w:p>
      <w:pPr>
        <w:spacing w:line="240" w:lineRule="auto" w:before="0" w:after="0"/>
        <w:ind w:right="0"/>
        <w:rPr>
          <w:rFonts w:ascii="Calibri" w:hAnsi="Calibri" w:cs="Calibri" w:eastAsia="Calibri" w:hint="default"/>
          <w:b/>
          <w:bCs/>
          <w:sz w:val="22"/>
          <w:szCs w:val="22"/>
        </w:rPr>
      </w:pPr>
    </w:p>
    <w:tbl>
      <w:tblPr>
        <w:tblW w:w="0" w:type="auto"/>
        <w:jc w:val="left"/>
        <w:tblInd w:w="100" w:type="dxa"/>
        <w:tblLayout w:type="fixed"/>
        <w:tblCellMar>
          <w:top w:w="0" w:type="dxa"/>
          <w:left w:w="0" w:type="dxa"/>
          <w:bottom w:w="0" w:type="dxa"/>
          <w:right w:w="0" w:type="dxa"/>
        </w:tblCellMar>
        <w:tblLook w:val="01E0"/>
      </w:tblPr>
      <w:tblGrid>
        <w:gridCol w:w="7444"/>
        <w:gridCol w:w="1518"/>
        <w:gridCol w:w="418"/>
        <w:gridCol w:w="1651"/>
      </w:tblGrid>
      <w:tr>
        <w:trPr>
          <w:trHeight w:val="816" w:hRule="exact"/>
        </w:trPr>
        <w:tc>
          <w:tcPr>
            <w:tcW w:w="7444" w:type="dxa"/>
            <w:tcBorders>
              <w:top w:val="single" w:sz="4" w:space="0" w:color="000000"/>
              <w:left w:val="nil" w:sz="6" w:space="0" w:color="auto"/>
              <w:bottom w:val="single" w:sz="4" w:space="0" w:color="000000"/>
              <w:right w:val="nil" w:sz="6" w:space="0" w:color="auto"/>
            </w:tcBorders>
          </w:tcPr>
          <w:p>
            <w:pPr>
              <w:pStyle w:val="TableParagraph"/>
              <w:spacing w:line="240" w:lineRule="auto" w:before="12"/>
              <w:ind w:right="0"/>
              <w:jc w:val="left"/>
              <w:rPr>
                <w:rFonts w:ascii="Calibri" w:hAnsi="Calibri" w:cs="Calibri" w:eastAsia="Calibri" w:hint="default"/>
                <w:b/>
                <w:bCs/>
                <w:sz w:val="21"/>
                <w:szCs w:val="21"/>
              </w:rPr>
            </w:pPr>
          </w:p>
          <w:p>
            <w:pPr>
              <w:pStyle w:val="TableParagraph"/>
              <w:spacing w:line="240" w:lineRule="auto"/>
              <w:ind w:left="107" w:right="0"/>
              <w:jc w:val="left"/>
              <w:rPr>
                <w:rFonts w:ascii="Calibri" w:hAnsi="Calibri" w:cs="Calibri" w:eastAsia="Calibri" w:hint="default"/>
                <w:sz w:val="22"/>
                <w:szCs w:val="22"/>
              </w:rPr>
            </w:pPr>
            <w:r>
              <w:rPr>
                <w:rFonts w:ascii="Calibri" w:hAnsi="Calibri"/>
                <w:b/>
                <w:sz w:val="22"/>
              </w:rPr>
              <w:t>20. Please tell us how you perceive the </w:t>
            </w:r>
            <w:r>
              <w:rPr>
                <w:rFonts w:ascii="Calibri" w:hAnsi="Calibri"/>
                <w:b/>
                <w:sz w:val="22"/>
                <w:u w:val="single" w:color="000000"/>
              </w:rPr>
              <w:t>QUALITY </w:t>
            </w:r>
            <w:r>
              <w:rPr>
                <w:rFonts w:ascii="Calibri" w:hAnsi="Calibri"/>
                <w:b/>
                <w:sz w:val="22"/>
              </w:rPr>
              <w:t>of the following in</w:t>
            </w:r>
            <w:r>
              <w:rPr>
                <w:rFonts w:ascii="Calibri" w:hAnsi="Calibri"/>
                <w:b/>
                <w:spacing w:val="-22"/>
                <w:sz w:val="22"/>
              </w:rPr>
              <w:t> </w:t>
            </w:r>
            <w:r>
              <w:rPr>
                <w:rFonts w:ascii="Calibri" w:hAnsi="Calibri"/>
                <w:b/>
                <w:sz w:val="22"/>
              </w:rPr>
              <w:t>Curaçao</w:t>
            </w:r>
            <w:r>
              <w:rPr>
                <w:rFonts w:ascii="Calibri" w:hAnsi="Calibri"/>
                <w:sz w:val="22"/>
              </w:rPr>
            </w:r>
          </w:p>
        </w:tc>
        <w:tc>
          <w:tcPr>
            <w:tcW w:w="1518" w:type="dxa"/>
            <w:tcBorders>
              <w:top w:val="single" w:sz="4" w:space="0" w:color="000000"/>
              <w:left w:val="nil" w:sz="6" w:space="0" w:color="auto"/>
              <w:bottom w:val="single" w:sz="4" w:space="0" w:color="000000"/>
              <w:right w:val="nil" w:sz="6" w:space="0" w:color="auto"/>
            </w:tcBorders>
          </w:tcPr>
          <w:p>
            <w:pPr>
              <w:pStyle w:val="TableParagraph"/>
              <w:spacing w:line="240" w:lineRule="auto"/>
              <w:ind w:left="432" w:right="-30"/>
              <w:jc w:val="left"/>
              <w:rPr>
                <w:rFonts w:ascii="Calibri" w:hAnsi="Calibri" w:cs="Calibri" w:eastAsia="Calibri" w:hint="default"/>
                <w:sz w:val="22"/>
                <w:szCs w:val="22"/>
              </w:rPr>
            </w:pPr>
            <w:r>
              <w:rPr>
                <w:rFonts w:ascii="Calibri"/>
                <w:b/>
                <w:i/>
                <w:sz w:val="22"/>
              </w:rPr>
              <w:t>Much</w:t>
            </w:r>
            <w:r>
              <w:rPr>
                <w:rFonts w:ascii="Calibri"/>
                <w:b/>
                <w:i/>
                <w:spacing w:val="-5"/>
                <w:sz w:val="22"/>
              </w:rPr>
              <w:t> </w:t>
            </w:r>
            <w:r>
              <w:rPr>
                <w:rFonts w:ascii="Calibri"/>
                <w:b/>
                <w:i/>
                <w:sz w:val="22"/>
              </w:rPr>
              <w:t>worse </w:t>
            </w:r>
            <w:r>
              <w:rPr>
                <w:rFonts w:ascii="Calibri"/>
                <w:b/>
                <w:i/>
                <w:sz w:val="22"/>
              </w:rPr>
              <w:t>than expected</w:t>
            </w:r>
            <w:r>
              <w:rPr>
                <w:rFonts w:ascii="Calibri"/>
                <w:sz w:val="22"/>
              </w:rPr>
            </w:r>
          </w:p>
        </w:tc>
        <w:tc>
          <w:tcPr>
            <w:tcW w:w="418" w:type="dxa"/>
            <w:tcBorders>
              <w:top w:val="single" w:sz="4" w:space="0" w:color="000000"/>
              <w:left w:val="nil" w:sz="6" w:space="0" w:color="auto"/>
              <w:bottom w:val="single" w:sz="4" w:space="0" w:color="000000"/>
              <w:right w:val="nil" w:sz="6" w:space="0" w:color="auto"/>
            </w:tcBorders>
          </w:tcPr>
          <w:p>
            <w:pPr/>
          </w:p>
        </w:tc>
        <w:tc>
          <w:tcPr>
            <w:tcW w:w="1651" w:type="dxa"/>
            <w:tcBorders>
              <w:top w:val="single" w:sz="4" w:space="0" w:color="000000"/>
              <w:left w:val="nil" w:sz="6" w:space="0" w:color="auto"/>
              <w:bottom w:val="single" w:sz="4" w:space="0" w:color="000000"/>
              <w:right w:val="nil" w:sz="6" w:space="0" w:color="auto"/>
            </w:tcBorders>
          </w:tcPr>
          <w:p>
            <w:pPr>
              <w:pStyle w:val="TableParagraph"/>
              <w:spacing w:line="268" w:lineRule="exact"/>
              <w:ind w:left="415" w:right="0"/>
              <w:jc w:val="left"/>
              <w:rPr>
                <w:rFonts w:ascii="Calibri" w:hAnsi="Calibri" w:cs="Calibri" w:eastAsia="Calibri" w:hint="default"/>
                <w:sz w:val="22"/>
                <w:szCs w:val="22"/>
              </w:rPr>
            </w:pPr>
            <w:r>
              <w:rPr>
                <w:rFonts w:ascii="Calibri"/>
                <w:b/>
                <w:i/>
                <w:sz w:val="22"/>
              </w:rPr>
              <w:t>Much</w:t>
            </w:r>
            <w:r>
              <w:rPr>
                <w:rFonts w:ascii="Calibri"/>
                <w:b/>
                <w:i/>
                <w:spacing w:val="-3"/>
                <w:sz w:val="22"/>
              </w:rPr>
              <w:t> </w:t>
            </w:r>
            <w:r>
              <w:rPr>
                <w:rFonts w:ascii="Calibri"/>
                <w:b/>
                <w:i/>
                <w:sz w:val="22"/>
              </w:rPr>
              <w:t>better</w:t>
            </w:r>
            <w:r>
              <w:rPr>
                <w:rFonts w:ascii="Calibri"/>
                <w:sz w:val="22"/>
              </w:rPr>
            </w:r>
          </w:p>
          <w:p>
            <w:pPr>
              <w:pStyle w:val="TableParagraph"/>
              <w:spacing w:line="240" w:lineRule="auto"/>
              <w:ind w:left="718" w:right="106" w:firstLine="399"/>
              <w:jc w:val="left"/>
              <w:rPr>
                <w:rFonts w:ascii="Calibri" w:hAnsi="Calibri" w:cs="Calibri" w:eastAsia="Calibri" w:hint="default"/>
                <w:sz w:val="22"/>
                <w:szCs w:val="22"/>
              </w:rPr>
            </w:pPr>
            <w:r>
              <w:rPr>
                <w:rFonts w:ascii="Calibri"/>
                <w:b/>
                <w:i/>
                <w:sz w:val="22"/>
              </w:rPr>
              <w:t>than </w:t>
            </w:r>
            <w:r>
              <w:rPr>
                <w:rFonts w:ascii="Calibri"/>
                <w:b/>
                <w:i/>
                <w:w w:val="95"/>
                <w:sz w:val="22"/>
              </w:rPr>
              <w:t>expected</w:t>
            </w:r>
            <w:r>
              <w:rPr>
                <w:rFonts w:ascii="Calibri"/>
                <w:sz w:val="22"/>
              </w:rPr>
            </w:r>
          </w:p>
        </w:tc>
      </w:tr>
      <w:tr>
        <w:trPr>
          <w:trHeight w:val="312" w:hRule="exact"/>
        </w:trPr>
        <w:tc>
          <w:tcPr>
            <w:tcW w:w="7444" w:type="dxa"/>
            <w:tcBorders>
              <w:top w:val="single" w:sz="4" w:space="0" w:color="000000"/>
              <w:left w:val="nil" w:sz="6" w:space="0" w:color="auto"/>
              <w:bottom w:val="nil" w:sz="6" w:space="0" w:color="auto"/>
              <w:right w:val="nil" w:sz="6" w:space="0" w:color="auto"/>
            </w:tcBorders>
          </w:tcPr>
          <w:p>
            <w:pPr>
              <w:pStyle w:val="TableParagraph"/>
              <w:spacing w:line="240" w:lineRule="auto" w:before="9"/>
              <w:ind w:left="107" w:right="0"/>
              <w:jc w:val="left"/>
              <w:rPr>
                <w:rFonts w:ascii="Calibri" w:hAnsi="Calibri" w:cs="Calibri" w:eastAsia="Calibri" w:hint="default"/>
                <w:sz w:val="22"/>
                <w:szCs w:val="22"/>
              </w:rPr>
            </w:pPr>
            <w:r>
              <w:rPr>
                <w:rFonts w:ascii="Calibri"/>
                <w:sz w:val="22"/>
              </w:rPr>
              <w:t>Accommodations</w:t>
            </w:r>
          </w:p>
        </w:tc>
        <w:tc>
          <w:tcPr>
            <w:tcW w:w="1518" w:type="dxa"/>
            <w:tcBorders>
              <w:top w:val="single" w:sz="4" w:space="0" w:color="000000"/>
              <w:left w:val="nil" w:sz="6" w:space="0" w:color="auto"/>
              <w:bottom w:val="nil" w:sz="6" w:space="0" w:color="auto"/>
              <w:right w:val="nil" w:sz="6" w:space="0" w:color="auto"/>
            </w:tcBorders>
          </w:tcPr>
          <w:p>
            <w:pPr>
              <w:pStyle w:val="TableParagraph"/>
              <w:tabs>
                <w:tab w:pos="974" w:val="left" w:leader="none"/>
              </w:tabs>
              <w:spacing w:line="240" w:lineRule="auto" w:before="9"/>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single" w:sz="4" w:space="0" w:color="000000"/>
              <w:left w:val="nil" w:sz="6" w:space="0" w:color="auto"/>
              <w:bottom w:val="nil" w:sz="6" w:space="0" w:color="auto"/>
              <w:right w:val="nil" w:sz="6" w:space="0" w:color="auto"/>
            </w:tcBorders>
          </w:tcPr>
          <w:p>
            <w:pPr>
              <w:pStyle w:val="TableParagraph"/>
              <w:spacing w:line="240" w:lineRule="auto" w:before="9"/>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single" w:sz="4" w:space="0" w:color="000000"/>
              <w:left w:val="nil" w:sz="6" w:space="0" w:color="auto"/>
              <w:bottom w:val="nil" w:sz="6" w:space="0" w:color="auto"/>
              <w:right w:val="nil" w:sz="6" w:space="0" w:color="auto"/>
            </w:tcBorders>
          </w:tcPr>
          <w:p>
            <w:pPr>
              <w:pStyle w:val="TableParagraph"/>
              <w:tabs>
                <w:tab w:pos="670" w:val="left" w:leader="none"/>
                <w:tab w:pos="1215" w:val="left" w:leader="none"/>
              </w:tabs>
              <w:spacing w:line="240" w:lineRule="auto" w:before="9"/>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Restaurants</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Taxis</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Entertainment</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Shopping</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Rental</w:t>
            </w:r>
            <w:r>
              <w:rPr>
                <w:rFonts w:ascii="Calibri"/>
                <w:spacing w:val="-4"/>
                <w:sz w:val="22"/>
              </w:rPr>
              <w:t> </w:t>
            </w:r>
            <w:r>
              <w:rPr>
                <w:rFonts w:ascii="Calibri"/>
                <w:sz w:val="22"/>
              </w:rPr>
              <w:t>car</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Airfare</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73" w:hRule="exact"/>
        </w:trPr>
        <w:tc>
          <w:tcPr>
            <w:tcW w:w="7444" w:type="dxa"/>
            <w:tcBorders>
              <w:top w:val="nil" w:sz="6" w:space="0" w:color="auto"/>
              <w:left w:val="nil" w:sz="6" w:space="0" w:color="auto"/>
              <w:bottom w:val="single" w:sz="4" w:space="0" w:color="000000"/>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hAnsi="Calibri"/>
                <w:sz w:val="22"/>
              </w:rPr>
              <w:t>Overall perception of quality in Curaçao</w:t>
            </w:r>
            <w:r>
              <w:rPr>
                <w:rFonts w:ascii="Calibri" w:hAnsi="Calibri"/>
                <w:spacing w:val="-24"/>
                <w:sz w:val="22"/>
              </w:rPr>
              <w:t> </w:t>
            </w:r>
            <w:r>
              <w:rPr>
                <w:rFonts w:ascii="Calibri" w:hAnsi="Calibri"/>
                <w:sz w:val="22"/>
              </w:rPr>
              <w:t>was</w:t>
            </w:r>
          </w:p>
        </w:tc>
        <w:tc>
          <w:tcPr>
            <w:tcW w:w="1518" w:type="dxa"/>
            <w:tcBorders>
              <w:top w:val="nil" w:sz="6" w:space="0" w:color="auto"/>
              <w:left w:val="nil" w:sz="6" w:space="0" w:color="auto"/>
              <w:bottom w:val="single" w:sz="4" w:space="0" w:color="000000"/>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single" w:sz="4" w:space="0" w:color="000000"/>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single" w:sz="4" w:space="0" w:color="000000"/>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bl>
    <w:p>
      <w:pPr>
        <w:spacing w:line="240" w:lineRule="auto" w:before="1" w:after="0"/>
        <w:ind w:right="0"/>
        <w:rPr>
          <w:rFonts w:ascii="Calibri" w:hAnsi="Calibri" w:cs="Calibri" w:eastAsia="Calibri" w:hint="default"/>
          <w:b/>
          <w:bCs/>
          <w:sz w:val="22"/>
          <w:szCs w:val="22"/>
        </w:rPr>
      </w:pPr>
    </w:p>
    <w:tbl>
      <w:tblPr>
        <w:tblW w:w="0" w:type="auto"/>
        <w:jc w:val="left"/>
        <w:tblInd w:w="100" w:type="dxa"/>
        <w:tblLayout w:type="fixed"/>
        <w:tblCellMar>
          <w:top w:w="0" w:type="dxa"/>
          <w:left w:w="0" w:type="dxa"/>
          <w:bottom w:w="0" w:type="dxa"/>
          <w:right w:w="0" w:type="dxa"/>
        </w:tblCellMar>
        <w:tblLook w:val="01E0"/>
      </w:tblPr>
      <w:tblGrid>
        <w:gridCol w:w="7444"/>
        <w:gridCol w:w="1518"/>
        <w:gridCol w:w="418"/>
        <w:gridCol w:w="1651"/>
      </w:tblGrid>
      <w:tr>
        <w:trPr>
          <w:trHeight w:val="816" w:hRule="exact"/>
        </w:trPr>
        <w:tc>
          <w:tcPr>
            <w:tcW w:w="7444" w:type="dxa"/>
            <w:tcBorders>
              <w:top w:val="single" w:sz="4" w:space="0" w:color="000000"/>
              <w:left w:val="nil" w:sz="6" w:space="0" w:color="auto"/>
              <w:bottom w:val="single" w:sz="4" w:space="0" w:color="000000"/>
              <w:right w:val="nil" w:sz="6" w:space="0" w:color="auto"/>
            </w:tcBorders>
          </w:tcPr>
          <w:p>
            <w:pPr>
              <w:pStyle w:val="TableParagraph"/>
              <w:spacing w:line="240" w:lineRule="auto" w:before="12"/>
              <w:ind w:right="0"/>
              <w:jc w:val="left"/>
              <w:rPr>
                <w:rFonts w:ascii="Calibri" w:hAnsi="Calibri" w:cs="Calibri" w:eastAsia="Calibri" w:hint="default"/>
                <w:b/>
                <w:bCs/>
                <w:sz w:val="21"/>
                <w:szCs w:val="21"/>
              </w:rPr>
            </w:pPr>
          </w:p>
          <w:p>
            <w:pPr>
              <w:pStyle w:val="TableParagraph"/>
              <w:spacing w:line="240" w:lineRule="auto"/>
              <w:ind w:left="107" w:right="0"/>
              <w:jc w:val="left"/>
              <w:rPr>
                <w:rFonts w:ascii="Calibri" w:hAnsi="Calibri" w:cs="Calibri" w:eastAsia="Calibri" w:hint="default"/>
                <w:sz w:val="22"/>
                <w:szCs w:val="22"/>
              </w:rPr>
            </w:pPr>
            <w:r>
              <w:rPr>
                <w:rFonts w:ascii="Calibri" w:hAnsi="Calibri"/>
                <w:b/>
                <w:sz w:val="22"/>
              </w:rPr>
              <w:t>21. Please tell us how you perceive the </w:t>
            </w:r>
            <w:r>
              <w:rPr>
                <w:rFonts w:ascii="Calibri" w:hAnsi="Calibri"/>
                <w:b/>
                <w:sz w:val="22"/>
                <w:u w:val="single" w:color="000000"/>
              </w:rPr>
              <w:t>VALUE </w:t>
            </w:r>
            <w:r>
              <w:rPr>
                <w:rFonts w:ascii="Calibri" w:hAnsi="Calibri"/>
                <w:b/>
                <w:sz w:val="22"/>
              </w:rPr>
              <w:t>of the following in</w:t>
            </w:r>
            <w:r>
              <w:rPr>
                <w:rFonts w:ascii="Calibri" w:hAnsi="Calibri"/>
                <w:b/>
                <w:spacing w:val="-30"/>
                <w:sz w:val="22"/>
              </w:rPr>
              <w:t> </w:t>
            </w:r>
            <w:r>
              <w:rPr>
                <w:rFonts w:ascii="Calibri" w:hAnsi="Calibri"/>
                <w:b/>
                <w:sz w:val="22"/>
              </w:rPr>
              <w:t>Curaçao</w:t>
            </w:r>
            <w:r>
              <w:rPr>
                <w:rFonts w:ascii="Calibri" w:hAnsi="Calibri"/>
                <w:sz w:val="22"/>
              </w:rPr>
            </w:r>
          </w:p>
        </w:tc>
        <w:tc>
          <w:tcPr>
            <w:tcW w:w="1518" w:type="dxa"/>
            <w:tcBorders>
              <w:top w:val="single" w:sz="4" w:space="0" w:color="000000"/>
              <w:left w:val="nil" w:sz="6" w:space="0" w:color="auto"/>
              <w:bottom w:val="single" w:sz="4" w:space="0" w:color="000000"/>
              <w:right w:val="nil" w:sz="6" w:space="0" w:color="auto"/>
            </w:tcBorders>
          </w:tcPr>
          <w:p>
            <w:pPr>
              <w:pStyle w:val="TableParagraph"/>
              <w:spacing w:line="240" w:lineRule="auto"/>
              <w:ind w:left="432" w:right="-30"/>
              <w:jc w:val="left"/>
              <w:rPr>
                <w:rFonts w:ascii="Calibri" w:hAnsi="Calibri" w:cs="Calibri" w:eastAsia="Calibri" w:hint="default"/>
                <w:sz w:val="22"/>
                <w:szCs w:val="22"/>
              </w:rPr>
            </w:pPr>
            <w:r>
              <w:rPr>
                <w:rFonts w:ascii="Calibri"/>
                <w:b/>
                <w:i/>
                <w:sz w:val="22"/>
              </w:rPr>
              <w:t>Much</w:t>
            </w:r>
            <w:r>
              <w:rPr>
                <w:rFonts w:ascii="Calibri"/>
                <w:b/>
                <w:i/>
                <w:spacing w:val="-5"/>
                <w:sz w:val="22"/>
              </w:rPr>
              <w:t> </w:t>
            </w:r>
            <w:r>
              <w:rPr>
                <w:rFonts w:ascii="Calibri"/>
                <w:b/>
                <w:i/>
                <w:sz w:val="22"/>
              </w:rPr>
              <w:t>worse </w:t>
            </w:r>
            <w:r>
              <w:rPr>
                <w:rFonts w:ascii="Calibri"/>
                <w:b/>
                <w:i/>
                <w:sz w:val="22"/>
              </w:rPr>
              <w:t>than expected</w:t>
            </w:r>
            <w:r>
              <w:rPr>
                <w:rFonts w:ascii="Calibri"/>
                <w:sz w:val="22"/>
              </w:rPr>
            </w:r>
          </w:p>
        </w:tc>
        <w:tc>
          <w:tcPr>
            <w:tcW w:w="418" w:type="dxa"/>
            <w:tcBorders>
              <w:top w:val="single" w:sz="4" w:space="0" w:color="000000"/>
              <w:left w:val="nil" w:sz="6" w:space="0" w:color="auto"/>
              <w:bottom w:val="single" w:sz="4" w:space="0" w:color="000000"/>
              <w:right w:val="nil" w:sz="6" w:space="0" w:color="auto"/>
            </w:tcBorders>
          </w:tcPr>
          <w:p>
            <w:pPr/>
          </w:p>
        </w:tc>
        <w:tc>
          <w:tcPr>
            <w:tcW w:w="1651" w:type="dxa"/>
            <w:tcBorders>
              <w:top w:val="single" w:sz="4" w:space="0" w:color="000000"/>
              <w:left w:val="nil" w:sz="6" w:space="0" w:color="auto"/>
              <w:bottom w:val="single" w:sz="4" w:space="0" w:color="000000"/>
              <w:right w:val="nil" w:sz="6" w:space="0" w:color="auto"/>
            </w:tcBorders>
          </w:tcPr>
          <w:p>
            <w:pPr>
              <w:pStyle w:val="TableParagraph"/>
              <w:spacing w:line="268" w:lineRule="exact"/>
              <w:ind w:left="415" w:right="0"/>
              <w:jc w:val="left"/>
              <w:rPr>
                <w:rFonts w:ascii="Calibri" w:hAnsi="Calibri" w:cs="Calibri" w:eastAsia="Calibri" w:hint="default"/>
                <w:sz w:val="22"/>
                <w:szCs w:val="22"/>
              </w:rPr>
            </w:pPr>
            <w:r>
              <w:rPr>
                <w:rFonts w:ascii="Calibri"/>
                <w:b/>
                <w:i/>
                <w:sz w:val="22"/>
              </w:rPr>
              <w:t>Much</w:t>
            </w:r>
            <w:r>
              <w:rPr>
                <w:rFonts w:ascii="Calibri"/>
                <w:b/>
                <w:i/>
                <w:spacing w:val="-3"/>
                <w:sz w:val="22"/>
              </w:rPr>
              <w:t> </w:t>
            </w:r>
            <w:r>
              <w:rPr>
                <w:rFonts w:ascii="Calibri"/>
                <w:b/>
                <w:i/>
                <w:sz w:val="22"/>
              </w:rPr>
              <w:t>better</w:t>
            </w:r>
            <w:r>
              <w:rPr>
                <w:rFonts w:ascii="Calibri"/>
                <w:sz w:val="22"/>
              </w:rPr>
            </w:r>
          </w:p>
          <w:p>
            <w:pPr>
              <w:pStyle w:val="TableParagraph"/>
              <w:spacing w:line="240" w:lineRule="auto"/>
              <w:ind w:left="718" w:right="106" w:firstLine="399"/>
              <w:jc w:val="left"/>
              <w:rPr>
                <w:rFonts w:ascii="Calibri" w:hAnsi="Calibri" w:cs="Calibri" w:eastAsia="Calibri" w:hint="default"/>
                <w:sz w:val="22"/>
                <w:szCs w:val="22"/>
              </w:rPr>
            </w:pPr>
            <w:r>
              <w:rPr>
                <w:rFonts w:ascii="Calibri"/>
                <w:b/>
                <w:i/>
                <w:sz w:val="22"/>
              </w:rPr>
              <w:t>than </w:t>
            </w:r>
            <w:r>
              <w:rPr>
                <w:rFonts w:ascii="Calibri"/>
                <w:b/>
                <w:i/>
                <w:w w:val="95"/>
                <w:sz w:val="22"/>
              </w:rPr>
              <w:t>expected</w:t>
            </w:r>
            <w:r>
              <w:rPr>
                <w:rFonts w:ascii="Calibri"/>
                <w:sz w:val="22"/>
              </w:rPr>
            </w:r>
          </w:p>
        </w:tc>
      </w:tr>
      <w:tr>
        <w:trPr>
          <w:trHeight w:val="312" w:hRule="exact"/>
        </w:trPr>
        <w:tc>
          <w:tcPr>
            <w:tcW w:w="7444" w:type="dxa"/>
            <w:tcBorders>
              <w:top w:val="single" w:sz="4" w:space="0" w:color="000000"/>
              <w:left w:val="nil" w:sz="6" w:space="0" w:color="auto"/>
              <w:bottom w:val="nil" w:sz="6" w:space="0" w:color="auto"/>
              <w:right w:val="nil" w:sz="6" w:space="0" w:color="auto"/>
            </w:tcBorders>
          </w:tcPr>
          <w:p>
            <w:pPr>
              <w:pStyle w:val="TableParagraph"/>
              <w:spacing w:line="240" w:lineRule="auto" w:before="9"/>
              <w:ind w:left="107" w:right="0"/>
              <w:jc w:val="left"/>
              <w:rPr>
                <w:rFonts w:ascii="Calibri" w:hAnsi="Calibri" w:cs="Calibri" w:eastAsia="Calibri" w:hint="default"/>
                <w:sz w:val="22"/>
                <w:szCs w:val="22"/>
              </w:rPr>
            </w:pPr>
            <w:r>
              <w:rPr>
                <w:rFonts w:ascii="Calibri"/>
                <w:sz w:val="22"/>
              </w:rPr>
              <w:t>Accommodations</w:t>
            </w:r>
          </w:p>
        </w:tc>
        <w:tc>
          <w:tcPr>
            <w:tcW w:w="1518" w:type="dxa"/>
            <w:tcBorders>
              <w:top w:val="single" w:sz="4" w:space="0" w:color="000000"/>
              <w:left w:val="nil" w:sz="6" w:space="0" w:color="auto"/>
              <w:bottom w:val="nil" w:sz="6" w:space="0" w:color="auto"/>
              <w:right w:val="nil" w:sz="6" w:space="0" w:color="auto"/>
            </w:tcBorders>
          </w:tcPr>
          <w:p>
            <w:pPr>
              <w:pStyle w:val="TableParagraph"/>
              <w:tabs>
                <w:tab w:pos="974" w:val="left" w:leader="none"/>
              </w:tabs>
              <w:spacing w:line="240" w:lineRule="auto" w:before="9"/>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single" w:sz="4" w:space="0" w:color="000000"/>
              <w:left w:val="nil" w:sz="6" w:space="0" w:color="auto"/>
              <w:bottom w:val="nil" w:sz="6" w:space="0" w:color="auto"/>
              <w:right w:val="nil" w:sz="6" w:space="0" w:color="auto"/>
            </w:tcBorders>
          </w:tcPr>
          <w:p>
            <w:pPr>
              <w:pStyle w:val="TableParagraph"/>
              <w:spacing w:line="240" w:lineRule="auto" w:before="9"/>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single" w:sz="4" w:space="0" w:color="000000"/>
              <w:left w:val="nil" w:sz="6" w:space="0" w:color="auto"/>
              <w:bottom w:val="nil" w:sz="6" w:space="0" w:color="auto"/>
              <w:right w:val="nil" w:sz="6" w:space="0" w:color="auto"/>
            </w:tcBorders>
          </w:tcPr>
          <w:p>
            <w:pPr>
              <w:pStyle w:val="TableParagraph"/>
              <w:tabs>
                <w:tab w:pos="670" w:val="left" w:leader="none"/>
                <w:tab w:pos="1215" w:val="left" w:leader="none"/>
              </w:tabs>
              <w:spacing w:line="240" w:lineRule="auto" w:before="9"/>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Restaurants</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Taxis</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Entertainment</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Shopping</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Rental</w:t>
            </w:r>
            <w:r>
              <w:rPr>
                <w:rFonts w:ascii="Calibri"/>
                <w:spacing w:val="-4"/>
                <w:sz w:val="22"/>
              </w:rPr>
              <w:t> </w:t>
            </w:r>
            <w:r>
              <w:rPr>
                <w:rFonts w:ascii="Calibri"/>
                <w:sz w:val="22"/>
              </w:rPr>
              <w:t>car</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Airfare</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nil" w:sz="6" w:space="0" w:color="auto"/>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r>
        <w:trPr>
          <w:trHeight w:val="275" w:hRule="exact"/>
        </w:trPr>
        <w:tc>
          <w:tcPr>
            <w:tcW w:w="7444" w:type="dxa"/>
            <w:tcBorders>
              <w:top w:val="nil" w:sz="6" w:space="0" w:color="auto"/>
              <w:left w:val="nil" w:sz="6" w:space="0" w:color="auto"/>
              <w:bottom w:val="single" w:sz="4" w:space="0" w:color="000000"/>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hAnsi="Calibri"/>
                <w:sz w:val="22"/>
              </w:rPr>
              <w:t>The overall value of what was paid in Curaçao</w:t>
            </w:r>
            <w:r>
              <w:rPr>
                <w:rFonts w:ascii="Calibri" w:hAnsi="Calibri"/>
                <w:spacing w:val="-19"/>
                <w:sz w:val="22"/>
              </w:rPr>
              <w:t> </w:t>
            </w:r>
            <w:r>
              <w:rPr>
                <w:rFonts w:ascii="Calibri" w:hAnsi="Calibri"/>
                <w:sz w:val="22"/>
              </w:rPr>
              <w:t>was</w:t>
            </w:r>
          </w:p>
        </w:tc>
        <w:tc>
          <w:tcPr>
            <w:tcW w:w="1518" w:type="dxa"/>
            <w:tcBorders>
              <w:top w:val="nil" w:sz="6" w:space="0" w:color="auto"/>
              <w:left w:val="nil" w:sz="6" w:space="0" w:color="auto"/>
              <w:bottom w:val="single" w:sz="4" w:space="0" w:color="000000"/>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single" w:sz="4" w:space="0" w:color="000000"/>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1651" w:type="dxa"/>
            <w:tcBorders>
              <w:top w:val="nil" w:sz="6" w:space="0" w:color="auto"/>
              <w:left w:val="nil" w:sz="6" w:space="0" w:color="auto"/>
              <w:bottom w:val="single" w:sz="4" w:space="0" w:color="000000"/>
              <w:right w:val="nil" w:sz="6" w:space="0" w:color="auto"/>
            </w:tcBorders>
          </w:tcPr>
          <w:p>
            <w:pPr>
              <w:pStyle w:val="TableParagraph"/>
              <w:tabs>
                <w:tab w:pos="670" w:val="left" w:leader="none"/>
                <w:tab w:pos="1215" w:val="left" w:leader="none"/>
              </w:tabs>
              <w:spacing w:line="258" w:lineRule="exact"/>
              <w:ind w:left="126" w:right="0"/>
              <w:jc w:val="left"/>
              <w:rPr>
                <w:rFonts w:ascii="Calibri" w:hAnsi="Calibri" w:cs="Calibri" w:eastAsia="Calibri" w:hint="default"/>
                <w:sz w:val="22"/>
                <w:szCs w:val="22"/>
              </w:rPr>
            </w:pPr>
            <w:r>
              <w:rPr>
                <w:rFonts w:ascii="Calibri" w:hAnsi="Calibri" w:cs="Calibri" w:eastAsia="Calibri" w:hint="default"/>
                <w:w w:val="95"/>
                <w:sz w:val="22"/>
                <w:szCs w:val="22"/>
              </w:rPr>
              <w:t>④</w:t>
              <w:tab/>
              <w:t>⑤</w:t>
              <w:tab/>
            </w:r>
            <w:r>
              <w:rPr>
                <w:rFonts w:ascii="Calibri" w:hAnsi="Calibri" w:cs="Calibri" w:eastAsia="Calibri" w:hint="default"/>
                <w:sz w:val="22"/>
                <w:szCs w:val="22"/>
              </w:rPr>
              <w:t>⑥</w:t>
            </w:r>
          </w:p>
        </w:tc>
      </w:tr>
    </w:tbl>
    <w:p>
      <w:pPr>
        <w:spacing w:line="240" w:lineRule="auto" w:before="11" w:after="0"/>
        <w:ind w:right="0"/>
        <w:rPr>
          <w:rFonts w:ascii="Calibri" w:hAnsi="Calibri" w:cs="Calibri" w:eastAsia="Calibri" w:hint="default"/>
          <w:b/>
          <w:bCs/>
          <w:sz w:val="21"/>
          <w:szCs w:val="21"/>
        </w:rPr>
      </w:pPr>
    </w:p>
    <w:tbl>
      <w:tblPr>
        <w:tblW w:w="0" w:type="auto"/>
        <w:jc w:val="left"/>
        <w:tblInd w:w="100" w:type="dxa"/>
        <w:tblLayout w:type="fixed"/>
        <w:tblCellMar>
          <w:top w:w="0" w:type="dxa"/>
          <w:left w:w="0" w:type="dxa"/>
          <w:bottom w:w="0" w:type="dxa"/>
          <w:right w:w="0" w:type="dxa"/>
        </w:tblCellMar>
        <w:tblLook w:val="01E0"/>
      </w:tblPr>
      <w:tblGrid>
        <w:gridCol w:w="7444"/>
        <w:gridCol w:w="1518"/>
        <w:gridCol w:w="418"/>
        <w:gridCol w:w="531"/>
        <w:gridCol w:w="1120"/>
      </w:tblGrid>
      <w:tr>
        <w:trPr>
          <w:trHeight w:val="547" w:hRule="exact"/>
        </w:trPr>
        <w:tc>
          <w:tcPr>
            <w:tcW w:w="7444" w:type="dxa"/>
            <w:tcBorders>
              <w:top w:val="single" w:sz="4" w:space="0" w:color="000000"/>
              <w:left w:val="nil" w:sz="6" w:space="0" w:color="auto"/>
              <w:bottom w:val="single" w:sz="4" w:space="0" w:color="000000"/>
              <w:right w:val="nil" w:sz="6" w:space="0" w:color="auto"/>
            </w:tcBorders>
          </w:tcPr>
          <w:p>
            <w:pPr>
              <w:pStyle w:val="TableParagraph"/>
              <w:spacing w:line="240" w:lineRule="auto"/>
              <w:ind w:left="107" w:right="0"/>
              <w:jc w:val="left"/>
              <w:rPr>
                <w:rFonts w:ascii="Calibri" w:hAnsi="Calibri" w:cs="Calibri" w:eastAsia="Calibri" w:hint="default"/>
                <w:sz w:val="22"/>
                <w:szCs w:val="22"/>
              </w:rPr>
            </w:pPr>
            <w:r>
              <w:rPr>
                <w:rFonts w:ascii="Calibri"/>
                <w:b/>
                <w:sz w:val="22"/>
              </w:rPr>
              <w:t>22. Please tell us how satisfied you are with the following</w:t>
            </w:r>
            <w:r>
              <w:rPr>
                <w:rFonts w:ascii="Calibri"/>
                <w:b/>
                <w:spacing w:val="-24"/>
                <w:sz w:val="22"/>
              </w:rPr>
              <w:t> </w:t>
            </w:r>
            <w:r>
              <w:rPr>
                <w:rFonts w:ascii="Calibri"/>
                <w:b/>
                <w:sz w:val="22"/>
              </w:rPr>
              <w:t>activities.</w:t>
            </w:r>
            <w:r>
              <w:rPr>
                <w:rFonts w:ascii="Calibri"/>
                <w:sz w:val="22"/>
              </w:rPr>
            </w:r>
          </w:p>
        </w:tc>
        <w:tc>
          <w:tcPr>
            <w:tcW w:w="1518" w:type="dxa"/>
            <w:tcBorders>
              <w:top w:val="single" w:sz="4" w:space="0" w:color="000000"/>
              <w:left w:val="nil" w:sz="6" w:space="0" w:color="auto"/>
              <w:bottom w:val="single" w:sz="4" w:space="0" w:color="000000"/>
              <w:right w:val="nil" w:sz="6" w:space="0" w:color="auto"/>
            </w:tcBorders>
          </w:tcPr>
          <w:p>
            <w:pPr>
              <w:pStyle w:val="TableParagraph"/>
              <w:spacing w:line="240" w:lineRule="auto"/>
              <w:ind w:left="432" w:right="38"/>
              <w:jc w:val="left"/>
              <w:rPr>
                <w:rFonts w:ascii="Calibri" w:hAnsi="Calibri" w:cs="Calibri" w:eastAsia="Calibri" w:hint="default"/>
                <w:sz w:val="22"/>
                <w:szCs w:val="22"/>
              </w:rPr>
            </w:pPr>
            <w:r>
              <w:rPr>
                <w:rFonts w:ascii="Calibri"/>
                <w:b/>
                <w:i/>
                <w:sz w:val="22"/>
              </w:rPr>
              <w:t>Very </w:t>
            </w:r>
            <w:r>
              <w:rPr>
                <w:rFonts w:ascii="Calibri"/>
                <w:b/>
                <w:i/>
                <w:spacing w:val="-1"/>
                <w:sz w:val="22"/>
              </w:rPr>
              <w:t>Dissatisfied</w:t>
            </w:r>
            <w:r>
              <w:rPr>
                <w:rFonts w:ascii="Calibri"/>
                <w:spacing w:val="-1"/>
                <w:sz w:val="22"/>
              </w:rPr>
            </w:r>
          </w:p>
        </w:tc>
        <w:tc>
          <w:tcPr>
            <w:tcW w:w="418" w:type="dxa"/>
            <w:tcBorders>
              <w:top w:val="single" w:sz="4" w:space="0" w:color="000000"/>
              <w:left w:val="nil" w:sz="6" w:space="0" w:color="auto"/>
              <w:bottom w:val="single" w:sz="4" w:space="0" w:color="000000"/>
              <w:right w:val="nil" w:sz="6" w:space="0" w:color="auto"/>
            </w:tcBorders>
          </w:tcPr>
          <w:p>
            <w:pPr/>
          </w:p>
        </w:tc>
        <w:tc>
          <w:tcPr>
            <w:tcW w:w="531" w:type="dxa"/>
            <w:tcBorders>
              <w:top w:val="single" w:sz="4" w:space="0" w:color="000000"/>
              <w:left w:val="nil" w:sz="6" w:space="0" w:color="auto"/>
              <w:bottom w:val="single" w:sz="4" w:space="0" w:color="000000"/>
              <w:right w:val="nil" w:sz="6" w:space="0" w:color="auto"/>
            </w:tcBorders>
          </w:tcPr>
          <w:p>
            <w:pPr/>
          </w:p>
        </w:tc>
        <w:tc>
          <w:tcPr>
            <w:tcW w:w="1120" w:type="dxa"/>
            <w:tcBorders>
              <w:top w:val="single" w:sz="4" w:space="0" w:color="000000"/>
              <w:left w:val="nil" w:sz="6" w:space="0" w:color="auto"/>
              <w:bottom w:val="single" w:sz="4" w:space="0" w:color="000000"/>
              <w:right w:val="nil" w:sz="6" w:space="0" w:color="auto"/>
            </w:tcBorders>
          </w:tcPr>
          <w:p>
            <w:pPr>
              <w:pStyle w:val="TableParagraph"/>
              <w:spacing w:line="240" w:lineRule="auto"/>
              <w:ind w:left="228" w:right="106" w:firstLine="364"/>
              <w:jc w:val="left"/>
              <w:rPr>
                <w:rFonts w:ascii="Calibri" w:hAnsi="Calibri" w:cs="Calibri" w:eastAsia="Calibri" w:hint="default"/>
                <w:sz w:val="22"/>
                <w:szCs w:val="22"/>
              </w:rPr>
            </w:pPr>
            <w:r>
              <w:rPr>
                <w:rFonts w:ascii="Calibri"/>
                <w:b/>
                <w:i/>
                <w:sz w:val="22"/>
              </w:rPr>
              <w:t>Very </w:t>
            </w:r>
            <w:r>
              <w:rPr>
                <w:rFonts w:ascii="Calibri"/>
                <w:b/>
                <w:i/>
                <w:spacing w:val="-1"/>
                <w:sz w:val="22"/>
              </w:rPr>
              <w:t>Satisfied</w:t>
            </w:r>
            <w:r>
              <w:rPr>
                <w:rFonts w:ascii="Calibri"/>
                <w:sz w:val="22"/>
              </w:rPr>
            </w:r>
          </w:p>
        </w:tc>
      </w:tr>
      <w:tr>
        <w:trPr>
          <w:trHeight w:val="313" w:hRule="exact"/>
        </w:trPr>
        <w:tc>
          <w:tcPr>
            <w:tcW w:w="7444" w:type="dxa"/>
            <w:tcBorders>
              <w:top w:val="single" w:sz="4" w:space="0" w:color="000000"/>
              <w:left w:val="nil" w:sz="6" w:space="0" w:color="auto"/>
              <w:bottom w:val="nil" w:sz="6" w:space="0" w:color="auto"/>
              <w:right w:val="nil" w:sz="6" w:space="0" w:color="auto"/>
            </w:tcBorders>
          </w:tcPr>
          <w:p>
            <w:pPr>
              <w:pStyle w:val="TableParagraph"/>
              <w:spacing w:line="240" w:lineRule="auto" w:before="10"/>
              <w:ind w:left="107" w:right="0"/>
              <w:jc w:val="left"/>
              <w:rPr>
                <w:rFonts w:ascii="Calibri" w:hAnsi="Calibri" w:cs="Calibri" w:eastAsia="Calibri" w:hint="default"/>
                <w:sz w:val="22"/>
                <w:szCs w:val="22"/>
              </w:rPr>
            </w:pPr>
            <w:r>
              <w:rPr>
                <w:rFonts w:ascii="Calibri"/>
                <w:sz w:val="22"/>
              </w:rPr>
              <w:t>Accommodations</w:t>
            </w:r>
          </w:p>
        </w:tc>
        <w:tc>
          <w:tcPr>
            <w:tcW w:w="1518" w:type="dxa"/>
            <w:tcBorders>
              <w:top w:val="single" w:sz="4" w:space="0" w:color="000000"/>
              <w:left w:val="nil" w:sz="6" w:space="0" w:color="auto"/>
              <w:bottom w:val="nil" w:sz="6" w:space="0" w:color="auto"/>
              <w:right w:val="nil" w:sz="6" w:space="0" w:color="auto"/>
            </w:tcBorders>
          </w:tcPr>
          <w:p>
            <w:pPr>
              <w:pStyle w:val="TableParagraph"/>
              <w:tabs>
                <w:tab w:pos="974" w:val="left" w:leader="none"/>
              </w:tabs>
              <w:spacing w:line="240" w:lineRule="auto" w:before="10"/>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single" w:sz="4" w:space="0" w:color="000000"/>
              <w:left w:val="nil" w:sz="6" w:space="0" w:color="auto"/>
              <w:bottom w:val="nil" w:sz="6" w:space="0" w:color="auto"/>
              <w:right w:val="nil" w:sz="6" w:space="0" w:color="auto"/>
            </w:tcBorders>
          </w:tcPr>
          <w:p>
            <w:pPr>
              <w:pStyle w:val="TableParagraph"/>
              <w:spacing w:line="240" w:lineRule="auto" w:before="10"/>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single" w:sz="4" w:space="0" w:color="000000"/>
              <w:left w:val="nil" w:sz="6" w:space="0" w:color="auto"/>
              <w:bottom w:val="nil" w:sz="6" w:space="0" w:color="auto"/>
              <w:right w:val="nil" w:sz="6" w:space="0" w:color="auto"/>
            </w:tcBorders>
          </w:tcPr>
          <w:p>
            <w:pPr>
              <w:pStyle w:val="TableParagraph"/>
              <w:spacing w:line="240" w:lineRule="auto" w:before="10"/>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single" w:sz="4" w:space="0" w:color="000000"/>
              <w:left w:val="nil" w:sz="6" w:space="0" w:color="auto"/>
              <w:bottom w:val="nil" w:sz="6" w:space="0" w:color="auto"/>
              <w:right w:val="nil" w:sz="6" w:space="0" w:color="auto"/>
            </w:tcBorders>
          </w:tcPr>
          <w:p>
            <w:pPr>
              <w:pStyle w:val="TableParagraph"/>
              <w:tabs>
                <w:tab w:pos="544" w:val="left" w:leader="none"/>
              </w:tabs>
              <w:spacing w:line="240" w:lineRule="auto" w:before="10"/>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Restaurants</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Taxis</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Entertainment</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Shopping</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Rental</w:t>
            </w:r>
            <w:r>
              <w:rPr>
                <w:rFonts w:ascii="Calibri"/>
                <w:spacing w:val="-4"/>
                <w:sz w:val="22"/>
              </w:rPr>
              <w:t> </w:t>
            </w:r>
            <w:r>
              <w:rPr>
                <w:rFonts w:ascii="Calibri"/>
                <w:sz w:val="22"/>
              </w:rPr>
              <w:t>car</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444"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Airfare</w:t>
            </w:r>
          </w:p>
        </w:tc>
        <w:tc>
          <w:tcPr>
            <w:tcW w:w="1518" w:type="dxa"/>
            <w:tcBorders>
              <w:top w:val="nil" w:sz="6" w:space="0" w:color="auto"/>
              <w:left w:val="nil" w:sz="6" w:space="0" w:color="auto"/>
              <w:bottom w:val="nil" w:sz="6" w:space="0" w:color="auto"/>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nil" w:sz="6" w:space="0" w:color="auto"/>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nil" w:sz="6" w:space="0" w:color="auto"/>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nil" w:sz="6" w:space="0" w:color="auto"/>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73" w:hRule="exact"/>
        </w:trPr>
        <w:tc>
          <w:tcPr>
            <w:tcW w:w="7444" w:type="dxa"/>
            <w:tcBorders>
              <w:top w:val="nil" w:sz="6" w:space="0" w:color="auto"/>
              <w:left w:val="nil" w:sz="6" w:space="0" w:color="auto"/>
              <w:bottom w:val="single" w:sz="4" w:space="0" w:color="000000"/>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hAnsi="Calibri"/>
                <w:sz w:val="22"/>
              </w:rPr>
              <w:t>My overall trip to</w:t>
            </w:r>
            <w:r>
              <w:rPr>
                <w:rFonts w:ascii="Calibri" w:hAnsi="Calibri"/>
                <w:spacing w:val="-9"/>
                <w:sz w:val="22"/>
              </w:rPr>
              <w:t> </w:t>
            </w:r>
            <w:r>
              <w:rPr>
                <w:rFonts w:ascii="Calibri" w:hAnsi="Calibri"/>
                <w:sz w:val="22"/>
              </w:rPr>
              <w:t>Curaçao</w:t>
            </w:r>
          </w:p>
        </w:tc>
        <w:tc>
          <w:tcPr>
            <w:tcW w:w="1518" w:type="dxa"/>
            <w:tcBorders>
              <w:top w:val="nil" w:sz="6" w:space="0" w:color="auto"/>
              <w:left w:val="nil" w:sz="6" w:space="0" w:color="auto"/>
              <w:bottom w:val="single" w:sz="4" w:space="0" w:color="000000"/>
              <w:right w:val="nil" w:sz="6" w:space="0" w:color="auto"/>
            </w:tcBorders>
          </w:tcPr>
          <w:p>
            <w:pPr>
              <w:pStyle w:val="TableParagraph"/>
              <w:tabs>
                <w:tab w:pos="974" w:val="left" w:leader="none"/>
              </w:tabs>
              <w:spacing w:line="258" w:lineRule="exact"/>
              <w:ind w:left="432" w:right="0"/>
              <w:jc w:val="left"/>
              <w:rPr>
                <w:rFonts w:ascii="Calibri" w:hAnsi="Calibri" w:cs="Calibri" w:eastAsia="Calibri" w:hint="default"/>
                <w:sz w:val="22"/>
                <w:szCs w:val="22"/>
              </w:rPr>
            </w:pPr>
            <w:r>
              <w:rPr>
                <w:rFonts w:ascii="Calibri" w:hAnsi="Calibri" w:cs="Calibri" w:eastAsia="Calibri" w:hint="default"/>
                <w:w w:val="95"/>
                <w:sz w:val="22"/>
                <w:szCs w:val="22"/>
              </w:rPr>
              <w:t>①</w:t>
              <w:tab/>
            </w:r>
            <w:r>
              <w:rPr>
                <w:rFonts w:ascii="Calibri" w:hAnsi="Calibri" w:cs="Calibri" w:eastAsia="Calibri" w:hint="default"/>
                <w:sz w:val="22"/>
                <w:szCs w:val="22"/>
              </w:rPr>
              <w:t>②</w:t>
            </w:r>
          </w:p>
        </w:tc>
        <w:tc>
          <w:tcPr>
            <w:tcW w:w="418" w:type="dxa"/>
            <w:tcBorders>
              <w:top w:val="nil" w:sz="6" w:space="0" w:color="auto"/>
              <w:left w:val="nil" w:sz="6" w:space="0" w:color="auto"/>
              <w:bottom w:val="single" w:sz="4" w:space="0" w:color="000000"/>
              <w:right w:val="nil" w:sz="6" w:space="0" w:color="auto"/>
            </w:tcBorders>
          </w:tcPr>
          <w:p>
            <w:pPr>
              <w:pStyle w:val="TableParagraph"/>
              <w:spacing w:line="258" w:lineRule="exact"/>
              <w:ind w:right="0"/>
              <w:jc w:val="left"/>
              <w:rPr>
                <w:rFonts w:ascii="Calibri" w:hAnsi="Calibri" w:cs="Calibri" w:eastAsia="Calibri" w:hint="default"/>
                <w:sz w:val="22"/>
                <w:szCs w:val="22"/>
              </w:rPr>
            </w:pPr>
            <w:r>
              <w:rPr>
                <w:rFonts w:ascii="Calibri" w:hAnsi="Calibri" w:cs="Calibri" w:eastAsia="Calibri" w:hint="default"/>
                <w:sz w:val="22"/>
                <w:szCs w:val="22"/>
              </w:rPr>
              <w:t>③</w:t>
            </w:r>
          </w:p>
        </w:tc>
        <w:tc>
          <w:tcPr>
            <w:tcW w:w="531" w:type="dxa"/>
            <w:tcBorders>
              <w:top w:val="nil" w:sz="6" w:space="0" w:color="auto"/>
              <w:left w:val="nil" w:sz="6" w:space="0" w:color="auto"/>
              <w:bottom w:val="single" w:sz="4" w:space="0" w:color="000000"/>
              <w:right w:val="nil" w:sz="6" w:space="0" w:color="auto"/>
            </w:tcBorders>
          </w:tcPr>
          <w:p>
            <w:pPr>
              <w:pStyle w:val="TableParagraph"/>
              <w:spacing w:line="258" w:lineRule="exact"/>
              <w:ind w:left="14" w:right="0"/>
              <w:jc w:val="center"/>
              <w:rPr>
                <w:rFonts w:ascii="Calibri" w:hAnsi="Calibri" w:cs="Calibri" w:eastAsia="Calibri" w:hint="default"/>
                <w:sz w:val="22"/>
                <w:szCs w:val="22"/>
              </w:rPr>
            </w:pPr>
            <w:r>
              <w:rPr>
                <w:rFonts w:ascii="Calibri" w:hAnsi="Calibri" w:cs="Calibri" w:eastAsia="Calibri" w:hint="default"/>
                <w:sz w:val="22"/>
                <w:szCs w:val="22"/>
              </w:rPr>
              <w:t>④</w:t>
            </w:r>
          </w:p>
        </w:tc>
        <w:tc>
          <w:tcPr>
            <w:tcW w:w="1120" w:type="dxa"/>
            <w:tcBorders>
              <w:top w:val="nil" w:sz="6" w:space="0" w:color="auto"/>
              <w:left w:val="nil" w:sz="6" w:space="0" w:color="auto"/>
              <w:bottom w:val="single" w:sz="4" w:space="0" w:color="000000"/>
              <w:right w:val="nil" w:sz="6" w:space="0" w:color="auto"/>
            </w:tcBorders>
          </w:tcPr>
          <w:p>
            <w:pPr>
              <w:pStyle w:val="TableParagraph"/>
              <w:tabs>
                <w:tab w:pos="544" w:val="left" w:leader="none"/>
              </w:tabs>
              <w:spacing w:line="258" w:lineRule="exact"/>
              <w:ind w:right="3"/>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bl>
    <w:p>
      <w:pPr>
        <w:spacing w:after="0" w:line="258" w:lineRule="exact"/>
        <w:jc w:val="center"/>
        <w:rPr>
          <w:rFonts w:ascii="Calibri" w:hAnsi="Calibri" w:cs="Calibri" w:eastAsia="Calibri" w:hint="default"/>
          <w:sz w:val="22"/>
          <w:szCs w:val="22"/>
        </w:rPr>
        <w:sectPr>
          <w:pgSz w:w="12240" w:h="15840"/>
          <w:pgMar w:header="720" w:footer="312" w:top="1280" w:bottom="500" w:left="540" w:right="460"/>
        </w:sectPr>
      </w:pPr>
    </w:p>
    <w:p>
      <w:pPr>
        <w:spacing w:line="240" w:lineRule="auto"/>
        <w:ind w:left="5003"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099636" cy="359378"/>
            <wp:effectExtent l="0" t="0" r="0" b="0"/>
            <wp:docPr id="121" name="image48.jpeg" descr=""/>
            <wp:cNvGraphicFramePr>
              <a:graphicFrameLocks noChangeAspect="1"/>
            </wp:cNvGraphicFramePr>
            <a:graphic>
              <a:graphicData uri="http://schemas.openxmlformats.org/drawingml/2006/picture">
                <pic:pic>
                  <pic:nvPicPr>
                    <pic:cNvPr id="122" name="image48.jpeg"/>
                    <pic:cNvPicPr/>
                  </pic:nvPicPr>
                  <pic:blipFill>
                    <a:blip r:embed="rId105" cstate="print"/>
                    <a:stretch>
                      <a:fillRect/>
                    </a:stretch>
                  </pic:blipFill>
                  <pic:spPr>
                    <a:xfrm>
                      <a:off x="0" y="0"/>
                      <a:ext cx="1099636" cy="359378"/>
                    </a:xfrm>
                    <a:prstGeom prst="rect">
                      <a:avLst/>
                    </a:prstGeom>
                  </pic:spPr>
                </pic:pic>
              </a:graphicData>
            </a:graphic>
          </wp:inline>
        </w:drawing>
      </w:r>
      <w:r>
        <w:rPr>
          <w:rFonts w:ascii="Calibri" w:hAnsi="Calibri" w:cs="Calibri" w:eastAsia="Calibri" w:hint="default"/>
          <w:sz w:val="20"/>
          <w:szCs w:val="20"/>
        </w:rPr>
      </w:r>
    </w:p>
    <w:p>
      <w:pPr>
        <w:spacing w:before="4" w:after="20"/>
        <w:ind w:left="860" w:right="0" w:firstLine="0"/>
        <w:jc w:val="left"/>
        <w:rPr>
          <w:rFonts w:ascii="Calibri" w:hAnsi="Calibri" w:cs="Calibri" w:eastAsia="Calibri" w:hint="default"/>
          <w:sz w:val="22"/>
          <w:szCs w:val="22"/>
        </w:rPr>
      </w:pPr>
      <w:r>
        <w:rPr>
          <w:rFonts w:ascii="Calibri"/>
          <w:b/>
          <w:sz w:val="22"/>
        </w:rPr>
        <w:t>SECTION 6: DEMOGRAPHIC</w:t>
      </w:r>
      <w:r>
        <w:rPr>
          <w:rFonts w:ascii="Calibri"/>
          <w:b/>
          <w:spacing w:val="-9"/>
          <w:sz w:val="22"/>
        </w:rPr>
        <w:t> </w:t>
      </w:r>
      <w:r>
        <w:rPr>
          <w:rFonts w:ascii="Calibri"/>
          <w:b/>
          <w:sz w:val="22"/>
        </w:rPr>
        <w:t>INFORMATION</w:t>
      </w:r>
      <w:r>
        <w:rPr>
          <w:rFonts w:ascii="Calibri"/>
          <w:sz w:val="22"/>
        </w:rPr>
      </w:r>
    </w:p>
    <w:p>
      <w:pPr>
        <w:spacing w:line="20" w:lineRule="exact"/>
        <w:ind w:left="105" w:right="0" w:firstLine="0"/>
        <w:rPr>
          <w:rFonts w:ascii="Calibri" w:hAnsi="Calibri" w:cs="Calibri" w:eastAsia="Calibri" w:hint="default"/>
          <w:sz w:val="2"/>
          <w:szCs w:val="2"/>
        </w:rPr>
      </w:pPr>
      <w:r>
        <w:rPr>
          <w:rFonts w:ascii="Calibri" w:hAnsi="Calibri" w:cs="Calibri" w:eastAsia="Calibri" w:hint="default"/>
          <w:sz w:val="2"/>
          <w:szCs w:val="2"/>
        </w:rPr>
        <w:pict>
          <v:group style="width:576pt;height:.5pt;mso-position-horizontal-relative:char;mso-position-vertical-relative:line" coordorigin="0,0" coordsize="11520,10">
            <v:group style="position:absolute;left:5;top:5;width:11510;height:2" coordorigin="5,5" coordsize="11510,2">
              <v:shape style="position:absolute;left:5;top:5;width:11510;height:2" coordorigin="5,5" coordsize="11510,0" path="m5,5l11514,5e" filled="false" stroked="true" strokeweight=".48pt" strokecolor="#000000">
                <v:path arrowok="t"/>
              </v:shape>
            </v:group>
          </v:group>
        </w:pict>
      </w:r>
      <w:r>
        <w:rPr>
          <w:rFonts w:ascii="Calibri" w:hAnsi="Calibri" w:cs="Calibri" w:eastAsia="Calibri" w:hint="default"/>
          <w:sz w:val="2"/>
          <w:szCs w:val="2"/>
        </w:rPr>
      </w:r>
    </w:p>
    <w:p>
      <w:pPr>
        <w:spacing w:line="240" w:lineRule="auto" w:before="5"/>
        <w:ind w:right="0"/>
        <w:rPr>
          <w:rFonts w:ascii="Calibri" w:hAnsi="Calibri" w:cs="Calibri" w:eastAsia="Calibri" w:hint="default"/>
          <w:b/>
          <w:bCs/>
          <w:sz w:val="17"/>
          <w:szCs w:val="17"/>
        </w:rPr>
      </w:pPr>
    </w:p>
    <w:p>
      <w:pPr>
        <w:pStyle w:val="ListParagraph"/>
        <w:numPr>
          <w:ilvl w:val="1"/>
          <w:numId w:val="23"/>
        </w:numPr>
        <w:tabs>
          <w:tab w:pos="789" w:val="left" w:leader="none"/>
          <w:tab w:pos="4167" w:val="left" w:leader="none"/>
        </w:tabs>
        <w:spacing w:line="240" w:lineRule="auto" w:before="55" w:after="10"/>
        <w:ind w:left="788" w:right="0" w:hanging="332"/>
        <w:jc w:val="left"/>
        <w:rPr>
          <w:rFonts w:ascii="Calibri" w:hAnsi="Calibri" w:cs="Calibri" w:eastAsia="Calibri" w:hint="default"/>
          <w:sz w:val="22"/>
          <w:szCs w:val="22"/>
        </w:rPr>
      </w:pPr>
      <w:r>
        <w:rPr>
          <w:rFonts w:ascii="Calibri"/>
          <w:b/>
          <w:sz w:val="22"/>
        </w:rPr>
        <w:t>What is</w:t>
      </w:r>
      <w:r>
        <w:rPr>
          <w:rFonts w:ascii="Calibri"/>
          <w:b/>
          <w:spacing w:val="-8"/>
          <w:sz w:val="22"/>
        </w:rPr>
        <w:t> </w:t>
      </w:r>
      <w:r>
        <w:rPr>
          <w:rFonts w:ascii="Calibri"/>
          <w:b/>
          <w:sz w:val="22"/>
        </w:rPr>
        <w:t>your</w:t>
      </w:r>
      <w:r>
        <w:rPr>
          <w:rFonts w:ascii="Calibri"/>
          <w:b/>
          <w:spacing w:val="-4"/>
          <w:sz w:val="22"/>
        </w:rPr>
        <w:t> </w:t>
      </w:r>
      <w:r>
        <w:rPr>
          <w:rFonts w:ascii="Calibri"/>
          <w:b/>
          <w:sz w:val="22"/>
        </w:rPr>
        <w:t>age?</w:t>
        <w:tab/>
      </w:r>
      <w:r>
        <w:rPr>
          <w:rFonts w:ascii="Calibri"/>
          <w:sz w:val="22"/>
        </w:rPr>
        <w:t>(Years)</w:t>
      </w:r>
    </w:p>
    <w:p>
      <w:pPr>
        <w:spacing w:line="20" w:lineRule="exact"/>
        <w:ind w:left="2947" w:right="0" w:firstLine="0"/>
        <w:rPr>
          <w:rFonts w:ascii="Calibri" w:hAnsi="Calibri" w:cs="Calibri" w:eastAsia="Calibri" w:hint="default"/>
          <w:sz w:val="2"/>
          <w:szCs w:val="2"/>
        </w:rPr>
      </w:pPr>
      <w:r>
        <w:rPr>
          <w:rFonts w:ascii="Calibri" w:hAnsi="Calibri" w:cs="Calibri" w:eastAsia="Calibri" w:hint="default"/>
          <w:sz w:val="2"/>
          <w:szCs w:val="2"/>
        </w:rPr>
        <w:pict>
          <v:group style="width:108.75pt;height:.5pt;mso-position-horizontal-relative:char;mso-position-vertical-relative:line" coordorigin="0,0" coordsize="2175,10">
            <v:group style="position:absolute;left:5;top:5;width:2165;height:2" coordorigin="5,5" coordsize="2165,2">
              <v:shape style="position:absolute;left:5;top:5;width:2165;height:2" coordorigin="5,5" coordsize="2165,0" path="m5,5l2170,5e" filled="false" stroked="true" strokeweight=".48pt" strokecolor="#000000">
                <v:path arrowok="t"/>
              </v:shape>
            </v:group>
          </v:group>
        </w:pict>
      </w:r>
      <w:r>
        <w:rPr>
          <w:rFonts w:ascii="Calibri" w:hAnsi="Calibri" w:cs="Calibri" w:eastAsia="Calibri" w:hint="default"/>
          <w:sz w:val="2"/>
          <w:szCs w:val="2"/>
        </w:rPr>
      </w:r>
    </w:p>
    <w:p>
      <w:pPr>
        <w:spacing w:line="240" w:lineRule="auto" w:before="5"/>
        <w:ind w:right="0"/>
        <w:rPr>
          <w:rFonts w:ascii="Calibri" w:hAnsi="Calibri" w:cs="Calibri" w:eastAsia="Calibri" w:hint="default"/>
          <w:sz w:val="17"/>
          <w:szCs w:val="17"/>
        </w:rPr>
      </w:pPr>
    </w:p>
    <w:p>
      <w:pPr>
        <w:pStyle w:val="ListParagraph"/>
        <w:numPr>
          <w:ilvl w:val="1"/>
          <w:numId w:val="23"/>
        </w:numPr>
        <w:tabs>
          <w:tab w:pos="796" w:val="left" w:leader="none"/>
          <w:tab w:pos="3295" w:val="left" w:leader="none"/>
          <w:tab w:pos="4825" w:val="left" w:leader="none"/>
          <w:tab w:pos="5275" w:val="left" w:leader="none"/>
        </w:tabs>
        <w:spacing w:line="240" w:lineRule="auto" w:before="55" w:after="0"/>
        <w:ind w:left="795" w:right="0" w:hanging="331"/>
        <w:jc w:val="left"/>
        <w:rPr>
          <w:rFonts w:ascii="Calibri" w:hAnsi="Calibri" w:cs="Calibri" w:eastAsia="Calibri" w:hint="default"/>
          <w:sz w:val="22"/>
          <w:szCs w:val="22"/>
        </w:rPr>
      </w:pPr>
      <w:r>
        <w:rPr>
          <w:rFonts w:ascii="Calibri" w:hAnsi="Calibri" w:cs="Calibri" w:eastAsia="Calibri" w:hint="default"/>
          <w:b/>
          <w:bCs/>
          <w:sz w:val="22"/>
          <w:szCs w:val="22"/>
        </w:rPr>
        <w:t>What is</w:t>
      </w:r>
      <w:r>
        <w:rPr>
          <w:rFonts w:ascii="Calibri" w:hAnsi="Calibri" w:cs="Calibri" w:eastAsia="Calibri" w:hint="default"/>
          <w:b/>
          <w:bCs/>
          <w:spacing w:val="-8"/>
          <w:sz w:val="22"/>
          <w:szCs w:val="22"/>
        </w:rPr>
        <w:t> </w:t>
      </w:r>
      <w:r>
        <w:rPr>
          <w:rFonts w:ascii="Calibri" w:hAnsi="Calibri" w:cs="Calibri" w:eastAsia="Calibri" w:hint="default"/>
          <w:b/>
          <w:bCs/>
          <w:sz w:val="22"/>
          <w:szCs w:val="22"/>
        </w:rPr>
        <w:t>your</w:t>
      </w:r>
      <w:r>
        <w:rPr>
          <w:rFonts w:ascii="Calibri" w:hAnsi="Calibri" w:cs="Calibri" w:eastAsia="Calibri" w:hint="default"/>
          <w:b/>
          <w:bCs/>
          <w:spacing w:val="-4"/>
          <w:sz w:val="22"/>
          <w:szCs w:val="22"/>
        </w:rPr>
        <w:t> </w:t>
      </w:r>
      <w:r>
        <w:rPr>
          <w:rFonts w:ascii="Calibri" w:hAnsi="Calibri" w:cs="Calibri" w:eastAsia="Calibri" w:hint="default"/>
          <w:b/>
          <w:bCs/>
          <w:sz w:val="22"/>
          <w:szCs w:val="22"/>
        </w:rPr>
        <w:t>gender?</w:t>
        <w:tab/>
      </w:r>
      <w:r>
        <w:rPr>
          <w:rFonts w:ascii="Calibri" w:hAnsi="Calibri" w:cs="Calibri" w:eastAsia="Calibri" w:hint="default"/>
          <w:position w:val="1"/>
          <w:sz w:val="18"/>
          <w:szCs w:val="18"/>
        </w:rPr>
        <w:t>⃝   </w:t>
      </w:r>
      <w:r>
        <w:rPr>
          <w:rFonts w:ascii="Calibri" w:hAnsi="Calibri" w:cs="Calibri" w:eastAsia="Calibri" w:hint="default"/>
          <w:spacing w:val="17"/>
          <w:position w:val="1"/>
          <w:sz w:val="18"/>
          <w:szCs w:val="18"/>
        </w:rPr>
        <w:t> </w:t>
      </w:r>
      <w:r>
        <w:rPr>
          <w:rFonts w:ascii="Calibri" w:hAnsi="Calibri" w:cs="Calibri" w:eastAsia="Calibri" w:hint="default"/>
          <w:sz w:val="22"/>
          <w:szCs w:val="22"/>
        </w:rPr>
        <w:t>Male</w:t>
        <w:tab/>
      </w:r>
      <w:r>
        <w:rPr>
          <w:rFonts w:ascii="Calibri" w:hAnsi="Calibri" w:cs="Calibri" w:eastAsia="Calibri" w:hint="default"/>
          <w:w w:val="95"/>
          <w:position w:val="1"/>
          <w:sz w:val="18"/>
          <w:szCs w:val="18"/>
        </w:rPr>
        <w:t>⃝</w:t>
        <w:tab/>
      </w:r>
      <w:r>
        <w:rPr>
          <w:rFonts w:ascii="Calibri" w:hAnsi="Calibri" w:cs="Calibri" w:eastAsia="Calibri" w:hint="default"/>
          <w:sz w:val="22"/>
          <w:szCs w:val="22"/>
        </w:rPr>
        <w:t>Female</w:t>
      </w:r>
    </w:p>
    <w:p>
      <w:pPr>
        <w:spacing w:line="240" w:lineRule="auto" w:before="7"/>
        <w:ind w:right="0"/>
        <w:rPr>
          <w:rFonts w:ascii="Calibri" w:hAnsi="Calibri" w:cs="Calibri" w:eastAsia="Calibri" w:hint="default"/>
          <w:sz w:val="23"/>
          <w:szCs w:val="23"/>
        </w:rPr>
      </w:pPr>
    </w:p>
    <w:p>
      <w:pPr>
        <w:pStyle w:val="ListParagraph"/>
        <w:numPr>
          <w:ilvl w:val="1"/>
          <w:numId w:val="23"/>
        </w:numPr>
        <w:tabs>
          <w:tab w:pos="789" w:val="left" w:leader="none"/>
        </w:tabs>
        <w:spacing w:line="240" w:lineRule="auto" w:before="0" w:after="36"/>
        <w:ind w:left="788" w:right="0" w:hanging="332"/>
        <w:jc w:val="left"/>
        <w:rPr>
          <w:rFonts w:ascii="Calibri" w:hAnsi="Calibri" w:cs="Calibri" w:eastAsia="Calibri" w:hint="default"/>
          <w:sz w:val="22"/>
          <w:szCs w:val="22"/>
        </w:rPr>
      </w:pPr>
      <w:r>
        <w:rPr>
          <w:rFonts w:ascii="Calibri"/>
          <w:b/>
          <w:sz w:val="22"/>
        </w:rPr>
        <w:t>Where do you currently live? </w:t>
      </w:r>
      <w:r>
        <w:rPr>
          <w:rFonts w:ascii="Calibri"/>
          <w:b/>
          <w:i/>
          <w:sz w:val="22"/>
        </w:rPr>
        <w:t>(Please check only</w:t>
      </w:r>
      <w:r>
        <w:rPr>
          <w:rFonts w:ascii="Calibri"/>
          <w:b/>
          <w:i/>
          <w:spacing w:val="-25"/>
          <w:sz w:val="22"/>
        </w:rPr>
        <w:t> </w:t>
      </w:r>
      <w:r>
        <w:rPr>
          <w:rFonts w:ascii="Calibri"/>
          <w:b/>
          <w:i/>
          <w:sz w:val="22"/>
        </w:rPr>
        <w:t>one)</w:t>
      </w:r>
      <w:r>
        <w:rPr>
          <w:rFonts w:ascii="Calibri"/>
          <w:sz w:val="22"/>
        </w:rPr>
      </w:r>
    </w:p>
    <w:tbl>
      <w:tblPr>
        <w:tblW w:w="0" w:type="auto"/>
        <w:jc w:val="left"/>
        <w:tblInd w:w="421" w:type="dxa"/>
        <w:tblLayout w:type="fixed"/>
        <w:tblCellMar>
          <w:top w:w="0" w:type="dxa"/>
          <w:left w:w="0" w:type="dxa"/>
          <w:bottom w:w="0" w:type="dxa"/>
          <w:right w:w="0" w:type="dxa"/>
        </w:tblCellMar>
        <w:tblLook w:val="01E0"/>
      </w:tblPr>
      <w:tblGrid>
        <w:gridCol w:w="322"/>
        <w:gridCol w:w="2451"/>
        <w:gridCol w:w="1149"/>
        <w:gridCol w:w="2146"/>
        <w:gridCol w:w="1448"/>
        <w:gridCol w:w="3226"/>
      </w:tblGrid>
      <w:tr>
        <w:trPr>
          <w:trHeight w:val="282"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8"/>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451"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The</w:t>
            </w:r>
            <w:r>
              <w:rPr>
                <w:rFonts w:ascii="Calibri"/>
                <w:spacing w:val="-11"/>
                <w:sz w:val="22"/>
              </w:rPr>
              <w:t> </w:t>
            </w:r>
            <w:r>
              <w:rPr>
                <w:rFonts w:ascii="Calibri"/>
                <w:sz w:val="22"/>
              </w:rPr>
              <w:t>Netherlands</w:t>
            </w:r>
          </w:p>
        </w:tc>
        <w:tc>
          <w:tcPr>
            <w:tcW w:w="1149"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146"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Argentina</w:t>
            </w:r>
          </w:p>
        </w:tc>
        <w:tc>
          <w:tcPr>
            <w:tcW w:w="1448" w:type="dxa"/>
            <w:tcBorders>
              <w:top w:val="nil" w:sz="6" w:space="0" w:color="auto"/>
              <w:left w:val="nil" w:sz="6" w:space="0" w:color="auto"/>
              <w:bottom w:val="nil" w:sz="6" w:space="0" w:color="auto"/>
              <w:right w:val="nil" w:sz="6" w:space="0" w:color="auto"/>
            </w:tcBorders>
          </w:tcPr>
          <w:p>
            <w:pPr>
              <w:pStyle w:val="TableParagraph"/>
              <w:spacing w:line="240" w:lineRule="auto" w:before="8"/>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226"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Colombia</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45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United</w:t>
            </w:r>
            <w:r>
              <w:rPr>
                <w:rFonts w:ascii="Calibri"/>
                <w:spacing w:val="-11"/>
                <w:sz w:val="22"/>
              </w:rPr>
              <w:t> </w:t>
            </w:r>
            <w:r>
              <w:rPr>
                <w:rFonts w:ascii="Calibri"/>
                <w:sz w:val="22"/>
              </w:rPr>
              <w:t>States</w:t>
            </w:r>
          </w:p>
        </w:tc>
        <w:tc>
          <w:tcPr>
            <w:tcW w:w="1149"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146"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Brazil</w:t>
            </w:r>
          </w:p>
        </w:tc>
        <w:tc>
          <w:tcPr>
            <w:tcW w:w="1448"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226"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Germany</w:t>
            </w:r>
          </w:p>
        </w:tc>
      </w:tr>
      <w:tr>
        <w:trPr>
          <w:trHeight w:val="288"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45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Venezuela</w:t>
            </w:r>
          </w:p>
        </w:tc>
        <w:tc>
          <w:tcPr>
            <w:tcW w:w="1149"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146"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Canada</w:t>
            </w:r>
          </w:p>
        </w:tc>
        <w:tc>
          <w:tcPr>
            <w:tcW w:w="1448"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226"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Italy</w:t>
            </w:r>
          </w:p>
        </w:tc>
      </w:tr>
      <w:tr>
        <w:trPr>
          <w:trHeight w:val="354"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451"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Aruba</w:t>
            </w:r>
          </w:p>
        </w:tc>
        <w:tc>
          <w:tcPr>
            <w:tcW w:w="1149"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146" w:type="dxa"/>
            <w:tcBorders>
              <w:top w:val="nil" w:sz="6" w:space="0" w:color="auto"/>
              <w:left w:val="nil" w:sz="6" w:space="0" w:color="auto"/>
              <w:bottom w:val="nil" w:sz="6" w:space="0" w:color="auto"/>
              <w:right w:val="nil" w:sz="6" w:space="0" w:color="auto"/>
            </w:tcBorders>
          </w:tcPr>
          <w:p>
            <w:pPr>
              <w:pStyle w:val="TableParagraph"/>
              <w:spacing w:line="258" w:lineRule="exact"/>
              <w:ind w:left="107" w:right="0"/>
              <w:jc w:val="left"/>
              <w:rPr>
                <w:rFonts w:ascii="Calibri" w:hAnsi="Calibri" w:cs="Calibri" w:eastAsia="Calibri" w:hint="default"/>
                <w:sz w:val="22"/>
                <w:szCs w:val="22"/>
              </w:rPr>
            </w:pPr>
            <w:r>
              <w:rPr>
                <w:rFonts w:ascii="Calibri"/>
                <w:sz w:val="22"/>
              </w:rPr>
              <w:t>Spain</w:t>
            </w:r>
          </w:p>
        </w:tc>
        <w:tc>
          <w:tcPr>
            <w:tcW w:w="1448"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226" w:type="dxa"/>
            <w:tcBorders>
              <w:top w:val="nil" w:sz="6" w:space="0" w:color="auto"/>
              <w:left w:val="nil" w:sz="6" w:space="0" w:color="auto"/>
              <w:bottom w:val="nil" w:sz="6" w:space="0" w:color="auto"/>
              <w:right w:val="nil" w:sz="6" w:space="0" w:color="auto"/>
            </w:tcBorders>
          </w:tcPr>
          <w:p>
            <w:pPr>
              <w:pStyle w:val="TableParagraph"/>
              <w:tabs>
                <w:tab w:pos="3191" w:val="left" w:leader="none"/>
              </w:tabs>
              <w:spacing w:line="258" w:lineRule="exact"/>
              <w:ind w:left="107" w:right="0"/>
              <w:jc w:val="left"/>
              <w:rPr>
                <w:rFonts w:ascii="Calibri" w:hAnsi="Calibri" w:cs="Calibri" w:eastAsia="Calibri" w:hint="default"/>
                <w:sz w:val="22"/>
                <w:szCs w:val="22"/>
              </w:rPr>
            </w:pPr>
            <w:r>
              <w:rPr>
                <w:rFonts w:ascii="Calibri"/>
                <w:sz w:val="22"/>
              </w:rPr>
              <w:t>Other</w:t>
            </w:r>
            <w:r>
              <w:rPr>
                <w:rFonts w:ascii="Calibri"/>
                <w:sz w:val="22"/>
                <w:u w:val="single" w:color="000000"/>
              </w:rPr>
              <w:t> </w:t>
              <w:tab/>
            </w:r>
            <w:r>
              <w:rPr>
                <w:rFonts w:ascii="Calibri"/>
                <w:sz w:val="22"/>
              </w:rPr>
            </w:r>
          </w:p>
        </w:tc>
      </w:tr>
    </w:tbl>
    <w:p>
      <w:pPr>
        <w:spacing w:line="240" w:lineRule="auto" w:before="2"/>
        <w:ind w:right="0"/>
        <w:rPr>
          <w:rFonts w:ascii="Calibri" w:hAnsi="Calibri" w:cs="Calibri" w:eastAsia="Calibri" w:hint="default"/>
          <w:b/>
          <w:bCs/>
          <w:i/>
          <w:sz w:val="11"/>
          <w:szCs w:val="11"/>
        </w:rPr>
      </w:pPr>
    </w:p>
    <w:p>
      <w:pPr>
        <w:pStyle w:val="ListParagraph"/>
        <w:numPr>
          <w:ilvl w:val="1"/>
          <w:numId w:val="23"/>
        </w:numPr>
        <w:tabs>
          <w:tab w:pos="789" w:val="left" w:leader="none"/>
        </w:tabs>
        <w:spacing w:line="240" w:lineRule="auto" w:before="55" w:after="36"/>
        <w:ind w:left="788" w:right="0" w:hanging="332"/>
        <w:jc w:val="left"/>
        <w:rPr>
          <w:rFonts w:ascii="Calibri" w:hAnsi="Calibri" w:cs="Calibri" w:eastAsia="Calibri" w:hint="default"/>
          <w:sz w:val="22"/>
          <w:szCs w:val="22"/>
        </w:rPr>
      </w:pPr>
      <w:r>
        <w:rPr>
          <w:rFonts w:ascii="Calibri"/>
          <w:b/>
          <w:sz w:val="22"/>
        </w:rPr>
        <w:t>What is your highest level of education? </w:t>
      </w:r>
      <w:r>
        <w:rPr>
          <w:rFonts w:ascii="Calibri"/>
          <w:b/>
          <w:i/>
          <w:sz w:val="22"/>
        </w:rPr>
        <w:t>(Please check only</w:t>
      </w:r>
      <w:r>
        <w:rPr>
          <w:rFonts w:ascii="Calibri"/>
          <w:b/>
          <w:i/>
          <w:spacing w:val="-29"/>
          <w:sz w:val="22"/>
        </w:rPr>
        <w:t> </w:t>
      </w:r>
      <w:r>
        <w:rPr>
          <w:rFonts w:ascii="Calibri"/>
          <w:b/>
          <w:i/>
          <w:sz w:val="22"/>
        </w:rPr>
        <w:t>one)</w:t>
      </w:r>
      <w:r>
        <w:rPr>
          <w:rFonts w:ascii="Calibri"/>
          <w:sz w:val="22"/>
        </w:rPr>
      </w:r>
    </w:p>
    <w:tbl>
      <w:tblPr>
        <w:tblW w:w="0" w:type="auto"/>
        <w:jc w:val="left"/>
        <w:tblInd w:w="421" w:type="dxa"/>
        <w:tblLayout w:type="fixed"/>
        <w:tblCellMar>
          <w:top w:w="0" w:type="dxa"/>
          <w:left w:w="0" w:type="dxa"/>
          <w:bottom w:w="0" w:type="dxa"/>
          <w:right w:w="0" w:type="dxa"/>
        </w:tblCellMar>
        <w:tblLook w:val="01E0"/>
      </w:tblPr>
      <w:tblGrid>
        <w:gridCol w:w="322"/>
        <w:gridCol w:w="2236"/>
        <w:gridCol w:w="471"/>
        <w:gridCol w:w="866"/>
        <w:gridCol w:w="1257"/>
        <w:gridCol w:w="544"/>
        <w:gridCol w:w="1370"/>
        <w:gridCol w:w="585"/>
        <w:gridCol w:w="3199"/>
      </w:tblGrid>
      <w:tr>
        <w:trPr>
          <w:trHeight w:val="536" w:hRule="exact"/>
        </w:trPr>
        <w:tc>
          <w:tcPr>
            <w:tcW w:w="322" w:type="dxa"/>
            <w:tcBorders>
              <w:top w:val="nil" w:sz="6" w:space="0" w:color="auto"/>
              <w:left w:val="nil" w:sz="6" w:space="0" w:color="auto"/>
              <w:bottom w:val="nil" w:sz="6" w:space="0" w:color="auto"/>
              <w:right w:val="nil" w:sz="6" w:space="0" w:color="auto"/>
            </w:tcBorders>
          </w:tcPr>
          <w:p>
            <w:pPr>
              <w:pStyle w:val="TableParagraph"/>
              <w:spacing w:line="240" w:lineRule="auto" w:before="9"/>
              <w:ind w:left="35" w:right="0"/>
              <w:jc w:val="left"/>
              <w:rPr>
                <w:rFonts w:ascii="Calibri" w:hAnsi="Calibri" w:cs="Calibri" w:eastAsia="Calibri" w:hint="default"/>
                <w:sz w:val="18"/>
                <w:szCs w:val="18"/>
              </w:rPr>
            </w:pPr>
            <w:r>
              <w:rPr>
                <w:rFonts w:ascii="Calibri" w:hAnsi="Calibri" w:cs="Calibri" w:eastAsia="Calibri" w:hint="default"/>
                <w:sz w:val="18"/>
                <w:szCs w:val="18"/>
              </w:rPr>
              <w:t>⃝</w:t>
            </w:r>
          </w:p>
          <w:p>
            <w:pPr>
              <w:pStyle w:val="TableParagraph"/>
              <w:spacing w:line="240" w:lineRule="auto" w:before="68"/>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236" w:type="dxa"/>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Elementary</w:t>
            </w:r>
            <w:r>
              <w:rPr>
                <w:rFonts w:ascii="Calibri"/>
                <w:spacing w:val="-10"/>
                <w:sz w:val="22"/>
              </w:rPr>
              <w:t> </w:t>
            </w:r>
            <w:r>
              <w:rPr>
                <w:rFonts w:ascii="Calibri"/>
                <w:sz w:val="22"/>
              </w:rPr>
              <w:t>school</w:t>
            </w:r>
          </w:p>
          <w:p>
            <w:pPr>
              <w:pStyle w:val="TableParagraph"/>
              <w:spacing w:line="240" w:lineRule="auto" w:before="19"/>
              <w:ind w:left="107" w:right="0"/>
              <w:jc w:val="left"/>
              <w:rPr>
                <w:rFonts w:ascii="Calibri" w:hAnsi="Calibri" w:cs="Calibri" w:eastAsia="Calibri" w:hint="default"/>
                <w:sz w:val="22"/>
                <w:szCs w:val="22"/>
              </w:rPr>
            </w:pPr>
            <w:r>
              <w:rPr>
                <w:rFonts w:ascii="Calibri"/>
                <w:sz w:val="22"/>
              </w:rPr>
              <w:t>High</w:t>
            </w:r>
            <w:r>
              <w:rPr>
                <w:rFonts w:ascii="Calibri"/>
                <w:spacing w:val="-5"/>
                <w:sz w:val="22"/>
              </w:rPr>
              <w:t> </w:t>
            </w:r>
            <w:r>
              <w:rPr>
                <w:rFonts w:ascii="Calibri"/>
                <w:sz w:val="22"/>
              </w:rPr>
              <w:t>school</w:t>
            </w:r>
          </w:p>
        </w:tc>
        <w:tc>
          <w:tcPr>
            <w:tcW w:w="1338" w:type="dxa"/>
            <w:gridSpan w:val="2"/>
            <w:tcBorders>
              <w:top w:val="nil" w:sz="6" w:space="0" w:color="auto"/>
              <w:left w:val="nil" w:sz="6" w:space="0" w:color="auto"/>
              <w:bottom w:val="nil" w:sz="6" w:space="0" w:color="auto"/>
              <w:right w:val="nil" w:sz="6" w:space="0" w:color="auto"/>
            </w:tcBorders>
          </w:tcPr>
          <w:p>
            <w:pPr>
              <w:pStyle w:val="TableParagraph"/>
              <w:spacing w:line="240" w:lineRule="auto" w:before="9"/>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p>
            <w:pPr>
              <w:pStyle w:val="TableParagraph"/>
              <w:spacing w:line="240" w:lineRule="auto" w:before="68"/>
              <w:ind w:right="105"/>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3172" w:type="dxa"/>
            <w:gridSpan w:val="3"/>
            <w:tcBorders>
              <w:top w:val="nil" w:sz="6" w:space="0" w:color="auto"/>
              <w:left w:val="nil" w:sz="6" w:space="0" w:color="auto"/>
              <w:bottom w:val="nil" w:sz="6" w:space="0" w:color="auto"/>
              <w:right w:val="nil" w:sz="6" w:space="0" w:color="auto"/>
            </w:tcBorders>
          </w:tcPr>
          <w:p>
            <w:pPr>
              <w:pStyle w:val="TableParagraph"/>
              <w:spacing w:line="252" w:lineRule="exact"/>
              <w:ind w:left="107" w:right="0"/>
              <w:jc w:val="left"/>
              <w:rPr>
                <w:rFonts w:ascii="Calibri" w:hAnsi="Calibri" w:cs="Calibri" w:eastAsia="Calibri" w:hint="default"/>
                <w:sz w:val="22"/>
                <w:szCs w:val="22"/>
              </w:rPr>
            </w:pPr>
            <w:r>
              <w:rPr>
                <w:rFonts w:ascii="Calibri"/>
                <w:sz w:val="22"/>
              </w:rPr>
              <w:t>Professional</w:t>
            </w:r>
            <w:r>
              <w:rPr>
                <w:rFonts w:ascii="Calibri"/>
                <w:spacing w:val="-7"/>
                <w:sz w:val="22"/>
              </w:rPr>
              <w:t> </w:t>
            </w:r>
            <w:r>
              <w:rPr>
                <w:rFonts w:ascii="Calibri"/>
                <w:sz w:val="22"/>
              </w:rPr>
              <w:t>formation</w:t>
            </w:r>
          </w:p>
          <w:p>
            <w:pPr>
              <w:pStyle w:val="TableParagraph"/>
              <w:spacing w:line="240" w:lineRule="auto" w:before="19"/>
              <w:ind w:left="107" w:right="0"/>
              <w:jc w:val="left"/>
              <w:rPr>
                <w:rFonts w:ascii="Calibri" w:hAnsi="Calibri" w:cs="Calibri" w:eastAsia="Calibri" w:hint="default"/>
                <w:sz w:val="22"/>
                <w:szCs w:val="22"/>
              </w:rPr>
            </w:pPr>
            <w:r>
              <w:rPr>
                <w:rFonts w:ascii="Calibri"/>
                <w:sz w:val="22"/>
              </w:rPr>
              <w:t>Undergraduate/bachelor</w:t>
            </w:r>
            <w:r>
              <w:rPr>
                <w:rFonts w:ascii="Calibri"/>
                <w:spacing w:val="-7"/>
                <w:sz w:val="22"/>
              </w:rPr>
              <w:t> </w:t>
            </w:r>
            <w:r>
              <w:rPr>
                <w:rFonts w:ascii="Calibri"/>
                <w:sz w:val="22"/>
              </w:rPr>
              <w:t>degree</w:t>
            </w:r>
          </w:p>
        </w:tc>
        <w:tc>
          <w:tcPr>
            <w:tcW w:w="585" w:type="dxa"/>
            <w:tcBorders>
              <w:top w:val="nil" w:sz="6" w:space="0" w:color="auto"/>
              <w:left w:val="nil" w:sz="6" w:space="0" w:color="auto"/>
              <w:bottom w:val="nil" w:sz="6" w:space="0" w:color="auto"/>
              <w:right w:val="nil" w:sz="6" w:space="0" w:color="auto"/>
            </w:tcBorders>
          </w:tcPr>
          <w:p>
            <w:pPr>
              <w:pStyle w:val="TableParagraph"/>
              <w:spacing w:line="240" w:lineRule="auto" w:before="9"/>
              <w:ind w:left="159" w:right="0"/>
              <w:jc w:val="left"/>
              <w:rPr>
                <w:rFonts w:ascii="Calibri" w:hAnsi="Calibri" w:cs="Calibri" w:eastAsia="Calibri" w:hint="default"/>
                <w:sz w:val="18"/>
                <w:szCs w:val="18"/>
              </w:rPr>
            </w:pPr>
            <w:r>
              <w:rPr>
                <w:rFonts w:ascii="Calibri" w:hAnsi="Calibri" w:cs="Calibri" w:eastAsia="Calibri" w:hint="default"/>
                <w:sz w:val="18"/>
                <w:szCs w:val="18"/>
              </w:rPr>
              <w:t>⃝</w:t>
            </w:r>
          </w:p>
          <w:p>
            <w:pPr>
              <w:pStyle w:val="TableParagraph"/>
              <w:spacing w:line="240" w:lineRule="auto" w:before="68"/>
              <w:ind w:left="159"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3199" w:type="dxa"/>
            <w:tcBorders>
              <w:top w:val="nil" w:sz="6" w:space="0" w:color="auto"/>
              <w:left w:val="nil" w:sz="6" w:space="0" w:color="auto"/>
              <w:bottom w:val="nil" w:sz="6" w:space="0" w:color="auto"/>
              <w:right w:val="nil" w:sz="6" w:space="0" w:color="auto"/>
            </w:tcBorders>
          </w:tcPr>
          <w:p>
            <w:pPr>
              <w:pStyle w:val="TableParagraph"/>
              <w:spacing w:line="252" w:lineRule="exact"/>
              <w:ind w:left="-29" w:right="0"/>
              <w:jc w:val="left"/>
              <w:rPr>
                <w:rFonts w:ascii="Calibri" w:hAnsi="Calibri" w:cs="Calibri" w:eastAsia="Calibri" w:hint="default"/>
                <w:sz w:val="22"/>
                <w:szCs w:val="22"/>
              </w:rPr>
            </w:pPr>
            <w:r>
              <w:rPr>
                <w:rFonts w:ascii="Calibri"/>
                <w:sz w:val="22"/>
              </w:rPr>
              <w:t>Master or doctorate</w:t>
            </w:r>
            <w:r>
              <w:rPr>
                <w:rFonts w:ascii="Calibri"/>
                <w:spacing w:val="-14"/>
                <w:sz w:val="22"/>
              </w:rPr>
              <w:t> </w:t>
            </w:r>
            <w:r>
              <w:rPr>
                <w:rFonts w:ascii="Calibri"/>
                <w:sz w:val="22"/>
              </w:rPr>
              <w:t>degree</w:t>
            </w:r>
          </w:p>
          <w:p>
            <w:pPr>
              <w:pStyle w:val="TableParagraph"/>
              <w:tabs>
                <w:tab w:pos="3164" w:val="left" w:leader="none"/>
              </w:tabs>
              <w:spacing w:line="240" w:lineRule="auto" w:before="19"/>
              <w:ind w:left="-29" w:right="0"/>
              <w:jc w:val="left"/>
              <w:rPr>
                <w:rFonts w:ascii="Calibri" w:hAnsi="Calibri" w:cs="Calibri" w:eastAsia="Calibri" w:hint="default"/>
                <w:sz w:val="22"/>
                <w:szCs w:val="22"/>
              </w:rPr>
            </w:pPr>
            <w:r>
              <w:rPr>
                <w:rFonts w:ascii="Calibri"/>
                <w:sz w:val="22"/>
              </w:rPr>
              <w:t>Other</w:t>
            </w:r>
            <w:r>
              <w:rPr>
                <w:rFonts w:ascii="Calibri"/>
                <w:sz w:val="22"/>
                <w:u w:val="single" w:color="000000"/>
              </w:rPr>
              <w:t> </w:t>
              <w:tab/>
            </w:r>
            <w:r>
              <w:rPr>
                <w:rFonts w:ascii="Calibri"/>
                <w:sz w:val="22"/>
              </w:rPr>
            </w:r>
          </w:p>
        </w:tc>
      </w:tr>
      <w:tr>
        <w:trPr>
          <w:trHeight w:val="586" w:hRule="exact"/>
        </w:trPr>
        <w:tc>
          <w:tcPr>
            <w:tcW w:w="10851" w:type="dxa"/>
            <w:gridSpan w:val="9"/>
            <w:tcBorders>
              <w:top w:val="nil" w:sz="6" w:space="0" w:color="auto"/>
              <w:left w:val="nil" w:sz="6" w:space="0" w:color="auto"/>
              <w:bottom w:val="nil" w:sz="6" w:space="0" w:color="auto"/>
              <w:right w:val="nil" w:sz="6" w:space="0" w:color="auto"/>
            </w:tcBorders>
          </w:tcPr>
          <w:p>
            <w:pPr>
              <w:pStyle w:val="TableParagraph"/>
              <w:spacing w:line="240" w:lineRule="auto" w:before="12"/>
              <w:ind w:right="0"/>
              <w:jc w:val="left"/>
              <w:rPr>
                <w:rFonts w:ascii="Calibri" w:hAnsi="Calibri" w:cs="Calibri" w:eastAsia="Calibri" w:hint="default"/>
                <w:b/>
                <w:bCs/>
                <w:i/>
                <w:sz w:val="23"/>
                <w:szCs w:val="23"/>
              </w:rPr>
            </w:pPr>
          </w:p>
          <w:p>
            <w:pPr>
              <w:pStyle w:val="TableParagraph"/>
              <w:spacing w:line="240" w:lineRule="auto"/>
              <w:ind w:left="35" w:right="0"/>
              <w:jc w:val="left"/>
              <w:rPr>
                <w:rFonts w:ascii="Calibri" w:hAnsi="Calibri" w:cs="Calibri" w:eastAsia="Calibri" w:hint="default"/>
                <w:sz w:val="22"/>
                <w:szCs w:val="22"/>
              </w:rPr>
            </w:pPr>
            <w:r>
              <w:rPr>
                <w:rFonts w:ascii="Calibri"/>
                <w:b/>
                <w:sz w:val="22"/>
              </w:rPr>
              <w:t>27.</w:t>
            </w:r>
            <w:r>
              <w:rPr>
                <w:rFonts w:ascii="Calibri"/>
                <w:b/>
                <w:spacing w:val="-3"/>
                <w:sz w:val="22"/>
              </w:rPr>
              <w:t> </w:t>
            </w:r>
            <w:r>
              <w:rPr>
                <w:rFonts w:ascii="Calibri"/>
                <w:b/>
                <w:sz w:val="22"/>
              </w:rPr>
              <w:t>Check</w:t>
            </w:r>
            <w:r>
              <w:rPr>
                <w:rFonts w:ascii="Calibri"/>
                <w:b/>
                <w:spacing w:val="-1"/>
                <w:sz w:val="22"/>
              </w:rPr>
              <w:t> </w:t>
            </w:r>
            <w:r>
              <w:rPr>
                <w:rFonts w:ascii="Calibri"/>
                <w:b/>
                <w:sz w:val="22"/>
              </w:rPr>
              <w:t>the</w:t>
            </w:r>
            <w:r>
              <w:rPr>
                <w:rFonts w:ascii="Calibri"/>
                <w:b/>
                <w:spacing w:val="-3"/>
                <w:sz w:val="22"/>
              </w:rPr>
              <w:t> </w:t>
            </w:r>
            <w:r>
              <w:rPr>
                <w:rFonts w:ascii="Calibri"/>
                <w:b/>
                <w:sz w:val="22"/>
              </w:rPr>
              <w:t>box</w:t>
            </w:r>
            <w:r>
              <w:rPr>
                <w:rFonts w:ascii="Calibri"/>
                <w:b/>
                <w:spacing w:val="-3"/>
                <w:sz w:val="22"/>
              </w:rPr>
              <w:t> </w:t>
            </w:r>
            <w:r>
              <w:rPr>
                <w:rFonts w:ascii="Calibri"/>
                <w:b/>
                <w:sz w:val="22"/>
              </w:rPr>
              <w:t>next</w:t>
            </w:r>
            <w:r>
              <w:rPr>
                <w:rFonts w:ascii="Calibri"/>
                <w:b/>
                <w:spacing w:val="-3"/>
                <w:sz w:val="22"/>
              </w:rPr>
              <w:t> </w:t>
            </w:r>
            <w:r>
              <w:rPr>
                <w:rFonts w:ascii="Calibri"/>
                <w:b/>
                <w:sz w:val="22"/>
              </w:rPr>
              <w:t>to</w:t>
            </w:r>
            <w:r>
              <w:rPr>
                <w:rFonts w:ascii="Calibri"/>
                <w:b/>
                <w:spacing w:val="-3"/>
                <w:sz w:val="22"/>
              </w:rPr>
              <w:t> </w:t>
            </w:r>
            <w:r>
              <w:rPr>
                <w:rFonts w:ascii="Calibri"/>
                <w:b/>
                <w:sz w:val="22"/>
              </w:rPr>
              <w:t>the</w:t>
            </w:r>
            <w:r>
              <w:rPr>
                <w:rFonts w:ascii="Calibri"/>
                <w:b/>
                <w:spacing w:val="-3"/>
                <w:sz w:val="22"/>
              </w:rPr>
              <w:t> </w:t>
            </w:r>
            <w:r>
              <w:rPr>
                <w:rFonts w:ascii="Calibri"/>
                <w:b/>
                <w:sz w:val="22"/>
              </w:rPr>
              <w:t>range</w:t>
            </w:r>
            <w:r>
              <w:rPr>
                <w:rFonts w:ascii="Calibri"/>
                <w:b/>
                <w:spacing w:val="-1"/>
                <w:sz w:val="22"/>
              </w:rPr>
              <w:t> </w:t>
            </w:r>
            <w:r>
              <w:rPr>
                <w:rFonts w:ascii="Calibri"/>
                <w:b/>
                <w:sz w:val="22"/>
              </w:rPr>
              <w:t>that</w:t>
            </w:r>
            <w:r>
              <w:rPr>
                <w:rFonts w:ascii="Calibri"/>
                <w:b/>
                <w:spacing w:val="-3"/>
                <w:sz w:val="22"/>
              </w:rPr>
              <w:t> </w:t>
            </w:r>
            <w:r>
              <w:rPr>
                <w:rFonts w:ascii="Calibri"/>
                <w:b/>
                <w:sz w:val="22"/>
              </w:rPr>
              <w:t>applies</w:t>
            </w:r>
            <w:r>
              <w:rPr>
                <w:rFonts w:ascii="Calibri"/>
                <w:b/>
                <w:spacing w:val="-2"/>
                <w:sz w:val="22"/>
              </w:rPr>
              <w:t> </w:t>
            </w:r>
            <w:r>
              <w:rPr>
                <w:rFonts w:ascii="Calibri"/>
                <w:b/>
                <w:sz w:val="22"/>
              </w:rPr>
              <w:t>to</w:t>
            </w:r>
            <w:r>
              <w:rPr>
                <w:rFonts w:ascii="Calibri"/>
                <w:b/>
                <w:spacing w:val="-3"/>
                <w:sz w:val="22"/>
              </w:rPr>
              <w:t> </w:t>
            </w:r>
            <w:r>
              <w:rPr>
                <w:rFonts w:ascii="Calibri"/>
                <w:b/>
                <w:sz w:val="22"/>
              </w:rPr>
              <w:t>your</w:t>
            </w:r>
            <w:r>
              <w:rPr>
                <w:rFonts w:ascii="Calibri"/>
                <w:b/>
                <w:spacing w:val="-2"/>
                <w:sz w:val="22"/>
              </w:rPr>
              <w:t> </w:t>
            </w:r>
            <w:r>
              <w:rPr>
                <w:rFonts w:ascii="Calibri"/>
                <w:b/>
                <w:sz w:val="22"/>
              </w:rPr>
              <w:t>total</w:t>
            </w:r>
            <w:r>
              <w:rPr>
                <w:rFonts w:ascii="Calibri"/>
                <w:b/>
                <w:spacing w:val="-2"/>
                <w:sz w:val="22"/>
              </w:rPr>
              <w:t> </w:t>
            </w:r>
            <w:r>
              <w:rPr>
                <w:rFonts w:ascii="Calibri"/>
                <w:b/>
                <w:sz w:val="22"/>
              </w:rPr>
              <w:t>annual</w:t>
            </w:r>
            <w:r>
              <w:rPr>
                <w:rFonts w:ascii="Calibri"/>
                <w:b/>
                <w:spacing w:val="-2"/>
                <w:sz w:val="22"/>
              </w:rPr>
              <w:t> </w:t>
            </w:r>
            <w:r>
              <w:rPr>
                <w:rFonts w:ascii="Calibri"/>
                <w:b/>
                <w:sz w:val="22"/>
              </w:rPr>
              <w:t>household</w:t>
            </w:r>
            <w:r>
              <w:rPr>
                <w:rFonts w:ascii="Calibri"/>
                <w:b/>
                <w:spacing w:val="-3"/>
                <w:sz w:val="22"/>
              </w:rPr>
              <w:t> </w:t>
            </w:r>
            <w:r>
              <w:rPr>
                <w:rFonts w:ascii="Calibri"/>
                <w:b/>
                <w:sz w:val="22"/>
              </w:rPr>
              <w:t>income</w:t>
            </w:r>
            <w:r>
              <w:rPr>
                <w:rFonts w:ascii="Calibri"/>
                <w:b/>
                <w:spacing w:val="-2"/>
                <w:sz w:val="22"/>
              </w:rPr>
              <w:t> </w:t>
            </w:r>
            <w:r>
              <w:rPr>
                <w:rFonts w:ascii="Calibri"/>
                <w:b/>
                <w:sz w:val="22"/>
              </w:rPr>
              <w:t>before</w:t>
            </w:r>
            <w:r>
              <w:rPr>
                <w:rFonts w:ascii="Calibri"/>
                <w:b/>
                <w:spacing w:val="-2"/>
                <w:sz w:val="22"/>
              </w:rPr>
              <w:t> </w:t>
            </w:r>
            <w:r>
              <w:rPr>
                <w:rFonts w:ascii="Calibri"/>
                <w:b/>
                <w:sz w:val="22"/>
              </w:rPr>
              <w:t>taxes</w:t>
            </w:r>
            <w:r>
              <w:rPr>
                <w:rFonts w:ascii="Calibri"/>
                <w:b/>
                <w:spacing w:val="-2"/>
                <w:sz w:val="22"/>
              </w:rPr>
              <w:t> </w:t>
            </w:r>
            <w:r>
              <w:rPr>
                <w:rFonts w:ascii="Calibri"/>
                <w:b/>
                <w:sz w:val="22"/>
              </w:rPr>
              <w:t>(In</w:t>
            </w:r>
            <w:r>
              <w:rPr>
                <w:rFonts w:ascii="Calibri"/>
                <w:b/>
                <w:spacing w:val="-3"/>
                <w:sz w:val="22"/>
              </w:rPr>
              <w:t> </w:t>
            </w:r>
            <w:r>
              <w:rPr>
                <w:rFonts w:ascii="Calibri"/>
                <w:b/>
                <w:sz w:val="22"/>
              </w:rPr>
              <w:t>US$):</w:t>
            </w:r>
            <w:r>
              <w:rPr>
                <w:rFonts w:ascii="Calibri"/>
                <w:sz w:val="22"/>
              </w:rPr>
            </w:r>
          </w:p>
        </w:tc>
      </w:tr>
      <w:tr>
        <w:trPr>
          <w:trHeight w:val="346" w:hRule="exact"/>
        </w:trPr>
        <w:tc>
          <w:tcPr>
            <w:tcW w:w="2558" w:type="dxa"/>
            <w:gridSpan w:val="2"/>
            <w:tcBorders>
              <w:top w:val="nil" w:sz="6" w:space="0" w:color="auto"/>
              <w:left w:val="nil" w:sz="6" w:space="0" w:color="auto"/>
              <w:bottom w:val="nil" w:sz="6" w:space="0" w:color="auto"/>
              <w:right w:val="nil" w:sz="6" w:space="0" w:color="auto"/>
            </w:tcBorders>
          </w:tcPr>
          <w:p>
            <w:pPr>
              <w:pStyle w:val="TableParagraph"/>
              <w:spacing w:line="253" w:lineRule="exact"/>
              <w:ind w:left="57"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Under</w:t>
            </w:r>
            <w:r>
              <w:rPr>
                <w:rFonts w:ascii="Calibri" w:hAnsi="Calibri" w:cs="Calibri" w:eastAsia="Calibri" w:hint="default"/>
                <w:spacing w:val="-6"/>
                <w:sz w:val="22"/>
                <w:szCs w:val="22"/>
              </w:rPr>
              <w:t> </w:t>
            </w:r>
            <w:r>
              <w:rPr>
                <w:rFonts w:ascii="Calibri" w:hAnsi="Calibri" w:cs="Calibri" w:eastAsia="Calibri" w:hint="default"/>
                <w:sz w:val="22"/>
                <w:szCs w:val="22"/>
              </w:rPr>
              <w:t>US$25,000</w:t>
            </w:r>
          </w:p>
        </w:tc>
        <w:tc>
          <w:tcPr>
            <w:tcW w:w="2595" w:type="dxa"/>
            <w:gridSpan w:val="3"/>
            <w:tcBorders>
              <w:top w:val="nil" w:sz="6" w:space="0" w:color="auto"/>
              <w:left w:val="nil" w:sz="6" w:space="0" w:color="auto"/>
              <w:bottom w:val="nil" w:sz="6" w:space="0" w:color="auto"/>
              <w:right w:val="nil" w:sz="6" w:space="0" w:color="auto"/>
            </w:tcBorders>
          </w:tcPr>
          <w:p>
            <w:pPr>
              <w:pStyle w:val="TableParagraph"/>
              <w:spacing w:line="253" w:lineRule="exact"/>
              <w:ind w:left="150"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US$30,000-US$39,999</w:t>
            </w:r>
          </w:p>
        </w:tc>
        <w:tc>
          <w:tcPr>
            <w:tcW w:w="2499" w:type="dxa"/>
            <w:gridSpan w:val="3"/>
            <w:tcBorders>
              <w:top w:val="nil" w:sz="6" w:space="0" w:color="auto"/>
              <w:left w:val="nil" w:sz="6" w:space="0" w:color="auto"/>
              <w:bottom w:val="nil" w:sz="6" w:space="0" w:color="auto"/>
              <w:right w:val="nil" w:sz="6" w:space="0" w:color="auto"/>
            </w:tcBorders>
          </w:tcPr>
          <w:p>
            <w:pPr>
              <w:pStyle w:val="TableParagraph"/>
              <w:spacing w:line="253" w:lineRule="exact"/>
              <w:ind w:left="226" w:right="0"/>
              <w:jc w:val="left"/>
              <w:rPr>
                <w:rFonts w:ascii="Calibri" w:hAnsi="Calibri" w:cs="Calibri" w:eastAsia="Calibri" w:hint="default"/>
                <w:sz w:val="22"/>
                <w:szCs w:val="22"/>
              </w:rPr>
            </w:pPr>
            <w:r>
              <w:rPr>
                <w:rFonts w:ascii="Calibri" w:hAnsi="Calibri" w:cs="Calibri" w:eastAsia="Calibri" w:hint="default"/>
                <w:sz w:val="18"/>
                <w:szCs w:val="18"/>
              </w:rPr>
              <w:t>⃝</w:t>
            </w:r>
            <w:r>
              <w:rPr>
                <w:rFonts w:ascii="Calibri" w:hAnsi="Calibri" w:cs="Calibri" w:eastAsia="Calibri" w:hint="default"/>
                <w:spacing w:val="1"/>
                <w:sz w:val="18"/>
                <w:szCs w:val="18"/>
              </w:rPr>
              <w:t> </w:t>
            </w:r>
            <w:r>
              <w:rPr>
                <w:rFonts w:ascii="Calibri" w:hAnsi="Calibri" w:cs="Calibri" w:eastAsia="Calibri" w:hint="default"/>
                <w:sz w:val="22"/>
                <w:szCs w:val="22"/>
              </w:rPr>
              <w:t>US$50,000-US$74,999</w:t>
            </w:r>
          </w:p>
        </w:tc>
        <w:tc>
          <w:tcPr>
            <w:tcW w:w="3199" w:type="dxa"/>
            <w:tcBorders>
              <w:top w:val="nil" w:sz="6" w:space="0" w:color="auto"/>
              <w:left w:val="nil" w:sz="6" w:space="0" w:color="auto"/>
              <w:bottom w:val="nil" w:sz="6" w:space="0" w:color="auto"/>
              <w:right w:val="nil" w:sz="6" w:space="0" w:color="auto"/>
            </w:tcBorders>
          </w:tcPr>
          <w:p>
            <w:pPr>
              <w:pStyle w:val="TableParagraph"/>
              <w:spacing w:line="253" w:lineRule="exact"/>
              <w:ind w:left="516"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US$100,000 &amp;</w:t>
            </w:r>
            <w:r>
              <w:rPr>
                <w:rFonts w:ascii="Calibri" w:hAnsi="Calibri" w:cs="Calibri" w:eastAsia="Calibri" w:hint="default"/>
                <w:spacing w:val="-6"/>
                <w:sz w:val="22"/>
                <w:szCs w:val="22"/>
              </w:rPr>
              <w:t> </w:t>
            </w:r>
            <w:r>
              <w:rPr>
                <w:rFonts w:ascii="Calibri" w:hAnsi="Calibri" w:cs="Calibri" w:eastAsia="Calibri" w:hint="default"/>
                <w:sz w:val="22"/>
                <w:szCs w:val="22"/>
              </w:rPr>
              <w:t>over</w:t>
            </w:r>
          </w:p>
        </w:tc>
      </w:tr>
      <w:tr>
        <w:trPr>
          <w:trHeight w:val="317" w:hRule="exact"/>
        </w:trPr>
        <w:tc>
          <w:tcPr>
            <w:tcW w:w="2558" w:type="dxa"/>
            <w:gridSpan w:val="2"/>
            <w:tcBorders>
              <w:top w:val="nil" w:sz="6" w:space="0" w:color="auto"/>
              <w:left w:val="nil" w:sz="6" w:space="0" w:color="auto"/>
              <w:bottom w:val="nil" w:sz="6" w:space="0" w:color="auto"/>
              <w:right w:val="nil" w:sz="6" w:space="0" w:color="auto"/>
            </w:tcBorders>
          </w:tcPr>
          <w:p>
            <w:pPr>
              <w:pStyle w:val="TableParagraph"/>
              <w:spacing w:line="240" w:lineRule="auto" w:before="52"/>
              <w:ind w:left="35" w:right="0"/>
              <w:jc w:val="left"/>
              <w:rPr>
                <w:rFonts w:ascii="Calibri" w:hAnsi="Calibri" w:cs="Calibri" w:eastAsia="Calibri" w:hint="default"/>
                <w:sz w:val="22"/>
                <w:szCs w:val="22"/>
              </w:rPr>
            </w:pPr>
            <w:r>
              <w:rPr>
                <w:rFonts w:ascii="Calibri" w:hAnsi="Calibri" w:cs="Calibri" w:eastAsia="Calibri" w:hint="default"/>
                <w:sz w:val="18"/>
                <w:szCs w:val="18"/>
              </w:rPr>
              <w:t>⃝</w:t>
            </w:r>
            <w:r>
              <w:rPr>
                <w:rFonts w:ascii="Calibri" w:hAnsi="Calibri" w:cs="Calibri" w:eastAsia="Calibri" w:hint="default"/>
                <w:spacing w:val="1"/>
                <w:sz w:val="18"/>
                <w:szCs w:val="18"/>
              </w:rPr>
              <w:t> </w:t>
            </w:r>
            <w:r>
              <w:rPr>
                <w:rFonts w:ascii="Calibri" w:hAnsi="Calibri" w:cs="Calibri" w:eastAsia="Calibri" w:hint="default"/>
                <w:sz w:val="22"/>
                <w:szCs w:val="22"/>
              </w:rPr>
              <w:t>US$25,000-US$29,999</w:t>
            </w:r>
          </w:p>
        </w:tc>
        <w:tc>
          <w:tcPr>
            <w:tcW w:w="2595" w:type="dxa"/>
            <w:gridSpan w:val="3"/>
            <w:tcBorders>
              <w:top w:val="nil" w:sz="6" w:space="0" w:color="auto"/>
              <w:left w:val="nil" w:sz="6" w:space="0" w:color="auto"/>
              <w:bottom w:val="nil" w:sz="6" w:space="0" w:color="auto"/>
              <w:right w:val="nil" w:sz="6" w:space="0" w:color="auto"/>
            </w:tcBorders>
          </w:tcPr>
          <w:p>
            <w:pPr>
              <w:pStyle w:val="TableParagraph"/>
              <w:spacing w:line="240" w:lineRule="auto" w:before="52"/>
              <w:ind w:left="150"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US$40,000-US$49,999</w:t>
            </w:r>
          </w:p>
        </w:tc>
        <w:tc>
          <w:tcPr>
            <w:tcW w:w="2499" w:type="dxa"/>
            <w:gridSpan w:val="3"/>
            <w:tcBorders>
              <w:top w:val="nil" w:sz="6" w:space="0" w:color="auto"/>
              <w:left w:val="nil" w:sz="6" w:space="0" w:color="auto"/>
              <w:bottom w:val="nil" w:sz="6" w:space="0" w:color="auto"/>
              <w:right w:val="nil" w:sz="6" w:space="0" w:color="auto"/>
            </w:tcBorders>
          </w:tcPr>
          <w:p>
            <w:pPr>
              <w:pStyle w:val="TableParagraph"/>
              <w:spacing w:line="240" w:lineRule="auto" w:before="52"/>
              <w:ind w:left="226" w:right="0"/>
              <w:jc w:val="left"/>
              <w:rPr>
                <w:rFonts w:ascii="Calibri" w:hAnsi="Calibri" w:cs="Calibri" w:eastAsia="Calibri" w:hint="default"/>
                <w:sz w:val="22"/>
                <w:szCs w:val="22"/>
              </w:rPr>
            </w:pPr>
            <w:r>
              <w:rPr>
                <w:rFonts w:ascii="Calibri" w:hAnsi="Calibri" w:cs="Calibri" w:eastAsia="Calibri" w:hint="default"/>
                <w:sz w:val="18"/>
                <w:szCs w:val="18"/>
              </w:rPr>
              <w:t>⃝</w:t>
            </w:r>
            <w:r>
              <w:rPr>
                <w:rFonts w:ascii="Calibri" w:hAnsi="Calibri" w:cs="Calibri" w:eastAsia="Calibri" w:hint="default"/>
                <w:spacing w:val="1"/>
                <w:sz w:val="18"/>
                <w:szCs w:val="18"/>
              </w:rPr>
              <w:t> </w:t>
            </w:r>
            <w:r>
              <w:rPr>
                <w:rFonts w:ascii="Calibri" w:hAnsi="Calibri" w:cs="Calibri" w:eastAsia="Calibri" w:hint="default"/>
                <w:sz w:val="22"/>
                <w:szCs w:val="22"/>
              </w:rPr>
              <w:t>US$75,000-US$99,999</w:t>
            </w:r>
          </w:p>
        </w:tc>
        <w:tc>
          <w:tcPr>
            <w:tcW w:w="3199" w:type="dxa"/>
            <w:tcBorders>
              <w:top w:val="nil" w:sz="6" w:space="0" w:color="auto"/>
              <w:left w:val="nil" w:sz="6" w:space="0" w:color="auto"/>
              <w:bottom w:val="nil" w:sz="6" w:space="0" w:color="auto"/>
              <w:right w:val="nil" w:sz="6" w:space="0" w:color="auto"/>
            </w:tcBorders>
          </w:tcPr>
          <w:p>
            <w:pPr>
              <w:pStyle w:val="TableParagraph"/>
              <w:spacing w:line="240" w:lineRule="auto" w:before="52"/>
              <w:ind w:left="489" w:right="0"/>
              <w:jc w:val="left"/>
              <w:rPr>
                <w:rFonts w:ascii="Calibri" w:hAnsi="Calibri" w:cs="Calibri" w:eastAsia="Calibri" w:hint="default"/>
                <w:sz w:val="22"/>
                <w:szCs w:val="22"/>
              </w:rPr>
            </w:pPr>
            <w:r>
              <w:rPr>
                <w:rFonts w:ascii="Calibri" w:hAnsi="Calibri" w:cs="Calibri" w:eastAsia="Calibri" w:hint="default"/>
                <w:sz w:val="18"/>
                <w:szCs w:val="18"/>
              </w:rPr>
              <w:t>⃝ </w:t>
            </w:r>
            <w:r>
              <w:rPr>
                <w:rFonts w:ascii="Calibri" w:hAnsi="Calibri" w:cs="Calibri" w:eastAsia="Calibri" w:hint="default"/>
                <w:sz w:val="22"/>
                <w:szCs w:val="22"/>
              </w:rPr>
              <w:t>Prefer not to</w:t>
            </w:r>
            <w:r>
              <w:rPr>
                <w:rFonts w:ascii="Calibri" w:hAnsi="Calibri" w:cs="Calibri" w:eastAsia="Calibri" w:hint="default"/>
                <w:spacing w:val="-3"/>
                <w:sz w:val="22"/>
                <w:szCs w:val="22"/>
              </w:rPr>
              <w:t> </w:t>
            </w:r>
            <w:r>
              <w:rPr>
                <w:rFonts w:ascii="Calibri" w:hAnsi="Calibri" w:cs="Calibri" w:eastAsia="Calibri" w:hint="default"/>
                <w:sz w:val="22"/>
                <w:szCs w:val="22"/>
              </w:rPr>
              <w:t>state</w:t>
            </w:r>
          </w:p>
        </w:tc>
      </w:tr>
      <w:tr>
        <w:trPr>
          <w:trHeight w:val="596" w:hRule="exact"/>
        </w:trPr>
        <w:tc>
          <w:tcPr>
            <w:tcW w:w="10851" w:type="dxa"/>
            <w:gridSpan w:val="9"/>
            <w:tcBorders>
              <w:top w:val="nil" w:sz="6" w:space="0" w:color="auto"/>
              <w:left w:val="nil" w:sz="6" w:space="0" w:color="auto"/>
              <w:bottom w:val="nil" w:sz="6" w:space="0" w:color="auto"/>
              <w:right w:val="nil" w:sz="6" w:space="0" w:color="auto"/>
            </w:tcBorders>
          </w:tcPr>
          <w:p>
            <w:pPr>
              <w:pStyle w:val="TableParagraph"/>
              <w:spacing w:line="240" w:lineRule="auto" w:before="9"/>
              <w:ind w:right="0"/>
              <w:jc w:val="left"/>
              <w:rPr>
                <w:rFonts w:ascii="Calibri" w:hAnsi="Calibri" w:cs="Calibri" w:eastAsia="Calibri" w:hint="default"/>
                <w:b/>
                <w:bCs/>
                <w:i/>
                <w:sz w:val="24"/>
                <w:szCs w:val="24"/>
              </w:rPr>
            </w:pPr>
          </w:p>
          <w:p>
            <w:pPr>
              <w:pStyle w:val="TableParagraph"/>
              <w:spacing w:line="240" w:lineRule="auto"/>
              <w:ind w:left="35" w:right="0"/>
              <w:jc w:val="left"/>
              <w:rPr>
                <w:rFonts w:ascii="Calibri" w:hAnsi="Calibri" w:cs="Calibri" w:eastAsia="Calibri" w:hint="default"/>
                <w:sz w:val="22"/>
                <w:szCs w:val="22"/>
              </w:rPr>
            </w:pPr>
            <w:r>
              <w:rPr>
                <w:rFonts w:ascii="Calibri"/>
                <w:b/>
                <w:sz w:val="22"/>
              </w:rPr>
              <w:t>28. What is your marital</w:t>
            </w:r>
            <w:r>
              <w:rPr>
                <w:rFonts w:ascii="Calibri"/>
                <w:b/>
                <w:spacing w:val="-16"/>
                <w:sz w:val="22"/>
              </w:rPr>
              <w:t> </w:t>
            </w:r>
            <w:r>
              <w:rPr>
                <w:rFonts w:ascii="Calibri"/>
                <w:b/>
                <w:sz w:val="22"/>
              </w:rPr>
              <w:t>status?</w:t>
            </w:r>
            <w:r>
              <w:rPr>
                <w:rFonts w:ascii="Calibri"/>
                <w:sz w:val="22"/>
              </w:rPr>
            </w:r>
          </w:p>
        </w:tc>
      </w:tr>
      <w:tr>
        <w:trPr>
          <w:trHeight w:val="274" w:hRule="exact"/>
        </w:trPr>
        <w:tc>
          <w:tcPr>
            <w:tcW w:w="2558" w:type="dxa"/>
            <w:gridSpan w:val="2"/>
            <w:tcBorders>
              <w:top w:val="nil" w:sz="6" w:space="0" w:color="auto"/>
              <w:left w:val="nil" w:sz="6" w:space="0" w:color="auto"/>
              <w:bottom w:val="nil" w:sz="6" w:space="0" w:color="auto"/>
              <w:right w:val="nil" w:sz="6" w:space="0" w:color="auto"/>
            </w:tcBorders>
          </w:tcPr>
          <w:p>
            <w:pPr>
              <w:pStyle w:val="TableParagraph"/>
              <w:tabs>
                <w:tab w:pos="560" w:val="left" w:leader="none"/>
              </w:tabs>
              <w:spacing w:line="253" w:lineRule="exact"/>
              <w:ind w:left="35" w:right="0"/>
              <w:jc w:val="left"/>
              <w:rPr>
                <w:rFonts w:ascii="Calibri" w:hAnsi="Calibri" w:cs="Calibri" w:eastAsia="Calibri" w:hint="default"/>
                <w:sz w:val="22"/>
                <w:szCs w:val="22"/>
              </w:rPr>
            </w:pPr>
            <w:r>
              <w:rPr>
                <w:rFonts w:ascii="Calibri" w:hAnsi="Calibri" w:cs="Calibri" w:eastAsia="Calibri" w:hint="default"/>
                <w:w w:val="95"/>
                <w:sz w:val="18"/>
                <w:szCs w:val="18"/>
              </w:rPr>
              <w:t>⃝</w:t>
              <w:tab/>
            </w:r>
            <w:r>
              <w:rPr>
                <w:rFonts w:ascii="Calibri" w:hAnsi="Calibri" w:cs="Calibri" w:eastAsia="Calibri" w:hint="default"/>
                <w:sz w:val="22"/>
                <w:szCs w:val="22"/>
              </w:rPr>
              <w:t>Single</w:t>
            </w:r>
          </w:p>
        </w:tc>
        <w:tc>
          <w:tcPr>
            <w:tcW w:w="471" w:type="dxa"/>
            <w:tcBorders>
              <w:top w:val="nil" w:sz="6" w:space="0" w:color="auto"/>
              <w:left w:val="nil" w:sz="6" w:space="0" w:color="auto"/>
              <w:bottom w:val="nil" w:sz="6" w:space="0" w:color="auto"/>
              <w:right w:val="nil" w:sz="6" w:space="0" w:color="auto"/>
            </w:tcBorders>
          </w:tcPr>
          <w:p>
            <w:pPr>
              <w:pStyle w:val="TableParagraph"/>
              <w:spacing w:line="240" w:lineRule="auto" w:before="22"/>
              <w:ind w:right="3"/>
              <w:jc w:val="center"/>
              <w:rPr>
                <w:rFonts w:ascii="Calibri" w:hAnsi="Calibri" w:cs="Calibri" w:eastAsia="Calibri" w:hint="default"/>
                <w:sz w:val="18"/>
                <w:szCs w:val="18"/>
              </w:rPr>
            </w:pPr>
            <w:r>
              <w:rPr>
                <w:rFonts w:ascii="Calibri" w:hAnsi="Calibri" w:cs="Calibri" w:eastAsia="Calibri" w:hint="default"/>
                <w:sz w:val="18"/>
                <w:szCs w:val="18"/>
              </w:rPr>
              <w:t>⃝</w:t>
            </w:r>
          </w:p>
        </w:tc>
        <w:tc>
          <w:tcPr>
            <w:tcW w:w="2124" w:type="dxa"/>
            <w:gridSpan w:val="2"/>
            <w:tcBorders>
              <w:top w:val="nil" w:sz="6" w:space="0" w:color="auto"/>
              <w:left w:val="nil" w:sz="6" w:space="0" w:color="auto"/>
              <w:bottom w:val="nil" w:sz="6" w:space="0" w:color="auto"/>
              <w:right w:val="nil" w:sz="6" w:space="0" w:color="auto"/>
            </w:tcBorders>
          </w:tcPr>
          <w:p>
            <w:pPr>
              <w:pStyle w:val="TableParagraph"/>
              <w:spacing w:line="253" w:lineRule="exact"/>
              <w:ind w:left="149" w:right="0"/>
              <w:jc w:val="left"/>
              <w:rPr>
                <w:rFonts w:ascii="Calibri" w:hAnsi="Calibri" w:cs="Calibri" w:eastAsia="Calibri" w:hint="default"/>
                <w:sz w:val="22"/>
                <w:szCs w:val="22"/>
              </w:rPr>
            </w:pPr>
            <w:r>
              <w:rPr>
                <w:rFonts w:ascii="Calibri"/>
                <w:sz w:val="22"/>
              </w:rPr>
              <w:t>Married with</w:t>
            </w:r>
            <w:r>
              <w:rPr>
                <w:rFonts w:ascii="Calibri"/>
                <w:spacing w:val="-4"/>
                <w:sz w:val="22"/>
              </w:rPr>
              <w:t> </w:t>
            </w:r>
            <w:r>
              <w:rPr>
                <w:rFonts w:ascii="Calibri"/>
                <w:sz w:val="22"/>
              </w:rPr>
              <w:t>kids</w:t>
            </w:r>
          </w:p>
        </w:tc>
        <w:tc>
          <w:tcPr>
            <w:tcW w:w="544" w:type="dxa"/>
            <w:tcBorders>
              <w:top w:val="nil" w:sz="6" w:space="0" w:color="auto"/>
              <w:left w:val="nil" w:sz="6" w:space="0" w:color="auto"/>
              <w:bottom w:val="nil" w:sz="6" w:space="0" w:color="auto"/>
              <w:right w:val="nil" w:sz="6" w:space="0" w:color="auto"/>
            </w:tcBorders>
          </w:tcPr>
          <w:p>
            <w:pPr>
              <w:pStyle w:val="TableParagraph"/>
              <w:spacing w:line="240" w:lineRule="auto" w:before="22"/>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1955" w:type="dxa"/>
            <w:gridSpan w:val="2"/>
            <w:tcBorders>
              <w:top w:val="nil" w:sz="6" w:space="0" w:color="auto"/>
              <w:left w:val="nil" w:sz="6" w:space="0" w:color="auto"/>
              <w:bottom w:val="nil" w:sz="6" w:space="0" w:color="auto"/>
              <w:right w:val="nil" w:sz="6" w:space="0" w:color="auto"/>
            </w:tcBorders>
          </w:tcPr>
          <w:p>
            <w:pPr>
              <w:pStyle w:val="TableParagraph"/>
              <w:spacing w:line="253" w:lineRule="exact"/>
              <w:ind w:left="148" w:right="0"/>
              <w:jc w:val="left"/>
              <w:rPr>
                <w:rFonts w:ascii="Calibri" w:hAnsi="Calibri" w:cs="Calibri" w:eastAsia="Calibri" w:hint="default"/>
                <w:sz w:val="22"/>
                <w:szCs w:val="22"/>
              </w:rPr>
            </w:pPr>
            <w:r>
              <w:rPr>
                <w:rFonts w:ascii="Calibri"/>
                <w:sz w:val="22"/>
              </w:rPr>
              <w:t>Separated</w:t>
            </w:r>
          </w:p>
        </w:tc>
        <w:tc>
          <w:tcPr>
            <w:tcW w:w="3199" w:type="dxa"/>
            <w:tcBorders>
              <w:top w:val="nil" w:sz="6" w:space="0" w:color="auto"/>
              <w:left w:val="nil" w:sz="6" w:space="0" w:color="auto"/>
              <w:bottom w:val="nil" w:sz="6" w:space="0" w:color="auto"/>
              <w:right w:val="nil" w:sz="6" w:space="0" w:color="auto"/>
            </w:tcBorders>
          </w:tcPr>
          <w:p>
            <w:pPr>
              <w:pStyle w:val="TableParagraph"/>
              <w:tabs>
                <w:tab w:pos="2721" w:val="left" w:leader="none"/>
              </w:tabs>
              <w:spacing w:line="253" w:lineRule="exact"/>
              <w:ind w:left="474" w:right="0"/>
              <w:jc w:val="left"/>
              <w:rPr>
                <w:rFonts w:ascii="Calibri" w:hAnsi="Calibri" w:cs="Calibri" w:eastAsia="Calibri" w:hint="default"/>
                <w:sz w:val="22"/>
                <w:szCs w:val="22"/>
              </w:rPr>
            </w:pPr>
            <w:r>
              <w:rPr>
                <w:rFonts w:ascii="Calibri" w:hAnsi="Calibri" w:cs="Calibri" w:eastAsia="Calibri" w:hint="default"/>
                <w:sz w:val="22"/>
                <w:szCs w:val="22"/>
              </w:rPr>
              <w:t>⃝  </w:t>
            </w:r>
            <w:r>
              <w:rPr>
                <w:rFonts w:ascii="Calibri" w:hAnsi="Calibri" w:cs="Calibri" w:eastAsia="Calibri" w:hint="default"/>
                <w:spacing w:val="48"/>
                <w:sz w:val="22"/>
                <w:szCs w:val="22"/>
              </w:rPr>
              <w:t> </w:t>
            </w:r>
            <w:r>
              <w:rPr>
                <w:rFonts w:ascii="Calibri" w:hAnsi="Calibri" w:cs="Calibri" w:eastAsia="Calibri" w:hint="default"/>
                <w:sz w:val="22"/>
                <w:szCs w:val="22"/>
              </w:rPr>
              <w:t>Other:</w:t>
            </w:r>
            <w:r>
              <w:rPr>
                <w:rFonts w:ascii="Calibri" w:hAnsi="Calibri" w:cs="Calibri" w:eastAsia="Calibri" w:hint="default"/>
                <w:sz w:val="22"/>
                <w:szCs w:val="22"/>
                <w:u w:val="single" w:color="000000"/>
              </w:rPr>
              <w:t> </w:t>
              <w:tab/>
            </w:r>
            <w:r>
              <w:rPr>
                <w:rFonts w:ascii="Calibri" w:hAnsi="Calibri" w:cs="Calibri" w:eastAsia="Calibri" w:hint="default"/>
                <w:sz w:val="22"/>
                <w:szCs w:val="22"/>
              </w:rPr>
            </w:r>
          </w:p>
        </w:tc>
      </w:tr>
      <w:tr>
        <w:trPr>
          <w:trHeight w:val="344" w:hRule="exact"/>
        </w:trPr>
        <w:tc>
          <w:tcPr>
            <w:tcW w:w="2558" w:type="dxa"/>
            <w:gridSpan w:val="2"/>
            <w:tcBorders>
              <w:top w:val="nil" w:sz="6" w:space="0" w:color="auto"/>
              <w:left w:val="nil" w:sz="6" w:space="0" w:color="auto"/>
              <w:bottom w:val="nil" w:sz="6" w:space="0" w:color="auto"/>
              <w:right w:val="nil" w:sz="6" w:space="0" w:color="auto"/>
            </w:tcBorders>
          </w:tcPr>
          <w:p>
            <w:pPr>
              <w:pStyle w:val="TableParagraph"/>
              <w:tabs>
                <w:tab w:pos="561" w:val="left" w:leader="none"/>
              </w:tabs>
              <w:spacing w:line="248" w:lineRule="exact"/>
              <w:ind w:left="35" w:right="0"/>
              <w:jc w:val="left"/>
              <w:rPr>
                <w:rFonts w:ascii="Calibri" w:hAnsi="Calibri" w:cs="Calibri" w:eastAsia="Calibri" w:hint="default"/>
                <w:sz w:val="22"/>
                <w:szCs w:val="22"/>
              </w:rPr>
            </w:pPr>
            <w:r>
              <w:rPr>
                <w:rFonts w:ascii="Calibri" w:hAnsi="Calibri" w:cs="Calibri" w:eastAsia="Calibri" w:hint="default"/>
                <w:w w:val="95"/>
                <w:sz w:val="18"/>
                <w:szCs w:val="18"/>
              </w:rPr>
              <w:t>⃝</w:t>
              <w:tab/>
            </w:r>
            <w:r>
              <w:rPr>
                <w:rFonts w:ascii="Calibri" w:hAnsi="Calibri" w:cs="Calibri" w:eastAsia="Calibri" w:hint="default"/>
                <w:sz w:val="22"/>
                <w:szCs w:val="22"/>
              </w:rPr>
              <w:t>Married with no</w:t>
            </w:r>
            <w:r>
              <w:rPr>
                <w:rFonts w:ascii="Calibri" w:hAnsi="Calibri" w:cs="Calibri" w:eastAsia="Calibri" w:hint="default"/>
                <w:spacing w:val="-6"/>
                <w:sz w:val="22"/>
                <w:szCs w:val="22"/>
              </w:rPr>
              <w:t> </w:t>
            </w:r>
            <w:r>
              <w:rPr>
                <w:rFonts w:ascii="Calibri" w:hAnsi="Calibri" w:cs="Calibri" w:eastAsia="Calibri" w:hint="default"/>
                <w:sz w:val="22"/>
                <w:szCs w:val="22"/>
              </w:rPr>
              <w:t>kids</w:t>
            </w:r>
          </w:p>
        </w:tc>
        <w:tc>
          <w:tcPr>
            <w:tcW w:w="471" w:type="dxa"/>
            <w:tcBorders>
              <w:top w:val="nil" w:sz="6" w:space="0" w:color="auto"/>
              <w:left w:val="nil" w:sz="6" w:space="0" w:color="auto"/>
              <w:bottom w:val="nil" w:sz="6" w:space="0" w:color="auto"/>
              <w:right w:val="nil" w:sz="6" w:space="0" w:color="auto"/>
            </w:tcBorders>
          </w:tcPr>
          <w:p>
            <w:pPr>
              <w:pStyle w:val="TableParagraph"/>
              <w:spacing w:line="240" w:lineRule="auto" w:before="18"/>
              <w:ind w:right="3"/>
              <w:jc w:val="center"/>
              <w:rPr>
                <w:rFonts w:ascii="Calibri" w:hAnsi="Calibri" w:cs="Calibri" w:eastAsia="Calibri" w:hint="default"/>
                <w:sz w:val="18"/>
                <w:szCs w:val="18"/>
              </w:rPr>
            </w:pPr>
            <w:r>
              <w:rPr>
                <w:rFonts w:ascii="Calibri" w:hAnsi="Calibri" w:cs="Calibri" w:eastAsia="Calibri" w:hint="default"/>
                <w:sz w:val="18"/>
                <w:szCs w:val="18"/>
              </w:rPr>
              <w:t>⃝</w:t>
            </w:r>
          </w:p>
        </w:tc>
        <w:tc>
          <w:tcPr>
            <w:tcW w:w="2124" w:type="dxa"/>
            <w:gridSpan w:val="2"/>
            <w:tcBorders>
              <w:top w:val="nil" w:sz="6" w:space="0" w:color="auto"/>
              <w:left w:val="nil" w:sz="6" w:space="0" w:color="auto"/>
              <w:bottom w:val="nil" w:sz="6" w:space="0" w:color="auto"/>
              <w:right w:val="nil" w:sz="6" w:space="0" w:color="auto"/>
            </w:tcBorders>
          </w:tcPr>
          <w:p>
            <w:pPr>
              <w:pStyle w:val="TableParagraph"/>
              <w:spacing w:line="248" w:lineRule="exact"/>
              <w:ind w:left="148" w:right="0"/>
              <w:jc w:val="left"/>
              <w:rPr>
                <w:rFonts w:ascii="Calibri" w:hAnsi="Calibri" w:cs="Calibri" w:eastAsia="Calibri" w:hint="default"/>
                <w:sz w:val="22"/>
                <w:szCs w:val="22"/>
              </w:rPr>
            </w:pPr>
            <w:r>
              <w:rPr>
                <w:rFonts w:ascii="Calibri"/>
                <w:sz w:val="22"/>
              </w:rPr>
              <w:t>Divorced</w:t>
            </w:r>
          </w:p>
        </w:tc>
        <w:tc>
          <w:tcPr>
            <w:tcW w:w="544" w:type="dxa"/>
            <w:tcBorders>
              <w:top w:val="nil" w:sz="6" w:space="0" w:color="auto"/>
              <w:left w:val="nil" w:sz="6" w:space="0" w:color="auto"/>
              <w:bottom w:val="nil" w:sz="6" w:space="0" w:color="auto"/>
              <w:right w:val="nil" w:sz="6" w:space="0" w:color="auto"/>
            </w:tcBorders>
          </w:tcPr>
          <w:p>
            <w:pPr>
              <w:pStyle w:val="TableParagraph"/>
              <w:spacing w:line="240" w:lineRule="auto" w:before="18"/>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1955" w:type="dxa"/>
            <w:gridSpan w:val="2"/>
            <w:tcBorders>
              <w:top w:val="nil" w:sz="6" w:space="0" w:color="auto"/>
              <w:left w:val="nil" w:sz="6" w:space="0" w:color="auto"/>
              <w:bottom w:val="nil" w:sz="6" w:space="0" w:color="auto"/>
              <w:right w:val="nil" w:sz="6" w:space="0" w:color="auto"/>
            </w:tcBorders>
          </w:tcPr>
          <w:p>
            <w:pPr>
              <w:pStyle w:val="TableParagraph"/>
              <w:spacing w:line="248" w:lineRule="exact"/>
              <w:ind w:left="148" w:right="-29"/>
              <w:jc w:val="left"/>
              <w:rPr>
                <w:rFonts w:ascii="Calibri" w:hAnsi="Calibri" w:cs="Calibri" w:eastAsia="Calibri" w:hint="default"/>
                <w:sz w:val="22"/>
                <w:szCs w:val="22"/>
              </w:rPr>
            </w:pPr>
            <w:r>
              <w:rPr>
                <w:rFonts w:ascii="Calibri"/>
                <w:sz w:val="22"/>
              </w:rPr>
              <w:t>Living with a</w:t>
            </w:r>
            <w:r>
              <w:rPr>
                <w:rFonts w:ascii="Calibri"/>
                <w:spacing w:val="-16"/>
                <w:sz w:val="22"/>
              </w:rPr>
              <w:t> </w:t>
            </w:r>
            <w:r>
              <w:rPr>
                <w:rFonts w:ascii="Calibri"/>
                <w:sz w:val="22"/>
              </w:rPr>
              <w:t>partner</w:t>
            </w:r>
          </w:p>
        </w:tc>
        <w:tc>
          <w:tcPr>
            <w:tcW w:w="3199" w:type="dxa"/>
            <w:tcBorders>
              <w:top w:val="nil" w:sz="6" w:space="0" w:color="auto"/>
              <w:left w:val="nil" w:sz="6" w:space="0" w:color="auto"/>
              <w:bottom w:val="nil" w:sz="6" w:space="0" w:color="auto"/>
              <w:right w:val="nil" w:sz="6" w:space="0" w:color="auto"/>
            </w:tcBorders>
          </w:tcPr>
          <w:p>
            <w:pPr>
              <w:pStyle w:val="TableParagraph"/>
              <w:tabs>
                <w:tab w:pos="1000" w:val="left" w:leader="none"/>
              </w:tabs>
              <w:spacing w:line="248" w:lineRule="exact"/>
              <w:ind w:left="475" w:right="0"/>
              <w:jc w:val="left"/>
              <w:rPr>
                <w:rFonts w:ascii="Calibri" w:hAnsi="Calibri" w:cs="Calibri" w:eastAsia="Calibri" w:hint="default"/>
                <w:sz w:val="22"/>
                <w:szCs w:val="22"/>
              </w:rPr>
            </w:pPr>
            <w:r>
              <w:rPr>
                <w:rFonts w:ascii="Calibri" w:hAnsi="Calibri" w:cs="Calibri" w:eastAsia="Calibri" w:hint="default"/>
                <w:w w:val="95"/>
                <w:sz w:val="18"/>
                <w:szCs w:val="18"/>
              </w:rPr>
              <w:t>⃝</w:t>
              <w:tab/>
            </w:r>
            <w:r>
              <w:rPr>
                <w:rFonts w:ascii="Calibri" w:hAnsi="Calibri" w:cs="Calibri" w:eastAsia="Calibri" w:hint="default"/>
                <w:sz w:val="22"/>
                <w:szCs w:val="22"/>
              </w:rPr>
              <w:t>Prefer not to</w:t>
            </w:r>
            <w:r>
              <w:rPr>
                <w:rFonts w:ascii="Calibri" w:hAnsi="Calibri" w:cs="Calibri" w:eastAsia="Calibri" w:hint="default"/>
                <w:spacing w:val="-6"/>
                <w:sz w:val="22"/>
                <w:szCs w:val="22"/>
              </w:rPr>
              <w:t> </w:t>
            </w:r>
            <w:r>
              <w:rPr>
                <w:rFonts w:ascii="Calibri" w:hAnsi="Calibri" w:cs="Calibri" w:eastAsia="Calibri" w:hint="default"/>
                <w:sz w:val="22"/>
                <w:szCs w:val="22"/>
              </w:rPr>
              <w:t>state</w:t>
            </w:r>
          </w:p>
        </w:tc>
      </w:tr>
    </w:tbl>
    <w:p>
      <w:pPr>
        <w:spacing w:line="240" w:lineRule="auto" w:before="7"/>
        <w:ind w:right="0"/>
        <w:rPr>
          <w:rFonts w:ascii="Calibri" w:hAnsi="Calibri" w:cs="Calibri" w:eastAsia="Calibri" w:hint="default"/>
          <w:b/>
          <w:bCs/>
          <w:i/>
          <w:sz w:val="14"/>
          <w:szCs w:val="14"/>
        </w:rPr>
      </w:pPr>
    </w:p>
    <w:tbl>
      <w:tblPr>
        <w:tblW w:w="0" w:type="auto"/>
        <w:jc w:val="left"/>
        <w:tblInd w:w="348" w:type="dxa"/>
        <w:tblLayout w:type="fixed"/>
        <w:tblCellMar>
          <w:top w:w="0" w:type="dxa"/>
          <w:left w:w="0" w:type="dxa"/>
          <w:bottom w:w="0" w:type="dxa"/>
          <w:right w:w="0" w:type="dxa"/>
        </w:tblCellMar>
        <w:tblLook w:val="01E0"/>
      </w:tblPr>
      <w:tblGrid>
        <w:gridCol w:w="7159"/>
        <w:gridCol w:w="1678"/>
        <w:gridCol w:w="544"/>
        <w:gridCol w:w="544"/>
        <w:gridCol w:w="1107"/>
      </w:tblGrid>
      <w:tr>
        <w:trPr>
          <w:trHeight w:val="548" w:hRule="exact"/>
        </w:trPr>
        <w:tc>
          <w:tcPr>
            <w:tcW w:w="7159" w:type="dxa"/>
            <w:tcBorders>
              <w:top w:val="single" w:sz="4" w:space="0" w:color="000000"/>
              <w:left w:val="nil" w:sz="6" w:space="0" w:color="auto"/>
              <w:bottom w:val="single" w:sz="4" w:space="0" w:color="000000"/>
              <w:right w:val="nil" w:sz="6" w:space="0" w:color="auto"/>
            </w:tcBorders>
          </w:tcPr>
          <w:p>
            <w:pPr>
              <w:pStyle w:val="TableParagraph"/>
              <w:spacing w:line="240" w:lineRule="auto" w:before="1"/>
              <w:ind w:left="108" w:right="0"/>
              <w:jc w:val="left"/>
              <w:rPr>
                <w:rFonts w:ascii="Calibri" w:hAnsi="Calibri" w:cs="Calibri" w:eastAsia="Calibri" w:hint="default"/>
                <w:sz w:val="22"/>
                <w:szCs w:val="22"/>
              </w:rPr>
            </w:pPr>
            <w:r>
              <w:rPr>
                <w:rFonts w:ascii="Calibri"/>
                <w:b/>
                <w:sz w:val="22"/>
              </w:rPr>
              <w:t>29. Please tell us how much you agree with these</w:t>
            </w:r>
            <w:r>
              <w:rPr>
                <w:rFonts w:ascii="Calibri"/>
                <w:b/>
                <w:spacing w:val="-20"/>
                <w:sz w:val="22"/>
              </w:rPr>
              <w:t> </w:t>
            </w:r>
            <w:r>
              <w:rPr>
                <w:rFonts w:ascii="Calibri"/>
                <w:b/>
                <w:sz w:val="22"/>
              </w:rPr>
              <w:t>statements</w:t>
            </w:r>
            <w:r>
              <w:rPr>
                <w:rFonts w:ascii="Calibri"/>
                <w:sz w:val="22"/>
              </w:rPr>
            </w:r>
          </w:p>
        </w:tc>
        <w:tc>
          <w:tcPr>
            <w:tcW w:w="1678" w:type="dxa"/>
            <w:tcBorders>
              <w:top w:val="single" w:sz="4" w:space="0" w:color="000000"/>
              <w:left w:val="nil" w:sz="6" w:space="0" w:color="auto"/>
              <w:bottom w:val="single" w:sz="4" w:space="0" w:color="000000"/>
              <w:right w:val="nil" w:sz="6" w:space="0" w:color="auto"/>
            </w:tcBorders>
          </w:tcPr>
          <w:p>
            <w:pPr>
              <w:pStyle w:val="TableParagraph"/>
              <w:spacing w:line="240" w:lineRule="auto" w:before="1"/>
              <w:ind w:left="717" w:right="154"/>
              <w:jc w:val="left"/>
              <w:rPr>
                <w:rFonts w:ascii="Calibri" w:hAnsi="Calibri" w:cs="Calibri" w:eastAsia="Calibri" w:hint="default"/>
                <w:sz w:val="22"/>
                <w:szCs w:val="22"/>
              </w:rPr>
            </w:pPr>
            <w:r>
              <w:rPr>
                <w:rFonts w:ascii="Calibri"/>
                <w:b/>
                <w:i/>
                <w:sz w:val="22"/>
              </w:rPr>
              <w:t>Strongly </w:t>
            </w:r>
            <w:r>
              <w:rPr>
                <w:rFonts w:ascii="Calibri"/>
                <w:b/>
                <w:i/>
                <w:spacing w:val="-1"/>
                <w:sz w:val="22"/>
              </w:rPr>
              <w:t>Disagree</w:t>
            </w:r>
            <w:r>
              <w:rPr>
                <w:rFonts w:ascii="Calibri"/>
                <w:sz w:val="22"/>
              </w:rPr>
            </w:r>
          </w:p>
        </w:tc>
        <w:tc>
          <w:tcPr>
            <w:tcW w:w="544" w:type="dxa"/>
            <w:tcBorders>
              <w:top w:val="single" w:sz="4" w:space="0" w:color="000000"/>
              <w:left w:val="nil" w:sz="6" w:space="0" w:color="auto"/>
              <w:bottom w:val="single" w:sz="4" w:space="0" w:color="000000"/>
              <w:right w:val="nil" w:sz="6" w:space="0" w:color="auto"/>
            </w:tcBorders>
          </w:tcPr>
          <w:p>
            <w:pPr/>
          </w:p>
        </w:tc>
        <w:tc>
          <w:tcPr>
            <w:tcW w:w="544" w:type="dxa"/>
            <w:tcBorders>
              <w:top w:val="single" w:sz="4" w:space="0" w:color="000000"/>
              <w:left w:val="nil" w:sz="6" w:space="0" w:color="auto"/>
              <w:bottom w:val="single" w:sz="4" w:space="0" w:color="000000"/>
              <w:right w:val="nil" w:sz="6" w:space="0" w:color="auto"/>
            </w:tcBorders>
          </w:tcPr>
          <w:p>
            <w:pPr/>
          </w:p>
        </w:tc>
        <w:tc>
          <w:tcPr>
            <w:tcW w:w="1107" w:type="dxa"/>
            <w:tcBorders>
              <w:top w:val="single" w:sz="4" w:space="0" w:color="000000"/>
              <w:left w:val="nil" w:sz="6" w:space="0" w:color="auto"/>
              <w:bottom w:val="single" w:sz="4" w:space="0" w:color="000000"/>
              <w:right w:val="nil" w:sz="6" w:space="0" w:color="auto"/>
            </w:tcBorders>
          </w:tcPr>
          <w:p>
            <w:pPr>
              <w:pStyle w:val="TableParagraph"/>
              <w:spacing w:line="240" w:lineRule="auto" w:before="1"/>
              <w:ind w:left="456" w:right="106" w:hanging="219"/>
              <w:jc w:val="left"/>
              <w:rPr>
                <w:rFonts w:ascii="Calibri" w:hAnsi="Calibri" w:cs="Calibri" w:eastAsia="Calibri" w:hint="default"/>
                <w:sz w:val="22"/>
                <w:szCs w:val="22"/>
              </w:rPr>
            </w:pPr>
            <w:r>
              <w:rPr>
                <w:rFonts w:ascii="Calibri"/>
                <w:b/>
                <w:i/>
                <w:sz w:val="22"/>
              </w:rPr>
              <w:t>Strongly Agree</w:t>
            </w:r>
            <w:r>
              <w:rPr>
                <w:rFonts w:ascii="Calibri"/>
                <w:sz w:val="22"/>
              </w:rPr>
            </w:r>
          </w:p>
        </w:tc>
      </w:tr>
      <w:tr>
        <w:trPr>
          <w:trHeight w:val="318" w:hRule="exact"/>
        </w:trPr>
        <w:tc>
          <w:tcPr>
            <w:tcW w:w="7159" w:type="dxa"/>
            <w:tcBorders>
              <w:top w:val="single" w:sz="4" w:space="0" w:color="000000"/>
              <w:left w:val="nil" w:sz="6" w:space="0" w:color="auto"/>
              <w:bottom w:val="nil" w:sz="6" w:space="0" w:color="auto"/>
              <w:right w:val="nil" w:sz="6" w:space="0" w:color="auto"/>
            </w:tcBorders>
          </w:tcPr>
          <w:p>
            <w:pPr>
              <w:pStyle w:val="TableParagraph"/>
              <w:spacing w:line="240" w:lineRule="auto" w:before="19"/>
              <w:ind w:left="108" w:right="0"/>
              <w:jc w:val="left"/>
              <w:rPr>
                <w:rFonts w:ascii="Calibri" w:hAnsi="Calibri" w:cs="Calibri" w:eastAsia="Calibri" w:hint="default"/>
                <w:sz w:val="22"/>
                <w:szCs w:val="22"/>
              </w:rPr>
            </w:pPr>
            <w:r>
              <w:rPr>
                <w:rFonts w:ascii="Calibri"/>
                <w:sz w:val="22"/>
              </w:rPr>
              <w:t>I always buy the</w:t>
            </w:r>
            <w:r>
              <w:rPr>
                <w:rFonts w:ascii="Calibri"/>
                <w:spacing w:val="-8"/>
                <w:sz w:val="22"/>
              </w:rPr>
              <w:t> </w:t>
            </w:r>
            <w:r>
              <w:rPr>
                <w:rFonts w:ascii="Calibri"/>
                <w:sz w:val="22"/>
              </w:rPr>
              <w:t>best</w:t>
            </w:r>
          </w:p>
        </w:tc>
        <w:tc>
          <w:tcPr>
            <w:tcW w:w="1678" w:type="dxa"/>
            <w:tcBorders>
              <w:top w:val="single" w:sz="4" w:space="0" w:color="000000"/>
              <w:left w:val="nil" w:sz="6" w:space="0" w:color="auto"/>
              <w:bottom w:val="nil" w:sz="6" w:space="0" w:color="auto"/>
              <w:right w:val="nil" w:sz="6" w:space="0" w:color="auto"/>
            </w:tcBorders>
          </w:tcPr>
          <w:p>
            <w:pPr>
              <w:pStyle w:val="TableParagraph"/>
              <w:tabs>
                <w:tab w:pos="542" w:val="left" w:leader="none"/>
              </w:tabs>
              <w:spacing w:line="240" w:lineRule="auto" w:before="10"/>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single" w:sz="4" w:space="0" w:color="000000"/>
              <w:left w:val="nil" w:sz="6" w:space="0" w:color="auto"/>
              <w:bottom w:val="nil" w:sz="6" w:space="0" w:color="auto"/>
              <w:right w:val="nil" w:sz="6" w:space="0" w:color="auto"/>
            </w:tcBorders>
          </w:tcPr>
          <w:p>
            <w:pPr>
              <w:pStyle w:val="TableParagraph"/>
              <w:spacing w:line="240" w:lineRule="auto" w:before="10"/>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single" w:sz="4" w:space="0" w:color="000000"/>
              <w:left w:val="nil" w:sz="6" w:space="0" w:color="auto"/>
              <w:bottom w:val="nil" w:sz="6" w:space="0" w:color="auto"/>
              <w:right w:val="nil" w:sz="6" w:space="0" w:color="auto"/>
            </w:tcBorders>
          </w:tcPr>
          <w:p>
            <w:pPr>
              <w:pStyle w:val="TableParagraph"/>
              <w:spacing w:line="240" w:lineRule="auto" w:before="10"/>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single" w:sz="4" w:space="0" w:color="000000"/>
              <w:left w:val="nil" w:sz="6" w:space="0" w:color="auto"/>
              <w:bottom w:val="nil" w:sz="6" w:space="0" w:color="auto"/>
              <w:right w:val="nil" w:sz="6" w:space="0" w:color="auto"/>
            </w:tcBorders>
          </w:tcPr>
          <w:p>
            <w:pPr>
              <w:pStyle w:val="TableParagraph"/>
              <w:tabs>
                <w:tab w:pos="543" w:val="left" w:leader="none"/>
              </w:tabs>
              <w:spacing w:line="240" w:lineRule="auto" w:before="10"/>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It is important for me to buy high quality</w:t>
            </w:r>
            <w:r>
              <w:rPr>
                <w:rFonts w:ascii="Calibri"/>
                <w:spacing w:val="-27"/>
                <w:sz w:val="22"/>
              </w:rPr>
              <w:t> </w:t>
            </w:r>
            <w:r>
              <w:rPr>
                <w:rFonts w:ascii="Calibri"/>
                <w:sz w:val="22"/>
              </w:rPr>
              <w:t>products/services</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I will not give up high quality for a lower</w:t>
            </w:r>
            <w:r>
              <w:rPr>
                <w:rFonts w:ascii="Calibri"/>
                <w:spacing w:val="-23"/>
                <w:sz w:val="22"/>
              </w:rPr>
              <w:t> </w:t>
            </w:r>
            <w:r>
              <w:rPr>
                <w:rFonts w:ascii="Calibri"/>
                <w:sz w:val="22"/>
              </w:rPr>
              <w:t>price</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I never have enough time for the things I want to</w:t>
            </w:r>
            <w:r>
              <w:rPr>
                <w:rFonts w:ascii="Calibri"/>
                <w:spacing w:val="-18"/>
                <w:sz w:val="22"/>
              </w:rPr>
              <w:t> </w:t>
            </w:r>
            <w:r>
              <w:rPr>
                <w:rFonts w:ascii="Calibri"/>
                <w:sz w:val="22"/>
              </w:rPr>
              <w:t>do</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I am always in a</w:t>
            </w:r>
            <w:r>
              <w:rPr>
                <w:rFonts w:ascii="Calibri"/>
                <w:spacing w:val="-11"/>
                <w:sz w:val="22"/>
              </w:rPr>
              <w:t> </w:t>
            </w:r>
            <w:r>
              <w:rPr>
                <w:rFonts w:ascii="Calibri"/>
                <w:sz w:val="22"/>
              </w:rPr>
              <w:t>hurry</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Most days, I have no time to</w:t>
            </w:r>
            <w:r>
              <w:rPr>
                <w:rFonts w:ascii="Calibri"/>
                <w:spacing w:val="-11"/>
                <w:sz w:val="22"/>
              </w:rPr>
              <w:t> </w:t>
            </w:r>
            <w:r>
              <w:rPr>
                <w:rFonts w:ascii="Calibri"/>
                <w:sz w:val="22"/>
              </w:rPr>
              <w:t>relax</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I like to try new and different</w:t>
            </w:r>
            <w:r>
              <w:rPr>
                <w:rFonts w:ascii="Calibri"/>
                <w:spacing w:val="-17"/>
                <w:sz w:val="22"/>
              </w:rPr>
              <w:t> </w:t>
            </w:r>
            <w:r>
              <w:rPr>
                <w:rFonts w:ascii="Calibri"/>
                <w:sz w:val="22"/>
              </w:rPr>
              <w:t>things</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I am among the first people to try a new</w:t>
            </w:r>
            <w:r>
              <w:rPr>
                <w:rFonts w:ascii="Calibri"/>
                <w:spacing w:val="-22"/>
                <w:sz w:val="22"/>
              </w:rPr>
              <w:t> </w:t>
            </w:r>
            <w:r>
              <w:rPr>
                <w:rFonts w:ascii="Calibri"/>
                <w:sz w:val="22"/>
              </w:rPr>
              <w:t>product</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When</w:t>
            </w:r>
            <w:r>
              <w:rPr>
                <w:rFonts w:ascii="Calibri"/>
                <w:spacing w:val="-4"/>
                <w:sz w:val="22"/>
              </w:rPr>
              <w:t> </w:t>
            </w:r>
            <w:r>
              <w:rPr>
                <w:rFonts w:ascii="Calibri"/>
                <w:sz w:val="22"/>
              </w:rPr>
              <w:t>I</w:t>
            </w:r>
            <w:r>
              <w:rPr>
                <w:rFonts w:ascii="Calibri"/>
                <w:spacing w:val="-4"/>
                <w:sz w:val="22"/>
              </w:rPr>
              <w:t> </w:t>
            </w:r>
            <w:r>
              <w:rPr>
                <w:rFonts w:ascii="Calibri"/>
                <w:sz w:val="22"/>
              </w:rPr>
              <w:t>see</w:t>
            </w:r>
            <w:r>
              <w:rPr>
                <w:rFonts w:ascii="Calibri"/>
                <w:spacing w:val="-2"/>
                <w:sz w:val="22"/>
              </w:rPr>
              <w:t> </w:t>
            </w:r>
            <w:r>
              <w:rPr>
                <w:rFonts w:ascii="Calibri"/>
                <w:sz w:val="22"/>
              </w:rPr>
              <w:t>a</w:t>
            </w:r>
            <w:r>
              <w:rPr>
                <w:rFonts w:ascii="Calibri"/>
                <w:spacing w:val="-3"/>
                <w:sz w:val="22"/>
              </w:rPr>
              <w:t> </w:t>
            </w:r>
            <w:r>
              <w:rPr>
                <w:rFonts w:ascii="Calibri"/>
                <w:sz w:val="22"/>
              </w:rPr>
              <w:t>product</w:t>
            </w:r>
            <w:r>
              <w:rPr>
                <w:rFonts w:ascii="Calibri"/>
                <w:spacing w:val="-3"/>
                <w:sz w:val="22"/>
              </w:rPr>
              <w:t> </w:t>
            </w:r>
            <w:r>
              <w:rPr>
                <w:rFonts w:ascii="Calibri"/>
                <w:sz w:val="22"/>
              </w:rPr>
              <w:t>somewhat</w:t>
            </w:r>
            <w:r>
              <w:rPr>
                <w:rFonts w:ascii="Calibri"/>
                <w:spacing w:val="-4"/>
                <w:sz w:val="22"/>
              </w:rPr>
              <w:t> </w:t>
            </w:r>
            <w:r>
              <w:rPr>
                <w:rFonts w:ascii="Calibri"/>
                <w:sz w:val="22"/>
              </w:rPr>
              <w:t>different</w:t>
            </w:r>
            <w:r>
              <w:rPr>
                <w:rFonts w:ascii="Calibri"/>
                <w:spacing w:val="-4"/>
                <w:sz w:val="22"/>
              </w:rPr>
              <w:t> </w:t>
            </w:r>
            <w:r>
              <w:rPr>
                <w:rFonts w:ascii="Calibri"/>
                <w:sz w:val="22"/>
              </w:rPr>
              <w:t>from</w:t>
            </w:r>
            <w:r>
              <w:rPr>
                <w:rFonts w:ascii="Calibri"/>
                <w:spacing w:val="-3"/>
                <w:sz w:val="22"/>
              </w:rPr>
              <w:t> </w:t>
            </w:r>
            <w:r>
              <w:rPr>
                <w:rFonts w:ascii="Calibri"/>
                <w:sz w:val="22"/>
              </w:rPr>
              <w:t>the</w:t>
            </w:r>
            <w:r>
              <w:rPr>
                <w:rFonts w:ascii="Calibri"/>
                <w:spacing w:val="-3"/>
                <w:sz w:val="22"/>
              </w:rPr>
              <w:t> </w:t>
            </w:r>
            <w:r>
              <w:rPr>
                <w:rFonts w:ascii="Calibri"/>
                <w:sz w:val="22"/>
              </w:rPr>
              <w:t>usual,</w:t>
            </w:r>
            <w:r>
              <w:rPr>
                <w:rFonts w:ascii="Calibri"/>
                <w:spacing w:val="-3"/>
                <w:sz w:val="22"/>
              </w:rPr>
              <w:t> </w:t>
            </w:r>
            <w:r>
              <w:rPr>
                <w:rFonts w:ascii="Calibri"/>
                <w:sz w:val="22"/>
              </w:rPr>
              <w:t>I</w:t>
            </w:r>
            <w:r>
              <w:rPr>
                <w:rFonts w:ascii="Calibri"/>
                <w:spacing w:val="-4"/>
                <w:sz w:val="22"/>
              </w:rPr>
              <w:t> </w:t>
            </w:r>
            <w:r>
              <w:rPr>
                <w:rFonts w:ascii="Calibri"/>
                <w:sz w:val="22"/>
              </w:rPr>
              <w:t>check</w:t>
            </w:r>
            <w:r>
              <w:rPr>
                <w:rFonts w:ascii="Calibri"/>
                <w:spacing w:val="-4"/>
                <w:sz w:val="22"/>
              </w:rPr>
              <w:t> </w:t>
            </w:r>
            <w:r>
              <w:rPr>
                <w:rFonts w:ascii="Calibri"/>
                <w:sz w:val="22"/>
              </w:rPr>
              <w:t>it</w:t>
            </w:r>
            <w:r>
              <w:rPr>
                <w:rFonts w:ascii="Calibri"/>
                <w:spacing w:val="-4"/>
                <w:sz w:val="22"/>
              </w:rPr>
              <w:t> </w:t>
            </w:r>
            <w:r>
              <w:rPr>
                <w:rFonts w:ascii="Calibri"/>
                <w:sz w:val="22"/>
              </w:rPr>
              <w:t>out</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I like to have a variety of different activities to</w:t>
            </w:r>
            <w:r>
              <w:rPr>
                <w:rFonts w:ascii="Calibri"/>
                <w:spacing w:val="-26"/>
                <w:sz w:val="22"/>
              </w:rPr>
              <w:t> </w:t>
            </w:r>
            <w:r>
              <w:rPr>
                <w:rFonts w:ascii="Calibri"/>
                <w:sz w:val="22"/>
              </w:rPr>
              <w:t>do</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I get bored doing the same</w:t>
            </w:r>
            <w:r>
              <w:rPr>
                <w:rFonts w:ascii="Calibri"/>
                <w:spacing w:val="-17"/>
                <w:sz w:val="22"/>
              </w:rPr>
              <w:t> </w:t>
            </w:r>
            <w:r>
              <w:rPr>
                <w:rFonts w:ascii="Calibri"/>
                <w:sz w:val="22"/>
              </w:rPr>
              <w:t>activity</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I find myself checking the prices even for small</w:t>
            </w:r>
            <w:r>
              <w:rPr>
                <w:rFonts w:ascii="Calibri"/>
                <w:spacing w:val="-24"/>
                <w:sz w:val="22"/>
              </w:rPr>
              <w:t> </w:t>
            </w:r>
            <w:r>
              <w:rPr>
                <w:rFonts w:ascii="Calibri"/>
                <w:sz w:val="22"/>
              </w:rPr>
              <w:t>items</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I compare the prices of at least a few products before I buy</w:t>
            </w:r>
            <w:r>
              <w:rPr>
                <w:rFonts w:ascii="Calibri"/>
                <w:spacing w:val="-32"/>
                <w:sz w:val="22"/>
              </w:rPr>
              <w:t> </w:t>
            </w:r>
            <w:r>
              <w:rPr>
                <w:rFonts w:ascii="Calibri"/>
                <w:sz w:val="22"/>
              </w:rPr>
              <w:t>one</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My budgeting is always</w:t>
            </w:r>
            <w:r>
              <w:rPr>
                <w:rFonts w:ascii="Calibri"/>
                <w:spacing w:val="-13"/>
                <w:sz w:val="22"/>
              </w:rPr>
              <w:t> </w:t>
            </w:r>
            <w:r>
              <w:rPr>
                <w:rFonts w:ascii="Calibri"/>
                <w:sz w:val="22"/>
              </w:rPr>
              <w:t>tight</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People think of me as a good source of travel</w:t>
            </w:r>
            <w:r>
              <w:rPr>
                <w:rFonts w:ascii="Calibri"/>
                <w:spacing w:val="-18"/>
                <w:sz w:val="22"/>
              </w:rPr>
              <w:t> </w:t>
            </w:r>
            <w:r>
              <w:rPr>
                <w:rFonts w:ascii="Calibri"/>
                <w:sz w:val="22"/>
              </w:rPr>
              <w:t>information</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I am somewhat of an expert when it comes to</w:t>
            </w:r>
            <w:r>
              <w:rPr>
                <w:rFonts w:ascii="Calibri"/>
                <w:spacing w:val="-19"/>
                <w:sz w:val="22"/>
              </w:rPr>
              <w:t> </w:t>
            </w:r>
            <w:r>
              <w:rPr>
                <w:rFonts w:ascii="Calibri"/>
                <w:sz w:val="22"/>
              </w:rPr>
              <w:t>traveling</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I enjoy giving people travel</w:t>
            </w:r>
            <w:r>
              <w:rPr>
                <w:rFonts w:ascii="Calibri"/>
                <w:spacing w:val="-16"/>
                <w:sz w:val="22"/>
              </w:rPr>
              <w:t> </w:t>
            </w:r>
            <w:r>
              <w:rPr>
                <w:rFonts w:ascii="Calibri"/>
                <w:sz w:val="22"/>
              </w:rPr>
              <w:t>tips</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It is hard to find different and unusual things for me to</w:t>
            </w:r>
            <w:r>
              <w:rPr>
                <w:rFonts w:ascii="Calibri"/>
                <w:spacing w:val="-27"/>
                <w:sz w:val="22"/>
              </w:rPr>
              <w:t> </w:t>
            </w:r>
            <w:r>
              <w:rPr>
                <w:rFonts w:ascii="Calibri"/>
                <w:sz w:val="22"/>
              </w:rPr>
              <w:t>try</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88" w:hRule="exact"/>
        </w:trPr>
        <w:tc>
          <w:tcPr>
            <w:tcW w:w="7159" w:type="dxa"/>
            <w:tcBorders>
              <w:top w:val="nil" w:sz="6" w:space="0" w:color="auto"/>
              <w:left w:val="nil" w:sz="6" w:space="0" w:color="auto"/>
              <w:bottom w:val="nil" w:sz="6" w:space="0" w:color="auto"/>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I consume only certain brands, not</w:t>
            </w:r>
            <w:r>
              <w:rPr>
                <w:rFonts w:ascii="Calibri"/>
                <w:spacing w:val="-18"/>
                <w:sz w:val="22"/>
              </w:rPr>
              <w:t> </w:t>
            </w:r>
            <w:r>
              <w:rPr>
                <w:rFonts w:ascii="Calibri"/>
                <w:sz w:val="22"/>
              </w:rPr>
              <w:t>others</w:t>
            </w:r>
          </w:p>
        </w:tc>
        <w:tc>
          <w:tcPr>
            <w:tcW w:w="1678" w:type="dxa"/>
            <w:tcBorders>
              <w:top w:val="nil" w:sz="6" w:space="0" w:color="auto"/>
              <w:left w:val="nil" w:sz="6" w:space="0" w:color="auto"/>
              <w:bottom w:val="nil" w:sz="6" w:space="0" w:color="auto"/>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nil" w:sz="6" w:space="0" w:color="auto"/>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nil" w:sz="6" w:space="0" w:color="auto"/>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r>
        <w:trPr>
          <w:trHeight w:val="269" w:hRule="exact"/>
        </w:trPr>
        <w:tc>
          <w:tcPr>
            <w:tcW w:w="7159" w:type="dxa"/>
            <w:tcBorders>
              <w:top w:val="nil" w:sz="6" w:space="0" w:color="auto"/>
              <w:left w:val="nil" w:sz="6" w:space="0" w:color="auto"/>
              <w:bottom w:val="single" w:sz="4" w:space="0" w:color="000000"/>
              <w:right w:val="nil" w:sz="6" w:space="0" w:color="auto"/>
            </w:tcBorders>
          </w:tcPr>
          <w:p>
            <w:pPr>
              <w:pStyle w:val="TableParagraph"/>
              <w:spacing w:line="263" w:lineRule="exact"/>
              <w:ind w:left="108" w:right="0"/>
              <w:jc w:val="left"/>
              <w:rPr>
                <w:rFonts w:ascii="Calibri" w:hAnsi="Calibri" w:cs="Calibri" w:eastAsia="Calibri" w:hint="default"/>
                <w:sz w:val="22"/>
                <w:szCs w:val="22"/>
              </w:rPr>
            </w:pPr>
            <w:r>
              <w:rPr>
                <w:rFonts w:ascii="Calibri"/>
                <w:sz w:val="22"/>
              </w:rPr>
              <w:t>For</w:t>
            </w:r>
            <w:r>
              <w:rPr>
                <w:rFonts w:ascii="Calibri"/>
                <w:spacing w:val="-4"/>
                <w:sz w:val="22"/>
              </w:rPr>
              <w:t> </w:t>
            </w:r>
            <w:r>
              <w:rPr>
                <w:rFonts w:ascii="Calibri"/>
                <w:sz w:val="22"/>
              </w:rPr>
              <w:t>travel</w:t>
            </w:r>
            <w:r>
              <w:rPr>
                <w:rFonts w:ascii="Calibri"/>
                <w:spacing w:val="-3"/>
                <w:sz w:val="22"/>
              </w:rPr>
              <w:t> </w:t>
            </w:r>
            <w:r>
              <w:rPr>
                <w:rFonts w:ascii="Calibri"/>
                <w:sz w:val="22"/>
              </w:rPr>
              <w:t>related</w:t>
            </w:r>
            <w:r>
              <w:rPr>
                <w:rFonts w:ascii="Calibri"/>
                <w:spacing w:val="-4"/>
                <w:sz w:val="22"/>
              </w:rPr>
              <w:t> </w:t>
            </w:r>
            <w:r>
              <w:rPr>
                <w:rFonts w:ascii="Calibri"/>
                <w:sz w:val="22"/>
              </w:rPr>
              <w:t>products,</w:t>
            </w:r>
            <w:r>
              <w:rPr>
                <w:rFonts w:ascii="Calibri"/>
                <w:spacing w:val="-3"/>
                <w:sz w:val="22"/>
              </w:rPr>
              <w:t> </w:t>
            </w:r>
            <w:r>
              <w:rPr>
                <w:rFonts w:ascii="Calibri"/>
                <w:sz w:val="22"/>
              </w:rPr>
              <w:t>I</w:t>
            </w:r>
            <w:r>
              <w:rPr>
                <w:rFonts w:ascii="Calibri"/>
                <w:spacing w:val="-5"/>
                <w:sz w:val="22"/>
              </w:rPr>
              <w:t> </w:t>
            </w:r>
            <w:r>
              <w:rPr>
                <w:rFonts w:ascii="Calibri"/>
                <w:sz w:val="22"/>
              </w:rPr>
              <w:t>have</w:t>
            </w:r>
            <w:r>
              <w:rPr>
                <w:rFonts w:ascii="Calibri"/>
                <w:spacing w:val="-3"/>
                <w:sz w:val="22"/>
              </w:rPr>
              <w:t> </w:t>
            </w:r>
            <w:r>
              <w:rPr>
                <w:rFonts w:ascii="Calibri"/>
                <w:sz w:val="22"/>
              </w:rPr>
              <w:t>favorite</w:t>
            </w:r>
            <w:r>
              <w:rPr>
                <w:rFonts w:ascii="Calibri"/>
                <w:spacing w:val="-5"/>
                <w:sz w:val="22"/>
              </w:rPr>
              <w:t> </w:t>
            </w:r>
            <w:r>
              <w:rPr>
                <w:rFonts w:ascii="Calibri"/>
                <w:sz w:val="22"/>
              </w:rPr>
              <w:t>brands</w:t>
            </w:r>
            <w:r>
              <w:rPr>
                <w:rFonts w:ascii="Calibri"/>
                <w:spacing w:val="-4"/>
                <w:sz w:val="22"/>
              </w:rPr>
              <w:t> </w:t>
            </w:r>
            <w:r>
              <w:rPr>
                <w:rFonts w:ascii="Calibri"/>
                <w:sz w:val="22"/>
              </w:rPr>
              <w:t>that</w:t>
            </w:r>
            <w:r>
              <w:rPr>
                <w:rFonts w:ascii="Calibri"/>
                <w:spacing w:val="-4"/>
                <w:sz w:val="22"/>
              </w:rPr>
              <w:t> </w:t>
            </w:r>
            <w:r>
              <w:rPr>
                <w:rFonts w:ascii="Calibri"/>
                <w:sz w:val="22"/>
              </w:rPr>
              <w:t>I</w:t>
            </w:r>
            <w:r>
              <w:rPr>
                <w:rFonts w:ascii="Calibri"/>
                <w:spacing w:val="-4"/>
                <w:sz w:val="22"/>
              </w:rPr>
              <w:t> </w:t>
            </w:r>
            <w:r>
              <w:rPr>
                <w:rFonts w:ascii="Calibri"/>
                <w:sz w:val="22"/>
              </w:rPr>
              <w:t>purchase</w:t>
            </w:r>
          </w:p>
        </w:tc>
        <w:tc>
          <w:tcPr>
            <w:tcW w:w="1678" w:type="dxa"/>
            <w:tcBorders>
              <w:top w:val="nil" w:sz="6" w:space="0" w:color="auto"/>
              <w:left w:val="nil" w:sz="6" w:space="0" w:color="auto"/>
              <w:bottom w:val="single" w:sz="4" w:space="0" w:color="000000"/>
              <w:right w:val="nil" w:sz="6" w:space="0" w:color="auto"/>
            </w:tcBorders>
          </w:tcPr>
          <w:p>
            <w:pPr>
              <w:pStyle w:val="TableParagraph"/>
              <w:tabs>
                <w:tab w:pos="542" w:val="left" w:leader="none"/>
              </w:tabs>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①</w:t>
              <w:tab/>
              <w:t>②</w:t>
            </w:r>
            <w:r>
              <w:rPr>
                <w:rFonts w:ascii="Calibri" w:hAnsi="Calibri" w:cs="Calibri" w:eastAsia="Calibri" w:hint="default"/>
                <w:sz w:val="22"/>
                <w:szCs w:val="22"/>
              </w:rPr>
            </w:r>
          </w:p>
        </w:tc>
        <w:tc>
          <w:tcPr>
            <w:tcW w:w="544" w:type="dxa"/>
            <w:tcBorders>
              <w:top w:val="nil" w:sz="6" w:space="0" w:color="auto"/>
              <w:left w:val="nil" w:sz="6" w:space="0" w:color="auto"/>
              <w:bottom w:val="single" w:sz="4" w:space="0" w:color="000000"/>
              <w:right w:val="nil" w:sz="6" w:space="0" w:color="auto"/>
            </w:tcBorders>
          </w:tcPr>
          <w:p>
            <w:pPr>
              <w:pStyle w:val="TableParagraph"/>
              <w:spacing w:line="253" w:lineRule="exact"/>
              <w:ind w:right="0"/>
              <w:jc w:val="center"/>
              <w:rPr>
                <w:rFonts w:ascii="Calibri" w:hAnsi="Calibri" w:cs="Calibri" w:eastAsia="Calibri" w:hint="default"/>
                <w:sz w:val="22"/>
                <w:szCs w:val="22"/>
              </w:rPr>
            </w:pPr>
            <w:r>
              <w:rPr>
                <w:rFonts w:ascii="Calibri" w:hAnsi="Calibri" w:cs="Calibri" w:eastAsia="Calibri" w:hint="default"/>
                <w:sz w:val="22"/>
                <w:szCs w:val="22"/>
              </w:rPr>
              <w:t>③</w:t>
            </w:r>
          </w:p>
        </w:tc>
        <w:tc>
          <w:tcPr>
            <w:tcW w:w="544" w:type="dxa"/>
            <w:tcBorders>
              <w:top w:val="nil" w:sz="6" w:space="0" w:color="auto"/>
              <w:left w:val="nil" w:sz="6" w:space="0" w:color="auto"/>
              <w:bottom w:val="single" w:sz="4" w:space="0" w:color="000000"/>
              <w:right w:val="nil" w:sz="6" w:space="0" w:color="auto"/>
            </w:tcBorders>
          </w:tcPr>
          <w:p>
            <w:pPr>
              <w:pStyle w:val="TableParagraph"/>
              <w:spacing w:line="253" w:lineRule="exact"/>
              <w:ind w:right="125"/>
              <w:jc w:val="right"/>
              <w:rPr>
                <w:rFonts w:ascii="Calibri" w:hAnsi="Calibri" w:cs="Calibri" w:eastAsia="Calibri" w:hint="default"/>
                <w:sz w:val="22"/>
                <w:szCs w:val="22"/>
              </w:rPr>
            </w:pPr>
            <w:r>
              <w:rPr>
                <w:rFonts w:ascii="Calibri" w:hAnsi="Calibri" w:cs="Calibri" w:eastAsia="Calibri" w:hint="default"/>
                <w:w w:val="95"/>
                <w:sz w:val="22"/>
                <w:szCs w:val="22"/>
              </w:rPr>
              <w:t>④</w:t>
            </w:r>
            <w:r>
              <w:rPr>
                <w:rFonts w:ascii="Calibri" w:hAnsi="Calibri" w:cs="Calibri" w:eastAsia="Calibri" w:hint="default"/>
                <w:sz w:val="22"/>
                <w:szCs w:val="22"/>
              </w:rPr>
            </w:r>
          </w:p>
        </w:tc>
        <w:tc>
          <w:tcPr>
            <w:tcW w:w="1107" w:type="dxa"/>
            <w:tcBorders>
              <w:top w:val="nil" w:sz="6" w:space="0" w:color="auto"/>
              <w:left w:val="nil" w:sz="6" w:space="0" w:color="auto"/>
              <w:bottom w:val="single" w:sz="4" w:space="0" w:color="000000"/>
              <w:right w:val="nil" w:sz="6" w:space="0" w:color="auto"/>
            </w:tcBorders>
          </w:tcPr>
          <w:p>
            <w:pPr>
              <w:pStyle w:val="TableParagraph"/>
              <w:tabs>
                <w:tab w:pos="543" w:val="left" w:leader="none"/>
              </w:tabs>
              <w:spacing w:line="253" w:lineRule="exact"/>
              <w:ind w:right="17"/>
              <w:jc w:val="center"/>
              <w:rPr>
                <w:rFonts w:ascii="Calibri" w:hAnsi="Calibri" w:cs="Calibri" w:eastAsia="Calibri" w:hint="default"/>
                <w:sz w:val="22"/>
                <w:szCs w:val="22"/>
              </w:rPr>
            </w:pPr>
            <w:r>
              <w:rPr>
                <w:rFonts w:ascii="Calibri" w:hAnsi="Calibri" w:cs="Calibri" w:eastAsia="Calibri" w:hint="default"/>
                <w:w w:val="95"/>
                <w:sz w:val="22"/>
                <w:szCs w:val="22"/>
              </w:rPr>
              <w:t>⑤</w:t>
              <w:tab/>
            </w:r>
            <w:r>
              <w:rPr>
                <w:rFonts w:ascii="Calibri" w:hAnsi="Calibri" w:cs="Calibri" w:eastAsia="Calibri" w:hint="default"/>
                <w:sz w:val="22"/>
                <w:szCs w:val="22"/>
              </w:rPr>
              <w:t>⑥</w:t>
            </w:r>
          </w:p>
        </w:tc>
      </w:tr>
    </w:tbl>
    <w:p>
      <w:pPr>
        <w:spacing w:after="0" w:line="253" w:lineRule="exact"/>
        <w:jc w:val="center"/>
        <w:rPr>
          <w:rFonts w:ascii="Calibri" w:hAnsi="Calibri" w:cs="Calibri" w:eastAsia="Calibri" w:hint="default"/>
          <w:sz w:val="22"/>
          <w:szCs w:val="22"/>
        </w:rPr>
        <w:sectPr>
          <w:headerReference w:type="default" r:id="rId103"/>
          <w:footerReference w:type="default" r:id="rId104"/>
          <w:pgSz w:w="12240" w:h="15840"/>
          <w:pgMar w:header="0" w:footer="312" w:top="720" w:bottom="500" w:left="220" w:right="280"/>
          <w:pgNumType w:start="6"/>
        </w:sectPr>
      </w:pPr>
    </w:p>
    <w:p>
      <w:pPr>
        <w:spacing w:line="240" w:lineRule="auto"/>
        <w:ind w:left="5015"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099636" cy="359378"/>
            <wp:effectExtent l="0" t="0" r="0" b="0"/>
            <wp:docPr id="123" name="image48.jpeg" descr=""/>
            <wp:cNvGraphicFramePr>
              <a:graphicFrameLocks noChangeAspect="1"/>
            </wp:cNvGraphicFramePr>
            <a:graphic>
              <a:graphicData uri="http://schemas.openxmlformats.org/drawingml/2006/picture">
                <pic:pic>
                  <pic:nvPicPr>
                    <pic:cNvPr id="124" name="image48.jpeg"/>
                    <pic:cNvPicPr/>
                  </pic:nvPicPr>
                  <pic:blipFill>
                    <a:blip r:embed="rId105" cstate="print"/>
                    <a:stretch>
                      <a:fillRect/>
                    </a:stretch>
                  </pic:blipFill>
                  <pic:spPr>
                    <a:xfrm>
                      <a:off x="0" y="0"/>
                      <a:ext cx="1099636" cy="359378"/>
                    </a:xfrm>
                    <a:prstGeom prst="rect">
                      <a:avLst/>
                    </a:prstGeom>
                  </pic:spPr>
                </pic:pic>
              </a:graphicData>
            </a:graphic>
          </wp:inline>
        </w:drawing>
      </w:r>
      <w:r>
        <w:rPr>
          <w:rFonts w:ascii="Calibri" w:hAnsi="Calibri" w:cs="Calibri" w:eastAsia="Calibri" w:hint="default"/>
          <w:sz w:val="20"/>
          <w:szCs w:val="20"/>
        </w:rPr>
      </w:r>
    </w:p>
    <w:p>
      <w:pPr>
        <w:spacing w:before="4" w:after="20"/>
        <w:ind w:left="152" w:right="0" w:firstLine="0"/>
        <w:jc w:val="left"/>
        <w:rPr>
          <w:rFonts w:ascii="Calibri" w:hAnsi="Calibri" w:cs="Calibri" w:eastAsia="Calibri" w:hint="default"/>
          <w:sz w:val="22"/>
          <w:szCs w:val="22"/>
        </w:rPr>
      </w:pPr>
      <w:r>
        <w:rPr>
          <w:rFonts w:ascii="Calibri" w:hAnsi="Calibri"/>
          <w:b/>
          <w:sz w:val="22"/>
        </w:rPr>
        <w:t>SECTION 6 (Cont.): PLACES VISITED IN</w:t>
      </w:r>
      <w:r>
        <w:rPr>
          <w:rFonts w:ascii="Calibri" w:hAnsi="Calibri"/>
          <w:b/>
          <w:spacing w:val="-16"/>
          <w:sz w:val="22"/>
        </w:rPr>
        <w:t> </w:t>
      </w:r>
      <w:r>
        <w:rPr>
          <w:rFonts w:ascii="Calibri" w:hAnsi="Calibri"/>
          <w:b/>
          <w:sz w:val="22"/>
        </w:rPr>
        <w:t>CURAÇAO</w:t>
      </w:r>
      <w:r>
        <w:rPr>
          <w:rFonts w:ascii="Calibri" w:hAnsi="Calibri"/>
          <w:sz w:val="22"/>
        </w:rPr>
      </w:r>
    </w:p>
    <w:p>
      <w:pPr>
        <w:spacing w:line="20" w:lineRule="exact"/>
        <w:ind w:left="117" w:right="0" w:firstLine="0"/>
        <w:rPr>
          <w:rFonts w:ascii="Calibri" w:hAnsi="Calibri" w:cs="Calibri" w:eastAsia="Calibri" w:hint="default"/>
          <w:sz w:val="2"/>
          <w:szCs w:val="2"/>
        </w:rPr>
      </w:pPr>
      <w:r>
        <w:rPr>
          <w:rFonts w:ascii="Calibri" w:hAnsi="Calibri" w:cs="Calibri" w:eastAsia="Calibri" w:hint="default"/>
          <w:sz w:val="2"/>
          <w:szCs w:val="2"/>
        </w:rPr>
        <w:pict>
          <v:group style="width:576pt;height:.5pt;mso-position-horizontal-relative:char;mso-position-vertical-relative:line" coordorigin="0,0" coordsize="11520,10">
            <v:group style="position:absolute;left:5;top:5;width:11510;height:2" coordorigin="5,5" coordsize="11510,2">
              <v:shape style="position:absolute;left:5;top:5;width:11510;height:2" coordorigin="5,5" coordsize="11510,0" path="m5,5l11514,5e" filled="false" stroked="true" strokeweight=".48pt" strokecolor="#000000">
                <v:path arrowok="t"/>
              </v:shape>
            </v:group>
          </v:group>
        </w:pict>
      </w:r>
      <w:r>
        <w:rPr>
          <w:rFonts w:ascii="Calibri" w:hAnsi="Calibri" w:cs="Calibri" w:eastAsia="Calibri" w:hint="default"/>
          <w:sz w:val="2"/>
          <w:szCs w:val="2"/>
        </w:rPr>
      </w:r>
    </w:p>
    <w:p>
      <w:pPr>
        <w:spacing w:line="240" w:lineRule="auto" w:before="7"/>
        <w:ind w:right="0"/>
        <w:rPr>
          <w:rFonts w:ascii="Calibri" w:hAnsi="Calibri" w:cs="Calibri" w:eastAsia="Calibri" w:hint="default"/>
          <w:b/>
          <w:bCs/>
          <w:sz w:val="16"/>
          <w:szCs w:val="16"/>
        </w:rPr>
      </w:pPr>
    </w:p>
    <w:p>
      <w:pPr>
        <w:pStyle w:val="ListParagraph"/>
        <w:numPr>
          <w:ilvl w:val="0"/>
          <w:numId w:val="24"/>
        </w:numPr>
        <w:tabs>
          <w:tab w:pos="641" w:val="left" w:leader="none"/>
        </w:tabs>
        <w:spacing w:line="240" w:lineRule="auto" w:before="55" w:after="36"/>
        <w:ind w:left="640" w:right="0" w:hanging="380"/>
        <w:jc w:val="left"/>
        <w:rPr>
          <w:rFonts w:ascii="Calibri" w:hAnsi="Calibri" w:cs="Calibri" w:eastAsia="Calibri" w:hint="default"/>
          <w:sz w:val="22"/>
          <w:szCs w:val="22"/>
        </w:rPr>
      </w:pPr>
      <w:r>
        <w:rPr>
          <w:rFonts w:ascii="Calibri" w:hAnsi="Calibri"/>
          <w:b/>
          <w:sz w:val="22"/>
        </w:rPr>
        <w:t>What</w:t>
      </w:r>
      <w:r>
        <w:rPr>
          <w:rFonts w:ascii="Calibri" w:hAnsi="Calibri"/>
          <w:b/>
          <w:spacing w:val="-4"/>
          <w:sz w:val="22"/>
        </w:rPr>
        <w:t> </w:t>
      </w:r>
      <w:r>
        <w:rPr>
          <w:rFonts w:ascii="Calibri" w:hAnsi="Calibri"/>
          <w:b/>
          <w:sz w:val="22"/>
        </w:rPr>
        <w:t>land</w:t>
      </w:r>
      <w:r>
        <w:rPr>
          <w:rFonts w:ascii="Calibri" w:hAnsi="Calibri"/>
          <w:b/>
          <w:spacing w:val="-4"/>
          <w:sz w:val="22"/>
        </w:rPr>
        <w:t> </w:t>
      </w:r>
      <w:r>
        <w:rPr>
          <w:rFonts w:ascii="Calibri" w:hAnsi="Calibri"/>
          <w:b/>
          <w:sz w:val="22"/>
        </w:rPr>
        <w:t>activities/attractions</w:t>
      </w:r>
      <w:r>
        <w:rPr>
          <w:rFonts w:ascii="Calibri" w:hAnsi="Calibri"/>
          <w:b/>
          <w:spacing w:val="-3"/>
          <w:sz w:val="22"/>
        </w:rPr>
        <w:t> </w:t>
      </w:r>
      <w:r>
        <w:rPr>
          <w:rFonts w:ascii="Calibri" w:hAnsi="Calibri"/>
          <w:b/>
          <w:sz w:val="22"/>
        </w:rPr>
        <w:t>did</w:t>
      </w:r>
      <w:r>
        <w:rPr>
          <w:rFonts w:ascii="Calibri" w:hAnsi="Calibri"/>
          <w:b/>
          <w:spacing w:val="-3"/>
          <w:sz w:val="22"/>
        </w:rPr>
        <w:t> </w:t>
      </w:r>
      <w:r>
        <w:rPr>
          <w:rFonts w:ascii="Calibri" w:hAnsi="Calibri"/>
          <w:b/>
          <w:sz w:val="22"/>
        </w:rPr>
        <w:t>you</w:t>
      </w:r>
      <w:r>
        <w:rPr>
          <w:rFonts w:ascii="Calibri" w:hAnsi="Calibri"/>
          <w:b/>
          <w:spacing w:val="-3"/>
          <w:sz w:val="22"/>
        </w:rPr>
        <w:t> </w:t>
      </w:r>
      <w:r>
        <w:rPr>
          <w:rFonts w:ascii="Calibri" w:hAnsi="Calibri"/>
          <w:b/>
          <w:sz w:val="22"/>
        </w:rPr>
        <w:t>participate</w:t>
      </w:r>
      <w:r>
        <w:rPr>
          <w:rFonts w:ascii="Calibri" w:hAnsi="Calibri"/>
          <w:b/>
          <w:spacing w:val="-3"/>
          <w:sz w:val="22"/>
        </w:rPr>
        <w:t> </w:t>
      </w:r>
      <w:r>
        <w:rPr>
          <w:rFonts w:ascii="Calibri" w:hAnsi="Calibri"/>
          <w:b/>
          <w:sz w:val="22"/>
        </w:rPr>
        <w:t>in</w:t>
      </w:r>
      <w:r>
        <w:rPr>
          <w:rFonts w:ascii="Calibri" w:hAnsi="Calibri"/>
          <w:b/>
          <w:spacing w:val="-4"/>
          <w:sz w:val="22"/>
        </w:rPr>
        <w:t> </w:t>
      </w:r>
      <w:r>
        <w:rPr>
          <w:rFonts w:ascii="Calibri" w:hAnsi="Calibri"/>
          <w:b/>
          <w:sz w:val="22"/>
        </w:rPr>
        <w:t>during</w:t>
      </w:r>
      <w:r>
        <w:rPr>
          <w:rFonts w:ascii="Calibri" w:hAnsi="Calibri"/>
          <w:b/>
          <w:spacing w:val="-3"/>
          <w:sz w:val="22"/>
        </w:rPr>
        <w:t> </w:t>
      </w:r>
      <w:r>
        <w:rPr>
          <w:rFonts w:ascii="Calibri" w:hAnsi="Calibri"/>
          <w:b/>
          <w:sz w:val="22"/>
        </w:rPr>
        <w:t>your</w:t>
      </w:r>
      <w:r>
        <w:rPr>
          <w:rFonts w:ascii="Calibri" w:hAnsi="Calibri"/>
          <w:b/>
          <w:spacing w:val="-5"/>
          <w:sz w:val="22"/>
        </w:rPr>
        <w:t> </w:t>
      </w:r>
      <w:r>
        <w:rPr>
          <w:rFonts w:ascii="Calibri" w:hAnsi="Calibri"/>
          <w:b/>
          <w:sz w:val="22"/>
        </w:rPr>
        <w:t>visit</w:t>
      </w:r>
      <w:r>
        <w:rPr>
          <w:rFonts w:ascii="Calibri" w:hAnsi="Calibri"/>
          <w:b/>
          <w:spacing w:val="-4"/>
          <w:sz w:val="22"/>
        </w:rPr>
        <w:t> </w:t>
      </w:r>
      <w:r>
        <w:rPr>
          <w:rFonts w:ascii="Calibri" w:hAnsi="Calibri"/>
          <w:b/>
          <w:sz w:val="22"/>
        </w:rPr>
        <w:t>to</w:t>
      </w:r>
      <w:r>
        <w:rPr>
          <w:rFonts w:ascii="Calibri" w:hAnsi="Calibri"/>
          <w:b/>
          <w:spacing w:val="1"/>
          <w:sz w:val="22"/>
        </w:rPr>
        <w:t> </w:t>
      </w:r>
      <w:r>
        <w:rPr>
          <w:rFonts w:ascii="Calibri" w:hAnsi="Calibri"/>
          <w:b/>
          <w:sz w:val="22"/>
        </w:rPr>
        <w:t>Curaçao?</w:t>
      </w:r>
      <w:r>
        <w:rPr>
          <w:rFonts w:ascii="Calibri" w:hAnsi="Calibri"/>
          <w:b/>
          <w:spacing w:val="-4"/>
          <w:sz w:val="22"/>
        </w:rPr>
        <w:t> </w:t>
      </w:r>
      <w:r>
        <w:rPr>
          <w:rFonts w:ascii="Calibri" w:hAnsi="Calibri"/>
          <w:b/>
          <w:sz w:val="22"/>
        </w:rPr>
        <w:t>(Please</w:t>
      </w:r>
      <w:r>
        <w:rPr>
          <w:rFonts w:ascii="Calibri" w:hAnsi="Calibri"/>
          <w:b/>
          <w:spacing w:val="-3"/>
          <w:sz w:val="22"/>
        </w:rPr>
        <w:t> </w:t>
      </w:r>
      <w:r>
        <w:rPr>
          <w:rFonts w:ascii="Calibri" w:hAnsi="Calibri"/>
          <w:b/>
          <w:sz w:val="22"/>
        </w:rPr>
        <w:t>check</w:t>
      </w:r>
      <w:r>
        <w:rPr>
          <w:rFonts w:ascii="Calibri" w:hAnsi="Calibri"/>
          <w:b/>
          <w:spacing w:val="-3"/>
          <w:sz w:val="22"/>
        </w:rPr>
        <w:t> </w:t>
      </w:r>
      <w:r>
        <w:rPr>
          <w:rFonts w:ascii="Calibri" w:hAnsi="Calibri"/>
          <w:b/>
          <w:sz w:val="22"/>
        </w:rPr>
        <w:t>all</w:t>
      </w:r>
      <w:r>
        <w:rPr>
          <w:rFonts w:ascii="Calibri" w:hAnsi="Calibri"/>
          <w:b/>
          <w:spacing w:val="-4"/>
          <w:sz w:val="22"/>
        </w:rPr>
        <w:t> </w:t>
      </w:r>
      <w:r>
        <w:rPr>
          <w:rFonts w:ascii="Calibri" w:hAnsi="Calibri"/>
          <w:b/>
          <w:sz w:val="22"/>
        </w:rPr>
        <w:t>that</w:t>
      </w:r>
      <w:r>
        <w:rPr>
          <w:rFonts w:ascii="Calibri" w:hAnsi="Calibri"/>
          <w:b/>
          <w:spacing w:val="-4"/>
          <w:sz w:val="22"/>
        </w:rPr>
        <w:t> </w:t>
      </w:r>
      <w:r>
        <w:rPr>
          <w:rFonts w:ascii="Calibri" w:hAnsi="Calibri"/>
          <w:b/>
          <w:sz w:val="22"/>
        </w:rPr>
        <w:t>apply)</w:t>
      </w:r>
      <w:r>
        <w:rPr>
          <w:rFonts w:ascii="Calibri" w:hAnsi="Calibri"/>
          <w:sz w:val="22"/>
        </w:rPr>
      </w:r>
    </w:p>
    <w:tbl>
      <w:tblPr>
        <w:tblW w:w="0" w:type="auto"/>
        <w:jc w:val="left"/>
        <w:tblInd w:w="225" w:type="dxa"/>
        <w:tblLayout w:type="fixed"/>
        <w:tblCellMar>
          <w:top w:w="0" w:type="dxa"/>
          <w:left w:w="0" w:type="dxa"/>
          <w:bottom w:w="0" w:type="dxa"/>
          <w:right w:w="0" w:type="dxa"/>
        </w:tblCellMar>
        <w:tblLook w:val="01E0"/>
      </w:tblPr>
      <w:tblGrid>
        <w:gridCol w:w="363"/>
        <w:gridCol w:w="2378"/>
        <w:gridCol w:w="1435"/>
        <w:gridCol w:w="2371"/>
        <w:gridCol w:w="1438"/>
        <w:gridCol w:w="1856"/>
      </w:tblGrid>
      <w:tr>
        <w:trPr>
          <w:trHeight w:val="200" w:hRule="exact"/>
        </w:trPr>
        <w:tc>
          <w:tcPr>
            <w:tcW w:w="363" w:type="dxa"/>
            <w:tcBorders>
              <w:top w:val="nil" w:sz="6" w:space="0" w:color="auto"/>
              <w:left w:val="nil" w:sz="6" w:space="0" w:color="auto"/>
              <w:bottom w:val="nil" w:sz="6" w:space="0" w:color="auto"/>
              <w:right w:val="nil" w:sz="6" w:space="0" w:color="auto"/>
            </w:tcBorders>
          </w:tcPr>
          <w:p>
            <w:pPr>
              <w:pStyle w:val="TableParagraph"/>
              <w:spacing w:line="184" w:lineRule="exact"/>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378" w:type="dxa"/>
            <w:tcBorders>
              <w:top w:val="nil" w:sz="6" w:space="0" w:color="auto"/>
              <w:left w:val="nil" w:sz="6" w:space="0" w:color="auto"/>
              <w:bottom w:val="nil" w:sz="6" w:space="0" w:color="auto"/>
              <w:right w:val="nil" w:sz="6" w:space="0" w:color="auto"/>
            </w:tcBorders>
          </w:tcPr>
          <w:p>
            <w:pPr>
              <w:pStyle w:val="TableParagraph"/>
              <w:spacing w:line="184" w:lineRule="exact"/>
              <w:ind w:left="148" w:right="0"/>
              <w:jc w:val="left"/>
              <w:rPr>
                <w:rFonts w:ascii="Calibri" w:hAnsi="Calibri" w:cs="Calibri" w:eastAsia="Calibri" w:hint="default"/>
                <w:sz w:val="18"/>
                <w:szCs w:val="18"/>
              </w:rPr>
            </w:pPr>
            <w:r>
              <w:rPr>
                <w:rFonts w:ascii="Calibri"/>
                <w:sz w:val="18"/>
              </w:rPr>
              <w:t>Hato</w:t>
            </w:r>
            <w:r>
              <w:rPr>
                <w:rFonts w:ascii="Calibri"/>
                <w:spacing w:val="-4"/>
                <w:sz w:val="18"/>
              </w:rPr>
              <w:t> </w:t>
            </w:r>
            <w:r>
              <w:rPr>
                <w:rFonts w:ascii="Calibri"/>
                <w:sz w:val="18"/>
              </w:rPr>
              <w:t>Caves</w:t>
            </w:r>
          </w:p>
        </w:tc>
        <w:tc>
          <w:tcPr>
            <w:tcW w:w="1435" w:type="dxa"/>
            <w:tcBorders>
              <w:top w:val="nil" w:sz="6" w:space="0" w:color="auto"/>
              <w:left w:val="nil" w:sz="6" w:space="0" w:color="auto"/>
              <w:bottom w:val="nil" w:sz="6" w:space="0" w:color="auto"/>
              <w:right w:val="nil" w:sz="6" w:space="0" w:color="auto"/>
            </w:tcBorders>
          </w:tcPr>
          <w:p>
            <w:pPr>
              <w:pStyle w:val="TableParagraph"/>
              <w:spacing w:line="184" w:lineRule="exact"/>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371" w:type="dxa"/>
            <w:tcBorders>
              <w:top w:val="nil" w:sz="6" w:space="0" w:color="auto"/>
              <w:left w:val="nil" w:sz="6" w:space="0" w:color="auto"/>
              <w:bottom w:val="nil" w:sz="6" w:space="0" w:color="auto"/>
              <w:right w:val="nil" w:sz="6" w:space="0" w:color="auto"/>
            </w:tcBorders>
          </w:tcPr>
          <w:p>
            <w:pPr>
              <w:pStyle w:val="TableParagraph"/>
              <w:spacing w:line="184" w:lineRule="exact"/>
              <w:ind w:left="148" w:right="0"/>
              <w:jc w:val="left"/>
              <w:rPr>
                <w:rFonts w:ascii="Calibri" w:hAnsi="Calibri" w:cs="Calibri" w:eastAsia="Calibri" w:hint="default"/>
                <w:sz w:val="18"/>
                <w:szCs w:val="18"/>
              </w:rPr>
            </w:pPr>
            <w:r>
              <w:rPr>
                <w:rFonts w:ascii="Calibri"/>
                <w:sz w:val="18"/>
              </w:rPr>
              <w:t>Herb</w:t>
            </w:r>
            <w:r>
              <w:rPr>
                <w:rFonts w:ascii="Calibri"/>
                <w:spacing w:val="-3"/>
                <w:sz w:val="18"/>
              </w:rPr>
              <w:t> </w:t>
            </w:r>
            <w:r>
              <w:rPr>
                <w:rFonts w:ascii="Calibri"/>
                <w:sz w:val="18"/>
              </w:rPr>
              <w:t>Garden</w:t>
            </w:r>
          </w:p>
        </w:tc>
        <w:tc>
          <w:tcPr>
            <w:tcW w:w="1438" w:type="dxa"/>
            <w:tcBorders>
              <w:top w:val="nil" w:sz="6" w:space="0" w:color="auto"/>
              <w:left w:val="nil" w:sz="6" w:space="0" w:color="auto"/>
              <w:bottom w:val="nil" w:sz="6" w:space="0" w:color="auto"/>
              <w:right w:val="nil" w:sz="6" w:space="0" w:color="auto"/>
            </w:tcBorders>
          </w:tcPr>
          <w:p>
            <w:pPr>
              <w:pStyle w:val="TableParagraph"/>
              <w:spacing w:line="184" w:lineRule="exact"/>
              <w:ind w:right="142"/>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1856" w:type="dxa"/>
            <w:tcBorders>
              <w:top w:val="nil" w:sz="6" w:space="0" w:color="auto"/>
              <w:left w:val="nil" w:sz="6" w:space="0" w:color="auto"/>
              <w:bottom w:val="nil" w:sz="6" w:space="0" w:color="auto"/>
              <w:right w:val="nil" w:sz="6" w:space="0" w:color="auto"/>
            </w:tcBorders>
          </w:tcPr>
          <w:p>
            <w:pPr>
              <w:pStyle w:val="TableParagraph"/>
              <w:spacing w:line="184" w:lineRule="exact"/>
              <w:ind w:left="152" w:right="0"/>
              <w:jc w:val="left"/>
              <w:rPr>
                <w:rFonts w:ascii="Calibri" w:hAnsi="Calibri" w:cs="Calibri" w:eastAsia="Calibri" w:hint="default"/>
                <w:sz w:val="18"/>
                <w:szCs w:val="18"/>
              </w:rPr>
            </w:pPr>
            <w:r>
              <w:rPr>
                <w:rFonts w:ascii="Calibri"/>
                <w:sz w:val="18"/>
              </w:rPr>
              <w:t>Parrot</w:t>
            </w:r>
            <w:r>
              <w:rPr>
                <w:rFonts w:ascii="Calibri"/>
                <w:spacing w:val="-6"/>
                <w:sz w:val="18"/>
              </w:rPr>
              <w:t> </w:t>
            </w:r>
            <w:r>
              <w:rPr>
                <w:rFonts w:ascii="Calibri"/>
                <w:sz w:val="18"/>
              </w:rPr>
              <w:t>Paradise</w:t>
            </w:r>
          </w:p>
        </w:tc>
      </w:tr>
      <w:tr>
        <w:trPr>
          <w:trHeight w:val="220" w:hRule="exact"/>
        </w:trPr>
        <w:tc>
          <w:tcPr>
            <w:tcW w:w="363"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378" w:type="dxa"/>
            <w:tcBorders>
              <w:top w:val="nil" w:sz="6" w:space="0" w:color="auto"/>
              <w:left w:val="nil" w:sz="6" w:space="0" w:color="auto"/>
              <w:bottom w:val="nil" w:sz="6" w:space="0" w:color="auto"/>
              <w:right w:val="nil" w:sz="6" w:space="0" w:color="auto"/>
            </w:tcBorders>
          </w:tcPr>
          <w:p>
            <w:pPr>
              <w:pStyle w:val="TableParagraph"/>
              <w:spacing w:line="203" w:lineRule="exact"/>
              <w:ind w:left="148" w:right="0"/>
              <w:jc w:val="left"/>
              <w:rPr>
                <w:rFonts w:ascii="Calibri" w:hAnsi="Calibri" w:cs="Calibri" w:eastAsia="Calibri" w:hint="default"/>
                <w:sz w:val="18"/>
                <w:szCs w:val="18"/>
              </w:rPr>
            </w:pPr>
            <w:r>
              <w:rPr>
                <w:rFonts w:ascii="Calibri"/>
                <w:sz w:val="18"/>
              </w:rPr>
              <w:t>Christoffel</w:t>
            </w:r>
            <w:r>
              <w:rPr>
                <w:rFonts w:ascii="Calibri"/>
                <w:spacing w:val="-10"/>
                <w:sz w:val="18"/>
              </w:rPr>
              <w:t> </w:t>
            </w:r>
            <w:r>
              <w:rPr>
                <w:rFonts w:ascii="Calibri"/>
                <w:sz w:val="18"/>
              </w:rPr>
              <w:t>Park</w:t>
            </w:r>
          </w:p>
        </w:tc>
        <w:tc>
          <w:tcPr>
            <w:tcW w:w="1435" w:type="dxa"/>
            <w:tcBorders>
              <w:top w:val="nil" w:sz="6" w:space="0" w:color="auto"/>
              <w:left w:val="nil" w:sz="6" w:space="0" w:color="auto"/>
              <w:bottom w:val="nil" w:sz="6" w:space="0" w:color="auto"/>
              <w:right w:val="nil" w:sz="6" w:space="0" w:color="auto"/>
            </w:tcBorders>
          </w:tcPr>
          <w:p>
            <w:pPr>
              <w:pStyle w:val="TableParagraph"/>
              <w:spacing w:line="203" w:lineRule="exact"/>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371" w:type="dxa"/>
            <w:tcBorders>
              <w:top w:val="nil" w:sz="6" w:space="0" w:color="auto"/>
              <w:left w:val="nil" w:sz="6" w:space="0" w:color="auto"/>
              <w:bottom w:val="nil" w:sz="6" w:space="0" w:color="auto"/>
              <w:right w:val="nil" w:sz="6" w:space="0" w:color="auto"/>
            </w:tcBorders>
          </w:tcPr>
          <w:p>
            <w:pPr>
              <w:pStyle w:val="TableParagraph"/>
              <w:spacing w:line="203" w:lineRule="exact"/>
              <w:ind w:left="148" w:right="0"/>
              <w:jc w:val="left"/>
              <w:rPr>
                <w:rFonts w:ascii="Calibri" w:hAnsi="Calibri" w:cs="Calibri" w:eastAsia="Calibri" w:hint="default"/>
                <w:sz w:val="18"/>
                <w:szCs w:val="18"/>
              </w:rPr>
            </w:pPr>
            <w:r>
              <w:rPr>
                <w:rFonts w:ascii="Calibri"/>
                <w:sz w:val="18"/>
              </w:rPr>
              <w:t>Ostrich</w:t>
            </w:r>
            <w:r>
              <w:rPr>
                <w:rFonts w:ascii="Calibri"/>
                <w:spacing w:val="-8"/>
                <w:sz w:val="18"/>
              </w:rPr>
              <w:t> </w:t>
            </w:r>
            <w:r>
              <w:rPr>
                <w:rFonts w:ascii="Calibri"/>
                <w:sz w:val="18"/>
              </w:rPr>
              <w:t>Farm</w:t>
            </w:r>
          </w:p>
        </w:tc>
        <w:tc>
          <w:tcPr>
            <w:tcW w:w="1438" w:type="dxa"/>
            <w:tcBorders>
              <w:top w:val="nil" w:sz="6" w:space="0" w:color="auto"/>
              <w:left w:val="nil" w:sz="6" w:space="0" w:color="auto"/>
              <w:bottom w:val="nil" w:sz="6" w:space="0" w:color="auto"/>
              <w:right w:val="nil" w:sz="6" w:space="0" w:color="auto"/>
            </w:tcBorders>
          </w:tcPr>
          <w:p>
            <w:pPr>
              <w:pStyle w:val="TableParagraph"/>
              <w:spacing w:line="203" w:lineRule="exact"/>
              <w:ind w:right="142"/>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1856" w:type="dxa"/>
            <w:tcBorders>
              <w:top w:val="nil" w:sz="6" w:space="0" w:color="auto"/>
              <w:left w:val="nil" w:sz="6" w:space="0" w:color="auto"/>
              <w:bottom w:val="nil" w:sz="6" w:space="0" w:color="auto"/>
              <w:right w:val="nil" w:sz="6" w:space="0" w:color="auto"/>
            </w:tcBorders>
          </w:tcPr>
          <w:p>
            <w:pPr>
              <w:pStyle w:val="TableParagraph"/>
              <w:spacing w:line="203" w:lineRule="exact"/>
              <w:ind w:left="152" w:right="0"/>
              <w:jc w:val="left"/>
              <w:rPr>
                <w:rFonts w:ascii="Calibri" w:hAnsi="Calibri" w:cs="Calibri" w:eastAsia="Calibri" w:hint="default"/>
                <w:sz w:val="18"/>
                <w:szCs w:val="18"/>
              </w:rPr>
            </w:pPr>
            <w:r>
              <w:rPr>
                <w:rFonts w:ascii="Calibri"/>
                <w:sz w:val="18"/>
              </w:rPr>
              <w:t>Aloe</w:t>
            </w:r>
            <w:r>
              <w:rPr>
                <w:rFonts w:ascii="Calibri"/>
                <w:spacing w:val="-4"/>
                <w:sz w:val="18"/>
              </w:rPr>
              <w:t> </w:t>
            </w:r>
            <w:r>
              <w:rPr>
                <w:rFonts w:ascii="Calibri"/>
                <w:sz w:val="18"/>
              </w:rPr>
              <w:t>Farm</w:t>
            </w:r>
          </w:p>
        </w:tc>
      </w:tr>
      <w:tr>
        <w:trPr>
          <w:trHeight w:val="301" w:hRule="exact"/>
        </w:trPr>
        <w:tc>
          <w:tcPr>
            <w:tcW w:w="363"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378" w:type="dxa"/>
            <w:tcBorders>
              <w:top w:val="nil" w:sz="6" w:space="0" w:color="auto"/>
              <w:left w:val="nil" w:sz="6" w:space="0" w:color="auto"/>
              <w:bottom w:val="nil" w:sz="6" w:space="0" w:color="auto"/>
              <w:right w:val="nil" w:sz="6" w:space="0" w:color="auto"/>
            </w:tcBorders>
          </w:tcPr>
          <w:p>
            <w:pPr>
              <w:pStyle w:val="TableParagraph"/>
              <w:spacing w:line="204" w:lineRule="exact"/>
              <w:ind w:left="148" w:right="0"/>
              <w:jc w:val="left"/>
              <w:rPr>
                <w:rFonts w:ascii="Calibri" w:hAnsi="Calibri" w:cs="Calibri" w:eastAsia="Calibri" w:hint="default"/>
                <w:sz w:val="18"/>
                <w:szCs w:val="18"/>
              </w:rPr>
            </w:pPr>
            <w:r>
              <w:rPr>
                <w:rFonts w:ascii="Calibri"/>
                <w:sz w:val="18"/>
              </w:rPr>
              <w:t>Butterfly</w:t>
            </w:r>
            <w:r>
              <w:rPr>
                <w:rFonts w:ascii="Calibri"/>
                <w:spacing w:val="-5"/>
                <w:sz w:val="18"/>
              </w:rPr>
              <w:t> </w:t>
            </w:r>
            <w:r>
              <w:rPr>
                <w:rFonts w:ascii="Calibri"/>
                <w:sz w:val="18"/>
              </w:rPr>
              <w:t>Farm</w:t>
            </w:r>
          </w:p>
        </w:tc>
        <w:tc>
          <w:tcPr>
            <w:tcW w:w="1435" w:type="dxa"/>
            <w:tcBorders>
              <w:top w:val="nil" w:sz="6" w:space="0" w:color="auto"/>
              <w:left w:val="nil" w:sz="6" w:space="0" w:color="auto"/>
              <w:bottom w:val="nil" w:sz="6" w:space="0" w:color="auto"/>
              <w:right w:val="nil" w:sz="6" w:space="0" w:color="auto"/>
            </w:tcBorders>
          </w:tcPr>
          <w:p>
            <w:pPr>
              <w:pStyle w:val="TableParagraph"/>
              <w:spacing w:line="204" w:lineRule="exact"/>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371" w:type="dxa"/>
            <w:tcBorders>
              <w:top w:val="nil" w:sz="6" w:space="0" w:color="auto"/>
              <w:left w:val="nil" w:sz="6" w:space="0" w:color="auto"/>
              <w:bottom w:val="nil" w:sz="6" w:space="0" w:color="auto"/>
              <w:right w:val="nil" w:sz="6" w:space="0" w:color="auto"/>
            </w:tcBorders>
          </w:tcPr>
          <w:p>
            <w:pPr>
              <w:pStyle w:val="TableParagraph"/>
              <w:spacing w:line="204" w:lineRule="exact"/>
              <w:ind w:left="148" w:right="0"/>
              <w:jc w:val="left"/>
              <w:rPr>
                <w:rFonts w:ascii="Calibri" w:hAnsi="Calibri" w:cs="Calibri" w:eastAsia="Calibri" w:hint="default"/>
                <w:sz w:val="18"/>
                <w:szCs w:val="18"/>
              </w:rPr>
            </w:pPr>
            <w:r>
              <w:rPr>
                <w:rFonts w:ascii="Calibri"/>
                <w:sz w:val="18"/>
              </w:rPr>
              <w:t>ATV Quad</w:t>
            </w:r>
            <w:r>
              <w:rPr>
                <w:rFonts w:ascii="Calibri"/>
                <w:spacing w:val="-12"/>
                <w:sz w:val="18"/>
              </w:rPr>
              <w:t> </w:t>
            </w:r>
            <w:r>
              <w:rPr>
                <w:rFonts w:ascii="Calibri"/>
                <w:sz w:val="18"/>
              </w:rPr>
              <w:t>Tour</w:t>
            </w:r>
          </w:p>
        </w:tc>
        <w:tc>
          <w:tcPr>
            <w:tcW w:w="1438" w:type="dxa"/>
            <w:tcBorders>
              <w:top w:val="nil" w:sz="6" w:space="0" w:color="auto"/>
              <w:left w:val="nil" w:sz="6" w:space="0" w:color="auto"/>
              <w:bottom w:val="nil" w:sz="6" w:space="0" w:color="auto"/>
              <w:right w:val="nil" w:sz="6" w:space="0" w:color="auto"/>
            </w:tcBorders>
          </w:tcPr>
          <w:p>
            <w:pPr>
              <w:pStyle w:val="TableParagraph"/>
              <w:spacing w:line="204" w:lineRule="exact"/>
              <w:ind w:right="142"/>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1856" w:type="dxa"/>
            <w:tcBorders>
              <w:top w:val="nil" w:sz="6" w:space="0" w:color="auto"/>
              <w:left w:val="nil" w:sz="6" w:space="0" w:color="auto"/>
              <w:bottom w:val="nil" w:sz="6" w:space="0" w:color="auto"/>
              <w:right w:val="nil" w:sz="6" w:space="0" w:color="auto"/>
            </w:tcBorders>
          </w:tcPr>
          <w:p>
            <w:pPr>
              <w:pStyle w:val="TableParagraph"/>
              <w:tabs>
                <w:tab w:pos="1820" w:val="left" w:leader="none"/>
              </w:tabs>
              <w:spacing w:line="204" w:lineRule="exact"/>
              <w:ind w:left="144" w:right="0"/>
              <w:jc w:val="left"/>
              <w:rPr>
                <w:rFonts w:ascii="Calibri" w:hAnsi="Calibri" w:cs="Calibri" w:eastAsia="Calibri" w:hint="default"/>
                <w:sz w:val="18"/>
                <w:szCs w:val="18"/>
              </w:rPr>
            </w:pPr>
            <w:r>
              <w:rPr>
                <w:rFonts w:ascii="Calibri"/>
                <w:sz w:val="18"/>
              </w:rPr>
              <w:t>Other:</w:t>
            </w:r>
            <w:r>
              <w:rPr>
                <w:rFonts w:ascii="Calibri"/>
                <w:sz w:val="18"/>
                <w:u w:val="single" w:color="000000"/>
              </w:rPr>
              <w:t> </w:t>
              <w:tab/>
            </w:r>
            <w:r>
              <w:rPr>
                <w:rFonts w:ascii="Calibri"/>
                <w:sz w:val="18"/>
              </w:rPr>
            </w:r>
          </w:p>
        </w:tc>
      </w:tr>
    </w:tbl>
    <w:p>
      <w:pPr>
        <w:spacing w:line="240" w:lineRule="auto" w:before="5"/>
        <w:ind w:right="0"/>
        <w:rPr>
          <w:rFonts w:ascii="Calibri" w:hAnsi="Calibri" w:cs="Calibri" w:eastAsia="Calibri" w:hint="default"/>
          <w:b/>
          <w:bCs/>
          <w:sz w:val="9"/>
          <w:szCs w:val="9"/>
        </w:rPr>
      </w:pPr>
    </w:p>
    <w:p>
      <w:pPr>
        <w:pStyle w:val="ListParagraph"/>
        <w:numPr>
          <w:ilvl w:val="0"/>
          <w:numId w:val="24"/>
        </w:numPr>
        <w:tabs>
          <w:tab w:pos="641" w:val="left" w:leader="none"/>
        </w:tabs>
        <w:spacing w:line="240" w:lineRule="auto" w:before="55" w:after="36"/>
        <w:ind w:left="640" w:right="0" w:hanging="380"/>
        <w:jc w:val="left"/>
        <w:rPr>
          <w:rFonts w:ascii="Calibri" w:hAnsi="Calibri" w:cs="Calibri" w:eastAsia="Calibri" w:hint="default"/>
          <w:sz w:val="22"/>
          <w:szCs w:val="22"/>
        </w:rPr>
      </w:pPr>
      <w:r>
        <w:rPr>
          <w:rFonts w:ascii="Calibri" w:hAnsi="Calibri"/>
          <w:b/>
          <w:sz w:val="22"/>
        </w:rPr>
        <w:t>What</w:t>
      </w:r>
      <w:r>
        <w:rPr>
          <w:rFonts w:ascii="Calibri" w:hAnsi="Calibri"/>
          <w:b/>
          <w:spacing w:val="-4"/>
          <w:sz w:val="22"/>
        </w:rPr>
        <w:t> </w:t>
      </w:r>
      <w:r>
        <w:rPr>
          <w:rFonts w:ascii="Calibri" w:hAnsi="Calibri"/>
          <w:b/>
          <w:sz w:val="22"/>
        </w:rPr>
        <w:t>water</w:t>
      </w:r>
      <w:r>
        <w:rPr>
          <w:rFonts w:ascii="Calibri" w:hAnsi="Calibri"/>
          <w:b/>
          <w:spacing w:val="-2"/>
          <w:sz w:val="22"/>
        </w:rPr>
        <w:t> </w:t>
      </w:r>
      <w:r>
        <w:rPr>
          <w:rFonts w:ascii="Calibri" w:hAnsi="Calibri"/>
          <w:b/>
          <w:sz w:val="22"/>
        </w:rPr>
        <w:t>activities/attractions</w:t>
      </w:r>
      <w:r>
        <w:rPr>
          <w:rFonts w:ascii="Calibri" w:hAnsi="Calibri"/>
          <w:b/>
          <w:spacing w:val="-4"/>
          <w:sz w:val="22"/>
        </w:rPr>
        <w:t> </w:t>
      </w:r>
      <w:r>
        <w:rPr>
          <w:rFonts w:ascii="Calibri" w:hAnsi="Calibri"/>
          <w:b/>
          <w:sz w:val="22"/>
        </w:rPr>
        <w:t>did</w:t>
      </w:r>
      <w:r>
        <w:rPr>
          <w:rFonts w:ascii="Calibri" w:hAnsi="Calibri"/>
          <w:b/>
          <w:spacing w:val="-4"/>
          <w:sz w:val="22"/>
        </w:rPr>
        <w:t> </w:t>
      </w:r>
      <w:r>
        <w:rPr>
          <w:rFonts w:ascii="Calibri" w:hAnsi="Calibri"/>
          <w:b/>
          <w:sz w:val="22"/>
        </w:rPr>
        <w:t>you</w:t>
      </w:r>
      <w:r>
        <w:rPr>
          <w:rFonts w:ascii="Calibri" w:hAnsi="Calibri"/>
          <w:b/>
          <w:spacing w:val="-4"/>
          <w:sz w:val="22"/>
        </w:rPr>
        <w:t> </w:t>
      </w:r>
      <w:r>
        <w:rPr>
          <w:rFonts w:ascii="Calibri" w:hAnsi="Calibri"/>
          <w:b/>
          <w:sz w:val="22"/>
        </w:rPr>
        <w:t>participate</w:t>
      </w:r>
      <w:r>
        <w:rPr>
          <w:rFonts w:ascii="Calibri" w:hAnsi="Calibri"/>
          <w:b/>
          <w:spacing w:val="-4"/>
          <w:sz w:val="22"/>
        </w:rPr>
        <w:t> </w:t>
      </w:r>
      <w:r>
        <w:rPr>
          <w:rFonts w:ascii="Calibri" w:hAnsi="Calibri"/>
          <w:b/>
          <w:sz w:val="22"/>
        </w:rPr>
        <w:t>in</w:t>
      </w:r>
      <w:r>
        <w:rPr>
          <w:rFonts w:ascii="Calibri" w:hAnsi="Calibri"/>
          <w:b/>
          <w:spacing w:val="-4"/>
          <w:sz w:val="22"/>
        </w:rPr>
        <w:t> </w:t>
      </w:r>
      <w:r>
        <w:rPr>
          <w:rFonts w:ascii="Calibri" w:hAnsi="Calibri"/>
          <w:b/>
          <w:sz w:val="22"/>
        </w:rPr>
        <w:t>during</w:t>
      </w:r>
      <w:r>
        <w:rPr>
          <w:rFonts w:ascii="Calibri" w:hAnsi="Calibri"/>
          <w:b/>
          <w:spacing w:val="-3"/>
          <w:sz w:val="22"/>
        </w:rPr>
        <w:t> </w:t>
      </w:r>
      <w:r>
        <w:rPr>
          <w:rFonts w:ascii="Calibri" w:hAnsi="Calibri"/>
          <w:b/>
          <w:sz w:val="22"/>
        </w:rPr>
        <w:t>your</w:t>
      </w:r>
      <w:r>
        <w:rPr>
          <w:rFonts w:ascii="Calibri" w:hAnsi="Calibri"/>
          <w:b/>
          <w:spacing w:val="-3"/>
          <w:sz w:val="22"/>
        </w:rPr>
        <w:t> </w:t>
      </w:r>
      <w:r>
        <w:rPr>
          <w:rFonts w:ascii="Calibri" w:hAnsi="Calibri"/>
          <w:b/>
          <w:sz w:val="22"/>
        </w:rPr>
        <w:t>visit</w:t>
      </w:r>
      <w:r>
        <w:rPr>
          <w:rFonts w:ascii="Calibri" w:hAnsi="Calibri"/>
          <w:b/>
          <w:spacing w:val="-3"/>
          <w:sz w:val="22"/>
        </w:rPr>
        <w:t> </w:t>
      </w:r>
      <w:r>
        <w:rPr>
          <w:rFonts w:ascii="Calibri" w:hAnsi="Calibri"/>
          <w:b/>
          <w:sz w:val="22"/>
        </w:rPr>
        <w:t>to</w:t>
      </w:r>
      <w:r>
        <w:rPr>
          <w:rFonts w:ascii="Calibri" w:hAnsi="Calibri"/>
          <w:b/>
          <w:spacing w:val="-2"/>
          <w:sz w:val="22"/>
        </w:rPr>
        <w:t> </w:t>
      </w:r>
      <w:r>
        <w:rPr>
          <w:rFonts w:ascii="Calibri" w:hAnsi="Calibri"/>
          <w:b/>
          <w:sz w:val="22"/>
        </w:rPr>
        <w:t>Curaçao?</w:t>
      </w:r>
      <w:r>
        <w:rPr>
          <w:rFonts w:ascii="Calibri" w:hAnsi="Calibri"/>
          <w:b/>
          <w:spacing w:val="-4"/>
          <w:sz w:val="22"/>
        </w:rPr>
        <w:t> </w:t>
      </w:r>
      <w:r>
        <w:rPr>
          <w:rFonts w:ascii="Calibri" w:hAnsi="Calibri"/>
          <w:b/>
          <w:sz w:val="22"/>
        </w:rPr>
        <w:t>(Please</w:t>
      </w:r>
      <w:r>
        <w:rPr>
          <w:rFonts w:ascii="Calibri" w:hAnsi="Calibri"/>
          <w:b/>
          <w:spacing w:val="-3"/>
          <w:sz w:val="22"/>
        </w:rPr>
        <w:t> </w:t>
      </w:r>
      <w:r>
        <w:rPr>
          <w:rFonts w:ascii="Calibri" w:hAnsi="Calibri"/>
          <w:b/>
          <w:sz w:val="22"/>
        </w:rPr>
        <w:t>check</w:t>
      </w:r>
      <w:r>
        <w:rPr>
          <w:rFonts w:ascii="Calibri" w:hAnsi="Calibri"/>
          <w:b/>
          <w:spacing w:val="-2"/>
          <w:sz w:val="22"/>
        </w:rPr>
        <w:t> </w:t>
      </w:r>
      <w:r>
        <w:rPr>
          <w:rFonts w:ascii="Calibri" w:hAnsi="Calibri"/>
          <w:b/>
          <w:sz w:val="22"/>
        </w:rPr>
        <w:t>all</w:t>
      </w:r>
      <w:r>
        <w:rPr>
          <w:rFonts w:ascii="Calibri" w:hAnsi="Calibri"/>
          <w:b/>
          <w:spacing w:val="-4"/>
          <w:sz w:val="22"/>
        </w:rPr>
        <w:t> </w:t>
      </w:r>
      <w:r>
        <w:rPr>
          <w:rFonts w:ascii="Calibri" w:hAnsi="Calibri"/>
          <w:b/>
          <w:sz w:val="22"/>
        </w:rPr>
        <w:t>that</w:t>
      </w:r>
      <w:r>
        <w:rPr>
          <w:rFonts w:ascii="Calibri" w:hAnsi="Calibri"/>
          <w:b/>
          <w:spacing w:val="-4"/>
          <w:sz w:val="22"/>
        </w:rPr>
        <w:t> </w:t>
      </w:r>
      <w:r>
        <w:rPr>
          <w:rFonts w:ascii="Calibri" w:hAnsi="Calibri"/>
          <w:b/>
          <w:sz w:val="22"/>
        </w:rPr>
        <w:t>apply)</w:t>
      </w:r>
      <w:r>
        <w:rPr>
          <w:rFonts w:ascii="Calibri" w:hAnsi="Calibri"/>
          <w:sz w:val="22"/>
        </w:rPr>
      </w:r>
    </w:p>
    <w:tbl>
      <w:tblPr>
        <w:tblW w:w="0" w:type="auto"/>
        <w:jc w:val="left"/>
        <w:tblInd w:w="225" w:type="dxa"/>
        <w:tblLayout w:type="fixed"/>
        <w:tblCellMar>
          <w:top w:w="0" w:type="dxa"/>
          <w:left w:w="0" w:type="dxa"/>
          <w:bottom w:w="0" w:type="dxa"/>
          <w:right w:w="0" w:type="dxa"/>
        </w:tblCellMar>
        <w:tblLook w:val="01E0"/>
      </w:tblPr>
      <w:tblGrid>
        <w:gridCol w:w="358"/>
        <w:gridCol w:w="2558"/>
        <w:gridCol w:w="1259"/>
        <w:gridCol w:w="2412"/>
        <w:gridCol w:w="1401"/>
        <w:gridCol w:w="1950"/>
      </w:tblGrid>
      <w:tr>
        <w:trPr>
          <w:trHeight w:val="201" w:hRule="exact"/>
        </w:trPr>
        <w:tc>
          <w:tcPr>
            <w:tcW w:w="358" w:type="dxa"/>
            <w:tcBorders>
              <w:top w:val="nil" w:sz="6" w:space="0" w:color="auto"/>
              <w:left w:val="nil" w:sz="6" w:space="0" w:color="auto"/>
              <w:bottom w:val="nil" w:sz="6" w:space="0" w:color="auto"/>
              <w:right w:val="nil" w:sz="6" w:space="0" w:color="auto"/>
            </w:tcBorders>
          </w:tcPr>
          <w:p>
            <w:pPr>
              <w:pStyle w:val="TableParagraph"/>
              <w:spacing w:line="185" w:lineRule="exact"/>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558" w:type="dxa"/>
            <w:tcBorders>
              <w:top w:val="nil" w:sz="6" w:space="0" w:color="auto"/>
              <w:left w:val="nil" w:sz="6" w:space="0" w:color="auto"/>
              <w:bottom w:val="nil" w:sz="6" w:space="0" w:color="auto"/>
              <w:right w:val="nil" w:sz="6" w:space="0" w:color="auto"/>
            </w:tcBorders>
          </w:tcPr>
          <w:p>
            <w:pPr>
              <w:pStyle w:val="TableParagraph"/>
              <w:spacing w:line="185" w:lineRule="exact"/>
              <w:ind w:left="153" w:right="0"/>
              <w:jc w:val="left"/>
              <w:rPr>
                <w:rFonts w:ascii="Calibri" w:hAnsi="Calibri" w:cs="Calibri" w:eastAsia="Calibri" w:hint="default"/>
                <w:sz w:val="18"/>
                <w:szCs w:val="18"/>
              </w:rPr>
            </w:pPr>
            <w:r>
              <w:rPr>
                <w:rFonts w:ascii="Calibri"/>
                <w:sz w:val="18"/>
              </w:rPr>
              <w:t>Scuba</w:t>
            </w:r>
            <w:r>
              <w:rPr>
                <w:rFonts w:ascii="Calibri"/>
                <w:spacing w:val="-12"/>
                <w:sz w:val="18"/>
              </w:rPr>
              <w:t> </w:t>
            </w:r>
            <w:r>
              <w:rPr>
                <w:rFonts w:ascii="Calibri"/>
                <w:sz w:val="18"/>
              </w:rPr>
              <w:t>diving</w:t>
            </w:r>
          </w:p>
        </w:tc>
        <w:tc>
          <w:tcPr>
            <w:tcW w:w="1259" w:type="dxa"/>
            <w:tcBorders>
              <w:top w:val="nil" w:sz="6" w:space="0" w:color="auto"/>
              <w:left w:val="nil" w:sz="6" w:space="0" w:color="auto"/>
              <w:bottom w:val="nil" w:sz="6" w:space="0" w:color="auto"/>
              <w:right w:val="nil" w:sz="6" w:space="0" w:color="auto"/>
            </w:tcBorders>
          </w:tcPr>
          <w:p>
            <w:pPr>
              <w:pStyle w:val="TableParagraph"/>
              <w:spacing w:line="185" w:lineRule="exact"/>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412" w:type="dxa"/>
            <w:tcBorders>
              <w:top w:val="nil" w:sz="6" w:space="0" w:color="auto"/>
              <w:left w:val="nil" w:sz="6" w:space="0" w:color="auto"/>
              <w:bottom w:val="nil" w:sz="6" w:space="0" w:color="auto"/>
              <w:right w:val="nil" w:sz="6" w:space="0" w:color="auto"/>
            </w:tcBorders>
          </w:tcPr>
          <w:p>
            <w:pPr>
              <w:pStyle w:val="TableParagraph"/>
              <w:spacing w:line="185" w:lineRule="exact"/>
              <w:ind w:left="148" w:right="0"/>
              <w:jc w:val="left"/>
              <w:rPr>
                <w:rFonts w:ascii="Calibri" w:hAnsi="Calibri" w:cs="Calibri" w:eastAsia="Calibri" w:hint="default"/>
                <w:sz w:val="18"/>
                <w:szCs w:val="18"/>
              </w:rPr>
            </w:pPr>
            <w:r>
              <w:rPr>
                <w:rFonts w:ascii="Calibri"/>
                <w:sz w:val="18"/>
              </w:rPr>
              <w:t>Deep sea</w:t>
            </w:r>
            <w:r>
              <w:rPr>
                <w:rFonts w:ascii="Calibri"/>
                <w:spacing w:val="-13"/>
                <w:sz w:val="18"/>
              </w:rPr>
              <w:t> </w:t>
            </w:r>
            <w:r>
              <w:rPr>
                <w:rFonts w:ascii="Calibri"/>
                <w:sz w:val="18"/>
              </w:rPr>
              <w:t>fishing</w:t>
            </w:r>
          </w:p>
        </w:tc>
        <w:tc>
          <w:tcPr>
            <w:tcW w:w="1401" w:type="dxa"/>
            <w:tcBorders>
              <w:top w:val="nil" w:sz="6" w:space="0" w:color="auto"/>
              <w:left w:val="nil" w:sz="6" w:space="0" w:color="auto"/>
              <w:bottom w:val="nil" w:sz="6" w:space="0" w:color="auto"/>
              <w:right w:val="nil" w:sz="6" w:space="0" w:color="auto"/>
            </w:tcBorders>
          </w:tcPr>
          <w:p>
            <w:pPr>
              <w:pStyle w:val="TableParagraph"/>
              <w:spacing w:line="185" w:lineRule="exact"/>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1950" w:type="dxa"/>
            <w:tcBorders>
              <w:top w:val="nil" w:sz="6" w:space="0" w:color="auto"/>
              <w:left w:val="nil" w:sz="6" w:space="0" w:color="auto"/>
              <w:bottom w:val="nil" w:sz="6" w:space="0" w:color="auto"/>
              <w:right w:val="nil" w:sz="6" w:space="0" w:color="auto"/>
            </w:tcBorders>
          </w:tcPr>
          <w:p>
            <w:pPr>
              <w:pStyle w:val="TableParagraph"/>
              <w:spacing w:line="185" w:lineRule="exact"/>
              <w:ind w:left="148" w:right="0"/>
              <w:jc w:val="left"/>
              <w:rPr>
                <w:rFonts w:ascii="Calibri" w:hAnsi="Calibri" w:cs="Calibri" w:eastAsia="Calibri" w:hint="default"/>
                <w:sz w:val="18"/>
                <w:szCs w:val="18"/>
              </w:rPr>
            </w:pPr>
            <w:r>
              <w:rPr>
                <w:rFonts w:ascii="Calibri"/>
                <w:sz w:val="18"/>
              </w:rPr>
              <w:t>Dolphin</w:t>
            </w:r>
            <w:r>
              <w:rPr>
                <w:rFonts w:ascii="Calibri"/>
                <w:spacing w:val="-7"/>
                <w:sz w:val="18"/>
              </w:rPr>
              <w:t> </w:t>
            </w:r>
            <w:r>
              <w:rPr>
                <w:rFonts w:ascii="Calibri"/>
                <w:sz w:val="18"/>
              </w:rPr>
              <w:t>Academy</w:t>
            </w:r>
          </w:p>
        </w:tc>
      </w:tr>
      <w:tr>
        <w:trPr>
          <w:trHeight w:val="220" w:hRule="exact"/>
        </w:trPr>
        <w:tc>
          <w:tcPr>
            <w:tcW w:w="358"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558" w:type="dxa"/>
            <w:tcBorders>
              <w:top w:val="nil" w:sz="6" w:space="0" w:color="auto"/>
              <w:left w:val="nil" w:sz="6" w:space="0" w:color="auto"/>
              <w:bottom w:val="nil" w:sz="6" w:space="0" w:color="auto"/>
              <w:right w:val="nil" w:sz="6" w:space="0" w:color="auto"/>
            </w:tcBorders>
          </w:tcPr>
          <w:p>
            <w:pPr>
              <w:pStyle w:val="TableParagraph"/>
              <w:spacing w:line="203" w:lineRule="exact"/>
              <w:ind w:left="153" w:right="0"/>
              <w:jc w:val="left"/>
              <w:rPr>
                <w:rFonts w:ascii="Calibri" w:hAnsi="Calibri" w:cs="Calibri" w:eastAsia="Calibri" w:hint="default"/>
                <w:sz w:val="18"/>
                <w:szCs w:val="18"/>
              </w:rPr>
            </w:pPr>
            <w:r>
              <w:rPr>
                <w:rFonts w:ascii="Calibri"/>
                <w:sz w:val="18"/>
              </w:rPr>
              <w:t>Snorkeling</w:t>
            </w:r>
          </w:p>
        </w:tc>
        <w:tc>
          <w:tcPr>
            <w:tcW w:w="1259" w:type="dxa"/>
            <w:tcBorders>
              <w:top w:val="nil" w:sz="6" w:space="0" w:color="auto"/>
              <w:left w:val="nil" w:sz="6" w:space="0" w:color="auto"/>
              <w:bottom w:val="nil" w:sz="6" w:space="0" w:color="auto"/>
              <w:right w:val="nil" w:sz="6" w:space="0" w:color="auto"/>
            </w:tcBorders>
          </w:tcPr>
          <w:p>
            <w:pPr>
              <w:pStyle w:val="TableParagraph"/>
              <w:spacing w:line="203" w:lineRule="exact"/>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412" w:type="dxa"/>
            <w:tcBorders>
              <w:top w:val="nil" w:sz="6" w:space="0" w:color="auto"/>
              <w:left w:val="nil" w:sz="6" w:space="0" w:color="auto"/>
              <w:bottom w:val="nil" w:sz="6" w:space="0" w:color="auto"/>
              <w:right w:val="nil" w:sz="6" w:space="0" w:color="auto"/>
            </w:tcBorders>
          </w:tcPr>
          <w:p>
            <w:pPr>
              <w:pStyle w:val="TableParagraph"/>
              <w:spacing w:line="203" w:lineRule="exact"/>
              <w:ind w:left="148" w:right="0"/>
              <w:jc w:val="left"/>
              <w:rPr>
                <w:rFonts w:ascii="Calibri" w:hAnsi="Calibri" w:cs="Calibri" w:eastAsia="Calibri" w:hint="default"/>
                <w:sz w:val="18"/>
                <w:szCs w:val="18"/>
              </w:rPr>
            </w:pPr>
            <w:r>
              <w:rPr>
                <w:rFonts w:ascii="Calibri"/>
                <w:sz w:val="18"/>
              </w:rPr>
              <w:t>Boating</w:t>
            </w:r>
          </w:p>
        </w:tc>
        <w:tc>
          <w:tcPr>
            <w:tcW w:w="1401" w:type="dxa"/>
            <w:tcBorders>
              <w:top w:val="nil" w:sz="6" w:space="0" w:color="auto"/>
              <w:left w:val="nil" w:sz="6" w:space="0" w:color="auto"/>
              <w:bottom w:val="nil" w:sz="6" w:space="0" w:color="auto"/>
              <w:right w:val="nil" w:sz="6" w:space="0" w:color="auto"/>
            </w:tcBorders>
          </w:tcPr>
          <w:p>
            <w:pPr>
              <w:pStyle w:val="TableParagraph"/>
              <w:spacing w:line="203" w:lineRule="exact"/>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1950" w:type="dxa"/>
            <w:tcBorders>
              <w:top w:val="nil" w:sz="6" w:space="0" w:color="auto"/>
              <w:left w:val="nil" w:sz="6" w:space="0" w:color="auto"/>
              <w:bottom w:val="nil" w:sz="6" w:space="0" w:color="auto"/>
              <w:right w:val="nil" w:sz="6" w:space="0" w:color="auto"/>
            </w:tcBorders>
          </w:tcPr>
          <w:p>
            <w:pPr>
              <w:pStyle w:val="TableParagraph"/>
              <w:spacing w:line="203" w:lineRule="exact"/>
              <w:ind w:left="148" w:right="0"/>
              <w:jc w:val="left"/>
              <w:rPr>
                <w:rFonts w:ascii="Calibri" w:hAnsi="Calibri" w:cs="Calibri" w:eastAsia="Calibri" w:hint="default"/>
                <w:sz w:val="18"/>
                <w:szCs w:val="18"/>
              </w:rPr>
            </w:pPr>
            <w:r>
              <w:rPr>
                <w:rFonts w:ascii="Calibri"/>
                <w:sz w:val="18"/>
              </w:rPr>
              <w:t>Beaches</w:t>
            </w:r>
          </w:p>
        </w:tc>
      </w:tr>
      <w:tr>
        <w:trPr>
          <w:trHeight w:val="220" w:hRule="exact"/>
        </w:trPr>
        <w:tc>
          <w:tcPr>
            <w:tcW w:w="358"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558" w:type="dxa"/>
            <w:tcBorders>
              <w:top w:val="nil" w:sz="6" w:space="0" w:color="auto"/>
              <w:left w:val="nil" w:sz="6" w:space="0" w:color="auto"/>
              <w:bottom w:val="nil" w:sz="6" w:space="0" w:color="auto"/>
              <w:right w:val="nil" w:sz="6" w:space="0" w:color="auto"/>
            </w:tcBorders>
          </w:tcPr>
          <w:p>
            <w:pPr>
              <w:pStyle w:val="TableParagraph"/>
              <w:spacing w:line="204" w:lineRule="exact"/>
              <w:ind w:left="153" w:right="0"/>
              <w:jc w:val="left"/>
              <w:rPr>
                <w:rFonts w:ascii="Calibri" w:hAnsi="Calibri" w:cs="Calibri" w:eastAsia="Calibri" w:hint="default"/>
                <w:sz w:val="18"/>
                <w:szCs w:val="18"/>
              </w:rPr>
            </w:pPr>
            <w:r>
              <w:rPr>
                <w:rFonts w:ascii="Calibri"/>
                <w:sz w:val="18"/>
              </w:rPr>
              <w:t>Water ski /jet</w:t>
            </w:r>
            <w:r>
              <w:rPr>
                <w:rFonts w:ascii="Calibri"/>
                <w:spacing w:val="-7"/>
                <w:sz w:val="18"/>
              </w:rPr>
              <w:t> </w:t>
            </w:r>
            <w:r>
              <w:rPr>
                <w:rFonts w:ascii="Calibri"/>
                <w:sz w:val="18"/>
              </w:rPr>
              <w:t>ski</w:t>
            </w:r>
          </w:p>
        </w:tc>
        <w:tc>
          <w:tcPr>
            <w:tcW w:w="1259" w:type="dxa"/>
            <w:tcBorders>
              <w:top w:val="nil" w:sz="6" w:space="0" w:color="auto"/>
              <w:left w:val="nil" w:sz="6" w:space="0" w:color="auto"/>
              <w:bottom w:val="nil" w:sz="6" w:space="0" w:color="auto"/>
              <w:right w:val="nil" w:sz="6" w:space="0" w:color="auto"/>
            </w:tcBorders>
          </w:tcPr>
          <w:p>
            <w:pPr>
              <w:pStyle w:val="TableParagraph"/>
              <w:spacing w:line="204" w:lineRule="exact"/>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412" w:type="dxa"/>
            <w:tcBorders>
              <w:top w:val="nil" w:sz="6" w:space="0" w:color="auto"/>
              <w:left w:val="nil" w:sz="6" w:space="0" w:color="auto"/>
              <w:bottom w:val="nil" w:sz="6" w:space="0" w:color="auto"/>
              <w:right w:val="nil" w:sz="6" w:space="0" w:color="auto"/>
            </w:tcBorders>
          </w:tcPr>
          <w:p>
            <w:pPr>
              <w:pStyle w:val="TableParagraph"/>
              <w:spacing w:line="204" w:lineRule="exact"/>
              <w:ind w:left="148" w:right="0"/>
              <w:jc w:val="left"/>
              <w:rPr>
                <w:rFonts w:ascii="Calibri" w:hAnsi="Calibri" w:cs="Calibri" w:eastAsia="Calibri" w:hint="default"/>
                <w:sz w:val="18"/>
                <w:szCs w:val="18"/>
              </w:rPr>
            </w:pPr>
            <w:r>
              <w:rPr>
                <w:rFonts w:ascii="Calibri"/>
                <w:sz w:val="18"/>
              </w:rPr>
              <w:t>Kayaking</w:t>
            </w:r>
          </w:p>
        </w:tc>
        <w:tc>
          <w:tcPr>
            <w:tcW w:w="1401" w:type="dxa"/>
            <w:tcBorders>
              <w:top w:val="nil" w:sz="6" w:space="0" w:color="auto"/>
              <w:left w:val="nil" w:sz="6" w:space="0" w:color="auto"/>
              <w:bottom w:val="nil" w:sz="6" w:space="0" w:color="auto"/>
              <w:right w:val="nil" w:sz="6" w:space="0" w:color="auto"/>
            </w:tcBorders>
          </w:tcPr>
          <w:p>
            <w:pPr>
              <w:pStyle w:val="TableParagraph"/>
              <w:spacing w:line="204" w:lineRule="exact"/>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1950" w:type="dxa"/>
            <w:tcBorders>
              <w:top w:val="nil" w:sz="6" w:space="0" w:color="auto"/>
              <w:left w:val="nil" w:sz="6" w:space="0" w:color="auto"/>
              <w:bottom w:val="nil" w:sz="6" w:space="0" w:color="auto"/>
              <w:right w:val="nil" w:sz="6" w:space="0" w:color="auto"/>
            </w:tcBorders>
          </w:tcPr>
          <w:p>
            <w:pPr>
              <w:pStyle w:val="TableParagraph"/>
              <w:spacing w:line="204" w:lineRule="exact"/>
              <w:ind w:left="148" w:right="0"/>
              <w:jc w:val="left"/>
              <w:rPr>
                <w:rFonts w:ascii="Calibri" w:hAnsi="Calibri" w:cs="Calibri" w:eastAsia="Calibri" w:hint="default"/>
                <w:sz w:val="18"/>
                <w:szCs w:val="18"/>
              </w:rPr>
            </w:pPr>
            <w:r>
              <w:rPr>
                <w:rFonts w:ascii="Calibri"/>
                <w:sz w:val="18"/>
              </w:rPr>
              <w:t>Kite</w:t>
            </w:r>
            <w:r>
              <w:rPr>
                <w:rFonts w:ascii="Calibri"/>
                <w:spacing w:val="-5"/>
                <w:sz w:val="18"/>
              </w:rPr>
              <w:t> </w:t>
            </w:r>
            <w:r>
              <w:rPr>
                <w:rFonts w:ascii="Calibri"/>
                <w:sz w:val="18"/>
              </w:rPr>
              <w:t>surfing</w:t>
            </w:r>
          </w:p>
        </w:tc>
      </w:tr>
      <w:tr>
        <w:trPr>
          <w:trHeight w:val="300" w:hRule="exact"/>
        </w:trPr>
        <w:tc>
          <w:tcPr>
            <w:tcW w:w="358"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558" w:type="dxa"/>
            <w:tcBorders>
              <w:top w:val="nil" w:sz="6" w:space="0" w:color="auto"/>
              <w:left w:val="nil" w:sz="6" w:space="0" w:color="auto"/>
              <w:bottom w:val="nil" w:sz="6" w:space="0" w:color="auto"/>
              <w:right w:val="nil" w:sz="6" w:space="0" w:color="auto"/>
            </w:tcBorders>
          </w:tcPr>
          <w:p>
            <w:pPr>
              <w:pStyle w:val="TableParagraph"/>
              <w:spacing w:line="203" w:lineRule="exact"/>
              <w:ind w:left="143" w:right="0"/>
              <w:jc w:val="left"/>
              <w:rPr>
                <w:rFonts w:ascii="Calibri" w:hAnsi="Calibri" w:cs="Calibri" w:eastAsia="Calibri" w:hint="default"/>
                <w:sz w:val="18"/>
                <w:szCs w:val="18"/>
              </w:rPr>
            </w:pPr>
            <w:r>
              <w:rPr>
                <w:rFonts w:ascii="Calibri" w:hAnsi="Calibri"/>
                <w:sz w:val="18"/>
              </w:rPr>
              <w:t>Sail to Klein</w:t>
            </w:r>
            <w:r>
              <w:rPr>
                <w:rFonts w:ascii="Calibri" w:hAnsi="Calibri"/>
                <w:spacing w:val="-13"/>
                <w:sz w:val="18"/>
              </w:rPr>
              <w:t> </w:t>
            </w:r>
            <w:r>
              <w:rPr>
                <w:rFonts w:ascii="Calibri" w:hAnsi="Calibri"/>
                <w:sz w:val="18"/>
              </w:rPr>
              <w:t>Curaçao</w:t>
            </w:r>
          </w:p>
        </w:tc>
        <w:tc>
          <w:tcPr>
            <w:tcW w:w="1259" w:type="dxa"/>
            <w:tcBorders>
              <w:top w:val="nil" w:sz="6" w:space="0" w:color="auto"/>
              <w:left w:val="nil" w:sz="6" w:space="0" w:color="auto"/>
              <w:bottom w:val="nil" w:sz="6" w:space="0" w:color="auto"/>
              <w:right w:val="nil" w:sz="6" w:space="0" w:color="auto"/>
            </w:tcBorders>
          </w:tcPr>
          <w:p>
            <w:pPr>
              <w:pStyle w:val="TableParagraph"/>
              <w:spacing w:line="203" w:lineRule="exact"/>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412" w:type="dxa"/>
            <w:tcBorders>
              <w:top w:val="nil" w:sz="6" w:space="0" w:color="auto"/>
              <w:left w:val="nil" w:sz="6" w:space="0" w:color="auto"/>
              <w:bottom w:val="nil" w:sz="6" w:space="0" w:color="auto"/>
              <w:right w:val="nil" w:sz="6" w:space="0" w:color="auto"/>
            </w:tcBorders>
          </w:tcPr>
          <w:p>
            <w:pPr>
              <w:pStyle w:val="TableParagraph"/>
              <w:spacing w:line="203" w:lineRule="exact"/>
              <w:ind w:left="148" w:right="0"/>
              <w:jc w:val="left"/>
              <w:rPr>
                <w:rFonts w:ascii="Calibri" w:hAnsi="Calibri" w:cs="Calibri" w:eastAsia="Calibri" w:hint="default"/>
                <w:sz w:val="18"/>
                <w:szCs w:val="18"/>
              </w:rPr>
            </w:pPr>
            <w:r>
              <w:rPr>
                <w:rFonts w:ascii="Calibri"/>
                <w:sz w:val="18"/>
              </w:rPr>
              <w:t>Sea</w:t>
            </w:r>
            <w:r>
              <w:rPr>
                <w:rFonts w:ascii="Calibri"/>
                <w:spacing w:val="-7"/>
                <w:sz w:val="18"/>
              </w:rPr>
              <w:t> </w:t>
            </w:r>
            <w:r>
              <w:rPr>
                <w:rFonts w:ascii="Calibri"/>
                <w:sz w:val="18"/>
              </w:rPr>
              <w:t>Aquarium</w:t>
            </w:r>
          </w:p>
        </w:tc>
        <w:tc>
          <w:tcPr>
            <w:tcW w:w="1401" w:type="dxa"/>
            <w:tcBorders>
              <w:top w:val="nil" w:sz="6" w:space="0" w:color="auto"/>
              <w:left w:val="nil" w:sz="6" w:space="0" w:color="auto"/>
              <w:bottom w:val="nil" w:sz="6" w:space="0" w:color="auto"/>
              <w:right w:val="nil" w:sz="6" w:space="0" w:color="auto"/>
            </w:tcBorders>
          </w:tcPr>
          <w:p>
            <w:pPr>
              <w:pStyle w:val="TableParagraph"/>
              <w:spacing w:line="203" w:lineRule="exact"/>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1950" w:type="dxa"/>
            <w:tcBorders>
              <w:top w:val="nil" w:sz="6" w:space="0" w:color="auto"/>
              <w:left w:val="nil" w:sz="6" w:space="0" w:color="auto"/>
              <w:bottom w:val="nil" w:sz="6" w:space="0" w:color="auto"/>
              <w:right w:val="nil" w:sz="6" w:space="0" w:color="auto"/>
            </w:tcBorders>
          </w:tcPr>
          <w:p>
            <w:pPr>
              <w:pStyle w:val="TableParagraph"/>
              <w:tabs>
                <w:tab w:pos="1915" w:val="left" w:leader="none"/>
              </w:tabs>
              <w:spacing w:line="203" w:lineRule="exact"/>
              <w:ind w:left="148" w:right="0"/>
              <w:jc w:val="left"/>
              <w:rPr>
                <w:rFonts w:ascii="Calibri" w:hAnsi="Calibri" w:cs="Calibri" w:eastAsia="Calibri" w:hint="default"/>
                <w:sz w:val="18"/>
                <w:szCs w:val="18"/>
              </w:rPr>
            </w:pPr>
            <w:r>
              <w:rPr>
                <w:rFonts w:ascii="Calibri"/>
                <w:sz w:val="18"/>
              </w:rPr>
              <w:t>Other:</w:t>
            </w:r>
            <w:r>
              <w:rPr>
                <w:rFonts w:ascii="Calibri"/>
                <w:sz w:val="18"/>
                <w:u w:val="single" w:color="000000"/>
              </w:rPr>
              <w:t> </w:t>
              <w:tab/>
            </w:r>
            <w:r>
              <w:rPr>
                <w:rFonts w:ascii="Calibri"/>
                <w:sz w:val="18"/>
              </w:rPr>
            </w:r>
          </w:p>
        </w:tc>
      </w:tr>
    </w:tbl>
    <w:p>
      <w:pPr>
        <w:spacing w:line="240" w:lineRule="auto" w:before="6"/>
        <w:ind w:right="0"/>
        <w:rPr>
          <w:rFonts w:ascii="Calibri" w:hAnsi="Calibri" w:cs="Calibri" w:eastAsia="Calibri" w:hint="default"/>
          <w:b/>
          <w:bCs/>
          <w:sz w:val="9"/>
          <w:szCs w:val="9"/>
        </w:rPr>
      </w:pPr>
    </w:p>
    <w:p>
      <w:pPr>
        <w:pStyle w:val="ListParagraph"/>
        <w:numPr>
          <w:ilvl w:val="0"/>
          <w:numId w:val="24"/>
        </w:numPr>
        <w:tabs>
          <w:tab w:pos="641" w:val="left" w:leader="none"/>
        </w:tabs>
        <w:spacing w:line="240" w:lineRule="auto" w:before="55" w:after="36"/>
        <w:ind w:left="640" w:right="0" w:hanging="380"/>
        <w:jc w:val="left"/>
        <w:rPr>
          <w:rFonts w:ascii="Calibri" w:hAnsi="Calibri" w:cs="Calibri" w:eastAsia="Calibri" w:hint="default"/>
          <w:sz w:val="22"/>
          <w:szCs w:val="22"/>
        </w:rPr>
      </w:pPr>
      <w:r>
        <w:rPr>
          <w:rFonts w:ascii="Calibri" w:hAnsi="Calibri"/>
          <w:b/>
          <w:sz w:val="22"/>
        </w:rPr>
        <w:t>What</w:t>
      </w:r>
      <w:r>
        <w:rPr>
          <w:rFonts w:ascii="Calibri" w:hAnsi="Calibri"/>
          <w:b/>
          <w:spacing w:val="-4"/>
          <w:sz w:val="22"/>
        </w:rPr>
        <w:t> </w:t>
      </w:r>
      <w:r>
        <w:rPr>
          <w:rFonts w:ascii="Calibri" w:hAnsi="Calibri"/>
          <w:b/>
          <w:sz w:val="22"/>
        </w:rPr>
        <w:t>nightlife</w:t>
      </w:r>
      <w:r>
        <w:rPr>
          <w:rFonts w:ascii="Calibri" w:hAnsi="Calibri"/>
          <w:b/>
          <w:spacing w:val="-2"/>
          <w:sz w:val="22"/>
        </w:rPr>
        <w:t> </w:t>
      </w:r>
      <w:r>
        <w:rPr>
          <w:rFonts w:ascii="Calibri" w:hAnsi="Calibri"/>
          <w:b/>
          <w:sz w:val="22"/>
        </w:rPr>
        <w:t>activities/attractions</w:t>
      </w:r>
      <w:r>
        <w:rPr>
          <w:rFonts w:ascii="Calibri" w:hAnsi="Calibri"/>
          <w:b/>
          <w:spacing w:val="-4"/>
          <w:sz w:val="22"/>
        </w:rPr>
        <w:t> </w:t>
      </w:r>
      <w:r>
        <w:rPr>
          <w:rFonts w:ascii="Calibri" w:hAnsi="Calibri"/>
          <w:b/>
          <w:sz w:val="22"/>
        </w:rPr>
        <w:t>did</w:t>
      </w:r>
      <w:r>
        <w:rPr>
          <w:rFonts w:ascii="Calibri" w:hAnsi="Calibri"/>
          <w:b/>
          <w:spacing w:val="-3"/>
          <w:sz w:val="22"/>
        </w:rPr>
        <w:t> </w:t>
      </w:r>
      <w:r>
        <w:rPr>
          <w:rFonts w:ascii="Calibri" w:hAnsi="Calibri"/>
          <w:b/>
          <w:sz w:val="22"/>
        </w:rPr>
        <w:t>you</w:t>
      </w:r>
      <w:r>
        <w:rPr>
          <w:rFonts w:ascii="Calibri" w:hAnsi="Calibri"/>
          <w:b/>
          <w:spacing w:val="-4"/>
          <w:sz w:val="22"/>
        </w:rPr>
        <w:t> </w:t>
      </w:r>
      <w:r>
        <w:rPr>
          <w:rFonts w:ascii="Calibri" w:hAnsi="Calibri"/>
          <w:b/>
          <w:sz w:val="22"/>
        </w:rPr>
        <w:t>participate</w:t>
      </w:r>
      <w:r>
        <w:rPr>
          <w:rFonts w:ascii="Calibri" w:hAnsi="Calibri"/>
          <w:b/>
          <w:spacing w:val="-4"/>
          <w:sz w:val="22"/>
        </w:rPr>
        <w:t> </w:t>
      </w:r>
      <w:r>
        <w:rPr>
          <w:rFonts w:ascii="Calibri" w:hAnsi="Calibri"/>
          <w:b/>
          <w:sz w:val="22"/>
        </w:rPr>
        <w:t>in</w:t>
      </w:r>
      <w:r>
        <w:rPr>
          <w:rFonts w:ascii="Calibri" w:hAnsi="Calibri"/>
          <w:b/>
          <w:spacing w:val="-3"/>
          <w:sz w:val="22"/>
        </w:rPr>
        <w:t> </w:t>
      </w:r>
      <w:r>
        <w:rPr>
          <w:rFonts w:ascii="Calibri" w:hAnsi="Calibri"/>
          <w:b/>
          <w:sz w:val="22"/>
        </w:rPr>
        <w:t>during</w:t>
      </w:r>
      <w:r>
        <w:rPr>
          <w:rFonts w:ascii="Calibri" w:hAnsi="Calibri"/>
          <w:b/>
          <w:spacing w:val="-4"/>
          <w:sz w:val="22"/>
        </w:rPr>
        <w:t> </w:t>
      </w:r>
      <w:r>
        <w:rPr>
          <w:rFonts w:ascii="Calibri" w:hAnsi="Calibri"/>
          <w:b/>
          <w:sz w:val="22"/>
        </w:rPr>
        <w:t>your</w:t>
      </w:r>
      <w:r>
        <w:rPr>
          <w:rFonts w:ascii="Calibri" w:hAnsi="Calibri"/>
          <w:b/>
          <w:spacing w:val="-4"/>
          <w:sz w:val="22"/>
        </w:rPr>
        <w:t> </w:t>
      </w:r>
      <w:r>
        <w:rPr>
          <w:rFonts w:ascii="Calibri" w:hAnsi="Calibri"/>
          <w:b/>
          <w:sz w:val="22"/>
        </w:rPr>
        <w:t>visit</w:t>
      </w:r>
      <w:r>
        <w:rPr>
          <w:rFonts w:ascii="Calibri" w:hAnsi="Calibri"/>
          <w:b/>
          <w:spacing w:val="-4"/>
          <w:sz w:val="22"/>
        </w:rPr>
        <w:t> </w:t>
      </w:r>
      <w:r>
        <w:rPr>
          <w:rFonts w:ascii="Calibri" w:hAnsi="Calibri"/>
          <w:b/>
          <w:sz w:val="22"/>
        </w:rPr>
        <w:t>to</w:t>
      </w:r>
      <w:r>
        <w:rPr>
          <w:rFonts w:ascii="Calibri" w:hAnsi="Calibri"/>
          <w:b/>
          <w:spacing w:val="-1"/>
          <w:sz w:val="22"/>
        </w:rPr>
        <w:t> </w:t>
      </w:r>
      <w:r>
        <w:rPr>
          <w:rFonts w:ascii="Calibri" w:hAnsi="Calibri"/>
          <w:b/>
          <w:sz w:val="22"/>
        </w:rPr>
        <w:t>Curaçao?</w:t>
      </w:r>
      <w:r>
        <w:rPr>
          <w:rFonts w:ascii="Calibri" w:hAnsi="Calibri"/>
          <w:b/>
          <w:spacing w:val="-2"/>
          <w:sz w:val="22"/>
        </w:rPr>
        <w:t> </w:t>
      </w:r>
      <w:r>
        <w:rPr>
          <w:rFonts w:ascii="Calibri" w:hAnsi="Calibri"/>
          <w:b/>
          <w:sz w:val="22"/>
        </w:rPr>
        <w:t>(Please</w:t>
      </w:r>
      <w:r>
        <w:rPr>
          <w:rFonts w:ascii="Calibri" w:hAnsi="Calibri"/>
          <w:b/>
          <w:spacing w:val="-4"/>
          <w:sz w:val="22"/>
        </w:rPr>
        <w:t> </w:t>
      </w:r>
      <w:r>
        <w:rPr>
          <w:rFonts w:ascii="Calibri" w:hAnsi="Calibri"/>
          <w:b/>
          <w:sz w:val="22"/>
        </w:rPr>
        <w:t>check</w:t>
      </w:r>
      <w:r>
        <w:rPr>
          <w:rFonts w:ascii="Calibri" w:hAnsi="Calibri"/>
          <w:b/>
          <w:spacing w:val="-4"/>
          <w:sz w:val="22"/>
        </w:rPr>
        <w:t> </w:t>
      </w:r>
      <w:r>
        <w:rPr>
          <w:rFonts w:ascii="Calibri" w:hAnsi="Calibri"/>
          <w:b/>
          <w:sz w:val="22"/>
        </w:rPr>
        <w:t>all</w:t>
      </w:r>
      <w:r>
        <w:rPr>
          <w:rFonts w:ascii="Calibri" w:hAnsi="Calibri"/>
          <w:b/>
          <w:spacing w:val="-3"/>
          <w:sz w:val="22"/>
        </w:rPr>
        <w:t> </w:t>
      </w:r>
      <w:r>
        <w:rPr>
          <w:rFonts w:ascii="Calibri" w:hAnsi="Calibri"/>
          <w:b/>
          <w:sz w:val="22"/>
        </w:rPr>
        <w:t>that</w:t>
      </w:r>
      <w:r>
        <w:rPr>
          <w:rFonts w:ascii="Calibri" w:hAnsi="Calibri"/>
          <w:b/>
          <w:spacing w:val="-4"/>
          <w:sz w:val="22"/>
        </w:rPr>
        <w:t> </w:t>
      </w:r>
      <w:r>
        <w:rPr>
          <w:rFonts w:ascii="Calibri" w:hAnsi="Calibri"/>
          <w:b/>
          <w:sz w:val="22"/>
        </w:rPr>
        <w:t>apply)</w:t>
      </w:r>
      <w:r>
        <w:rPr>
          <w:rFonts w:ascii="Calibri" w:hAnsi="Calibri"/>
          <w:sz w:val="22"/>
        </w:rPr>
      </w:r>
    </w:p>
    <w:tbl>
      <w:tblPr>
        <w:tblW w:w="0" w:type="auto"/>
        <w:jc w:val="left"/>
        <w:tblInd w:w="225" w:type="dxa"/>
        <w:tblLayout w:type="fixed"/>
        <w:tblCellMar>
          <w:top w:w="0" w:type="dxa"/>
          <w:left w:w="0" w:type="dxa"/>
          <w:bottom w:w="0" w:type="dxa"/>
          <w:right w:w="0" w:type="dxa"/>
        </w:tblCellMar>
        <w:tblLook w:val="01E0"/>
      </w:tblPr>
      <w:tblGrid>
        <w:gridCol w:w="2850"/>
        <w:gridCol w:w="1326"/>
        <w:gridCol w:w="2650"/>
        <w:gridCol w:w="1162"/>
        <w:gridCol w:w="1184"/>
      </w:tblGrid>
      <w:tr>
        <w:trPr>
          <w:trHeight w:val="200" w:hRule="exact"/>
        </w:trPr>
        <w:tc>
          <w:tcPr>
            <w:tcW w:w="2850" w:type="dxa"/>
            <w:tcBorders>
              <w:top w:val="nil" w:sz="6" w:space="0" w:color="auto"/>
              <w:left w:val="nil" w:sz="6" w:space="0" w:color="auto"/>
              <w:bottom w:val="nil" w:sz="6" w:space="0" w:color="auto"/>
              <w:right w:val="nil" w:sz="6" w:space="0" w:color="auto"/>
            </w:tcBorders>
          </w:tcPr>
          <w:p>
            <w:pPr>
              <w:pStyle w:val="TableParagraph"/>
              <w:tabs>
                <w:tab w:pos="511" w:val="left" w:leader="none"/>
              </w:tabs>
              <w:spacing w:line="184" w:lineRule="exact"/>
              <w:ind w:left="35" w:right="0"/>
              <w:jc w:val="left"/>
              <w:rPr>
                <w:rFonts w:ascii="Calibri" w:hAnsi="Calibri" w:cs="Calibri" w:eastAsia="Calibri" w:hint="default"/>
                <w:sz w:val="18"/>
                <w:szCs w:val="18"/>
              </w:rPr>
            </w:pPr>
            <w:r>
              <w:rPr>
                <w:rFonts w:ascii="Calibri" w:hAnsi="Calibri" w:cs="Calibri" w:eastAsia="Calibri" w:hint="default"/>
                <w:w w:val="95"/>
                <w:sz w:val="18"/>
                <w:szCs w:val="18"/>
              </w:rPr>
              <w:t>⃝</w:t>
              <w:tab/>
            </w:r>
            <w:r>
              <w:rPr>
                <w:rFonts w:ascii="Calibri" w:hAnsi="Calibri" w:cs="Calibri" w:eastAsia="Calibri" w:hint="default"/>
                <w:sz w:val="18"/>
                <w:szCs w:val="18"/>
              </w:rPr>
              <w:t>Bars and</w:t>
            </w:r>
            <w:r>
              <w:rPr>
                <w:rFonts w:ascii="Calibri" w:hAnsi="Calibri" w:cs="Calibri" w:eastAsia="Calibri" w:hint="default"/>
                <w:spacing w:val="-7"/>
                <w:sz w:val="18"/>
                <w:szCs w:val="18"/>
              </w:rPr>
              <w:t> </w:t>
            </w:r>
            <w:r>
              <w:rPr>
                <w:rFonts w:ascii="Calibri" w:hAnsi="Calibri" w:cs="Calibri" w:eastAsia="Calibri" w:hint="default"/>
                <w:sz w:val="18"/>
                <w:szCs w:val="18"/>
              </w:rPr>
              <w:t>cafe's</w:t>
            </w:r>
          </w:p>
        </w:tc>
        <w:tc>
          <w:tcPr>
            <w:tcW w:w="1326" w:type="dxa"/>
            <w:tcBorders>
              <w:top w:val="nil" w:sz="6" w:space="0" w:color="auto"/>
              <w:left w:val="nil" w:sz="6" w:space="0" w:color="auto"/>
              <w:bottom w:val="nil" w:sz="6" w:space="0" w:color="auto"/>
              <w:right w:val="nil" w:sz="6" w:space="0" w:color="auto"/>
            </w:tcBorders>
          </w:tcPr>
          <w:p>
            <w:pPr>
              <w:pStyle w:val="TableParagraph"/>
              <w:spacing w:line="184" w:lineRule="exact"/>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650" w:type="dxa"/>
            <w:tcBorders>
              <w:top w:val="nil" w:sz="6" w:space="0" w:color="auto"/>
              <w:left w:val="nil" w:sz="6" w:space="0" w:color="auto"/>
              <w:bottom w:val="nil" w:sz="6" w:space="0" w:color="auto"/>
              <w:right w:val="nil" w:sz="6" w:space="0" w:color="auto"/>
            </w:tcBorders>
          </w:tcPr>
          <w:p>
            <w:pPr>
              <w:pStyle w:val="TableParagraph"/>
              <w:spacing w:line="184" w:lineRule="exact"/>
              <w:ind w:left="148" w:right="0"/>
              <w:jc w:val="left"/>
              <w:rPr>
                <w:rFonts w:ascii="Calibri" w:hAnsi="Calibri" w:cs="Calibri" w:eastAsia="Calibri" w:hint="default"/>
                <w:sz w:val="18"/>
                <w:szCs w:val="18"/>
              </w:rPr>
            </w:pPr>
            <w:r>
              <w:rPr>
                <w:rFonts w:ascii="Calibri"/>
                <w:sz w:val="18"/>
              </w:rPr>
              <w:t>Music/concert/festival</w:t>
            </w:r>
          </w:p>
        </w:tc>
        <w:tc>
          <w:tcPr>
            <w:tcW w:w="1162" w:type="dxa"/>
            <w:tcBorders>
              <w:top w:val="nil" w:sz="6" w:space="0" w:color="auto"/>
              <w:left w:val="nil" w:sz="6" w:space="0" w:color="auto"/>
              <w:bottom w:val="nil" w:sz="6" w:space="0" w:color="auto"/>
              <w:right w:val="nil" w:sz="6" w:space="0" w:color="auto"/>
            </w:tcBorders>
          </w:tcPr>
          <w:p>
            <w:pPr>
              <w:pStyle w:val="TableParagraph"/>
              <w:spacing w:line="184" w:lineRule="exact"/>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1184" w:type="dxa"/>
            <w:tcBorders>
              <w:top w:val="nil" w:sz="6" w:space="0" w:color="auto"/>
              <w:left w:val="nil" w:sz="6" w:space="0" w:color="auto"/>
              <w:bottom w:val="nil" w:sz="6" w:space="0" w:color="auto"/>
              <w:right w:val="nil" w:sz="6" w:space="0" w:color="auto"/>
            </w:tcBorders>
          </w:tcPr>
          <w:p>
            <w:pPr>
              <w:pStyle w:val="TableParagraph"/>
              <w:spacing w:line="184" w:lineRule="exact"/>
              <w:ind w:left="148" w:right="0"/>
              <w:jc w:val="left"/>
              <w:rPr>
                <w:rFonts w:ascii="Calibri" w:hAnsi="Calibri" w:cs="Calibri" w:eastAsia="Calibri" w:hint="default"/>
                <w:sz w:val="18"/>
                <w:szCs w:val="18"/>
              </w:rPr>
            </w:pPr>
            <w:r>
              <w:rPr>
                <w:rFonts w:ascii="Calibri"/>
                <w:spacing w:val="-4"/>
                <w:sz w:val="18"/>
              </w:rPr>
              <w:t>Carnival</w:t>
            </w:r>
          </w:p>
        </w:tc>
      </w:tr>
      <w:tr>
        <w:trPr>
          <w:trHeight w:val="300" w:hRule="exact"/>
        </w:trPr>
        <w:tc>
          <w:tcPr>
            <w:tcW w:w="2850" w:type="dxa"/>
            <w:tcBorders>
              <w:top w:val="nil" w:sz="6" w:space="0" w:color="auto"/>
              <w:left w:val="nil" w:sz="6" w:space="0" w:color="auto"/>
              <w:bottom w:val="nil" w:sz="6" w:space="0" w:color="auto"/>
              <w:right w:val="nil" w:sz="6" w:space="0" w:color="auto"/>
            </w:tcBorders>
          </w:tcPr>
          <w:p>
            <w:pPr>
              <w:pStyle w:val="TableParagraph"/>
              <w:tabs>
                <w:tab w:pos="511" w:val="left" w:leader="none"/>
              </w:tabs>
              <w:spacing w:line="203" w:lineRule="exact"/>
              <w:ind w:left="35" w:right="0"/>
              <w:jc w:val="left"/>
              <w:rPr>
                <w:rFonts w:ascii="Calibri" w:hAnsi="Calibri" w:cs="Calibri" w:eastAsia="Calibri" w:hint="default"/>
                <w:sz w:val="18"/>
                <w:szCs w:val="18"/>
              </w:rPr>
            </w:pPr>
            <w:r>
              <w:rPr>
                <w:rFonts w:ascii="Calibri" w:hAnsi="Calibri" w:cs="Calibri" w:eastAsia="Calibri" w:hint="default"/>
                <w:w w:val="95"/>
                <w:sz w:val="18"/>
                <w:szCs w:val="18"/>
              </w:rPr>
              <w:t>⃝</w:t>
              <w:tab/>
            </w:r>
            <w:r>
              <w:rPr>
                <w:rFonts w:ascii="Calibri" w:hAnsi="Calibri" w:cs="Calibri" w:eastAsia="Calibri" w:hint="default"/>
                <w:sz w:val="18"/>
                <w:szCs w:val="18"/>
              </w:rPr>
              <w:t>Nightclub/dancing</w:t>
            </w:r>
          </w:p>
        </w:tc>
        <w:tc>
          <w:tcPr>
            <w:tcW w:w="1326" w:type="dxa"/>
            <w:tcBorders>
              <w:top w:val="nil" w:sz="6" w:space="0" w:color="auto"/>
              <w:left w:val="nil" w:sz="6" w:space="0" w:color="auto"/>
              <w:bottom w:val="nil" w:sz="6" w:space="0" w:color="auto"/>
              <w:right w:val="nil" w:sz="6" w:space="0" w:color="auto"/>
            </w:tcBorders>
          </w:tcPr>
          <w:p>
            <w:pPr>
              <w:pStyle w:val="TableParagraph"/>
              <w:spacing w:line="203" w:lineRule="exact"/>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650" w:type="dxa"/>
            <w:tcBorders>
              <w:top w:val="nil" w:sz="6" w:space="0" w:color="auto"/>
              <w:left w:val="nil" w:sz="6" w:space="0" w:color="auto"/>
              <w:bottom w:val="nil" w:sz="6" w:space="0" w:color="auto"/>
              <w:right w:val="nil" w:sz="6" w:space="0" w:color="auto"/>
            </w:tcBorders>
          </w:tcPr>
          <w:p>
            <w:pPr>
              <w:pStyle w:val="TableParagraph"/>
              <w:spacing w:line="203" w:lineRule="exact"/>
              <w:ind w:left="148" w:right="0"/>
              <w:jc w:val="left"/>
              <w:rPr>
                <w:rFonts w:ascii="Calibri" w:hAnsi="Calibri" w:cs="Calibri" w:eastAsia="Calibri" w:hint="default"/>
                <w:sz w:val="18"/>
                <w:szCs w:val="18"/>
              </w:rPr>
            </w:pPr>
            <w:r>
              <w:rPr>
                <w:rFonts w:ascii="Calibri"/>
                <w:sz w:val="18"/>
              </w:rPr>
              <w:t>Folkloric/cultural</w:t>
            </w:r>
            <w:r>
              <w:rPr>
                <w:rFonts w:ascii="Calibri"/>
                <w:spacing w:val="-20"/>
                <w:sz w:val="18"/>
              </w:rPr>
              <w:t> </w:t>
            </w:r>
            <w:r>
              <w:rPr>
                <w:rFonts w:ascii="Calibri"/>
                <w:sz w:val="18"/>
              </w:rPr>
              <w:t>show</w:t>
            </w:r>
          </w:p>
        </w:tc>
        <w:tc>
          <w:tcPr>
            <w:tcW w:w="1162" w:type="dxa"/>
            <w:tcBorders>
              <w:top w:val="nil" w:sz="6" w:space="0" w:color="auto"/>
              <w:left w:val="nil" w:sz="6" w:space="0" w:color="auto"/>
              <w:bottom w:val="nil" w:sz="6" w:space="0" w:color="auto"/>
              <w:right w:val="nil" w:sz="6" w:space="0" w:color="auto"/>
            </w:tcBorders>
          </w:tcPr>
          <w:p>
            <w:pPr>
              <w:pStyle w:val="TableParagraph"/>
              <w:spacing w:line="203" w:lineRule="exact"/>
              <w:ind w:right="146"/>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1184" w:type="dxa"/>
            <w:tcBorders>
              <w:top w:val="nil" w:sz="6" w:space="0" w:color="auto"/>
              <w:left w:val="nil" w:sz="6" w:space="0" w:color="auto"/>
              <w:bottom w:val="nil" w:sz="6" w:space="0" w:color="auto"/>
              <w:right w:val="nil" w:sz="6" w:space="0" w:color="auto"/>
            </w:tcBorders>
          </w:tcPr>
          <w:p>
            <w:pPr>
              <w:pStyle w:val="TableParagraph"/>
              <w:tabs>
                <w:tab w:pos="1148" w:val="left" w:leader="none"/>
              </w:tabs>
              <w:spacing w:line="203" w:lineRule="exact"/>
              <w:ind w:left="148" w:right="0"/>
              <w:jc w:val="left"/>
              <w:rPr>
                <w:rFonts w:ascii="Calibri" w:hAnsi="Calibri" w:cs="Calibri" w:eastAsia="Calibri" w:hint="default"/>
                <w:sz w:val="18"/>
                <w:szCs w:val="18"/>
              </w:rPr>
            </w:pPr>
            <w:r>
              <w:rPr>
                <w:rFonts w:ascii="Calibri"/>
                <w:sz w:val="18"/>
              </w:rPr>
              <w:t>Other_</w:t>
            </w:r>
            <w:r>
              <w:rPr>
                <w:rFonts w:ascii="Calibri"/>
                <w:sz w:val="18"/>
                <w:u w:val="single" w:color="000000"/>
              </w:rPr>
              <w:t> </w:t>
              <w:tab/>
            </w:r>
            <w:r>
              <w:rPr>
                <w:rFonts w:ascii="Calibri"/>
                <w:sz w:val="18"/>
              </w:rPr>
            </w:r>
          </w:p>
        </w:tc>
      </w:tr>
    </w:tbl>
    <w:p>
      <w:pPr>
        <w:spacing w:line="240" w:lineRule="auto" w:before="6"/>
        <w:ind w:right="0"/>
        <w:rPr>
          <w:rFonts w:ascii="Calibri" w:hAnsi="Calibri" w:cs="Calibri" w:eastAsia="Calibri" w:hint="default"/>
          <w:b/>
          <w:bCs/>
          <w:sz w:val="9"/>
          <w:szCs w:val="9"/>
        </w:rPr>
      </w:pPr>
    </w:p>
    <w:p>
      <w:pPr>
        <w:pStyle w:val="ListParagraph"/>
        <w:numPr>
          <w:ilvl w:val="0"/>
          <w:numId w:val="24"/>
        </w:numPr>
        <w:tabs>
          <w:tab w:pos="641" w:val="left" w:leader="none"/>
        </w:tabs>
        <w:spacing w:line="240" w:lineRule="auto" w:before="55" w:after="36"/>
        <w:ind w:left="640" w:right="0" w:hanging="380"/>
        <w:jc w:val="left"/>
        <w:rPr>
          <w:rFonts w:ascii="Calibri" w:hAnsi="Calibri" w:cs="Calibri" w:eastAsia="Calibri" w:hint="default"/>
          <w:sz w:val="22"/>
          <w:szCs w:val="22"/>
        </w:rPr>
      </w:pPr>
      <w:r>
        <w:rPr>
          <w:rFonts w:ascii="Calibri" w:hAnsi="Calibri"/>
          <w:b/>
          <w:sz w:val="22"/>
        </w:rPr>
        <w:t>Which</w:t>
      </w:r>
      <w:r>
        <w:rPr>
          <w:rFonts w:ascii="Calibri" w:hAnsi="Calibri"/>
          <w:b/>
          <w:spacing w:val="-2"/>
          <w:sz w:val="22"/>
        </w:rPr>
        <w:t> </w:t>
      </w:r>
      <w:r>
        <w:rPr>
          <w:rFonts w:ascii="Calibri" w:hAnsi="Calibri"/>
          <w:b/>
          <w:sz w:val="22"/>
        </w:rPr>
        <w:t>cultural</w:t>
      </w:r>
      <w:r>
        <w:rPr>
          <w:rFonts w:ascii="Calibri" w:hAnsi="Calibri"/>
          <w:b/>
          <w:spacing w:val="-3"/>
          <w:sz w:val="22"/>
        </w:rPr>
        <w:t> </w:t>
      </w:r>
      <w:r>
        <w:rPr>
          <w:rFonts w:ascii="Calibri" w:hAnsi="Calibri"/>
          <w:b/>
          <w:sz w:val="22"/>
        </w:rPr>
        <w:t>sites</w:t>
      </w:r>
      <w:r>
        <w:rPr>
          <w:rFonts w:ascii="Calibri" w:hAnsi="Calibri"/>
          <w:b/>
          <w:spacing w:val="-1"/>
          <w:sz w:val="22"/>
        </w:rPr>
        <w:t> </w:t>
      </w:r>
      <w:r>
        <w:rPr>
          <w:rFonts w:ascii="Calibri" w:hAnsi="Calibri"/>
          <w:b/>
          <w:sz w:val="22"/>
        </w:rPr>
        <w:t>did</w:t>
      </w:r>
      <w:r>
        <w:rPr>
          <w:rFonts w:ascii="Calibri" w:hAnsi="Calibri"/>
          <w:b/>
          <w:spacing w:val="-3"/>
          <w:sz w:val="22"/>
        </w:rPr>
        <w:t> </w:t>
      </w:r>
      <w:r>
        <w:rPr>
          <w:rFonts w:ascii="Calibri" w:hAnsi="Calibri"/>
          <w:b/>
          <w:sz w:val="22"/>
        </w:rPr>
        <w:t>you</w:t>
      </w:r>
      <w:r>
        <w:rPr>
          <w:rFonts w:ascii="Calibri" w:hAnsi="Calibri"/>
          <w:b/>
          <w:spacing w:val="-3"/>
          <w:sz w:val="22"/>
        </w:rPr>
        <w:t> </w:t>
      </w:r>
      <w:r>
        <w:rPr>
          <w:rFonts w:ascii="Calibri" w:hAnsi="Calibri"/>
          <w:b/>
          <w:sz w:val="22"/>
        </w:rPr>
        <w:t>visit</w:t>
      </w:r>
      <w:r>
        <w:rPr>
          <w:rFonts w:ascii="Calibri" w:hAnsi="Calibri"/>
          <w:b/>
          <w:spacing w:val="-3"/>
          <w:sz w:val="22"/>
        </w:rPr>
        <w:t> </w:t>
      </w:r>
      <w:r>
        <w:rPr>
          <w:rFonts w:ascii="Calibri" w:hAnsi="Calibri"/>
          <w:b/>
          <w:sz w:val="22"/>
        </w:rPr>
        <w:t>in</w:t>
      </w:r>
      <w:r>
        <w:rPr>
          <w:rFonts w:ascii="Calibri" w:hAnsi="Calibri"/>
          <w:b/>
          <w:spacing w:val="-1"/>
          <w:sz w:val="22"/>
        </w:rPr>
        <w:t> </w:t>
      </w:r>
      <w:r>
        <w:rPr>
          <w:rFonts w:ascii="Calibri" w:hAnsi="Calibri"/>
          <w:b/>
          <w:sz w:val="22"/>
        </w:rPr>
        <w:t>during</w:t>
      </w:r>
      <w:r>
        <w:rPr>
          <w:rFonts w:ascii="Calibri" w:hAnsi="Calibri"/>
          <w:b/>
          <w:spacing w:val="-1"/>
          <w:sz w:val="22"/>
        </w:rPr>
        <w:t> </w:t>
      </w:r>
      <w:r>
        <w:rPr>
          <w:rFonts w:ascii="Calibri" w:hAnsi="Calibri"/>
          <w:b/>
          <w:sz w:val="22"/>
        </w:rPr>
        <w:t>your</w:t>
      </w:r>
      <w:r>
        <w:rPr>
          <w:rFonts w:ascii="Calibri" w:hAnsi="Calibri"/>
          <w:b/>
          <w:spacing w:val="-3"/>
          <w:sz w:val="22"/>
        </w:rPr>
        <w:t> </w:t>
      </w:r>
      <w:r>
        <w:rPr>
          <w:rFonts w:ascii="Calibri" w:hAnsi="Calibri"/>
          <w:b/>
          <w:sz w:val="22"/>
        </w:rPr>
        <w:t>visit</w:t>
      </w:r>
      <w:r>
        <w:rPr>
          <w:rFonts w:ascii="Calibri" w:hAnsi="Calibri"/>
          <w:b/>
          <w:spacing w:val="-3"/>
          <w:sz w:val="22"/>
        </w:rPr>
        <w:t> </w:t>
      </w:r>
      <w:r>
        <w:rPr>
          <w:rFonts w:ascii="Calibri" w:hAnsi="Calibri"/>
          <w:b/>
          <w:sz w:val="22"/>
        </w:rPr>
        <w:t>to</w:t>
      </w:r>
      <w:r>
        <w:rPr>
          <w:rFonts w:ascii="Calibri" w:hAnsi="Calibri"/>
          <w:b/>
          <w:spacing w:val="-2"/>
          <w:sz w:val="22"/>
        </w:rPr>
        <w:t> </w:t>
      </w:r>
      <w:r>
        <w:rPr>
          <w:rFonts w:ascii="Calibri" w:hAnsi="Calibri"/>
          <w:b/>
          <w:sz w:val="22"/>
        </w:rPr>
        <w:t>Curaçao?</w:t>
      </w:r>
      <w:r>
        <w:rPr>
          <w:rFonts w:ascii="Calibri" w:hAnsi="Calibri"/>
          <w:b/>
          <w:spacing w:val="-3"/>
          <w:sz w:val="22"/>
        </w:rPr>
        <w:t> </w:t>
      </w:r>
      <w:r>
        <w:rPr>
          <w:rFonts w:ascii="Calibri" w:hAnsi="Calibri"/>
          <w:b/>
          <w:sz w:val="22"/>
        </w:rPr>
        <w:t>(Please</w:t>
      </w:r>
      <w:r>
        <w:rPr>
          <w:rFonts w:ascii="Calibri" w:hAnsi="Calibri"/>
          <w:b/>
          <w:spacing w:val="-2"/>
          <w:sz w:val="22"/>
        </w:rPr>
        <w:t> </w:t>
      </w:r>
      <w:r>
        <w:rPr>
          <w:rFonts w:ascii="Calibri" w:hAnsi="Calibri"/>
          <w:b/>
          <w:sz w:val="22"/>
        </w:rPr>
        <w:t>check</w:t>
      </w:r>
      <w:r>
        <w:rPr>
          <w:rFonts w:ascii="Calibri" w:hAnsi="Calibri"/>
          <w:b/>
          <w:spacing w:val="-2"/>
          <w:sz w:val="22"/>
        </w:rPr>
        <w:t> </w:t>
      </w:r>
      <w:r>
        <w:rPr>
          <w:rFonts w:ascii="Calibri" w:hAnsi="Calibri"/>
          <w:b/>
          <w:sz w:val="22"/>
        </w:rPr>
        <w:t>all</w:t>
      </w:r>
      <w:r>
        <w:rPr>
          <w:rFonts w:ascii="Calibri" w:hAnsi="Calibri"/>
          <w:b/>
          <w:spacing w:val="-2"/>
          <w:sz w:val="22"/>
        </w:rPr>
        <w:t> </w:t>
      </w:r>
      <w:r>
        <w:rPr>
          <w:rFonts w:ascii="Calibri" w:hAnsi="Calibri"/>
          <w:b/>
          <w:sz w:val="22"/>
        </w:rPr>
        <w:t>that</w:t>
      </w:r>
      <w:r>
        <w:rPr>
          <w:rFonts w:ascii="Calibri" w:hAnsi="Calibri"/>
          <w:b/>
          <w:spacing w:val="-3"/>
          <w:sz w:val="22"/>
        </w:rPr>
        <w:t> </w:t>
      </w:r>
      <w:r>
        <w:rPr>
          <w:rFonts w:ascii="Calibri" w:hAnsi="Calibri"/>
          <w:b/>
          <w:sz w:val="22"/>
        </w:rPr>
        <w:t>apply)</w:t>
      </w:r>
      <w:r>
        <w:rPr>
          <w:rFonts w:ascii="Calibri" w:hAnsi="Calibri"/>
          <w:sz w:val="22"/>
        </w:rPr>
      </w:r>
    </w:p>
    <w:tbl>
      <w:tblPr>
        <w:tblW w:w="0" w:type="auto"/>
        <w:jc w:val="left"/>
        <w:tblInd w:w="225" w:type="dxa"/>
        <w:tblLayout w:type="fixed"/>
        <w:tblCellMar>
          <w:top w:w="0" w:type="dxa"/>
          <w:left w:w="0" w:type="dxa"/>
          <w:bottom w:w="0" w:type="dxa"/>
          <w:right w:w="0" w:type="dxa"/>
        </w:tblCellMar>
        <w:tblLook w:val="01E0"/>
      </w:tblPr>
      <w:tblGrid>
        <w:gridCol w:w="336"/>
        <w:gridCol w:w="2658"/>
        <w:gridCol w:w="1155"/>
        <w:gridCol w:w="2707"/>
        <w:gridCol w:w="1106"/>
        <w:gridCol w:w="1699"/>
      </w:tblGrid>
      <w:tr>
        <w:trPr>
          <w:trHeight w:val="201" w:hRule="exact"/>
        </w:trPr>
        <w:tc>
          <w:tcPr>
            <w:tcW w:w="336" w:type="dxa"/>
            <w:tcBorders>
              <w:top w:val="nil" w:sz="6" w:space="0" w:color="auto"/>
              <w:left w:val="nil" w:sz="6" w:space="0" w:color="auto"/>
              <w:bottom w:val="nil" w:sz="6" w:space="0" w:color="auto"/>
              <w:right w:val="nil" w:sz="6" w:space="0" w:color="auto"/>
            </w:tcBorders>
          </w:tcPr>
          <w:p>
            <w:pPr>
              <w:pStyle w:val="TableParagraph"/>
              <w:spacing w:line="185" w:lineRule="exact"/>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658" w:type="dxa"/>
            <w:tcBorders>
              <w:top w:val="nil" w:sz="6" w:space="0" w:color="auto"/>
              <w:left w:val="nil" w:sz="6" w:space="0" w:color="auto"/>
              <w:bottom w:val="nil" w:sz="6" w:space="0" w:color="auto"/>
              <w:right w:val="nil" w:sz="6" w:space="0" w:color="auto"/>
            </w:tcBorders>
          </w:tcPr>
          <w:p>
            <w:pPr>
              <w:pStyle w:val="TableParagraph"/>
              <w:spacing w:line="185" w:lineRule="exact"/>
              <w:ind w:left="122" w:right="0"/>
              <w:jc w:val="left"/>
              <w:rPr>
                <w:rFonts w:ascii="Calibri" w:hAnsi="Calibri" w:cs="Calibri" w:eastAsia="Calibri" w:hint="default"/>
                <w:sz w:val="18"/>
                <w:szCs w:val="18"/>
              </w:rPr>
            </w:pPr>
            <w:r>
              <w:rPr>
                <w:rFonts w:ascii="Calibri"/>
                <w:sz w:val="18"/>
              </w:rPr>
              <w:t>Landhuis</w:t>
            </w:r>
            <w:r>
              <w:rPr>
                <w:rFonts w:ascii="Calibri"/>
                <w:spacing w:val="-17"/>
                <w:sz w:val="18"/>
              </w:rPr>
              <w:t> </w:t>
            </w:r>
            <w:r>
              <w:rPr>
                <w:rFonts w:ascii="Calibri"/>
                <w:sz w:val="18"/>
              </w:rPr>
              <w:t>Bloemhof</w:t>
            </w:r>
          </w:p>
        </w:tc>
        <w:tc>
          <w:tcPr>
            <w:tcW w:w="1155" w:type="dxa"/>
            <w:tcBorders>
              <w:top w:val="nil" w:sz="6" w:space="0" w:color="auto"/>
              <w:left w:val="nil" w:sz="6" w:space="0" w:color="auto"/>
              <w:bottom w:val="nil" w:sz="6" w:space="0" w:color="auto"/>
              <w:right w:val="nil" w:sz="6" w:space="0" w:color="auto"/>
            </w:tcBorders>
          </w:tcPr>
          <w:p>
            <w:pPr>
              <w:pStyle w:val="TableParagraph"/>
              <w:spacing w:line="185" w:lineRule="exact"/>
              <w:ind w:right="120"/>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07" w:type="dxa"/>
            <w:tcBorders>
              <w:top w:val="nil" w:sz="6" w:space="0" w:color="auto"/>
              <w:left w:val="nil" w:sz="6" w:space="0" w:color="auto"/>
              <w:bottom w:val="nil" w:sz="6" w:space="0" w:color="auto"/>
              <w:right w:val="nil" w:sz="6" w:space="0" w:color="auto"/>
            </w:tcBorders>
          </w:tcPr>
          <w:p>
            <w:pPr>
              <w:pStyle w:val="TableParagraph"/>
              <w:spacing w:line="185" w:lineRule="exact"/>
              <w:ind w:left="122" w:right="0"/>
              <w:jc w:val="left"/>
              <w:rPr>
                <w:rFonts w:ascii="Calibri" w:hAnsi="Calibri" w:cs="Calibri" w:eastAsia="Calibri" w:hint="default"/>
                <w:sz w:val="18"/>
                <w:szCs w:val="18"/>
              </w:rPr>
            </w:pPr>
            <w:r>
              <w:rPr>
                <w:rFonts w:ascii="Calibri"/>
                <w:sz w:val="18"/>
              </w:rPr>
              <w:t>Downtown</w:t>
            </w:r>
            <w:r>
              <w:rPr>
                <w:rFonts w:ascii="Calibri"/>
                <w:spacing w:val="-12"/>
                <w:sz w:val="18"/>
              </w:rPr>
              <w:t> </w:t>
            </w:r>
            <w:r>
              <w:rPr>
                <w:rFonts w:ascii="Calibri"/>
                <w:sz w:val="18"/>
              </w:rPr>
              <w:t>Area</w:t>
            </w:r>
          </w:p>
        </w:tc>
        <w:tc>
          <w:tcPr>
            <w:tcW w:w="1106" w:type="dxa"/>
            <w:tcBorders>
              <w:top w:val="nil" w:sz="6" w:space="0" w:color="auto"/>
              <w:left w:val="nil" w:sz="6" w:space="0" w:color="auto"/>
              <w:bottom w:val="nil" w:sz="6" w:space="0" w:color="auto"/>
              <w:right w:val="nil" w:sz="6" w:space="0" w:color="auto"/>
            </w:tcBorders>
          </w:tcPr>
          <w:p>
            <w:pPr>
              <w:pStyle w:val="TableParagraph"/>
              <w:spacing w:line="185" w:lineRule="exact"/>
              <w:ind w:right="120"/>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1699" w:type="dxa"/>
            <w:tcBorders>
              <w:top w:val="nil" w:sz="6" w:space="0" w:color="auto"/>
              <w:left w:val="nil" w:sz="6" w:space="0" w:color="auto"/>
              <w:bottom w:val="nil" w:sz="6" w:space="0" w:color="auto"/>
              <w:right w:val="nil" w:sz="6" w:space="0" w:color="auto"/>
            </w:tcBorders>
          </w:tcPr>
          <w:p>
            <w:pPr>
              <w:pStyle w:val="TableParagraph"/>
              <w:spacing w:line="185" w:lineRule="exact"/>
              <w:ind w:left="122" w:right="0"/>
              <w:jc w:val="left"/>
              <w:rPr>
                <w:rFonts w:ascii="Calibri" w:hAnsi="Calibri" w:cs="Calibri" w:eastAsia="Calibri" w:hint="default"/>
                <w:sz w:val="18"/>
                <w:szCs w:val="18"/>
              </w:rPr>
            </w:pPr>
            <w:r>
              <w:rPr>
                <w:rFonts w:ascii="Calibri"/>
                <w:sz w:val="18"/>
              </w:rPr>
              <w:t>Tele</w:t>
            </w:r>
            <w:r>
              <w:rPr>
                <w:rFonts w:ascii="Calibri"/>
                <w:spacing w:val="-10"/>
                <w:sz w:val="18"/>
              </w:rPr>
              <w:t> </w:t>
            </w:r>
            <w:r>
              <w:rPr>
                <w:rFonts w:ascii="Calibri"/>
                <w:sz w:val="18"/>
              </w:rPr>
              <w:t>Museum</w:t>
            </w:r>
          </w:p>
        </w:tc>
      </w:tr>
      <w:tr>
        <w:trPr>
          <w:trHeight w:val="220" w:hRule="exact"/>
        </w:trPr>
        <w:tc>
          <w:tcPr>
            <w:tcW w:w="336"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658" w:type="dxa"/>
            <w:tcBorders>
              <w:top w:val="nil" w:sz="6" w:space="0" w:color="auto"/>
              <w:left w:val="nil" w:sz="6" w:space="0" w:color="auto"/>
              <w:bottom w:val="nil" w:sz="6" w:space="0" w:color="auto"/>
              <w:right w:val="nil" w:sz="6" w:space="0" w:color="auto"/>
            </w:tcBorders>
          </w:tcPr>
          <w:p>
            <w:pPr>
              <w:pStyle w:val="TableParagraph"/>
              <w:spacing w:line="203" w:lineRule="exact"/>
              <w:ind w:left="122" w:right="0"/>
              <w:jc w:val="left"/>
              <w:rPr>
                <w:rFonts w:ascii="Calibri" w:hAnsi="Calibri" w:cs="Calibri" w:eastAsia="Calibri" w:hint="default"/>
                <w:sz w:val="18"/>
                <w:szCs w:val="18"/>
              </w:rPr>
            </w:pPr>
            <w:r>
              <w:rPr>
                <w:rFonts w:ascii="Calibri"/>
                <w:sz w:val="18"/>
              </w:rPr>
              <w:t>Landhuis</w:t>
            </w:r>
            <w:r>
              <w:rPr>
                <w:rFonts w:ascii="Calibri"/>
                <w:spacing w:val="-13"/>
                <w:sz w:val="18"/>
              </w:rPr>
              <w:t> </w:t>
            </w:r>
            <w:r>
              <w:rPr>
                <w:rFonts w:ascii="Calibri"/>
                <w:sz w:val="18"/>
              </w:rPr>
              <w:t>Kenepa</w:t>
            </w:r>
          </w:p>
        </w:tc>
        <w:tc>
          <w:tcPr>
            <w:tcW w:w="1155" w:type="dxa"/>
            <w:tcBorders>
              <w:top w:val="nil" w:sz="6" w:space="0" w:color="auto"/>
              <w:left w:val="nil" w:sz="6" w:space="0" w:color="auto"/>
              <w:bottom w:val="nil" w:sz="6" w:space="0" w:color="auto"/>
              <w:right w:val="nil" w:sz="6" w:space="0" w:color="auto"/>
            </w:tcBorders>
          </w:tcPr>
          <w:p>
            <w:pPr>
              <w:pStyle w:val="TableParagraph"/>
              <w:spacing w:line="203" w:lineRule="exact"/>
              <w:ind w:right="120"/>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07" w:type="dxa"/>
            <w:tcBorders>
              <w:top w:val="nil" w:sz="6" w:space="0" w:color="auto"/>
              <w:left w:val="nil" w:sz="6" w:space="0" w:color="auto"/>
              <w:bottom w:val="nil" w:sz="6" w:space="0" w:color="auto"/>
              <w:right w:val="nil" w:sz="6" w:space="0" w:color="auto"/>
            </w:tcBorders>
          </w:tcPr>
          <w:p>
            <w:pPr>
              <w:pStyle w:val="TableParagraph"/>
              <w:spacing w:line="203" w:lineRule="exact"/>
              <w:ind w:left="122" w:right="0"/>
              <w:jc w:val="left"/>
              <w:rPr>
                <w:rFonts w:ascii="Calibri" w:hAnsi="Calibri" w:cs="Calibri" w:eastAsia="Calibri" w:hint="default"/>
                <w:sz w:val="18"/>
                <w:szCs w:val="18"/>
              </w:rPr>
            </w:pPr>
            <w:r>
              <w:rPr>
                <w:rFonts w:ascii="Calibri"/>
                <w:sz w:val="18"/>
              </w:rPr>
              <w:t>Maritime</w:t>
            </w:r>
            <w:r>
              <w:rPr>
                <w:rFonts w:ascii="Calibri"/>
                <w:spacing w:val="-9"/>
                <w:sz w:val="18"/>
              </w:rPr>
              <w:t> </w:t>
            </w:r>
            <w:r>
              <w:rPr>
                <w:rFonts w:ascii="Calibri"/>
                <w:sz w:val="18"/>
              </w:rPr>
              <w:t>Museum</w:t>
            </w:r>
          </w:p>
        </w:tc>
        <w:tc>
          <w:tcPr>
            <w:tcW w:w="1106" w:type="dxa"/>
            <w:tcBorders>
              <w:top w:val="nil" w:sz="6" w:space="0" w:color="auto"/>
              <w:left w:val="nil" w:sz="6" w:space="0" w:color="auto"/>
              <w:bottom w:val="nil" w:sz="6" w:space="0" w:color="auto"/>
              <w:right w:val="nil" w:sz="6" w:space="0" w:color="auto"/>
            </w:tcBorders>
          </w:tcPr>
          <w:p>
            <w:pPr>
              <w:pStyle w:val="TableParagraph"/>
              <w:spacing w:line="203" w:lineRule="exact"/>
              <w:ind w:right="120"/>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1699" w:type="dxa"/>
            <w:tcBorders>
              <w:top w:val="nil" w:sz="6" w:space="0" w:color="auto"/>
              <w:left w:val="nil" w:sz="6" w:space="0" w:color="auto"/>
              <w:bottom w:val="nil" w:sz="6" w:space="0" w:color="auto"/>
              <w:right w:val="nil" w:sz="6" w:space="0" w:color="auto"/>
            </w:tcBorders>
          </w:tcPr>
          <w:p>
            <w:pPr>
              <w:pStyle w:val="TableParagraph"/>
              <w:spacing w:line="203" w:lineRule="exact"/>
              <w:ind w:left="122" w:right="0"/>
              <w:jc w:val="left"/>
              <w:rPr>
                <w:rFonts w:ascii="Calibri" w:hAnsi="Calibri" w:cs="Calibri" w:eastAsia="Calibri" w:hint="default"/>
                <w:sz w:val="18"/>
                <w:szCs w:val="18"/>
              </w:rPr>
            </w:pPr>
            <w:r>
              <w:rPr>
                <w:rFonts w:ascii="Calibri"/>
                <w:sz w:val="18"/>
              </w:rPr>
              <w:t>Fort</w:t>
            </w:r>
            <w:r>
              <w:rPr>
                <w:rFonts w:ascii="Calibri"/>
                <w:spacing w:val="-10"/>
                <w:sz w:val="18"/>
              </w:rPr>
              <w:t> </w:t>
            </w:r>
            <w:r>
              <w:rPr>
                <w:rFonts w:ascii="Calibri"/>
                <w:sz w:val="18"/>
              </w:rPr>
              <w:t>Amsterdam</w:t>
            </w:r>
          </w:p>
        </w:tc>
      </w:tr>
      <w:tr>
        <w:trPr>
          <w:trHeight w:val="220" w:hRule="exact"/>
        </w:trPr>
        <w:tc>
          <w:tcPr>
            <w:tcW w:w="336"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658" w:type="dxa"/>
            <w:tcBorders>
              <w:top w:val="nil" w:sz="6" w:space="0" w:color="auto"/>
              <w:left w:val="nil" w:sz="6" w:space="0" w:color="auto"/>
              <w:bottom w:val="nil" w:sz="6" w:space="0" w:color="auto"/>
              <w:right w:val="nil" w:sz="6" w:space="0" w:color="auto"/>
            </w:tcBorders>
          </w:tcPr>
          <w:p>
            <w:pPr>
              <w:pStyle w:val="TableParagraph"/>
              <w:spacing w:line="203" w:lineRule="exact"/>
              <w:ind w:left="122" w:right="0"/>
              <w:jc w:val="left"/>
              <w:rPr>
                <w:rFonts w:ascii="Calibri" w:hAnsi="Calibri" w:cs="Calibri" w:eastAsia="Calibri" w:hint="default"/>
                <w:sz w:val="18"/>
                <w:szCs w:val="18"/>
              </w:rPr>
            </w:pPr>
            <w:r>
              <w:rPr>
                <w:rFonts w:ascii="Calibri"/>
                <w:sz w:val="18"/>
              </w:rPr>
              <w:t>Landhuis Rooi</w:t>
            </w:r>
            <w:r>
              <w:rPr>
                <w:rFonts w:ascii="Calibri"/>
                <w:spacing w:val="-18"/>
                <w:sz w:val="18"/>
              </w:rPr>
              <w:t> </w:t>
            </w:r>
            <w:r>
              <w:rPr>
                <w:rFonts w:ascii="Calibri"/>
                <w:sz w:val="18"/>
              </w:rPr>
              <w:t>Catootje</w:t>
            </w:r>
          </w:p>
        </w:tc>
        <w:tc>
          <w:tcPr>
            <w:tcW w:w="1155" w:type="dxa"/>
            <w:tcBorders>
              <w:top w:val="nil" w:sz="6" w:space="0" w:color="auto"/>
              <w:left w:val="nil" w:sz="6" w:space="0" w:color="auto"/>
              <w:bottom w:val="nil" w:sz="6" w:space="0" w:color="auto"/>
              <w:right w:val="nil" w:sz="6" w:space="0" w:color="auto"/>
            </w:tcBorders>
          </w:tcPr>
          <w:p>
            <w:pPr>
              <w:pStyle w:val="TableParagraph"/>
              <w:spacing w:line="203" w:lineRule="exact"/>
              <w:ind w:right="120"/>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07" w:type="dxa"/>
            <w:tcBorders>
              <w:top w:val="nil" w:sz="6" w:space="0" w:color="auto"/>
              <w:left w:val="nil" w:sz="6" w:space="0" w:color="auto"/>
              <w:bottom w:val="nil" w:sz="6" w:space="0" w:color="auto"/>
              <w:right w:val="nil" w:sz="6" w:space="0" w:color="auto"/>
            </w:tcBorders>
          </w:tcPr>
          <w:p>
            <w:pPr>
              <w:pStyle w:val="TableParagraph"/>
              <w:spacing w:line="203" w:lineRule="exact"/>
              <w:ind w:left="122" w:right="0"/>
              <w:jc w:val="left"/>
              <w:rPr>
                <w:rFonts w:ascii="Calibri" w:hAnsi="Calibri" w:cs="Calibri" w:eastAsia="Calibri" w:hint="default"/>
                <w:sz w:val="18"/>
                <w:szCs w:val="18"/>
              </w:rPr>
            </w:pPr>
            <w:r>
              <w:rPr>
                <w:rFonts w:ascii="Calibri"/>
                <w:sz w:val="18"/>
              </w:rPr>
              <w:t>Kura Hulanda</w:t>
            </w:r>
            <w:r>
              <w:rPr>
                <w:rFonts w:ascii="Calibri"/>
                <w:spacing w:val="-12"/>
                <w:sz w:val="18"/>
              </w:rPr>
              <w:t> </w:t>
            </w:r>
            <w:r>
              <w:rPr>
                <w:rFonts w:ascii="Calibri"/>
                <w:sz w:val="18"/>
              </w:rPr>
              <w:t>Museum</w:t>
            </w:r>
          </w:p>
        </w:tc>
        <w:tc>
          <w:tcPr>
            <w:tcW w:w="1106" w:type="dxa"/>
            <w:tcBorders>
              <w:top w:val="nil" w:sz="6" w:space="0" w:color="auto"/>
              <w:left w:val="nil" w:sz="6" w:space="0" w:color="auto"/>
              <w:bottom w:val="nil" w:sz="6" w:space="0" w:color="auto"/>
              <w:right w:val="nil" w:sz="6" w:space="0" w:color="auto"/>
            </w:tcBorders>
          </w:tcPr>
          <w:p>
            <w:pPr>
              <w:pStyle w:val="TableParagraph"/>
              <w:spacing w:line="203" w:lineRule="exact"/>
              <w:ind w:right="120"/>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1699" w:type="dxa"/>
            <w:tcBorders>
              <w:top w:val="nil" w:sz="6" w:space="0" w:color="auto"/>
              <w:left w:val="nil" w:sz="6" w:space="0" w:color="auto"/>
              <w:bottom w:val="nil" w:sz="6" w:space="0" w:color="auto"/>
              <w:right w:val="nil" w:sz="6" w:space="0" w:color="auto"/>
            </w:tcBorders>
          </w:tcPr>
          <w:p>
            <w:pPr>
              <w:pStyle w:val="TableParagraph"/>
              <w:spacing w:line="203" w:lineRule="exact"/>
              <w:ind w:left="122" w:right="0"/>
              <w:jc w:val="left"/>
              <w:rPr>
                <w:rFonts w:ascii="Calibri" w:hAnsi="Calibri" w:cs="Calibri" w:eastAsia="Calibri" w:hint="default"/>
                <w:sz w:val="18"/>
                <w:szCs w:val="18"/>
              </w:rPr>
            </w:pPr>
            <w:r>
              <w:rPr>
                <w:rFonts w:ascii="Calibri"/>
                <w:sz w:val="18"/>
              </w:rPr>
              <w:t>Fort</w:t>
            </w:r>
            <w:r>
              <w:rPr>
                <w:rFonts w:ascii="Calibri"/>
                <w:spacing w:val="-8"/>
                <w:sz w:val="18"/>
              </w:rPr>
              <w:t> </w:t>
            </w:r>
            <w:r>
              <w:rPr>
                <w:rFonts w:ascii="Calibri"/>
                <w:sz w:val="18"/>
              </w:rPr>
              <w:t>Nassau</w:t>
            </w:r>
          </w:p>
        </w:tc>
      </w:tr>
      <w:tr>
        <w:trPr>
          <w:trHeight w:val="220" w:hRule="exact"/>
        </w:trPr>
        <w:tc>
          <w:tcPr>
            <w:tcW w:w="336" w:type="dxa"/>
            <w:tcBorders>
              <w:top w:val="nil" w:sz="6" w:space="0" w:color="auto"/>
              <w:left w:val="nil" w:sz="6" w:space="0" w:color="auto"/>
              <w:bottom w:val="nil" w:sz="6" w:space="0" w:color="auto"/>
              <w:right w:val="nil" w:sz="6" w:space="0" w:color="auto"/>
            </w:tcBorders>
          </w:tcPr>
          <w:p>
            <w:pPr>
              <w:pStyle w:val="TableParagraph"/>
              <w:spacing w:line="203" w:lineRule="exact"/>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658" w:type="dxa"/>
            <w:tcBorders>
              <w:top w:val="nil" w:sz="6" w:space="0" w:color="auto"/>
              <w:left w:val="nil" w:sz="6" w:space="0" w:color="auto"/>
              <w:bottom w:val="nil" w:sz="6" w:space="0" w:color="auto"/>
              <w:right w:val="nil" w:sz="6" w:space="0" w:color="auto"/>
            </w:tcBorders>
          </w:tcPr>
          <w:p>
            <w:pPr>
              <w:pStyle w:val="TableParagraph"/>
              <w:spacing w:line="203" w:lineRule="exact"/>
              <w:ind w:left="122" w:right="0"/>
              <w:jc w:val="left"/>
              <w:rPr>
                <w:rFonts w:ascii="Calibri" w:hAnsi="Calibri" w:cs="Calibri" w:eastAsia="Calibri" w:hint="default"/>
                <w:sz w:val="18"/>
                <w:szCs w:val="18"/>
              </w:rPr>
            </w:pPr>
            <w:r>
              <w:rPr>
                <w:rFonts w:ascii="Calibri"/>
                <w:sz w:val="18"/>
              </w:rPr>
              <w:t>Landhuis</w:t>
            </w:r>
            <w:r>
              <w:rPr>
                <w:rFonts w:ascii="Calibri"/>
                <w:spacing w:val="-15"/>
                <w:sz w:val="18"/>
              </w:rPr>
              <w:t> </w:t>
            </w:r>
            <w:r>
              <w:rPr>
                <w:rFonts w:ascii="Calibri"/>
                <w:sz w:val="18"/>
              </w:rPr>
              <w:t>Brievengat</w:t>
            </w:r>
          </w:p>
        </w:tc>
        <w:tc>
          <w:tcPr>
            <w:tcW w:w="1155" w:type="dxa"/>
            <w:tcBorders>
              <w:top w:val="nil" w:sz="6" w:space="0" w:color="auto"/>
              <w:left w:val="nil" w:sz="6" w:space="0" w:color="auto"/>
              <w:bottom w:val="nil" w:sz="6" w:space="0" w:color="auto"/>
              <w:right w:val="nil" w:sz="6" w:space="0" w:color="auto"/>
            </w:tcBorders>
          </w:tcPr>
          <w:p>
            <w:pPr>
              <w:pStyle w:val="TableParagraph"/>
              <w:spacing w:line="203" w:lineRule="exact"/>
              <w:ind w:right="120"/>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07" w:type="dxa"/>
            <w:tcBorders>
              <w:top w:val="nil" w:sz="6" w:space="0" w:color="auto"/>
              <w:left w:val="nil" w:sz="6" w:space="0" w:color="auto"/>
              <w:bottom w:val="nil" w:sz="6" w:space="0" w:color="auto"/>
              <w:right w:val="nil" w:sz="6" w:space="0" w:color="auto"/>
            </w:tcBorders>
          </w:tcPr>
          <w:p>
            <w:pPr>
              <w:pStyle w:val="TableParagraph"/>
              <w:spacing w:line="203" w:lineRule="exact"/>
              <w:ind w:left="122" w:right="0"/>
              <w:jc w:val="left"/>
              <w:rPr>
                <w:rFonts w:ascii="Calibri" w:hAnsi="Calibri" w:cs="Calibri" w:eastAsia="Calibri" w:hint="default"/>
                <w:sz w:val="18"/>
                <w:szCs w:val="18"/>
              </w:rPr>
            </w:pPr>
            <w:r>
              <w:rPr>
                <w:rFonts w:ascii="Calibri"/>
                <w:sz w:val="18"/>
              </w:rPr>
              <w:t>Jewish Cultural</w:t>
            </w:r>
            <w:r>
              <w:rPr>
                <w:rFonts w:ascii="Calibri"/>
                <w:spacing w:val="-15"/>
                <w:sz w:val="18"/>
              </w:rPr>
              <w:t> </w:t>
            </w:r>
            <w:r>
              <w:rPr>
                <w:rFonts w:ascii="Calibri"/>
                <w:sz w:val="18"/>
              </w:rPr>
              <w:t>Museum</w:t>
            </w:r>
          </w:p>
        </w:tc>
        <w:tc>
          <w:tcPr>
            <w:tcW w:w="1106" w:type="dxa"/>
            <w:tcBorders>
              <w:top w:val="nil" w:sz="6" w:space="0" w:color="auto"/>
              <w:left w:val="nil" w:sz="6" w:space="0" w:color="auto"/>
              <w:bottom w:val="nil" w:sz="6" w:space="0" w:color="auto"/>
              <w:right w:val="nil" w:sz="6" w:space="0" w:color="auto"/>
            </w:tcBorders>
          </w:tcPr>
          <w:p>
            <w:pPr>
              <w:pStyle w:val="TableParagraph"/>
              <w:spacing w:line="203" w:lineRule="exact"/>
              <w:ind w:right="120"/>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1699" w:type="dxa"/>
            <w:tcBorders>
              <w:top w:val="nil" w:sz="6" w:space="0" w:color="auto"/>
              <w:left w:val="nil" w:sz="6" w:space="0" w:color="auto"/>
              <w:bottom w:val="nil" w:sz="6" w:space="0" w:color="auto"/>
              <w:right w:val="nil" w:sz="6" w:space="0" w:color="auto"/>
            </w:tcBorders>
          </w:tcPr>
          <w:p>
            <w:pPr>
              <w:pStyle w:val="TableParagraph"/>
              <w:spacing w:line="203" w:lineRule="exact"/>
              <w:ind w:left="122" w:right="0"/>
              <w:jc w:val="left"/>
              <w:rPr>
                <w:rFonts w:ascii="Calibri" w:hAnsi="Calibri" w:cs="Calibri" w:eastAsia="Calibri" w:hint="default"/>
                <w:sz w:val="18"/>
                <w:szCs w:val="18"/>
              </w:rPr>
            </w:pPr>
            <w:r>
              <w:rPr>
                <w:rFonts w:ascii="Calibri"/>
                <w:sz w:val="18"/>
              </w:rPr>
              <w:t>Fort Church</w:t>
            </w:r>
            <w:r>
              <w:rPr>
                <w:rFonts w:ascii="Calibri"/>
                <w:spacing w:val="-15"/>
                <w:sz w:val="18"/>
              </w:rPr>
              <w:t> </w:t>
            </w:r>
            <w:r>
              <w:rPr>
                <w:rFonts w:ascii="Calibri"/>
                <w:sz w:val="18"/>
              </w:rPr>
              <w:t>Museum</w:t>
            </w:r>
          </w:p>
        </w:tc>
      </w:tr>
      <w:tr>
        <w:trPr>
          <w:trHeight w:val="300" w:hRule="exact"/>
        </w:trPr>
        <w:tc>
          <w:tcPr>
            <w:tcW w:w="336" w:type="dxa"/>
            <w:tcBorders>
              <w:top w:val="nil" w:sz="6" w:space="0" w:color="auto"/>
              <w:left w:val="nil" w:sz="6" w:space="0" w:color="auto"/>
              <w:bottom w:val="nil" w:sz="6" w:space="0" w:color="auto"/>
              <w:right w:val="nil" w:sz="6" w:space="0" w:color="auto"/>
            </w:tcBorders>
          </w:tcPr>
          <w:p>
            <w:pPr>
              <w:pStyle w:val="TableParagraph"/>
              <w:spacing w:line="204" w:lineRule="exact"/>
              <w:ind w:left="35" w:right="0"/>
              <w:jc w:val="left"/>
              <w:rPr>
                <w:rFonts w:ascii="Calibri" w:hAnsi="Calibri" w:cs="Calibri" w:eastAsia="Calibri" w:hint="default"/>
                <w:sz w:val="18"/>
                <w:szCs w:val="18"/>
              </w:rPr>
            </w:pPr>
            <w:r>
              <w:rPr>
                <w:rFonts w:ascii="Calibri" w:hAnsi="Calibri" w:cs="Calibri" w:eastAsia="Calibri" w:hint="default"/>
                <w:sz w:val="18"/>
                <w:szCs w:val="18"/>
              </w:rPr>
              <w:t>⃝</w:t>
            </w:r>
          </w:p>
        </w:tc>
        <w:tc>
          <w:tcPr>
            <w:tcW w:w="2658" w:type="dxa"/>
            <w:tcBorders>
              <w:top w:val="nil" w:sz="6" w:space="0" w:color="auto"/>
              <w:left w:val="nil" w:sz="6" w:space="0" w:color="auto"/>
              <w:bottom w:val="nil" w:sz="6" w:space="0" w:color="auto"/>
              <w:right w:val="nil" w:sz="6" w:space="0" w:color="auto"/>
            </w:tcBorders>
          </w:tcPr>
          <w:p>
            <w:pPr>
              <w:pStyle w:val="TableParagraph"/>
              <w:spacing w:line="204" w:lineRule="exact"/>
              <w:ind w:left="122" w:right="0"/>
              <w:jc w:val="left"/>
              <w:rPr>
                <w:rFonts w:ascii="Calibri" w:hAnsi="Calibri" w:cs="Calibri" w:eastAsia="Calibri" w:hint="default"/>
                <w:sz w:val="18"/>
                <w:szCs w:val="18"/>
              </w:rPr>
            </w:pPr>
            <w:r>
              <w:rPr>
                <w:rFonts w:ascii="Calibri"/>
                <w:sz w:val="18"/>
              </w:rPr>
              <w:t>Postal</w:t>
            </w:r>
            <w:r>
              <w:rPr>
                <w:rFonts w:ascii="Calibri"/>
                <w:spacing w:val="-9"/>
                <w:sz w:val="18"/>
              </w:rPr>
              <w:t> </w:t>
            </w:r>
            <w:r>
              <w:rPr>
                <w:rFonts w:ascii="Calibri"/>
                <w:sz w:val="18"/>
              </w:rPr>
              <w:t>Museum</w:t>
            </w:r>
          </w:p>
        </w:tc>
        <w:tc>
          <w:tcPr>
            <w:tcW w:w="1155" w:type="dxa"/>
            <w:tcBorders>
              <w:top w:val="nil" w:sz="6" w:space="0" w:color="auto"/>
              <w:left w:val="nil" w:sz="6" w:space="0" w:color="auto"/>
              <w:bottom w:val="nil" w:sz="6" w:space="0" w:color="auto"/>
              <w:right w:val="nil" w:sz="6" w:space="0" w:color="auto"/>
            </w:tcBorders>
          </w:tcPr>
          <w:p>
            <w:pPr>
              <w:pStyle w:val="TableParagraph"/>
              <w:spacing w:line="204" w:lineRule="exact"/>
              <w:ind w:right="120"/>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2707" w:type="dxa"/>
            <w:tcBorders>
              <w:top w:val="nil" w:sz="6" w:space="0" w:color="auto"/>
              <w:left w:val="nil" w:sz="6" w:space="0" w:color="auto"/>
              <w:bottom w:val="nil" w:sz="6" w:space="0" w:color="auto"/>
              <w:right w:val="nil" w:sz="6" w:space="0" w:color="auto"/>
            </w:tcBorders>
          </w:tcPr>
          <w:p>
            <w:pPr>
              <w:pStyle w:val="TableParagraph"/>
              <w:spacing w:line="204" w:lineRule="exact"/>
              <w:ind w:left="122" w:right="0"/>
              <w:jc w:val="left"/>
              <w:rPr>
                <w:rFonts w:ascii="Calibri" w:hAnsi="Calibri" w:cs="Calibri" w:eastAsia="Calibri" w:hint="default"/>
                <w:sz w:val="18"/>
                <w:szCs w:val="18"/>
              </w:rPr>
            </w:pPr>
            <w:r>
              <w:rPr>
                <w:rFonts w:ascii="Calibri" w:hAnsi="Calibri"/>
                <w:sz w:val="18"/>
              </w:rPr>
              <w:t>Curaçao</w:t>
            </w:r>
            <w:r>
              <w:rPr>
                <w:rFonts w:ascii="Calibri" w:hAnsi="Calibri"/>
                <w:spacing w:val="-8"/>
                <w:sz w:val="18"/>
              </w:rPr>
              <w:t> </w:t>
            </w:r>
            <w:r>
              <w:rPr>
                <w:rFonts w:ascii="Calibri" w:hAnsi="Calibri"/>
                <w:sz w:val="18"/>
              </w:rPr>
              <w:t>Museum</w:t>
            </w:r>
          </w:p>
        </w:tc>
        <w:tc>
          <w:tcPr>
            <w:tcW w:w="1106" w:type="dxa"/>
            <w:tcBorders>
              <w:top w:val="nil" w:sz="6" w:space="0" w:color="auto"/>
              <w:left w:val="nil" w:sz="6" w:space="0" w:color="auto"/>
              <w:bottom w:val="nil" w:sz="6" w:space="0" w:color="auto"/>
              <w:right w:val="nil" w:sz="6" w:space="0" w:color="auto"/>
            </w:tcBorders>
          </w:tcPr>
          <w:p>
            <w:pPr>
              <w:pStyle w:val="TableParagraph"/>
              <w:spacing w:line="204" w:lineRule="exact"/>
              <w:ind w:right="120"/>
              <w:jc w:val="right"/>
              <w:rPr>
                <w:rFonts w:ascii="Calibri" w:hAnsi="Calibri" w:cs="Calibri" w:eastAsia="Calibri" w:hint="default"/>
                <w:sz w:val="18"/>
                <w:szCs w:val="18"/>
              </w:rPr>
            </w:pPr>
            <w:r>
              <w:rPr>
                <w:rFonts w:ascii="Calibri" w:hAnsi="Calibri" w:cs="Calibri" w:eastAsia="Calibri" w:hint="default"/>
                <w:w w:val="95"/>
                <w:sz w:val="18"/>
                <w:szCs w:val="18"/>
              </w:rPr>
              <w:t>⃝</w:t>
            </w:r>
            <w:r>
              <w:rPr>
                <w:rFonts w:ascii="Calibri" w:hAnsi="Calibri" w:cs="Calibri" w:eastAsia="Calibri" w:hint="default"/>
                <w:sz w:val="18"/>
                <w:szCs w:val="18"/>
              </w:rPr>
            </w:r>
          </w:p>
        </w:tc>
        <w:tc>
          <w:tcPr>
            <w:tcW w:w="1699" w:type="dxa"/>
            <w:tcBorders>
              <w:top w:val="nil" w:sz="6" w:space="0" w:color="auto"/>
              <w:left w:val="nil" w:sz="6" w:space="0" w:color="auto"/>
              <w:bottom w:val="nil" w:sz="6" w:space="0" w:color="auto"/>
              <w:right w:val="nil" w:sz="6" w:space="0" w:color="auto"/>
            </w:tcBorders>
          </w:tcPr>
          <w:p>
            <w:pPr>
              <w:pStyle w:val="TableParagraph"/>
              <w:tabs>
                <w:tab w:pos="1174" w:val="left" w:leader="none"/>
              </w:tabs>
              <w:spacing w:line="204" w:lineRule="exact"/>
              <w:ind w:left="122" w:right="0"/>
              <w:jc w:val="left"/>
              <w:rPr>
                <w:rFonts w:ascii="Calibri" w:hAnsi="Calibri" w:cs="Calibri" w:eastAsia="Calibri" w:hint="default"/>
                <w:sz w:val="18"/>
                <w:szCs w:val="18"/>
              </w:rPr>
            </w:pPr>
            <w:r>
              <w:rPr>
                <w:rFonts w:ascii="Calibri"/>
                <w:sz w:val="18"/>
              </w:rPr>
              <w:t>Other_</w:t>
            </w:r>
            <w:r>
              <w:rPr>
                <w:rFonts w:ascii="Calibri"/>
                <w:sz w:val="18"/>
                <w:u w:val="single" w:color="000000"/>
              </w:rPr>
              <w:t> </w:t>
              <w:tab/>
            </w:r>
            <w:r>
              <w:rPr>
                <w:rFonts w:ascii="Calibri"/>
                <w:sz w:val="18"/>
              </w:rPr>
            </w:r>
          </w:p>
        </w:tc>
      </w:tr>
    </w:tbl>
    <w:p>
      <w:pPr>
        <w:spacing w:line="240" w:lineRule="auto" w:before="0"/>
        <w:ind w:right="0"/>
        <w:rPr>
          <w:rFonts w:ascii="Calibri" w:hAnsi="Calibri" w:cs="Calibri" w:eastAsia="Calibri" w:hint="default"/>
          <w:b/>
          <w:bCs/>
          <w:sz w:val="20"/>
          <w:szCs w:val="20"/>
        </w:rPr>
      </w:pPr>
    </w:p>
    <w:p>
      <w:pPr>
        <w:spacing w:line="240" w:lineRule="auto" w:before="5" w:after="0"/>
        <w:ind w:right="0"/>
        <w:rPr>
          <w:rFonts w:ascii="Calibri" w:hAnsi="Calibri" w:cs="Calibri" w:eastAsia="Calibri" w:hint="default"/>
          <w:b/>
          <w:bCs/>
          <w:sz w:val="16"/>
          <w:szCs w:val="16"/>
        </w:rPr>
      </w:pPr>
    </w:p>
    <w:tbl>
      <w:tblPr>
        <w:tblW w:w="0" w:type="auto"/>
        <w:jc w:val="left"/>
        <w:tblInd w:w="151" w:type="dxa"/>
        <w:tblLayout w:type="fixed"/>
        <w:tblCellMar>
          <w:top w:w="0" w:type="dxa"/>
          <w:left w:w="0" w:type="dxa"/>
          <w:bottom w:w="0" w:type="dxa"/>
          <w:right w:w="0" w:type="dxa"/>
        </w:tblCellMar>
        <w:tblLook w:val="01E0"/>
      </w:tblPr>
      <w:tblGrid>
        <w:gridCol w:w="7707"/>
        <w:gridCol w:w="2493"/>
        <w:gridCol w:w="682"/>
      </w:tblGrid>
      <w:tr>
        <w:trPr>
          <w:trHeight w:val="337" w:hRule="exact"/>
        </w:trPr>
        <w:tc>
          <w:tcPr>
            <w:tcW w:w="7707" w:type="dxa"/>
            <w:tcBorders>
              <w:top w:val="single" w:sz="4" w:space="0" w:color="000000"/>
              <w:left w:val="nil" w:sz="6" w:space="0" w:color="auto"/>
              <w:bottom w:val="single" w:sz="4" w:space="0" w:color="000000"/>
              <w:right w:val="nil" w:sz="6" w:space="0" w:color="auto"/>
            </w:tcBorders>
          </w:tcPr>
          <w:p>
            <w:pPr>
              <w:pStyle w:val="TableParagraph"/>
              <w:spacing w:line="240" w:lineRule="auto" w:before="58"/>
              <w:ind w:left="107" w:right="0"/>
              <w:jc w:val="left"/>
              <w:rPr>
                <w:rFonts w:ascii="Calibri" w:hAnsi="Calibri" w:cs="Calibri" w:eastAsia="Calibri" w:hint="default"/>
                <w:sz w:val="22"/>
                <w:szCs w:val="22"/>
              </w:rPr>
            </w:pPr>
            <w:r>
              <w:rPr>
                <w:rFonts w:ascii="Calibri"/>
                <w:b/>
                <w:sz w:val="22"/>
              </w:rPr>
              <w:t>34. Please answer the following</w:t>
            </w:r>
            <w:r>
              <w:rPr>
                <w:rFonts w:ascii="Calibri"/>
                <w:b/>
                <w:spacing w:val="-11"/>
                <w:sz w:val="22"/>
              </w:rPr>
              <w:t> </w:t>
            </w:r>
            <w:r>
              <w:rPr>
                <w:rFonts w:ascii="Calibri"/>
                <w:b/>
                <w:sz w:val="22"/>
              </w:rPr>
              <w:t>questions</w:t>
            </w:r>
            <w:r>
              <w:rPr>
                <w:rFonts w:ascii="Calibri"/>
                <w:sz w:val="22"/>
              </w:rPr>
            </w:r>
          </w:p>
        </w:tc>
        <w:tc>
          <w:tcPr>
            <w:tcW w:w="3175" w:type="dxa"/>
            <w:gridSpan w:val="2"/>
            <w:tcBorders>
              <w:top w:val="single" w:sz="4" w:space="0" w:color="000000"/>
              <w:left w:val="nil" w:sz="6" w:space="0" w:color="auto"/>
              <w:bottom w:val="single" w:sz="4" w:space="0" w:color="000000"/>
              <w:right w:val="nil" w:sz="6" w:space="0" w:color="auto"/>
            </w:tcBorders>
          </w:tcPr>
          <w:p>
            <w:pPr/>
          </w:p>
        </w:tc>
      </w:tr>
      <w:tr>
        <w:trPr>
          <w:trHeight w:val="379" w:hRule="exact"/>
        </w:trPr>
        <w:tc>
          <w:tcPr>
            <w:tcW w:w="7707" w:type="dxa"/>
            <w:tcBorders>
              <w:top w:val="single" w:sz="4" w:space="0" w:color="000000"/>
              <w:left w:val="nil" w:sz="6" w:space="0" w:color="auto"/>
              <w:bottom w:val="nil" w:sz="6" w:space="0" w:color="auto"/>
              <w:right w:val="nil" w:sz="6" w:space="0" w:color="auto"/>
            </w:tcBorders>
          </w:tcPr>
          <w:p>
            <w:pPr>
              <w:pStyle w:val="TableParagraph"/>
              <w:spacing w:line="240" w:lineRule="auto" w:before="58"/>
              <w:ind w:left="107" w:right="0"/>
              <w:jc w:val="left"/>
              <w:rPr>
                <w:rFonts w:ascii="Calibri" w:hAnsi="Calibri" w:cs="Calibri" w:eastAsia="Calibri" w:hint="default"/>
                <w:sz w:val="22"/>
                <w:szCs w:val="22"/>
              </w:rPr>
            </w:pPr>
            <w:r>
              <w:rPr>
                <w:rFonts w:ascii="Calibri"/>
                <w:sz w:val="22"/>
              </w:rPr>
              <w:t>I would consider moving to Curacao at some</w:t>
            </w:r>
            <w:r>
              <w:rPr>
                <w:rFonts w:ascii="Calibri"/>
                <w:spacing w:val="-27"/>
                <w:sz w:val="22"/>
              </w:rPr>
              <w:t> </w:t>
            </w:r>
            <w:r>
              <w:rPr>
                <w:rFonts w:ascii="Calibri"/>
                <w:sz w:val="22"/>
              </w:rPr>
              <w:t>point</w:t>
            </w:r>
          </w:p>
        </w:tc>
        <w:tc>
          <w:tcPr>
            <w:tcW w:w="2493" w:type="dxa"/>
            <w:tcBorders>
              <w:top w:val="single" w:sz="4" w:space="0" w:color="000000"/>
              <w:left w:val="nil" w:sz="6" w:space="0" w:color="auto"/>
              <w:bottom w:val="nil" w:sz="6" w:space="0" w:color="auto"/>
              <w:right w:val="nil" w:sz="6" w:space="0" w:color="auto"/>
            </w:tcBorders>
          </w:tcPr>
          <w:p>
            <w:pPr>
              <w:pStyle w:val="TableParagraph"/>
              <w:spacing w:line="240" w:lineRule="auto" w:before="65"/>
              <w:ind w:right="123"/>
              <w:jc w:val="right"/>
              <w:rPr>
                <w:rFonts w:ascii="Calibri" w:hAnsi="Calibri" w:cs="Calibri" w:eastAsia="Calibri" w:hint="default"/>
                <w:sz w:val="16"/>
                <w:szCs w:val="16"/>
              </w:rPr>
            </w:pPr>
            <w:r>
              <w:rPr>
                <w:rFonts w:ascii="Calibri" w:hAnsi="Calibri" w:cs="Calibri" w:eastAsia="Calibri" w:hint="default"/>
                <w:sz w:val="16"/>
                <w:szCs w:val="16"/>
              </w:rPr>
              <w:t>Yes</w:t>
            </w:r>
            <w:r>
              <w:rPr>
                <w:rFonts w:ascii="Calibri" w:hAnsi="Calibri" w:cs="Calibri" w:eastAsia="Calibri" w:hint="default"/>
                <w:spacing w:val="-2"/>
                <w:sz w:val="16"/>
                <w:szCs w:val="16"/>
              </w:rPr>
              <w:t> </w:t>
            </w:r>
            <w:r>
              <w:rPr>
                <w:rFonts w:ascii="Calibri" w:hAnsi="Calibri" w:cs="Calibri" w:eastAsia="Calibri" w:hint="default"/>
                <w:sz w:val="16"/>
                <w:szCs w:val="16"/>
              </w:rPr>
              <w:t>⃝</w:t>
            </w:r>
          </w:p>
        </w:tc>
        <w:tc>
          <w:tcPr>
            <w:tcW w:w="682" w:type="dxa"/>
            <w:tcBorders>
              <w:top w:val="single" w:sz="4" w:space="0" w:color="000000"/>
              <w:left w:val="nil" w:sz="6" w:space="0" w:color="auto"/>
              <w:bottom w:val="nil" w:sz="6" w:space="0" w:color="auto"/>
              <w:right w:val="nil" w:sz="6" w:space="0" w:color="auto"/>
            </w:tcBorders>
          </w:tcPr>
          <w:p>
            <w:pPr>
              <w:pStyle w:val="TableParagraph"/>
              <w:spacing w:line="240" w:lineRule="auto" w:before="65"/>
              <w:ind w:left="125" w:right="0"/>
              <w:jc w:val="left"/>
              <w:rPr>
                <w:rFonts w:ascii="Calibri" w:hAnsi="Calibri" w:cs="Calibri" w:eastAsia="Calibri" w:hint="default"/>
                <w:sz w:val="16"/>
                <w:szCs w:val="16"/>
              </w:rPr>
            </w:pPr>
            <w:r>
              <w:rPr>
                <w:rFonts w:ascii="Calibri" w:hAnsi="Calibri" w:cs="Calibri" w:eastAsia="Calibri" w:hint="default"/>
                <w:sz w:val="16"/>
                <w:szCs w:val="16"/>
              </w:rPr>
              <w:t>No</w:t>
            </w:r>
            <w:r>
              <w:rPr>
                <w:rFonts w:ascii="Calibri" w:hAnsi="Calibri" w:cs="Calibri" w:eastAsia="Calibri" w:hint="default"/>
                <w:spacing w:val="-2"/>
                <w:sz w:val="16"/>
                <w:szCs w:val="16"/>
              </w:rPr>
              <w:t> </w:t>
            </w:r>
            <w:r>
              <w:rPr>
                <w:rFonts w:ascii="Calibri" w:hAnsi="Calibri" w:cs="Calibri" w:eastAsia="Calibri" w:hint="default"/>
                <w:sz w:val="16"/>
                <w:szCs w:val="16"/>
              </w:rPr>
              <w:t>⃝</w:t>
            </w:r>
          </w:p>
        </w:tc>
      </w:tr>
      <w:tr>
        <w:trPr>
          <w:trHeight w:val="327" w:hRule="exact"/>
        </w:trPr>
        <w:tc>
          <w:tcPr>
            <w:tcW w:w="7707" w:type="dxa"/>
            <w:tcBorders>
              <w:top w:val="nil" w:sz="6" w:space="0" w:color="auto"/>
              <w:left w:val="nil" w:sz="6" w:space="0" w:color="auto"/>
              <w:bottom w:val="nil" w:sz="6" w:space="0" w:color="auto"/>
              <w:right w:val="nil" w:sz="6" w:space="0" w:color="auto"/>
            </w:tcBorders>
          </w:tcPr>
          <w:p>
            <w:pPr>
              <w:pStyle w:val="TableParagraph"/>
              <w:spacing w:line="240" w:lineRule="auto" w:before="12"/>
              <w:ind w:left="107" w:right="0"/>
              <w:jc w:val="left"/>
              <w:rPr>
                <w:rFonts w:ascii="Calibri" w:hAnsi="Calibri" w:cs="Calibri" w:eastAsia="Calibri" w:hint="default"/>
                <w:sz w:val="22"/>
                <w:szCs w:val="22"/>
              </w:rPr>
            </w:pPr>
            <w:r>
              <w:rPr>
                <w:rFonts w:ascii="Calibri" w:hAnsi="Calibri"/>
                <w:sz w:val="22"/>
              </w:rPr>
              <w:t>I would like to purchase a second home in</w:t>
            </w:r>
            <w:r>
              <w:rPr>
                <w:rFonts w:ascii="Calibri" w:hAnsi="Calibri"/>
                <w:spacing w:val="-23"/>
                <w:sz w:val="22"/>
              </w:rPr>
              <w:t> </w:t>
            </w:r>
            <w:r>
              <w:rPr>
                <w:rFonts w:ascii="Calibri" w:hAnsi="Calibri"/>
                <w:sz w:val="22"/>
              </w:rPr>
              <w:t>Curaçao</w:t>
            </w:r>
          </w:p>
        </w:tc>
        <w:tc>
          <w:tcPr>
            <w:tcW w:w="2493" w:type="dxa"/>
            <w:tcBorders>
              <w:top w:val="nil" w:sz="6" w:space="0" w:color="auto"/>
              <w:left w:val="nil" w:sz="6" w:space="0" w:color="auto"/>
              <w:bottom w:val="nil" w:sz="6" w:space="0" w:color="auto"/>
              <w:right w:val="nil" w:sz="6" w:space="0" w:color="auto"/>
            </w:tcBorders>
          </w:tcPr>
          <w:p>
            <w:pPr>
              <w:pStyle w:val="TableParagraph"/>
              <w:spacing w:line="240" w:lineRule="auto" w:before="19"/>
              <w:ind w:right="123"/>
              <w:jc w:val="right"/>
              <w:rPr>
                <w:rFonts w:ascii="Calibri" w:hAnsi="Calibri" w:cs="Calibri" w:eastAsia="Calibri" w:hint="default"/>
                <w:sz w:val="16"/>
                <w:szCs w:val="16"/>
              </w:rPr>
            </w:pPr>
            <w:r>
              <w:rPr>
                <w:rFonts w:ascii="Calibri" w:hAnsi="Calibri" w:cs="Calibri" w:eastAsia="Calibri" w:hint="default"/>
                <w:sz w:val="16"/>
                <w:szCs w:val="16"/>
              </w:rPr>
              <w:t>Yes</w:t>
            </w:r>
            <w:r>
              <w:rPr>
                <w:rFonts w:ascii="Calibri" w:hAnsi="Calibri" w:cs="Calibri" w:eastAsia="Calibri" w:hint="default"/>
                <w:spacing w:val="-2"/>
                <w:sz w:val="16"/>
                <w:szCs w:val="16"/>
              </w:rPr>
              <w:t> </w:t>
            </w:r>
            <w:r>
              <w:rPr>
                <w:rFonts w:ascii="Calibri" w:hAnsi="Calibri" w:cs="Calibri" w:eastAsia="Calibri" w:hint="default"/>
                <w:sz w:val="16"/>
                <w:szCs w:val="16"/>
              </w:rPr>
              <w:t>⃝</w:t>
            </w:r>
          </w:p>
        </w:tc>
        <w:tc>
          <w:tcPr>
            <w:tcW w:w="682" w:type="dxa"/>
            <w:tcBorders>
              <w:top w:val="nil" w:sz="6" w:space="0" w:color="auto"/>
              <w:left w:val="nil" w:sz="6" w:space="0" w:color="auto"/>
              <w:bottom w:val="nil" w:sz="6" w:space="0" w:color="auto"/>
              <w:right w:val="nil" w:sz="6" w:space="0" w:color="auto"/>
            </w:tcBorders>
          </w:tcPr>
          <w:p>
            <w:pPr>
              <w:pStyle w:val="TableParagraph"/>
              <w:spacing w:line="240" w:lineRule="auto" w:before="19"/>
              <w:ind w:left="125" w:right="0"/>
              <w:jc w:val="left"/>
              <w:rPr>
                <w:rFonts w:ascii="Calibri" w:hAnsi="Calibri" w:cs="Calibri" w:eastAsia="Calibri" w:hint="default"/>
                <w:sz w:val="16"/>
                <w:szCs w:val="16"/>
              </w:rPr>
            </w:pPr>
            <w:r>
              <w:rPr>
                <w:rFonts w:ascii="Calibri" w:hAnsi="Calibri" w:cs="Calibri" w:eastAsia="Calibri" w:hint="default"/>
                <w:sz w:val="16"/>
                <w:szCs w:val="16"/>
              </w:rPr>
              <w:t>No</w:t>
            </w:r>
            <w:r>
              <w:rPr>
                <w:rFonts w:ascii="Calibri" w:hAnsi="Calibri" w:cs="Calibri" w:eastAsia="Calibri" w:hint="default"/>
                <w:spacing w:val="-2"/>
                <w:sz w:val="16"/>
                <w:szCs w:val="16"/>
              </w:rPr>
              <w:t> </w:t>
            </w:r>
            <w:r>
              <w:rPr>
                <w:rFonts w:ascii="Calibri" w:hAnsi="Calibri" w:cs="Calibri" w:eastAsia="Calibri" w:hint="default"/>
                <w:sz w:val="16"/>
                <w:szCs w:val="16"/>
              </w:rPr>
              <w:t>⃝</w:t>
            </w:r>
          </w:p>
        </w:tc>
      </w:tr>
      <w:tr>
        <w:trPr>
          <w:trHeight w:val="327" w:hRule="exact"/>
        </w:trPr>
        <w:tc>
          <w:tcPr>
            <w:tcW w:w="7707" w:type="dxa"/>
            <w:tcBorders>
              <w:top w:val="nil" w:sz="6" w:space="0" w:color="auto"/>
              <w:left w:val="nil" w:sz="6" w:space="0" w:color="auto"/>
              <w:bottom w:val="nil" w:sz="6" w:space="0" w:color="auto"/>
              <w:right w:val="nil" w:sz="6" w:space="0" w:color="auto"/>
            </w:tcBorders>
          </w:tcPr>
          <w:p>
            <w:pPr>
              <w:pStyle w:val="TableParagraph"/>
              <w:spacing w:line="240" w:lineRule="auto" w:before="11"/>
              <w:ind w:left="107" w:right="0"/>
              <w:jc w:val="left"/>
              <w:rPr>
                <w:rFonts w:ascii="Calibri" w:hAnsi="Calibri" w:cs="Calibri" w:eastAsia="Calibri" w:hint="default"/>
                <w:sz w:val="22"/>
                <w:szCs w:val="22"/>
              </w:rPr>
            </w:pPr>
            <w:r>
              <w:rPr>
                <w:rFonts w:ascii="Calibri" w:hAnsi="Calibri"/>
                <w:sz w:val="22"/>
              </w:rPr>
              <w:t>If I return to Curaçao, I would stay at the same</w:t>
            </w:r>
            <w:r>
              <w:rPr>
                <w:rFonts w:ascii="Calibri" w:hAnsi="Calibri"/>
                <w:spacing w:val="-22"/>
                <w:sz w:val="22"/>
              </w:rPr>
              <w:t> </w:t>
            </w:r>
            <w:r>
              <w:rPr>
                <w:rFonts w:ascii="Calibri" w:hAnsi="Calibri"/>
                <w:sz w:val="22"/>
              </w:rPr>
              <w:t>accommodation</w:t>
            </w:r>
          </w:p>
        </w:tc>
        <w:tc>
          <w:tcPr>
            <w:tcW w:w="2493" w:type="dxa"/>
            <w:tcBorders>
              <w:top w:val="nil" w:sz="6" w:space="0" w:color="auto"/>
              <w:left w:val="nil" w:sz="6" w:space="0" w:color="auto"/>
              <w:bottom w:val="nil" w:sz="6" w:space="0" w:color="auto"/>
              <w:right w:val="nil" w:sz="6" w:space="0" w:color="auto"/>
            </w:tcBorders>
          </w:tcPr>
          <w:p>
            <w:pPr>
              <w:pStyle w:val="TableParagraph"/>
              <w:spacing w:line="240" w:lineRule="auto" w:before="18"/>
              <w:ind w:right="123"/>
              <w:jc w:val="right"/>
              <w:rPr>
                <w:rFonts w:ascii="Calibri" w:hAnsi="Calibri" w:cs="Calibri" w:eastAsia="Calibri" w:hint="default"/>
                <w:sz w:val="16"/>
                <w:szCs w:val="16"/>
              </w:rPr>
            </w:pPr>
            <w:r>
              <w:rPr>
                <w:rFonts w:ascii="Calibri" w:hAnsi="Calibri" w:cs="Calibri" w:eastAsia="Calibri" w:hint="default"/>
                <w:sz w:val="16"/>
                <w:szCs w:val="16"/>
              </w:rPr>
              <w:t>Yes</w:t>
            </w:r>
            <w:r>
              <w:rPr>
                <w:rFonts w:ascii="Calibri" w:hAnsi="Calibri" w:cs="Calibri" w:eastAsia="Calibri" w:hint="default"/>
                <w:spacing w:val="-2"/>
                <w:sz w:val="16"/>
                <w:szCs w:val="16"/>
              </w:rPr>
              <w:t> </w:t>
            </w:r>
            <w:r>
              <w:rPr>
                <w:rFonts w:ascii="Calibri" w:hAnsi="Calibri" w:cs="Calibri" w:eastAsia="Calibri" w:hint="default"/>
                <w:sz w:val="16"/>
                <w:szCs w:val="16"/>
              </w:rPr>
              <w:t>⃝</w:t>
            </w:r>
          </w:p>
        </w:tc>
        <w:tc>
          <w:tcPr>
            <w:tcW w:w="682" w:type="dxa"/>
            <w:tcBorders>
              <w:top w:val="nil" w:sz="6" w:space="0" w:color="auto"/>
              <w:left w:val="nil" w:sz="6" w:space="0" w:color="auto"/>
              <w:bottom w:val="nil" w:sz="6" w:space="0" w:color="auto"/>
              <w:right w:val="nil" w:sz="6" w:space="0" w:color="auto"/>
            </w:tcBorders>
          </w:tcPr>
          <w:p>
            <w:pPr>
              <w:pStyle w:val="TableParagraph"/>
              <w:spacing w:line="240" w:lineRule="auto" w:before="18"/>
              <w:ind w:left="125" w:right="0"/>
              <w:jc w:val="left"/>
              <w:rPr>
                <w:rFonts w:ascii="Calibri" w:hAnsi="Calibri" w:cs="Calibri" w:eastAsia="Calibri" w:hint="default"/>
                <w:sz w:val="16"/>
                <w:szCs w:val="16"/>
              </w:rPr>
            </w:pPr>
            <w:r>
              <w:rPr>
                <w:rFonts w:ascii="Calibri" w:hAnsi="Calibri" w:cs="Calibri" w:eastAsia="Calibri" w:hint="default"/>
                <w:sz w:val="16"/>
                <w:szCs w:val="16"/>
              </w:rPr>
              <w:t>No</w:t>
            </w:r>
            <w:r>
              <w:rPr>
                <w:rFonts w:ascii="Calibri" w:hAnsi="Calibri" w:cs="Calibri" w:eastAsia="Calibri" w:hint="default"/>
                <w:spacing w:val="-2"/>
                <w:sz w:val="16"/>
                <w:szCs w:val="16"/>
              </w:rPr>
              <w:t> </w:t>
            </w:r>
            <w:r>
              <w:rPr>
                <w:rFonts w:ascii="Calibri" w:hAnsi="Calibri" w:cs="Calibri" w:eastAsia="Calibri" w:hint="default"/>
                <w:sz w:val="16"/>
                <w:szCs w:val="16"/>
              </w:rPr>
              <w:t>⃝</w:t>
            </w:r>
          </w:p>
        </w:tc>
      </w:tr>
      <w:tr>
        <w:trPr>
          <w:trHeight w:val="327" w:hRule="exact"/>
        </w:trPr>
        <w:tc>
          <w:tcPr>
            <w:tcW w:w="7707" w:type="dxa"/>
            <w:tcBorders>
              <w:top w:val="nil" w:sz="6" w:space="0" w:color="auto"/>
              <w:left w:val="nil" w:sz="6" w:space="0" w:color="auto"/>
              <w:bottom w:val="nil" w:sz="6" w:space="0" w:color="auto"/>
              <w:right w:val="nil" w:sz="6" w:space="0" w:color="auto"/>
            </w:tcBorders>
          </w:tcPr>
          <w:p>
            <w:pPr>
              <w:pStyle w:val="TableParagraph"/>
              <w:spacing w:line="240" w:lineRule="auto" w:before="12"/>
              <w:ind w:left="107" w:right="0"/>
              <w:jc w:val="left"/>
              <w:rPr>
                <w:rFonts w:ascii="Calibri" w:hAnsi="Calibri" w:cs="Calibri" w:eastAsia="Calibri" w:hint="default"/>
                <w:sz w:val="22"/>
                <w:szCs w:val="22"/>
              </w:rPr>
            </w:pPr>
            <w:r>
              <w:rPr>
                <w:rFonts w:ascii="Calibri" w:hAnsi="Calibri"/>
                <w:sz w:val="22"/>
              </w:rPr>
              <w:t>I would like to purchase a timeshare in</w:t>
            </w:r>
            <w:r>
              <w:rPr>
                <w:rFonts w:ascii="Calibri" w:hAnsi="Calibri"/>
                <w:spacing w:val="-16"/>
                <w:sz w:val="22"/>
              </w:rPr>
              <w:t> </w:t>
            </w:r>
            <w:r>
              <w:rPr>
                <w:rFonts w:ascii="Calibri" w:hAnsi="Calibri"/>
                <w:sz w:val="22"/>
              </w:rPr>
              <w:t>Curaçao</w:t>
            </w:r>
          </w:p>
        </w:tc>
        <w:tc>
          <w:tcPr>
            <w:tcW w:w="2493" w:type="dxa"/>
            <w:tcBorders>
              <w:top w:val="nil" w:sz="6" w:space="0" w:color="auto"/>
              <w:left w:val="nil" w:sz="6" w:space="0" w:color="auto"/>
              <w:bottom w:val="nil" w:sz="6" w:space="0" w:color="auto"/>
              <w:right w:val="nil" w:sz="6" w:space="0" w:color="auto"/>
            </w:tcBorders>
          </w:tcPr>
          <w:p>
            <w:pPr>
              <w:pStyle w:val="TableParagraph"/>
              <w:spacing w:line="240" w:lineRule="auto" w:before="18"/>
              <w:ind w:right="123"/>
              <w:jc w:val="right"/>
              <w:rPr>
                <w:rFonts w:ascii="Calibri" w:hAnsi="Calibri" w:cs="Calibri" w:eastAsia="Calibri" w:hint="default"/>
                <w:sz w:val="16"/>
                <w:szCs w:val="16"/>
              </w:rPr>
            </w:pPr>
            <w:r>
              <w:rPr>
                <w:rFonts w:ascii="Calibri" w:hAnsi="Calibri" w:cs="Calibri" w:eastAsia="Calibri" w:hint="default"/>
                <w:sz w:val="16"/>
                <w:szCs w:val="16"/>
              </w:rPr>
              <w:t>Yes</w:t>
            </w:r>
            <w:r>
              <w:rPr>
                <w:rFonts w:ascii="Calibri" w:hAnsi="Calibri" w:cs="Calibri" w:eastAsia="Calibri" w:hint="default"/>
                <w:spacing w:val="-2"/>
                <w:sz w:val="16"/>
                <w:szCs w:val="16"/>
              </w:rPr>
              <w:t> </w:t>
            </w:r>
            <w:r>
              <w:rPr>
                <w:rFonts w:ascii="Calibri" w:hAnsi="Calibri" w:cs="Calibri" w:eastAsia="Calibri" w:hint="default"/>
                <w:sz w:val="16"/>
                <w:szCs w:val="16"/>
              </w:rPr>
              <w:t>⃝</w:t>
            </w:r>
          </w:p>
        </w:tc>
        <w:tc>
          <w:tcPr>
            <w:tcW w:w="682" w:type="dxa"/>
            <w:tcBorders>
              <w:top w:val="nil" w:sz="6" w:space="0" w:color="auto"/>
              <w:left w:val="nil" w:sz="6" w:space="0" w:color="auto"/>
              <w:bottom w:val="nil" w:sz="6" w:space="0" w:color="auto"/>
              <w:right w:val="nil" w:sz="6" w:space="0" w:color="auto"/>
            </w:tcBorders>
          </w:tcPr>
          <w:p>
            <w:pPr>
              <w:pStyle w:val="TableParagraph"/>
              <w:spacing w:line="240" w:lineRule="auto" w:before="18"/>
              <w:ind w:left="125" w:right="0"/>
              <w:jc w:val="left"/>
              <w:rPr>
                <w:rFonts w:ascii="Calibri" w:hAnsi="Calibri" w:cs="Calibri" w:eastAsia="Calibri" w:hint="default"/>
                <w:sz w:val="16"/>
                <w:szCs w:val="16"/>
              </w:rPr>
            </w:pPr>
            <w:r>
              <w:rPr>
                <w:rFonts w:ascii="Calibri" w:hAnsi="Calibri" w:cs="Calibri" w:eastAsia="Calibri" w:hint="default"/>
                <w:sz w:val="16"/>
                <w:szCs w:val="16"/>
              </w:rPr>
              <w:t>No</w:t>
            </w:r>
            <w:r>
              <w:rPr>
                <w:rFonts w:ascii="Calibri" w:hAnsi="Calibri" w:cs="Calibri" w:eastAsia="Calibri" w:hint="default"/>
                <w:spacing w:val="-2"/>
                <w:sz w:val="16"/>
                <w:szCs w:val="16"/>
              </w:rPr>
              <w:t> </w:t>
            </w:r>
            <w:r>
              <w:rPr>
                <w:rFonts w:ascii="Calibri" w:hAnsi="Calibri" w:cs="Calibri" w:eastAsia="Calibri" w:hint="default"/>
                <w:sz w:val="16"/>
                <w:szCs w:val="16"/>
              </w:rPr>
              <w:t>⃝</w:t>
            </w:r>
          </w:p>
        </w:tc>
      </w:tr>
      <w:tr>
        <w:trPr>
          <w:trHeight w:val="286" w:hRule="exact"/>
        </w:trPr>
        <w:tc>
          <w:tcPr>
            <w:tcW w:w="7707" w:type="dxa"/>
            <w:tcBorders>
              <w:top w:val="nil" w:sz="6" w:space="0" w:color="auto"/>
              <w:left w:val="nil" w:sz="6" w:space="0" w:color="auto"/>
              <w:bottom w:val="single" w:sz="4" w:space="0" w:color="000000"/>
              <w:right w:val="nil" w:sz="6" w:space="0" w:color="auto"/>
            </w:tcBorders>
          </w:tcPr>
          <w:p>
            <w:pPr>
              <w:pStyle w:val="TableParagraph"/>
              <w:spacing w:line="240" w:lineRule="auto" w:before="11"/>
              <w:ind w:left="107" w:right="0"/>
              <w:jc w:val="left"/>
              <w:rPr>
                <w:rFonts w:ascii="Calibri" w:hAnsi="Calibri" w:cs="Calibri" w:eastAsia="Calibri" w:hint="default"/>
                <w:sz w:val="22"/>
                <w:szCs w:val="22"/>
              </w:rPr>
            </w:pPr>
            <w:r>
              <w:rPr>
                <w:rFonts w:ascii="Calibri"/>
                <w:sz w:val="22"/>
              </w:rPr>
              <w:t>I currently own a</w:t>
            </w:r>
            <w:r>
              <w:rPr>
                <w:rFonts w:ascii="Calibri"/>
                <w:spacing w:val="-7"/>
                <w:sz w:val="22"/>
              </w:rPr>
              <w:t> </w:t>
            </w:r>
            <w:r>
              <w:rPr>
                <w:rFonts w:ascii="Calibri"/>
                <w:sz w:val="22"/>
              </w:rPr>
              <w:t>timeshare</w:t>
            </w:r>
          </w:p>
        </w:tc>
        <w:tc>
          <w:tcPr>
            <w:tcW w:w="2493" w:type="dxa"/>
            <w:tcBorders>
              <w:top w:val="nil" w:sz="6" w:space="0" w:color="auto"/>
              <w:left w:val="nil" w:sz="6" w:space="0" w:color="auto"/>
              <w:bottom w:val="single" w:sz="4" w:space="0" w:color="000000"/>
              <w:right w:val="nil" w:sz="6" w:space="0" w:color="auto"/>
            </w:tcBorders>
          </w:tcPr>
          <w:p>
            <w:pPr>
              <w:pStyle w:val="TableParagraph"/>
              <w:spacing w:line="240" w:lineRule="auto" w:before="18"/>
              <w:ind w:right="123"/>
              <w:jc w:val="right"/>
              <w:rPr>
                <w:rFonts w:ascii="Calibri" w:hAnsi="Calibri" w:cs="Calibri" w:eastAsia="Calibri" w:hint="default"/>
                <w:sz w:val="16"/>
                <w:szCs w:val="16"/>
              </w:rPr>
            </w:pPr>
            <w:r>
              <w:rPr>
                <w:rFonts w:ascii="Calibri" w:hAnsi="Calibri" w:cs="Calibri" w:eastAsia="Calibri" w:hint="default"/>
                <w:sz w:val="16"/>
                <w:szCs w:val="16"/>
              </w:rPr>
              <w:t>Yes</w:t>
            </w:r>
            <w:r>
              <w:rPr>
                <w:rFonts w:ascii="Calibri" w:hAnsi="Calibri" w:cs="Calibri" w:eastAsia="Calibri" w:hint="default"/>
                <w:spacing w:val="-2"/>
                <w:sz w:val="16"/>
                <w:szCs w:val="16"/>
              </w:rPr>
              <w:t> </w:t>
            </w:r>
            <w:r>
              <w:rPr>
                <w:rFonts w:ascii="Calibri" w:hAnsi="Calibri" w:cs="Calibri" w:eastAsia="Calibri" w:hint="default"/>
                <w:sz w:val="16"/>
                <w:szCs w:val="16"/>
              </w:rPr>
              <w:t>⃝</w:t>
            </w:r>
          </w:p>
        </w:tc>
        <w:tc>
          <w:tcPr>
            <w:tcW w:w="682" w:type="dxa"/>
            <w:tcBorders>
              <w:top w:val="nil" w:sz="6" w:space="0" w:color="auto"/>
              <w:left w:val="nil" w:sz="6" w:space="0" w:color="auto"/>
              <w:bottom w:val="single" w:sz="4" w:space="0" w:color="000000"/>
              <w:right w:val="nil" w:sz="6" w:space="0" w:color="auto"/>
            </w:tcBorders>
          </w:tcPr>
          <w:p>
            <w:pPr>
              <w:pStyle w:val="TableParagraph"/>
              <w:spacing w:line="240" w:lineRule="auto" w:before="18"/>
              <w:ind w:left="125" w:right="0"/>
              <w:jc w:val="left"/>
              <w:rPr>
                <w:rFonts w:ascii="Calibri" w:hAnsi="Calibri" w:cs="Calibri" w:eastAsia="Calibri" w:hint="default"/>
                <w:sz w:val="16"/>
                <w:szCs w:val="16"/>
              </w:rPr>
            </w:pPr>
            <w:r>
              <w:rPr>
                <w:rFonts w:ascii="Calibri" w:hAnsi="Calibri" w:cs="Calibri" w:eastAsia="Calibri" w:hint="default"/>
                <w:sz w:val="16"/>
                <w:szCs w:val="16"/>
              </w:rPr>
              <w:t>No</w:t>
            </w:r>
            <w:r>
              <w:rPr>
                <w:rFonts w:ascii="Calibri" w:hAnsi="Calibri" w:cs="Calibri" w:eastAsia="Calibri" w:hint="default"/>
                <w:spacing w:val="-2"/>
                <w:sz w:val="16"/>
                <w:szCs w:val="16"/>
              </w:rPr>
              <w:t> </w:t>
            </w:r>
            <w:r>
              <w:rPr>
                <w:rFonts w:ascii="Calibri" w:hAnsi="Calibri" w:cs="Calibri" w:eastAsia="Calibri" w:hint="default"/>
                <w:sz w:val="16"/>
                <w:szCs w:val="16"/>
              </w:rPr>
              <w:t>⃝</w:t>
            </w:r>
          </w:p>
        </w:tc>
      </w:tr>
    </w:tbl>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4"/>
        <w:ind w:right="0"/>
        <w:rPr>
          <w:rFonts w:ascii="Calibri" w:hAnsi="Calibri" w:cs="Calibri" w:eastAsia="Calibri" w:hint="default"/>
          <w:b/>
          <w:bCs/>
          <w:sz w:val="15"/>
          <w:szCs w:val="15"/>
        </w:rPr>
      </w:pPr>
    </w:p>
    <w:p>
      <w:pPr>
        <w:spacing w:line="833" w:lineRule="exact" w:before="0"/>
        <w:ind w:left="1516" w:right="0" w:firstLine="0"/>
        <w:jc w:val="left"/>
        <w:rPr>
          <w:rFonts w:ascii="Calibri" w:hAnsi="Calibri" w:cs="Calibri" w:eastAsia="Calibri" w:hint="default"/>
          <w:sz w:val="72"/>
          <w:szCs w:val="72"/>
        </w:rPr>
      </w:pPr>
      <w:r>
        <w:rPr>
          <w:rFonts w:ascii="Calibri"/>
          <w:b/>
          <w:sz w:val="72"/>
        </w:rPr>
        <w:t>Thanks for your</w:t>
      </w:r>
      <w:r>
        <w:rPr>
          <w:rFonts w:ascii="Calibri"/>
          <w:b/>
          <w:spacing w:val="-20"/>
          <w:sz w:val="72"/>
        </w:rPr>
        <w:t> </w:t>
      </w:r>
      <w:r>
        <w:rPr>
          <w:rFonts w:ascii="Calibri"/>
          <w:b/>
          <w:sz w:val="72"/>
        </w:rPr>
        <w:t>cooperation!</w:t>
      </w:r>
      <w:r>
        <w:rPr>
          <w:rFonts w:ascii="Calibri"/>
          <w:sz w:val="72"/>
        </w:rPr>
      </w:r>
    </w:p>
    <w:p>
      <w:pPr>
        <w:spacing w:after="0" w:line="833" w:lineRule="exact"/>
        <w:jc w:val="left"/>
        <w:rPr>
          <w:rFonts w:ascii="Calibri" w:hAnsi="Calibri" w:cs="Calibri" w:eastAsia="Calibri" w:hint="default"/>
          <w:sz w:val="72"/>
          <w:szCs w:val="72"/>
        </w:rPr>
        <w:sectPr>
          <w:headerReference w:type="default" r:id="rId106"/>
          <w:footerReference w:type="default" r:id="rId107"/>
          <w:pgSz w:w="12240" w:h="15840"/>
          <w:pgMar w:header="0" w:footer="312" w:top="720" w:bottom="500" w:left="280" w:right="220"/>
          <w:pgNumType w:start="7"/>
        </w:sect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12"/>
        <w:ind w:right="0"/>
        <w:rPr>
          <w:rFonts w:ascii="Calibri" w:hAnsi="Calibri" w:cs="Calibri" w:eastAsia="Calibri" w:hint="default"/>
          <w:b/>
          <w:bCs/>
          <w:sz w:val="25"/>
          <w:szCs w:val="25"/>
        </w:rPr>
      </w:pPr>
    </w:p>
    <w:p>
      <w:pPr>
        <w:spacing w:before="19"/>
        <w:ind w:left="3000" w:right="0" w:firstLine="0"/>
        <w:jc w:val="left"/>
        <w:rPr>
          <w:rFonts w:ascii="Calibri" w:hAnsi="Calibri" w:cs="Calibri" w:eastAsia="Calibri" w:hint="default"/>
          <w:sz w:val="40"/>
          <w:szCs w:val="40"/>
        </w:rPr>
      </w:pPr>
      <w:bookmarkStart w:name="_bookmark179" w:id="180"/>
      <w:bookmarkEnd w:id="180"/>
      <w:r>
        <w:rPr/>
      </w:r>
      <w:r>
        <w:rPr>
          <w:rFonts w:ascii="Calibri"/>
          <w:b/>
          <w:sz w:val="40"/>
        </w:rPr>
        <w:t>ANNEX C: RESULTS FACTOR</w:t>
      </w:r>
      <w:r>
        <w:rPr>
          <w:rFonts w:ascii="Calibri"/>
          <w:b/>
          <w:spacing w:val="-3"/>
          <w:sz w:val="40"/>
        </w:rPr>
        <w:t> </w:t>
      </w:r>
      <w:r>
        <w:rPr>
          <w:rFonts w:ascii="Calibri"/>
          <w:b/>
          <w:sz w:val="40"/>
        </w:rPr>
        <w:t>ANALYSIS</w:t>
      </w:r>
      <w:r>
        <w:rPr>
          <w:rFonts w:ascii="Calibri"/>
          <w:sz w:val="40"/>
        </w:rPr>
      </w: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10"/>
        <w:ind w:right="0"/>
        <w:rPr>
          <w:rFonts w:ascii="Calibri" w:hAnsi="Calibri" w:cs="Calibri" w:eastAsia="Calibri" w:hint="default"/>
          <w:b/>
          <w:bCs/>
          <w:sz w:val="24"/>
          <w:szCs w:val="24"/>
        </w:rPr>
      </w:pPr>
    </w:p>
    <w:p>
      <w:pPr>
        <w:spacing w:line="86" w:lineRule="exact" w:before="0"/>
        <w:ind w:left="0" w:right="1436" w:firstLine="0"/>
        <w:jc w:val="right"/>
        <w:rPr>
          <w:rFonts w:ascii="Calibri" w:hAnsi="Calibri" w:cs="Calibri" w:eastAsia="Calibri" w:hint="default"/>
          <w:sz w:val="24"/>
          <w:szCs w:val="24"/>
        </w:rPr>
      </w:pPr>
      <w:r>
        <w:rPr>
          <w:rFonts w:ascii="Calibri"/>
          <w:b/>
          <w:i/>
          <w:color w:val="FFFFFF"/>
          <w:sz w:val="24"/>
        </w:rPr>
        <w:t>Page |</w:t>
      </w:r>
      <w:r>
        <w:rPr>
          <w:rFonts w:ascii="Calibri"/>
          <w:b/>
          <w:i/>
          <w:color w:val="FFFFFF"/>
          <w:spacing w:val="-3"/>
          <w:sz w:val="24"/>
        </w:rPr>
        <w:t> </w:t>
      </w:r>
      <w:r>
        <w:rPr>
          <w:rFonts w:ascii="Calibri"/>
          <w:b/>
          <w:i/>
          <w:color w:val="FFFFFF"/>
          <w:sz w:val="24"/>
        </w:rPr>
        <w:t>C</w:t>
      </w:r>
      <w:r>
        <w:rPr>
          <w:rFonts w:ascii="Calibri"/>
          <w:sz w:val="24"/>
        </w:rPr>
      </w:r>
    </w:p>
    <w:p>
      <w:pPr>
        <w:spacing w:after="0" w:line="86" w:lineRule="exact"/>
        <w:jc w:val="right"/>
        <w:rPr>
          <w:rFonts w:ascii="Calibri" w:hAnsi="Calibri" w:cs="Calibri" w:eastAsia="Calibri" w:hint="default"/>
          <w:sz w:val="24"/>
          <w:szCs w:val="24"/>
        </w:rPr>
        <w:sectPr>
          <w:headerReference w:type="default" r:id="rId108"/>
          <w:footerReference w:type="default" r:id="rId109"/>
          <w:pgSz w:w="12240" w:h="15840"/>
          <w:pgMar w:header="0" w:footer="509" w:top="840" w:bottom="700" w:left="0" w:right="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2" w:after="0"/>
        <w:ind w:right="0"/>
        <w:rPr>
          <w:rFonts w:ascii="Times New Roman" w:hAnsi="Times New Roman" w:cs="Times New Roman" w:eastAsia="Times New Roman" w:hint="default"/>
          <w:sz w:val="23"/>
          <w:szCs w:val="23"/>
        </w:rPr>
      </w:pPr>
    </w:p>
    <w:tbl>
      <w:tblPr>
        <w:tblW w:w="0" w:type="auto"/>
        <w:jc w:val="left"/>
        <w:tblInd w:w="1841" w:type="dxa"/>
        <w:tblLayout w:type="fixed"/>
        <w:tblCellMar>
          <w:top w:w="0" w:type="dxa"/>
          <w:left w:w="0" w:type="dxa"/>
          <w:bottom w:w="0" w:type="dxa"/>
          <w:right w:w="0" w:type="dxa"/>
        </w:tblCellMar>
        <w:tblLook w:val="01E0"/>
      </w:tblPr>
      <w:tblGrid>
        <w:gridCol w:w="6642"/>
        <w:gridCol w:w="938"/>
        <w:gridCol w:w="982"/>
      </w:tblGrid>
      <w:tr>
        <w:trPr>
          <w:trHeight w:val="253" w:hRule="exact"/>
        </w:trPr>
        <w:tc>
          <w:tcPr>
            <w:tcW w:w="6642" w:type="dxa"/>
            <w:tcBorders>
              <w:top w:val="nil" w:sz="6" w:space="0" w:color="auto"/>
              <w:left w:val="nil" w:sz="6" w:space="0" w:color="auto"/>
              <w:bottom w:val="single" w:sz="17" w:space="0" w:color="000000"/>
              <w:right w:val="nil" w:sz="6" w:space="0" w:color="auto"/>
            </w:tcBorders>
          </w:tcPr>
          <w:p>
            <w:pPr>
              <w:pStyle w:val="TableParagraph"/>
              <w:spacing w:line="189" w:lineRule="exact"/>
              <w:ind w:left="3118" w:right="0"/>
              <w:jc w:val="left"/>
              <w:rPr>
                <w:rFonts w:ascii="Calibri" w:hAnsi="Calibri" w:cs="Calibri" w:eastAsia="Calibri" w:hint="default"/>
                <w:sz w:val="12"/>
                <w:szCs w:val="12"/>
              </w:rPr>
            </w:pPr>
            <w:r>
              <w:rPr>
                <w:rFonts w:ascii="Calibri"/>
                <w:b/>
                <w:sz w:val="18"/>
              </w:rPr>
              <w:t>Attitude Dimension</w:t>
            </w:r>
            <w:r>
              <w:rPr>
                <w:rFonts w:ascii="Calibri"/>
                <w:b/>
                <w:spacing w:val="-9"/>
                <w:sz w:val="18"/>
              </w:rPr>
              <w:t> </w:t>
            </w:r>
            <w:r>
              <w:rPr>
                <w:rFonts w:ascii="Calibri"/>
                <w:b/>
                <w:sz w:val="18"/>
              </w:rPr>
              <w:t>Reduction</w:t>
            </w:r>
            <w:r>
              <w:rPr>
                <w:rFonts w:ascii="Calibri"/>
                <w:b/>
                <w:position w:val="5"/>
                <w:sz w:val="12"/>
              </w:rPr>
              <w:t>a</w:t>
            </w:r>
            <w:r>
              <w:rPr>
                <w:rFonts w:ascii="Calibri"/>
                <w:sz w:val="12"/>
              </w:rPr>
            </w:r>
          </w:p>
        </w:tc>
        <w:tc>
          <w:tcPr>
            <w:tcW w:w="938" w:type="dxa"/>
            <w:tcBorders>
              <w:top w:val="nil" w:sz="6" w:space="0" w:color="auto"/>
              <w:left w:val="nil" w:sz="6" w:space="0" w:color="auto"/>
              <w:bottom w:val="single" w:sz="17" w:space="0" w:color="000000"/>
              <w:right w:val="nil" w:sz="6" w:space="0" w:color="auto"/>
            </w:tcBorders>
          </w:tcPr>
          <w:p>
            <w:pPr/>
          </w:p>
        </w:tc>
        <w:tc>
          <w:tcPr>
            <w:tcW w:w="982" w:type="dxa"/>
            <w:tcBorders>
              <w:top w:val="nil" w:sz="6" w:space="0" w:color="auto"/>
              <w:left w:val="nil" w:sz="6" w:space="0" w:color="auto"/>
              <w:bottom w:val="single" w:sz="17" w:space="0" w:color="000000"/>
              <w:right w:val="nil" w:sz="6" w:space="0" w:color="auto"/>
            </w:tcBorders>
          </w:tcPr>
          <w:p>
            <w:pPr/>
          </w:p>
        </w:tc>
      </w:tr>
      <w:tr>
        <w:trPr>
          <w:trHeight w:val="326" w:hRule="exact"/>
        </w:trPr>
        <w:tc>
          <w:tcPr>
            <w:tcW w:w="8562" w:type="dxa"/>
            <w:gridSpan w:val="3"/>
            <w:tcBorders>
              <w:top w:val="single" w:sz="17" w:space="0" w:color="000000"/>
              <w:left w:val="nil" w:sz="6" w:space="0" w:color="auto"/>
              <w:bottom w:val="nil" w:sz="6" w:space="0" w:color="auto"/>
              <w:right w:val="nil" w:sz="6" w:space="0" w:color="auto"/>
            </w:tcBorders>
          </w:tcPr>
          <w:p>
            <w:pPr>
              <w:pStyle w:val="TableParagraph"/>
              <w:spacing w:line="240" w:lineRule="auto" w:before="80"/>
              <w:ind w:right="531"/>
              <w:jc w:val="right"/>
              <w:rPr>
                <w:rFonts w:ascii="Calibri" w:hAnsi="Calibri" w:cs="Calibri" w:eastAsia="Calibri" w:hint="default"/>
                <w:sz w:val="18"/>
                <w:szCs w:val="18"/>
              </w:rPr>
            </w:pPr>
            <w:r>
              <w:rPr>
                <w:rFonts w:ascii="Calibri"/>
                <w:spacing w:val="-1"/>
                <w:sz w:val="18"/>
              </w:rPr>
              <w:t>Component</w:t>
            </w:r>
          </w:p>
        </w:tc>
      </w:tr>
      <w:tr>
        <w:trPr>
          <w:trHeight w:val="355" w:hRule="exact"/>
        </w:trPr>
        <w:tc>
          <w:tcPr>
            <w:tcW w:w="6642" w:type="dxa"/>
            <w:tcBorders>
              <w:top w:val="nil" w:sz="6" w:space="0" w:color="auto"/>
              <w:left w:val="nil" w:sz="6" w:space="0" w:color="auto"/>
              <w:bottom w:val="single" w:sz="12" w:space="0" w:color="000000"/>
              <w:right w:val="nil" w:sz="6" w:space="0" w:color="auto"/>
            </w:tcBorders>
          </w:tcPr>
          <w:p>
            <w:pPr/>
          </w:p>
        </w:tc>
        <w:tc>
          <w:tcPr>
            <w:tcW w:w="938" w:type="dxa"/>
            <w:tcBorders>
              <w:top w:val="single" w:sz="4" w:space="0" w:color="000000"/>
              <w:left w:val="nil" w:sz="6" w:space="0" w:color="auto"/>
              <w:bottom w:val="single" w:sz="12" w:space="0" w:color="000000"/>
              <w:right w:val="nil" w:sz="6" w:space="0" w:color="auto"/>
            </w:tcBorders>
          </w:tcPr>
          <w:p>
            <w:pPr>
              <w:pStyle w:val="TableParagraph"/>
              <w:spacing w:line="240" w:lineRule="auto" w:before="116"/>
              <w:ind w:left="182" w:right="0"/>
              <w:jc w:val="left"/>
              <w:rPr>
                <w:rFonts w:ascii="Calibri" w:hAnsi="Calibri" w:cs="Calibri" w:eastAsia="Calibri" w:hint="default"/>
                <w:sz w:val="18"/>
                <w:szCs w:val="18"/>
              </w:rPr>
            </w:pPr>
            <w:r>
              <w:rPr>
                <w:rFonts w:ascii="Calibri"/>
                <w:b/>
                <w:sz w:val="18"/>
              </w:rPr>
              <w:t>Positive</w:t>
            </w:r>
            <w:r>
              <w:rPr>
                <w:rFonts w:ascii="Calibri"/>
                <w:sz w:val="18"/>
              </w:rPr>
            </w:r>
          </w:p>
        </w:tc>
        <w:tc>
          <w:tcPr>
            <w:tcW w:w="982" w:type="dxa"/>
            <w:tcBorders>
              <w:top w:val="single" w:sz="4" w:space="0" w:color="000000"/>
              <w:left w:val="nil" w:sz="6" w:space="0" w:color="auto"/>
              <w:bottom w:val="single" w:sz="12" w:space="0" w:color="000000"/>
              <w:right w:val="nil" w:sz="6" w:space="0" w:color="auto"/>
            </w:tcBorders>
          </w:tcPr>
          <w:p>
            <w:pPr>
              <w:pStyle w:val="TableParagraph"/>
              <w:spacing w:line="240" w:lineRule="auto" w:before="116"/>
              <w:ind w:right="150"/>
              <w:jc w:val="right"/>
              <w:rPr>
                <w:rFonts w:ascii="Calibri" w:hAnsi="Calibri" w:cs="Calibri" w:eastAsia="Calibri" w:hint="default"/>
                <w:sz w:val="18"/>
                <w:szCs w:val="18"/>
              </w:rPr>
            </w:pPr>
            <w:r>
              <w:rPr>
                <w:rFonts w:ascii="Calibri"/>
                <w:b/>
                <w:spacing w:val="-1"/>
                <w:sz w:val="18"/>
              </w:rPr>
              <w:t>Negative</w:t>
            </w:r>
            <w:r>
              <w:rPr>
                <w:rFonts w:ascii="Calibri"/>
                <w:spacing w:val="-1"/>
                <w:sz w:val="18"/>
              </w:rPr>
            </w:r>
          </w:p>
        </w:tc>
      </w:tr>
      <w:tr>
        <w:trPr>
          <w:trHeight w:val="298" w:hRule="exact"/>
        </w:trPr>
        <w:tc>
          <w:tcPr>
            <w:tcW w:w="6642" w:type="dxa"/>
            <w:tcBorders>
              <w:top w:val="single" w:sz="12" w:space="0" w:color="000000"/>
              <w:left w:val="nil" w:sz="6" w:space="0" w:color="auto"/>
              <w:bottom w:val="nil" w:sz="6" w:space="0" w:color="auto"/>
              <w:right w:val="nil" w:sz="6" w:space="0" w:color="auto"/>
            </w:tcBorders>
          </w:tcPr>
          <w:p>
            <w:pPr>
              <w:pStyle w:val="TableParagraph"/>
              <w:spacing w:line="240" w:lineRule="auto" w:before="1"/>
              <w:ind w:left="108" w:right="0"/>
              <w:jc w:val="left"/>
              <w:rPr>
                <w:rFonts w:ascii="Calibri" w:hAnsi="Calibri" w:cs="Calibri" w:eastAsia="Calibri" w:hint="default"/>
                <w:sz w:val="18"/>
                <w:szCs w:val="18"/>
              </w:rPr>
            </w:pPr>
            <w:r>
              <w:rPr>
                <w:rFonts w:ascii="Calibri"/>
                <w:sz w:val="18"/>
              </w:rPr>
              <w:t>Curacao offers activities that I look for</w:t>
            </w:r>
            <w:r>
              <w:rPr>
                <w:rFonts w:ascii="Calibri"/>
                <w:spacing w:val="-14"/>
                <w:sz w:val="18"/>
              </w:rPr>
              <w:t> </w:t>
            </w:r>
            <w:r>
              <w:rPr>
                <w:rFonts w:ascii="Calibri"/>
                <w:sz w:val="18"/>
              </w:rPr>
              <w:t>vacation.</w:t>
            </w:r>
          </w:p>
        </w:tc>
        <w:tc>
          <w:tcPr>
            <w:tcW w:w="938" w:type="dxa"/>
            <w:tcBorders>
              <w:top w:val="single" w:sz="12" w:space="0" w:color="000000"/>
              <w:left w:val="nil" w:sz="6" w:space="0" w:color="auto"/>
              <w:bottom w:val="nil" w:sz="6" w:space="0" w:color="auto"/>
              <w:right w:val="nil" w:sz="6" w:space="0" w:color="auto"/>
            </w:tcBorders>
          </w:tcPr>
          <w:p>
            <w:pPr>
              <w:pStyle w:val="TableParagraph"/>
              <w:spacing w:line="240" w:lineRule="auto" w:before="1"/>
              <w:ind w:right="87"/>
              <w:jc w:val="right"/>
              <w:rPr>
                <w:rFonts w:ascii="Calibri" w:hAnsi="Calibri" w:cs="Calibri" w:eastAsia="Calibri" w:hint="default"/>
                <w:sz w:val="18"/>
                <w:szCs w:val="18"/>
              </w:rPr>
            </w:pPr>
            <w:r>
              <w:rPr>
                <w:rFonts w:ascii="Calibri"/>
                <w:spacing w:val="-1"/>
                <w:w w:val="95"/>
                <w:sz w:val="18"/>
              </w:rPr>
              <w:t>.840</w:t>
            </w:r>
            <w:r>
              <w:rPr>
                <w:rFonts w:ascii="Calibri"/>
                <w:w w:val="95"/>
                <w:sz w:val="18"/>
              </w:rPr>
            </w:r>
          </w:p>
        </w:tc>
        <w:tc>
          <w:tcPr>
            <w:tcW w:w="982" w:type="dxa"/>
            <w:tcBorders>
              <w:top w:val="single" w:sz="12" w:space="0" w:color="000000"/>
              <w:left w:val="nil" w:sz="6" w:space="0" w:color="auto"/>
              <w:bottom w:val="nil" w:sz="6" w:space="0" w:color="auto"/>
              <w:right w:val="nil" w:sz="6" w:space="0" w:color="auto"/>
            </w:tcBorders>
          </w:tcPr>
          <w:p>
            <w:pPr/>
          </w:p>
        </w:tc>
      </w:tr>
      <w:tr>
        <w:trPr>
          <w:trHeight w:val="312" w:hRule="exact"/>
        </w:trPr>
        <w:tc>
          <w:tcPr>
            <w:tcW w:w="6642" w:type="dxa"/>
            <w:tcBorders>
              <w:top w:val="nil" w:sz="6" w:space="0" w:color="auto"/>
              <w:left w:val="nil" w:sz="6" w:space="0" w:color="auto"/>
              <w:bottom w:val="nil" w:sz="6" w:space="0" w:color="auto"/>
              <w:right w:val="nil" w:sz="6" w:space="0" w:color="auto"/>
            </w:tcBorders>
          </w:tcPr>
          <w:p>
            <w:pPr>
              <w:pStyle w:val="TableParagraph"/>
              <w:spacing w:line="240" w:lineRule="auto" w:before="29"/>
              <w:ind w:left="108" w:right="0"/>
              <w:jc w:val="left"/>
              <w:rPr>
                <w:rFonts w:ascii="Calibri" w:hAnsi="Calibri" w:cs="Calibri" w:eastAsia="Calibri" w:hint="default"/>
                <w:sz w:val="18"/>
                <w:szCs w:val="18"/>
              </w:rPr>
            </w:pPr>
            <w:r>
              <w:rPr>
                <w:rFonts w:ascii="Calibri"/>
                <w:sz w:val="18"/>
              </w:rPr>
              <w:t>Curacao has a good image for</w:t>
            </w:r>
            <w:r>
              <w:rPr>
                <w:rFonts w:ascii="Calibri"/>
                <w:spacing w:val="-8"/>
                <w:sz w:val="18"/>
              </w:rPr>
              <w:t> </w:t>
            </w:r>
            <w:r>
              <w:rPr>
                <w:rFonts w:ascii="Calibri"/>
                <w:sz w:val="18"/>
              </w:rPr>
              <w:t>me.</w:t>
            </w:r>
          </w:p>
        </w:tc>
        <w:tc>
          <w:tcPr>
            <w:tcW w:w="938" w:type="dxa"/>
            <w:tcBorders>
              <w:top w:val="nil" w:sz="6" w:space="0" w:color="auto"/>
              <w:left w:val="nil" w:sz="6" w:space="0" w:color="auto"/>
              <w:bottom w:val="nil" w:sz="6" w:space="0" w:color="auto"/>
              <w:right w:val="nil" w:sz="6" w:space="0" w:color="auto"/>
            </w:tcBorders>
          </w:tcPr>
          <w:p>
            <w:pPr>
              <w:pStyle w:val="TableParagraph"/>
              <w:spacing w:line="240" w:lineRule="auto" w:before="29"/>
              <w:ind w:right="87"/>
              <w:jc w:val="right"/>
              <w:rPr>
                <w:rFonts w:ascii="Calibri" w:hAnsi="Calibri" w:cs="Calibri" w:eastAsia="Calibri" w:hint="default"/>
                <w:sz w:val="18"/>
                <w:szCs w:val="18"/>
              </w:rPr>
            </w:pPr>
            <w:r>
              <w:rPr>
                <w:rFonts w:ascii="Calibri"/>
                <w:spacing w:val="-1"/>
                <w:w w:val="95"/>
                <w:sz w:val="18"/>
              </w:rPr>
              <w:t>.824</w:t>
            </w:r>
            <w:r>
              <w:rPr>
                <w:rFonts w:ascii="Calibri"/>
                <w:w w:val="95"/>
                <w:sz w:val="18"/>
              </w:rPr>
            </w:r>
          </w:p>
        </w:tc>
        <w:tc>
          <w:tcPr>
            <w:tcW w:w="982" w:type="dxa"/>
            <w:tcBorders>
              <w:top w:val="nil" w:sz="6" w:space="0" w:color="auto"/>
              <w:left w:val="nil" w:sz="6" w:space="0" w:color="auto"/>
              <w:bottom w:val="nil" w:sz="6" w:space="0" w:color="auto"/>
              <w:right w:val="nil" w:sz="6" w:space="0" w:color="auto"/>
            </w:tcBorders>
          </w:tcPr>
          <w:p>
            <w:pPr/>
          </w:p>
        </w:tc>
      </w:tr>
      <w:tr>
        <w:trPr>
          <w:trHeight w:val="306" w:hRule="exact"/>
        </w:trPr>
        <w:tc>
          <w:tcPr>
            <w:tcW w:w="6642" w:type="dxa"/>
            <w:tcBorders>
              <w:top w:val="nil" w:sz="6" w:space="0" w:color="auto"/>
              <w:left w:val="nil" w:sz="6" w:space="0" w:color="auto"/>
              <w:bottom w:val="nil" w:sz="6" w:space="0" w:color="auto"/>
              <w:right w:val="nil" w:sz="6" w:space="0" w:color="auto"/>
            </w:tcBorders>
          </w:tcPr>
          <w:p>
            <w:pPr>
              <w:pStyle w:val="TableParagraph"/>
              <w:spacing w:line="240" w:lineRule="auto" w:before="29"/>
              <w:ind w:left="108" w:right="0"/>
              <w:jc w:val="left"/>
              <w:rPr>
                <w:rFonts w:ascii="Calibri" w:hAnsi="Calibri" w:cs="Calibri" w:eastAsia="Calibri" w:hint="default"/>
                <w:sz w:val="18"/>
                <w:szCs w:val="18"/>
              </w:rPr>
            </w:pPr>
            <w:r>
              <w:rPr>
                <w:rFonts w:ascii="Calibri"/>
                <w:sz w:val="18"/>
              </w:rPr>
              <w:t>A trip to Curacao is worth the money I</w:t>
            </w:r>
            <w:r>
              <w:rPr>
                <w:rFonts w:ascii="Calibri"/>
                <w:spacing w:val="-15"/>
                <w:sz w:val="18"/>
              </w:rPr>
              <w:t> </w:t>
            </w:r>
            <w:r>
              <w:rPr>
                <w:rFonts w:ascii="Calibri"/>
                <w:sz w:val="18"/>
              </w:rPr>
              <w:t>spend.</w:t>
            </w:r>
          </w:p>
        </w:tc>
        <w:tc>
          <w:tcPr>
            <w:tcW w:w="938" w:type="dxa"/>
            <w:tcBorders>
              <w:top w:val="nil" w:sz="6" w:space="0" w:color="auto"/>
              <w:left w:val="nil" w:sz="6" w:space="0" w:color="auto"/>
              <w:bottom w:val="nil" w:sz="6" w:space="0" w:color="auto"/>
              <w:right w:val="nil" w:sz="6" w:space="0" w:color="auto"/>
            </w:tcBorders>
          </w:tcPr>
          <w:p>
            <w:pPr>
              <w:pStyle w:val="TableParagraph"/>
              <w:spacing w:line="240" w:lineRule="auto" w:before="29"/>
              <w:ind w:right="87"/>
              <w:jc w:val="right"/>
              <w:rPr>
                <w:rFonts w:ascii="Calibri" w:hAnsi="Calibri" w:cs="Calibri" w:eastAsia="Calibri" w:hint="default"/>
                <w:sz w:val="18"/>
                <w:szCs w:val="18"/>
              </w:rPr>
            </w:pPr>
            <w:r>
              <w:rPr>
                <w:rFonts w:ascii="Calibri"/>
                <w:spacing w:val="-1"/>
                <w:w w:val="95"/>
                <w:sz w:val="18"/>
              </w:rPr>
              <w:t>.812</w:t>
            </w:r>
            <w:r>
              <w:rPr>
                <w:rFonts w:ascii="Calibri"/>
                <w:w w:val="95"/>
                <w:sz w:val="18"/>
              </w:rPr>
            </w:r>
          </w:p>
        </w:tc>
        <w:tc>
          <w:tcPr>
            <w:tcW w:w="982" w:type="dxa"/>
            <w:tcBorders>
              <w:top w:val="nil" w:sz="6" w:space="0" w:color="auto"/>
              <w:left w:val="nil" w:sz="6" w:space="0" w:color="auto"/>
              <w:bottom w:val="nil" w:sz="6" w:space="0" w:color="auto"/>
              <w:right w:val="nil" w:sz="6" w:space="0" w:color="auto"/>
            </w:tcBorders>
          </w:tcPr>
          <w:p>
            <w:pPr/>
          </w:p>
        </w:tc>
      </w:tr>
      <w:tr>
        <w:trPr>
          <w:trHeight w:val="300" w:hRule="exact"/>
        </w:trPr>
        <w:tc>
          <w:tcPr>
            <w:tcW w:w="6642" w:type="dxa"/>
            <w:tcBorders>
              <w:top w:val="nil" w:sz="6" w:space="0" w:color="auto"/>
              <w:left w:val="nil" w:sz="6" w:space="0" w:color="auto"/>
              <w:bottom w:val="nil" w:sz="6" w:space="0" w:color="auto"/>
              <w:right w:val="nil" w:sz="6" w:space="0" w:color="auto"/>
            </w:tcBorders>
          </w:tcPr>
          <w:p>
            <w:pPr>
              <w:pStyle w:val="TableParagraph"/>
              <w:spacing w:line="240" w:lineRule="auto" w:before="23"/>
              <w:ind w:left="108" w:right="0"/>
              <w:jc w:val="left"/>
              <w:rPr>
                <w:rFonts w:ascii="Calibri" w:hAnsi="Calibri" w:cs="Calibri" w:eastAsia="Calibri" w:hint="default"/>
                <w:sz w:val="18"/>
                <w:szCs w:val="18"/>
              </w:rPr>
            </w:pPr>
            <w:r>
              <w:rPr>
                <w:rFonts w:ascii="Calibri"/>
                <w:sz w:val="18"/>
              </w:rPr>
              <w:t>Quality of services is high in</w:t>
            </w:r>
            <w:r>
              <w:rPr>
                <w:rFonts w:ascii="Calibri"/>
                <w:spacing w:val="-9"/>
                <w:sz w:val="18"/>
              </w:rPr>
              <w:t> </w:t>
            </w:r>
            <w:r>
              <w:rPr>
                <w:rFonts w:ascii="Calibri"/>
                <w:sz w:val="18"/>
              </w:rPr>
              <w:t>Curacao.</w:t>
            </w:r>
          </w:p>
        </w:tc>
        <w:tc>
          <w:tcPr>
            <w:tcW w:w="938" w:type="dxa"/>
            <w:tcBorders>
              <w:top w:val="nil" w:sz="6" w:space="0" w:color="auto"/>
              <w:left w:val="nil" w:sz="6" w:space="0" w:color="auto"/>
              <w:bottom w:val="nil" w:sz="6" w:space="0" w:color="auto"/>
              <w:right w:val="nil" w:sz="6" w:space="0" w:color="auto"/>
            </w:tcBorders>
          </w:tcPr>
          <w:p>
            <w:pPr>
              <w:pStyle w:val="TableParagraph"/>
              <w:spacing w:line="240" w:lineRule="auto" w:before="23"/>
              <w:ind w:right="87"/>
              <w:jc w:val="right"/>
              <w:rPr>
                <w:rFonts w:ascii="Calibri" w:hAnsi="Calibri" w:cs="Calibri" w:eastAsia="Calibri" w:hint="default"/>
                <w:sz w:val="18"/>
                <w:szCs w:val="18"/>
              </w:rPr>
            </w:pPr>
            <w:r>
              <w:rPr>
                <w:rFonts w:ascii="Calibri"/>
                <w:spacing w:val="-1"/>
                <w:w w:val="95"/>
                <w:sz w:val="18"/>
              </w:rPr>
              <w:t>.810</w:t>
            </w:r>
            <w:r>
              <w:rPr>
                <w:rFonts w:ascii="Calibri"/>
                <w:w w:val="95"/>
                <w:sz w:val="18"/>
              </w:rPr>
            </w:r>
          </w:p>
        </w:tc>
        <w:tc>
          <w:tcPr>
            <w:tcW w:w="982" w:type="dxa"/>
            <w:tcBorders>
              <w:top w:val="nil" w:sz="6" w:space="0" w:color="auto"/>
              <w:left w:val="nil" w:sz="6" w:space="0" w:color="auto"/>
              <w:bottom w:val="nil" w:sz="6" w:space="0" w:color="auto"/>
              <w:right w:val="nil" w:sz="6" w:space="0" w:color="auto"/>
            </w:tcBorders>
          </w:tcPr>
          <w:p>
            <w:pPr/>
          </w:p>
        </w:tc>
      </w:tr>
      <w:tr>
        <w:trPr>
          <w:trHeight w:val="306" w:hRule="exact"/>
        </w:trPr>
        <w:tc>
          <w:tcPr>
            <w:tcW w:w="6642" w:type="dxa"/>
            <w:tcBorders>
              <w:top w:val="nil" w:sz="6" w:space="0" w:color="auto"/>
              <w:left w:val="nil" w:sz="6" w:space="0" w:color="auto"/>
              <w:bottom w:val="nil" w:sz="6" w:space="0" w:color="auto"/>
              <w:right w:val="nil" w:sz="6" w:space="0" w:color="auto"/>
            </w:tcBorders>
          </w:tcPr>
          <w:p>
            <w:pPr>
              <w:pStyle w:val="TableParagraph"/>
              <w:spacing w:line="240" w:lineRule="auto" w:before="23"/>
              <w:ind w:left="108" w:right="0"/>
              <w:jc w:val="left"/>
              <w:rPr>
                <w:rFonts w:ascii="Calibri" w:hAnsi="Calibri" w:cs="Calibri" w:eastAsia="Calibri" w:hint="default"/>
                <w:sz w:val="18"/>
                <w:szCs w:val="18"/>
              </w:rPr>
            </w:pPr>
            <w:r>
              <w:rPr>
                <w:rFonts w:ascii="Calibri"/>
                <w:sz w:val="18"/>
              </w:rPr>
              <w:t>Curacao offers attractions that I look for</w:t>
            </w:r>
            <w:r>
              <w:rPr>
                <w:rFonts w:ascii="Calibri"/>
                <w:spacing w:val="-14"/>
                <w:sz w:val="18"/>
              </w:rPr>
              <w:t> </w:t>
            </w:r>
            <w:r>
              <w:rPr>
                <w:rFonts w:ascii="Calibri"/>
                <w:sz w:val="18"/>
              </w:rPr>
              <w:t>vacation.</w:t>
            </w:r>
          </w:p>
        </w:tc>
        <w:tc>
          <w:tcPr>
            <w:tcW w:w="938" w:type="dxa"/>
            <w:tcBorders>
              <w:top w:val="nil" w:sz="6" w:space="0" w:color="auto"/>
              <w:left w:val="nil" w:sz="6" w:space="0" w:color="auto"/>
              <w:bottom w:val="nil" w:sz="6" w:space="0" w:color="auto"/>
              <w:right w:val="nil" w:sz="6" w:space="0" w:color="auto"/>
            </w:tcBorders>
          </w:tcPr>
          <w:p>
            <w:pPr>
              <w:pStyle w:val="TableParagraph"/>
              <w:spacing w:line="240" w:lineRule="auto" w:before="23"/>
              <w:ind w:right="87"/>
              <w:jc w:val="right"/>
              <w:rPr>
                <w:rFonts w:ascii="Calibri" w:hAnsi="Calibri" w:cs="Calibri" w:eastAsia="Calibri" w:hint="default"/>
                <w:sz w:val="18"/>
                <w:szCs w:val="18"/>
              </w:rPr>
            </w:pPr>
            <w:r>
              <w:rPr>
                <w:rFonts w:ascii="Calibri"/>
                <w:spacing w:val="-1"/>
                <w:w w:val="95"/>
                <w:sz w:val="18"/>
              </w:rPr>
              <w:t>.810</w:t>
            </w:r>
            <w:r>
              <w:rPr>
                <w:rFonts w:ascii="Calibri"/>
                <w:w w:val="95"/>
                <w:sz w:val="18"/>
              </w:rPr>
            </w:r>
          </w:p>
        </w:tc>
        <w:tc>
          <w:tcPr>
            <w:tcW w:w="982" w:type="dxa"/>
            <w:tcBorders>
              <w:top w:val="nil" w:sz="6" w:space="0" w:color="auto"/>
              <w:left w:val="nil" w:sz="6" w:space="0" w:color="auto"/>
              <w:bottom w:val="nil" w:sz="6" w:space="0" w:color="auto"/>
              <w:right w:val="nil" w:sz="6" w:space="0" w:color="auto"/>
            </w:tcBorders>
          </w:tcPr>
          <w:p>
            <w:pPr/>
          </w:p>
        </w:tc>
      </w:tr>
      <w:tr>
        <w:trPr>
          <w:trHeight w:val="306" w:hRule="exact"/>
        </w:trPr>
        <w:tc>
          <w:tcPr>
            <w:tcW w:w="6642" w:type="dxa"/>
            <w:tcBorders>
              <w:top w:val="nil" w:sz="6" w:space="0" w:color="auto"/>
              <w:left w:val="nil" w:sz="6" w:space="0" w:color="auto"/>
              <w:bottom w:val="nil" w:sz="6" w:space="0" w:color="auto"/>
              <w:right w:val="nil" w:sz="6" w:space="0" w:color="auto"/>
            </w:tcBorders>
          </w:tcPr>
          <w:p>
            <w:pPr>
              <w:pStyle w:val="TableParagraph"/>
              <w:spacing w:line="240" w:lineRule="auto" w:before="30"/>
              <w:ind w:left="108" w:right="0"/>
              <w:jc w:val="left"/>
              <w:rPr>
                <w:rFonts w:ascii="Calibri" w:hAnsi="Calibri" w:cs="Calibri" w:eastAsia="Calibri" w:hint="default"/>
                <w:sz w:val="18"/>
                <w:szCs w:val="18"/>
              </w:rPr>
            </w:pPr>
            <w:r>
              <w:rPr>
                <w:rFonts w:ascii="Calibri"/>
                <w:sz w:val="18"/>
              </w:rPr>
              <w:t>Curacao has high quality tourist</w:t>
            </w:r>
            <w:r>
              <w:rPr>
                <w:rFonts w:ascii="Calibri"/>
                <w:spacing w:val="-12"/>
                <w:sz w:val="18"/>
              </w:rPr>
              <w:t> </w:t>
            </w:r>
            <w:r>
              <w:rPr>
                <w:rFonts w:ascii="Calibri"/>
                <w:sz w:val="18"/>
              </w:rPr>
              <w:t>products.</w:t>
            </w:r>
          </w:p>
        </w:tc>
        <w:tc>
          <w:tcPr>
            <w:tcW w:w="938" w:type="dxa"/>
            <w:tcBorders>
              <w:top w:val="nil" w:sz="6" w:space="0" w:color="auto"/>
              <w:left w:val="nil" w:sz="6" w:space="0" w:color="auto"/>
              <w:bottom w:val="nil" w:sz="6" w:space="0" w:color="auto"/>
              <w:right w:val="nil" w:sz="6" w:space="0" w:color="auto"/>
            </w:tcBorders>
          </w:tcPr>
          <w:p>
            <w:pPr>
              <w:pStyle w:val="TableParagraph"/>
              <w:spacing w:line="240" w:lineRule="auto" w:before="30"/>
              <w:ind w:right="87"/>
              <w:jc w:val="right"/>
              <w:rPr>
                <w:rFonts w:ascii="Calibri" w:hAnsi="Calibri" w:cs="Calibri" w:eastAsia="Calibri" w:hint="default"/>
                <w:sz w:val="18"/>
                <w:szCs w:val="18"/>
              </w:rPr>
            </w:pPr>
            <w:r>
              <w:rPr>
                <w:rFonts w:ascii="Calibri"/>
                <w:spacing w:val="-1"/>
                <w:w w:val="95"/>
                <w:sz w:val="18"/>
              </w:rPr>
              <w:t>.804</w:t>
            </w:r>
            <w:r>
              <w:rPr>
                <w:rFonts w:ascii="Calibri"/>
                <w:w w:val="95"/>
                <w:sz w:val="18"/>
              </w:rPr>
            </w:r>
          </w:p>
        </w:tc>
        <w:tc>
          <w:tcPr>
            <w:tcW w:w="982" w:type="dxa"/>
            <w:tcBorders>
              <w:top w:val="nil" w:sz="6" w:space="0" w:color="auto"/>
              <w:left w:val="nil" w:sz="6" w:space="0" w:color="auto"/>
              <w:bottom w:val="nil" w:sz="6" w:space="0" w:color="auto"/>
              <w:right w:val="nil" w:sz="6" w:space="0" w:color="auto"/>
            </w:tcBorders>
          </w:tcPr>
          <w:p>
            <w:pPr/>
          </w:p>
        </w:tc>
      </w:tr>
      <w:tr>
        <w:trPr>
          <w:trHeight w:val="294" w:hRule="exact"/>
        </w:trPr>
        <w:tc>
          <w:tcPr>
            <w:tcW w:w="6642" w:type="dxa"/>
            <w:tcBorders>
              <w:top w:val="nil" w:sz="6" w:space="0" w:color="auto"/>
              <w:left w:val="nil" w:sz="6" w:space="0" w:color="auto"/>
              <w:bottom w:val="nil" w:sz="6" w:space="0" w:color="auto"/>
              <w:right w:val="nil" w:sz="6" w:space="0" w:color="auto"/>
            </w:tcBorders>
          </w:tcPr>
          <w:p>
            <w:pPr>
              <w:pStyle w:val="TableParagraph"/>
              <w:spacing w:line="240" w:lineRule="auto" w:before="23"/>
              <w:ind w:left="108" w:right="0"/>
              <w:jc w:val="left"/>
              <w:rPr>
                <w:rFonts w:ascii="Calibri" w:hAnsi="Calibri" w:cs="Calibri" w:eastAsia="Calibri" w:hint="default"/>
                <w:sz w:val="18"/>
                <w:szCs w:val="18"/>
              </w:rPr>
            </w:pPr>
            <w:r>
              <w:rPr>
                <w:rFonts w:ascii="Calibri"/>
                <w:sz w:val="18"/>
              </w:rPr>
              <w:t>Curacao is Safe and</w:t>
            </w:r>
            <w:r>
              <w:rPr>
                <w:rFonts w:ascii="Calibri"/>
                <w:spacing w:val="-8"/>
                <w:sz w:val="18"/>
              </w:rPr>
              <w:t> </w:t>
            </w:r>
            <w:r>
              <w:rPr>
                <w:rFonts w:ascii="Calibri"/>
                <w:sz w:val="18"/>
              </w:rPr>
              <w:t>secure.</w:t>
            </w:r>
          </w:p>
        </w:tc>
        <w:tc>
          <w:tcPr>
            <w:tcW w:w="938" w:type="dxa"/>
            <w:tcBorders>
              <w:top w:val="nil" w:sz="6" w:space="0" w:color="auto"/>
              <w:left w:val="nil" w:sz="6" w:space="0" w:color="auto"/>
              <w:bottom w:val="nil" w:sz="6" w:space="0" w:color="auto"/>
              <w:right w:val="nil" w:sz="6" w:space="0" w:color="auto"/>
            </w:tcBorders>
          </w:tcPr>
          <w:p>
            <w:pPr>
              <w:pStyle w:val="TableParagraph"/>
              <w:spacing w:line="240" w:lineRule="auto" w:before="23"/>
              <w:ind w:right="87"/>
              <w:jc w:val="right"/>
              <w:rPr>
                <w:rFonts w:ascii="Calibri" w:hAnsi="Calibri" w:cs="Calibri" w:eastAsia="Calibri" w:hint="default"/>
                <w:sz w:val="18"/>
                <w:szCs w:val="18"/>
              </w:rPr>
            </w:pPr>
            <w:r>
              <w:rPr>
                <w:rFonts w:ascii="Calibri"/>
                <w:spacing w:val="-1"/>
                <w:w w:val="95"/>
                <w:sz w:val="18"/>
              </w:rPr>
              <w:t>.779</w:t>
            </w:r>
            <w:r>
              <w:rPr>
                <w:rFonts w:ascii="Calibri"/>
                <w:w w:val="95"/>
                <w:sz w:val="18"/>
              </w:rPr>
            </w:r>
          </w:p>
        </w:tc>
        <w:tc>
          <w:tcPr>
            <w:tcW w:w="982" w:type="dxa"/>
            <w:tcBorders>
              <w:top w:val="nil" w:sz="6" w:space="0" w:color="auto"/>
              <w:left w:val="nil" w:sz="6" w:space="0" w:color="auto"/>
              <w:bottom w:val="nil" w:sz="6" w:space="0" w:color="auto"/>
              <w:right w:val="nil" w:sz="6" w:space="0" w:color="auto"/>
            </w:tcBorders>
          </w:tcPr>
          <w:p>
            <w:pPr/>
          </w:p>
        </w:tc>
      </w:tr>
      <w:tr>
        <w:trPr>
          <w:trHeight w:val="288" w:hRule="exact"/>
        </w:trPr>
        <w:tc>
          <w:tcPr>
            <w:tcW w:w="6642"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I intend to visit Curacao in the near</w:t>
            </w:r>
            <w:r>
              <w:rPr>
                <w:rFonts w:ascii="Calibri"/>
                <w:spacing w:val="-15"/>
                <w:sz w:val="18"/>
              </w:rPr>
              <w:t> </w:t>
            </w:r>
            <w:r>
              <w:rPr>
                <w:rFonts w:ascii="Calibri"/>
                <w:sz w:val="18"/>
              </w:rPr>
              <w:t>future.</w:t>
            </w:r>
          </w:p>
        </w:tc>
        <w:tc>
          <w:tcPr>
            <w:tcW w:w="938"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87"/>
              <w:jc w:val="right"/>
              <w:rPr>
                <w:rFonts w:ascii="Calibri" w:hAnsi="Calibri" w:cs="Calibri" w:eastAsia="Calibri" w:hint="default"/>
                <w:sz w:val="18"/>
                <w:szCs w:val="18"/>
              </w:rPr>
            </w:pPr>
            <w:r>
              <w:rPr>
                <w:rFonts w:ascii="Calibri"/>
                <w:spacing w:val="-1"/>
                <w:w w:val="95"/>
                <w:sz w:val="18"/>
              </w:rPr>
              <w:t>.762</w:t>
            </w:r>
            <w:r>
              <w:rPr>
                <w:rFonts w:ascii="Calibri"/>
                <w:w w:val="95"/>
                <w:sz w:val="18"/>
              </w:rPr>
            </w:r>
          </w:p>
        </w:tc>
        <w:tc>
          <w:tcPr>
            <w:tcW w:w="982" w:type="dxa"/>
            <w:tcBorders>
              <w:top w:val="nil" w:sz="6" w:space="0" w:color="auto"/>
              <w:left w:val="nil" w:sz="6" w:space="0" w:color="auto"/>
              <w:bottom w:val="nil" w:sz="6" w:space="0" w:color="auto"/>
              <w:right w:val="nil" w:sz="6" w:space="0" w:color="auto"/>
            </w:tcBorders>
          </w:tcPr>
          <w:p>
            <w:pPr/>
          </w:p>
        </w:tc>
      </w:tr>
      <w:tr>
        <w:trPr>
          <w:trHeight w:val="288" w:hRule="exact"/>
        </w:trPr>
        <w:tc>
          <w:tcPr>
            <w:tcW w:w="6642"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I am familiar with</w:t>
            </w:r>
            <w:r>
              <w:rPr>
                <w:rFonts w:ascii="Calibri"/>
                <w:spacing w:val="-9"/>
                <w:sz w:val="18"/>
              </w:rPr>
              <w:t> </w:t>
            </w:r>
            <w:r>
              <w:rPr>
                <w:rFonts w:ascii="Calibri"/>
                <w:sz w:val="18"/>
              </w:rPr>
              <w:t>Curacao.</w:t>
            </w:r>
          </w:p>
        </w:tc>
        <w:tc>
          <w:tcPr>
            <w:tcW w:w="938"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87"/>
              <w:jc w:val="right"/>
              <w:rPr>
                <w:rFonts w:ascii="Calibri" w:hAnsi="Calibri" w:cs="Calibri" w:eastAsia="Calibri" w:hint="default"/>
                <w:sz w:val="18"/>
                <w:szCs w:val="18"/>
              </w:rPr>
            </w:pPr>
            <w:r>
              <w:rPr>
                <w:rFonts w:ascii="Calibri"/>
                <w:spacing w:val="-1"/>
                <w:w w:val="95"/>
                <w:sz w:val="18"/>
              </w:rPr>
              <w:t>.627</w:t>
            </w:r>
            <w:r>
              <w:rPr>
                <w:rFonts w:ascii="Calibri"/>
                <w:w w:val="95"/>
                <w:sz w:val="18"/>
              </w:rPr>
            </w:r>
          </w:p>
        </w:tc>
        <w:tc>
          <w:tcPr>
            <w:tcW w:w="982" w:type="dxa"/>
            <w:tcBorders>
              <w:top w:val="nil" w:sz="6" w:space="0" w:color="auto"/>
              <w:left w:val="nil" w:sz="6" w:space="0" w:color="auto"/>
              <w:bottom w:val="nil" w:sz="6" w:space="0" w:color="auto"/>
              <w:right w:val="nil" w:sz="6" w:space="0" w:color="auto"/>
            </w:tcBorders>
          </w:tcPr>
          <w:p>
            <w:pPr/>
          </w:p>
        </w:tc>
      </w:tr>
      <w:tr>
        <w:trPr>
          <w:trHeight w:val="288" w:hRule="exact"/>
        </w:trPr>
        <w:tc>
          <w:tcPr>
            <w:tcW w:w="6642"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I would expect danger to my psychological well-being in</w:t>
            </w:r>
            <w:r>
              <w:rPr>
                <w:rFonts w:ascii="Calibri"/>
                <w:spacing w:val="-19"/>
                <w:sz w:val="18"/>
              </w:rPr>
              <w:t> </w:t>
            </w:r>
            <w:r>
              <w:rPr>
                <w:rFonts w:ascii="Calibri"/>
                <w:sz w:val="18"/>
              </w:rPr>
              <w:t>Curacao.</w:t>
            </w:r>
          </w:p>
        </w:tc>
        <w:tc>
          <w:tcPr>
            <w:tcW w:w="938" w:type="dxa"/>
            <w:tcBorders>
              <w:top w:val="nil" w:sz="6" w:space="0" w:color="auto"/>
              <w:left w:val="nil" w:sz="6" w:space="0" w:color="auto"/>
              <w:bottom w:val="nil" w:sz="6" w:space="0" w:color="auto"/>
              <w:right w:val="nil" w:sz="6" w:space="0" w:color="auto"/>
            </w:tcBorders>
          </w:tcPr>
          <w:p>
            <w:pPr/>
          </w:p>
        </w:tc>
        <w:tc>
          <w:tcPr>
            <w:tcW w:w="982"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08"/>
              <w:jc w:val="right"/>
              <w:rPr>
                <w:rFonts w:ascii="Calibri" w:hAnsi="Calibri" w:cs="Calibri" w:eastAsia="Calibri" w:hint="default"/>
                <w:sz w:val="18"/>
                <w:szCs w:val="18"/>
              </w:rPr>
            </w:pPr>
            <w:r>
              <w:rPr>
                <w:rFonts w:ascii="Calibri"/>
                <w:spacing w:val="-1"/>
                <w:w w:val="95"/>
                <w:sz w:val="18"/>
              </w:rPr>
              <w:t>.920</w:t>
            </w:r>
            <w:r>
              <w:rPr>
                <w:rFonts w:ascii="Calibri"/>
                <w:w w:val="95"/>
                <w:sz w:val="18"/>
              </w:rPr>
            </w:r>
          </w:p>
        </w:tc>
      </w:tr>
      <w:tr>
        <w:trPr>
          <w:trHeight w:val="288" w:hRule="exact"/>
        </w:trPr>
        <w:tc>
          <w:tcPr>
            <w:tcW w:w="6642"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A trip to Curacao would be a waste of time for</w:t>
            </w:r>
            <w:r>
              <w:rPr>
                <w:rFonts w:ascii="Calibri"/>
                <w:spacing w:val="-13"/>
                <w:sz w:val="18"/>
              </w:rPr>
              <w:t> </w:t>
            </w:r>
            <w:r>
              <w:rPr>
                <w:rFonts w:ascii="Calibri"/>
                <w:sz w:val="18"/>
              </w:rPr>
              <w:t>me.</w:t>
            </w:r>
          </w:p>
        </w:tc>
        <w:tc>
          <w:tcPr>
            <w:tcW w:w="938" w:type="dxa"/>
            <w:tcBorders>
              <w:top w:val="nil" w:sz="6" w:space="0" w:color="auto"/>
              <w:left w:val="nil" w:sz="6" w:space="0" w:color="auto"/>
              <w:bottom w:val="nil" w:sz="6" w:space="0" w:color="auto"/>
              <w:right w:val="nil" w:sz="6" w:space="0" w:color="auto"/>
            </w:tcBorders>
          </w:tcPr>
          <w:p>
            <w:pPr/>
          </w:p>
        </w:tc>
        <w:tc>
          <w:tcPr>
            <w:tcW w:w="982"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08"/>
              <w:jc w:val="right"/>
              <w:rPr>
                <w:rFonts w:ascii="Calibri" w:hAnsi="Calibri" w:cs="Calibri" w:eastAsia="Calibri" w:hint="default"/>
                <w:sz w:val="18"/>
                <w:szCs w:val="18"/>
              </w:rPr>
            </w:pPr>
            <w:r>
              <w:rPr>
                <w:rFonts w:ascii="Calibri"/>
                <w:spacing w:val="-1"/>
                <w:w w:val="95"/>
                <w:sz w:val="18"/>
              </w:rPr>
              <w:t>.914</w:t>
            </w:r>
            <w:r>
              <w:rPr>
                <w:rFonts w:ascii="Calibri"/>
                <w:w w:val="95"/>
                <w:sz w:val="18"/>
              </w:rPr>
            </w:r>
          </w:p>
        </w:tc>
      </w:tr>
      <w:tr>
        <w:trPr>
          <w:trHeight w:val="288" w:hRule="exact"/>
        </w:trPr>
        <w:tc>
          <w:tcPr>
            <w:tcW w:w="6642"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I would expect danger to my physical well-being in</w:t>
            </w:r>
            <w:r>
              <w:rPr>
                <w:rFonts w:ascii="Calibri"/>
                <w:spacing w:val="-18"/>
                <w:sz w:val="18"/>
              </w:rPr>
              <w:t> </w:t>
            </w:r>
            <w:r>
              <w:rPr>
                <w:rFonts w:ascii="Calibri"/>
                <w:sz w:val="18"/>
              </w:rPr>
              <w:t>Curacao.</w:t>
            </w:r>
          </w:p>
        </w:tc>
        <w:tc>
          <w:tcPr>
            <w:tcW w:w="938" w:type="dxa"/>
            <w:tcBorders>
              <w:top w:val="nil" w:sz="6" w:space="0" w:color="auto"/>
              <w:left w:val="nil" w:sz="6" w:space="0" w:color="auto"/>
              <w:bottom w:val="nil" w:sz="6" w:space="0" w:color="auto"/>
              <w:right w:val="nil" w:sz="6" w:space="0" w:color="auto"/>
            </w:tcBorders>
          </w:tcPr>
          <w:p>
            <w:pPr/>
          </w:p>
        </w:tc>
        <w:tc>
          <w:tcPr>
            <w:tcW w:w="982"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08"/>
              <w:jc w:val="right"/>
              <w:rPr>
                <w:rFonts w:ascii="Calibri" w:hAnsi="Calibri" w:cs="Calibri" w:eastAsia="Calibri" w:hint="default"/>
                <w:sz w:val="18"/>
                <w:szCs w:val="18"/>
              </w:rPr>
            </w:pPr>
            <w:r>
              <w:rPr>
                <w:rFonts w:ascii="Calibri"/>
                <w:spacing w:val="-1"/>
                <w:w w:val="95"/>
                <w:sz w:val="18"/>
              </w:rPr>
              <w:t>.901</w:t>
            </w:r>
            <w:r>
              <w:rPr>
                <w:rFonts w:ascii="Calibri"/>
                <w:w w:val="95"/>
                <w:sz w:val="18"/>
              </w:rPr>
            </w:r>
          </w:p>
        </w:tc>
      </w:tr>
      <w:tr>
        <w:trPr>
          <w:trHeight w:val="288" w:hRule="exact"/>
        </w:trPr>
        <w:tc>
          <w:tcPr>
            <w:tcW w:w="6642"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A trip to Curacao would be a waste of money for</w:t>
            </w:r>
            <w:r>
              <w:rPr>
                <w:rFonts w:ascii="Calibri"/>
                <w:spacing w:val="-14"/>
                <w:sz w:val="18"/>
              </w:rPr>
              <w:t> </w:t>
            </w:r>
            <w:r>
              <w:rPr>
                <w:rFonts w:ascii="Calibri"/>
                <w:sz w:val="18"/>
              </w:rPr>
              <w:t>me.</w:t>
            </w:r>
          </w:p>
        </w:tc>
        <w:tc>
          <w:tcPr>
            <w:tcW w:w="938" w:type="dxa"/>
            <w:tcBorders>
              <w:top w:val="nil" w:sz="6" w:space="0" w:color="auto"/>
              <w:left w:val="nil" w:sz="6" w:space="0" w:color="auto"/>
              <w:bottom w:val="nil" w:sz="6" w:space="0" w:color="auto"/>
              <w:right w:val="nil" w:sz="6" w:space="0" w:color="auto"/>
            </w:tcBorders>
          </w:tcPr>
          <w:p>
            <w:pPr/>
          </w:p>
        </w:tc>
        <w:tc>
          <w:tcPr>
            <w:tcW w:w="982"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08"/>
              <w:jc w:val="right"/>
              <w:rPr>
                <w:rFonts w:ascii="Calibri" w:hAnsi="Calibri" w:cs="Calibri" w:eastAsia="Calibri" w:hint="default"/>
                <w:sz w:val="18"/>
                <w:szCs w:val="18"/>
              </w:rPr>
            </w:pPr>
            <w:r>
              <w:rPr>
                <w:rFonts w:ascii="Calibri"/>
                <w:spacing w:val="-1"/>
                <w:w w:val="95"/>
                <w:sz w:val="18"/>
              </w:rPr>
              <w:t>.900</w:t>
            </w:r>
            <w:r>
              <w:rPr>
                <w:rFonts w:ascii="Calibri"/>
                <w:w w:val="95"/>
                <w:sz w:val="18"/>
              </w:rPr>
            </w:r>
          </w:p>
        </w:tc>
      </w:tr>
      <w:tr>
        <w:trPr>
          <w:trHeight w:val="288" w:hRule="exact"/>
        </w:trPr>
        <w:tc>
          <w:tcPr>
            <w:tcW w:w="6642"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A trip to Curacao would not make me look good among friends and</w:t>
            </w:r>
            <w:r>
              <w:rPr>
                <w:rFonts w:ascii="Calibri"/>
                <w:spacing w:val="-21"/>
                <w:sz w:val="18"/>
              </w:rPr>
              <w:t> </w:t>
            </w:r>
            <w:r>
              <w:rPr>
                <w:rFonts w:ascii="Calibri"/>
                <w:sz w:val="18"/>
              </w:rPr>
              <w:t>family.</w:t>
            </w:r>
          </w:p>
        </w:tc>
        <w:tc>
          <w:tcPr>
            <w:tcW w:w="938" w:type="dxa"/>
            <w:tcBorders>
              <w:top w:val="nil" w:sz="6" w:space="0" w:color="auto"/>
              <w:left w:val="nil" w:sz="6" w:space="0" w:color="auto"/>
              <w:bottom w:val="nil" w:sz="6" w:space="0" w:color="auto"/>
              <w:right w:val="nil" w:sz="6" w:space="0" w:color="auto"/>
            </w:tcBorders>
          </w:tcPr>
          <w:p>
            <w:pPr/>
          </w:p>
        </w:tc>
        <w:tc>
          <w:tcPr>
            <w:tcW w:w="982"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08"/>
              <w:jc w:val="right"/>
              <w:rPr>
                <w:rFonts w:ascii="Calibri" w:hAnsi="Calibri" w:cs="Calibri" w:eastAsia="Calibri" w:hint="default"/>
                <w:sz w:val="18"/>
                <w:szCs w:val="18"/>
              </w:rPr>
            </w:pPr>
            <w:r>
              <w:rPr>
                <w:rFonts w:ascii="Calibri"/>
                <w:spacing w:val="-1"/>
                <w:w w:val="95"/>
                <w:sz w:val="18"/>
              </w:rPr>
              <w:t>.850</w:t>
            </w:r>
            <w:r>
              <w:rPr>
                <w:rFonts w:ascii="Calibri"/>
                <w:w w:val="95"/>
                <w:sz w:val="18"/>
              </w:rPr>
            </w:r>
          </w:p>
        </w:tc>
      </w:tr>
      <w:tr>
        <w:trPr>
          <w:trHeight w:val="340" w:hRule="exact"/>
        </w:trPr>
        <w:tc>
          <w:tcPr>
            <w:tcW w:w="6642" w:type="dxa"/>
            <w:tcBorders>
              <w:top w:val="nil" w:sz="6" w:space="0" w:color="auto"/>
              <w:left w:val="nil" w:sz="6" w:space="0" w:color="auto"/>
              <w:bottom w:val="single" w:sz="17" w:space="0" w:color="000000"/>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A trip to Curacao is too</w:t>
            </w:r>
            <w:r>
              <w:rPr>
                <w:rFonts w:ascii="Calibri"/>
                <w:spacing w:val="-12"/>
                <w:sz w:val="18"/>
              </w:rPr>
              <w:t> </w:t>
            </w:r>
            <w:r>
              <w:rPr>
                <w:rFonts w:ascii="Calibri"/>
                <w:sz w:val="18"/>
              </w:rPr>
              <w:t>expensive.</w:t>
            </w:r>
          </w:p>
        </w:tc>
        <w:tc>
          <w:tcPr>
            <w:tcW w:w="938" w:type="dxa"/>
            <w:tcBorders>
              <w:top w:val="nil" w:sz="6" w:space="0" w:color="auto"/>
              <w:left w:val="nil" w:sz="6" w:space="0" w:color="auto"/>
              <w:bottom w:val="single" w:sz="17" w:space="0" w:color="000000"/>
              <w:right w:val="nil" w:sz="6" w:space="0" w:color="auto"/>
            </w:tcBorders>
          </w:tcPr>
          <w:p>
            <w:pPr/>
          </w:p>
        </w:tc>
        <w:tc>
          <w:tcPr>
            <w:tcW w:w="982" w:type="dxa"/>
            <w:tcBorders>
              <w:top w:val="nil" w:sz="6" w:space="0" w:color="auto"/>
              <w:left w:val="nil" w:sz="6" w:space="0" w:color="auto"/>
              <w:bottom w:val="single" w:sz="17" w:space="0" w:color="000000"/>
              <w:right w:val="nil" w:sz="6" w:space="0" w:color="auto"/>
            </w:tcBorders>
          </w:tcPr>
          <w:p>
            <w:pPr>
              <w:pStyle w:val="TableParagraph"/>
              <w:spacing w:line="240" w:lineRule="auto" w:before="17"/>
              <w:ind w:right="108"/>
              <w:jc w:val="right"/>
              <w:rPr>
                <w:rFonts w:ascii="Calibri" w:hAnsi="Calibri" w:cs="Calibri" w:eastAsia="Calibri" w:hint="default"/>
                <w:sz w:val="18"/>
                <w:szCs w:val="18"/>
              </w:rPr>
            </w:pPr>
            <w:r>
              <w:rPr>
                <w:rFonts w:ascii="Calibri"/>
                <w:spacing w:val="-1"/>
                <w:w w:val="95"/>
                <w:sz w:val="18"/>
              </w:rPr>
              <w:t>.469</w:t>
            </w:r>
            <w:r>
              <w:rPr>
                <w:rFonts w:ascii="Calibri"/>
                <w:w w:val="95"/>
                <w:sz w:val="18"/>
              </w:rPr>
            </w:r>
          </w:p>
        </w:tc>
      </w:tr>
      <w:tr>
        <w:trPr>
          <w:trHeight w:val="337" w:hRule="exact"/>
        </w:trPr>
        <w:tc>
          <w:tcPr>
            <w:tcW w:w="6642" w:type="dxa"/>
            <w:tcBorders>
              <w:top w:val="single" w:sz="17" w:space="0" w:color="000000"/>
              <w:left w:val="nil" w:sz="6" w:space="0" w:color="auto"/>
              <w:bottom w:val="nil" w:sz="6" w:space="0" w:color="auto"/>
              <w:right w:val="nil" w:sz="6" w:space="0" w:color="auto"/>
            </w:tcBorders>
          </w:tcPr>
          <w:p>
            <w:pPr>
              <w:pStyle w:val="TableParagraph"/>
              <w:spacing w:line="240" w:lineRule="auto" w:before="47"/>
              <w:ind w:left="108" w:right="0"/>
              <w:jc w:val="left"/>
              <w:rPr>
                <w:rFonts w:ascii="Calibri" w:hAnsi="Calibri" w:cs="Calibri" w:eastAsia="Calibri" w:hint="default"/>
                <w:sz w:val="18"/>
                <w:szCs w:val="18"/>
              </w:rPr>
            </w:pPr>
            <w:r>
              <w:rPr>
                <w:rFonts w:ascii="Calibri"/>
                <w:sz w:val="18"/>
              </w:rPr>
              <w:t>Extraction Method: Principal Component</w:t>
            </w:r>
            <w:r>
              <w:rPr>
                <w:rFonts w:ascii="Calibri"/>
                <w:spacing w:val="-14"/>
                <w:sz w:val="18"/>
              </w:rPr>
              <w:t> </w:t>
            </w:r>
            <w:r>
              <w:rPr>
                <w:rFonts w:ascii="Calibri"/>
                <w:sz w:val="18"/>
              </w:rPr>
              <w:t>Analysis.</w:t>
            </w:r>
          </w:p>
        </w:tc>
        <w:tc>
          <w:tcPr>
            <w:tcW w:w="938" w:type="dxa"/>
            <w:tcBorders>
              <w:top w:val="single" w:sz="17" w:space="0" w:color="000000"/>
              <w:left w:val="nil" w:sz="6" w:space="0" w:color="auto"/>
              <w:bottom w:val="nil" w:sz="6" w:space="0" w:color="auto"/>
              <w:right w:val="nil" w:sz="6" w:space="0" w:color="auto"/>
            </w:tcBorders>
          </w:tcPr>
          <w:p>
            <w:pPr/>
          </w:p>
        </w:tc>
        <w:tc>
          <w:tcPr>
            <w:tcW w:w="982" w:type="dxa"/>
            <w:tcBorders>
              <w:top w:val="single" w:sz="17" w:space="0" w:color="000000"/>
              <w:left w:val="nil" w:sz="6" w:space="0" w:color="auto"/>
              <w:bottom w:val="nil" w:sz="6" w:space="0" w:color="auto"/>
              <w:right w:val="nil" w:sz="6" w:space="0" w:color="auto"/>
            </w:tcBorders>
          </w:tcPr>
          <w:p>
            <w:pPr/>
          </w:p>
        </w:tc>
      </w:tr>
      <w:tr>
        <w:trPr>
          <w:trHeight w:val="318" w:hRule="exact"/>
        </w:trPr>
        <w:tc>
          <w:tcPr>
            <w:tcW w:w="6642" w:type="dxa"/>
            <w:tcBorders>
              <w:top w:val="nil" w:sz="6" w:space="0" w:color="auto"/>
              <w:left w:val="nil" w:sz="6" w:space="0" w:color="auto"/>
              <w:bottom w:val="nil" w:sz="6" w:space="0" w:color="auto"/>
              <w:right w:val="nil" w:sz="6" w:space="0" w:color="auto"/>
            </w:tcBorders>
          </w:tcPr>
          <w:p>
            <w:pPr>
              <w:pStyle w:val="TableParagraph"/>
              <w:spacing w:line="240" w:lineRule="auto" w:before="8"/>
              <w:ind w:left="108" w:right="0"/>
              <w:jc w:val="left"/>
              <w:rPr>
                <w:rFonts w:ascii="Calibri" w:hAnsi="Calibri" w:cs="Calibri" w:eastAsia="Calibri" w:hint="default"/>
                <w:sz w:val="22"/>
                <w:szCs w:val="22"/>
              </w:rPr>
            </w:pPr>
            <w:r>
              <w:rPr>
                <w:rFonts w:ascii="Calibri"/>
                <w:sz w:val="22"/>
              </w:rPr>
              <w:t>Rotation Method: Varimax with Kaiser</w:t>
            </w:r>
            <w:r>
              <w:rPr>
                <w:rFonts w:ascii="Calibri"/>
                <w:spacing w:val="-12"/>
                <w:sz w:val="22"/>
              </w:rPr>
              <w:t> </w:t>
            </w:r>
            <w:r>
              <w:rPr>
                <w:rFonts w:ascii="Calibri"/>
                <w:sz w:val="22"/>
              </w:rPr>
              <w:t>Normalization.</w:t>
            </w:r>
          </w:p>
        </w:tc>
        <w:tc>
          <w:tcPr>
            <w:tcW w:w="938" w:type="dxa"/>
            <w:tcBorders>
              <w:top w:val="nil" w:sz="6" w:space="0" w:color="auto"/>
              <w:left w:val="nil" w:sz="6" w:space="0" w:color="auto"/>
              <w:bottom w:val="nil" w:sz="6" w:space="0" w:color="auto"/>
              <w:right w:val="nil" w:sz="6" w:space="0" w:color="auto"/>
            </w:tcBorders>
          </w:tcPr>
          <w:p>
            <w:pPr/>
          </w:p>
        </w:tc>
        <w:tc>
          <w:tcPr>
            <w:tcW w:w="982" w:type="dxa"/>
            <w:tcBorders>
              <w:top w:val="nil" w:sz="6" w:space="0" w:color="auto"/>
              <w:left w:val="nil" w:sz="6" w:space="0" w:color="auto"/>
              <w:bottom w:val="nil" w:sz="6" w:space="0" w:color="auto"/>
              <w:right w:val="nil" w:sz="6" w:space="0" w:color="auto"/>
            </w:tcBorders>
          </w:tcPr>
          <w:p>
            <w:pPr/>
          </w:p>
        </w:tc>
      </w:tr>
      <w:tr>
        <w:trPr>
          <w:trHeight w:val="283" w:hRule="exact"/>
        </w:trPr>
        <w:tc>
          <w:tcPr>
            <w:tcW w:w="6642" w:type="dxa"/>
            <w:tcBorders>
              <w:top w:val="nil" w:sz="6" w:space="0" w:color="auto"/>
              <w:left w:val="nil" w:sz="6" w:space="0" w:color="auto"/>
              <w:bottom w:val="nil" w:sz="6" w:space="0" w:color="auto"/>
              <w:right w:val="nil" w:sz="6" w:space="0" w:color="auto"/>
            </w:tcBorders>
          </w:tcPr>
          <w:p>
            <w:pPr>
              <w:pStyle w:val="TableParagraph"/>
              <w:spacing w:line="240" w:lineRule="auto" w:before="9"/>
              <w:ind w:left="108" w:right="0"/>
              <w:jc w:val="left"/>
              <w:rPr>
                <w:rFonts w:ascii="Calibri" w:hAnsi="Calibri" w:cs="Calibri" w:eastAsia="Calibri" w:hint="default"/>
                <w:sz w:val="18"/>
                <w:szCs w:val="18"/>
              </w:rPr>
            </w:pPr>
            <w:r>
              <w:rPr>
                <w:rFonts w:ascii="Calibri"/>
                <w:sz w:val="18"/>
              </w:rPr>
              <w:t>Varimax Rotation converged in 3</w:t>
            </w:r>
            <w:r>
              <w:rPr>
                <w:rFonts w:ascii="Calibri"/>
                <w:spacing w:val="-15"/>
                <w:sz w:val="18"/>
              </w:rPr>
              <w:t> </w:t>
            </w:r>
            <w:r>
              <w:rPr>
                <w:rFonts w:ascii="Calibri"/>
                <w:sz w:val="18"/>
              </w:rPr>
              <w:t>iterations.</w:t>
            </w:r>
          </w:p>
        </w:tc>
        <w:tc>
          <w:tcPr>
            <w:tcW w:w="938" w:type="dxa"/>
            <w:tcBorders>
              <w:top w:val="nil" w:sz="6" w:space="0" w:color="auto"/>
              <w:left w:val="nil" w:sz="6" w:space="0" w:color="auto"/>
              <w:bottom w:val="nil" w:sz="6" w:space="0" w:color="auto"/>
              <w:right w:val="nil" w:sz="6" w:space="0" w:color="auto"/>
            </w:tcBorders>
          </w:tcPr>
          <w:p>
            <w:pPr/>
          </w:p>
        </w:tc>
        <w:tc>
          <w:tcPr>
            <w:tcW w:w="982" w:type="dxa"/>
            <w:tcBorders>
              <w:top w:val="nil" w:sz="6" w:space="0" w:color="auto"/>
              <w:left w:val="nil" w:sz="6" w:space="0" w:color="auto"/>
              <w:bottom w:val="nil" w:sz="6" w:space="0" w:color="auto"/>
              <w:right w:val="nil" w:sz="6" w:space="0" w:color="auto"/>
            </w:tcBorders>
          </w:tcPr>
          <w:p>
            <w:pPr/>
          </w:p>
        </w:tc>
      </w:tr>
      <w:tr>
        <w:trPr>
          <w:trHeight w:val="238" w:hRule="exact"/>
        </w:trPr>
        <w:tc>
          <w:tcPr>
            <w:tcW w:w="6642" w:type="dxa"/>
            <w:tcBorders>
              <w:top w:val="nil" w:sz="6" w:space="0" w:color="auto"/>
              <w:left w:val="nil" w:sz="6" w:space="0" w:color="auto"/>
              <w:bottom w:val="nil" w:sz="6" w:space="0" w:color="auto"/>
              <w:right w:val="nil" w:sz="6" w:space="0" w:color="auto"/>
            </w:tcBorders>
          </w:tcPr>
          <w:p>
            <w:pPr>
              <w:pStyle w:val="TableParagraph"/>
              <w:spacing w:line="240" w:lineRule="auto" w:before="21"/>
              <w:ind w:left="108" w:right="0"/>
              <w:jc w:val="left"/>
              <w:rPr>
                <w:rFonts w:ascii="Calibri" w:hAnsi="Calibri" w:cs="Calibri" w:eastAsia="Calibri" w:hint="default"/>
                <w:sz w:val="18"/>
                <w:szCs w:val="18"/>
              </w:rPr>
            </w:pPr>
            <w:r>
              <w:rPr>
                <w:rFonts w:ascii="Calibri"/>
                <w:sz w:val="18"/>
              </w:rPr>
              <w:t>Total Variance Extracted:</w:t>
            </w:r>
            <w:r>
              <w:rPr>
                <w:rFonts w:ascii="Calibri"/>
                <w:spacing w:val="-8"/>
                <w:sz w:val="18"/>
              </w:rPr>
              <w:t> </w:t>
            </w:r>
            <w:r>
              <w:rPr>
                <w:rFonts w:ascii="Calibri"/>
                <w:sz w:val="18"/>
              </w:rPr>
              <w:t>66.29%</w:t>
            </w:r>
          </w:p>
        </w:tc>
        <w:tc>
          <w:tcPr>
            <w:tcW w:w="938" w:type="dxa"/>
            <w:tcBorders>
              <w:top w:val="nil" w:sz="6" w:space="0" w:color="auto"/>
              <w:left w:val="nil" w:sz="6" w:space="0" w:color="auto"/>
              <w:bottom w:val="nil" w:sz="6" w:space="0" w:color="auto"/>
              <w:right w:val="nil" w:sz="6" w:space="0" w:color="auto"/>
            </w:tcBorders>
          </w:tcPr>
          <w:p>
            <w:pPr/>
          </w:p>
        </w:tc>
        <w:tc>
          <w:tcPr>
            <w:tcW w:w="982" w:type="dxa"/>
            <w:tcBorders>
              <w:top w:val="nil" w:sz="6" w:space="0" w:color="auto"/>
              <w:left w:val="nil" w:sz="6" w:space="0" w:color="auto"/>
              <w:bottom w:val="nil" w:sz="6" w:space="0" w:color="auto"/>
              <w:right w:val="nil" w:sz="6" w:space="0" w:color="auto"/>
            </w:tcBorders>
          </w:tcPr>
          <w:p>
            <w:pPr/>
          </w:p>
        </w:tc>
      </w:tr>
    </w:tbl>
    <w:p>
      <w:pPr>
        <w:spacing w:after="0"/>
        <w:sectPr>
          <w:headerReference w:type="default" r:id="rId110"/>
          <w:footerReference w:type="default" r:id="rId111"/>
          <w:pgSz w:w="12240" w:h="15840"/>
          <w:pgMar w:header="0" w:footer="647" w:top="840" w:bottom="840" w:left="0" w:right="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2" w:after="0"/>
        <w:ind w:right="0"/>
        <w:rPr>
          <w:rFonts w:ascii="Times New Roman" w:hAnsi="Times New Roman" w:cs="Times New Roman" w:eastAsia="Times New Roman" w:hint="default"/>
          <w:sz w:val="23"/>
          <w:szCs w:val="23"/>
        </w:rPr>
      </w:pPr>
    </w:p>
    <w:tbl>
      <w:tblPr>
        <w:tblW w:w="0" w:type="auto"/>
        <w:jc w:val="left"/>
        <w:tblInd w:w="2770" w:type="dxa"/>
        <w:tblLayout w:type="fixed"/>
        <w:tblCellMar>
          <w:top w:w="0" w:type="dxa"/>
          <w:left w:w="0" w:type="dxa"/>
          <w:bottom w:w="0" w:type="dxa"/>
          <w:right w:w="0" w:type="dxa"/>
        </w:tblCellMar>
        <w:tblLook w:val="01E0"/>
      </w:tblPr>
      <w:tblGrid>
        <w:gridCol w:w="3320"/>
        <w:gridCol w:w="1130"/>
        <w:gridCol w:w="1091"/>
        <w:gridCol w:w="1161"/>
      </w:tblGrid>
      <w:tr>
        <w:trPr>
          <w:trHeight w:val="253" w:hRule="exact"/>
        </w:trPr>
        <w:tc>
          <w:tcPr>
            <w:tcW w:w="6702" w:type="dxa"/>
            <w:gridSpan w:val="4"/>
            <w:tcBorders>
              <w:top w:val="nil" w:sz="6" w:space="0" w:color="auto"/>
              <w:left w:val="nil" w:sz="6" w:space="0" w:color="auto"/>
              <w:bottom w:val="single" w:sz="17" w:space="0" w:color="000000"/>
              <w:right w:val="nil" w:sz="6" w:space="0" w:color="auto"/>
            </w:tcBorders>
          </w:tcPr>
          <w:p>
            <w:pPr>
              <w:pStyle w:val="TableParagraph"/>
              <w:spacing w:line="189" w:lineRule="exact"/>
              <w:ind w:left="2086" w:right="0"/>
              <w:jc w:val="left"/>
              <w:rPr>
                <w:rFonts w:ascii="Calibri" w:hAnsi="Calibri" w:cs="Calibri" w:eastAsia="Calibri" w:hint="default"/>
                <w:sz w:val="12"/>
                <w:szCs w:val="12"/>
              </w:rPr>
            </w:pPr>
            <w:r>
              <w:rPr>
                <w:rFonts w:ascii="Calibri"/>
                <w:b/>
                <w:sz w:val="18"/>
              </w:rPr>
              <w:t>Impression Dimension</w:t>
            </w:r>
            <w:r>
              <w:rPr>
                <w:rFonts w:ascii="Calibri"/>
                <w:b/>
                <w:spacing w:val="-8"/>
                <w:sz w:val="18"/>
              </w:rPr>
              <w:t> </w:t>
            </w:r>
            <w:r>
              <w:rPr>
                <w:rFonts w:ascii="Calibri"/>
                <w:b/>
                <w:sz w:val="18"/>
              </w:rPr>
              <w:t>Reduction</w:t>
            </w:r>
            <w:r>
              <w:rPr>
                <w:rFonts w:ascii="Calibri"/>
                <w:b/>
                <w:position w:val="5"/>
                <w:sz w:val="12"/>
              </w:rPr>
              <w:t>a</w:t>
            </w:r>
            <w:r>
              <w:rPr>
                <w:rFonts w:ascii="Calibri"/>
                <w:sz w:val="12"/>
              </w:rPr>
            </w:r>
          </w:p>
        </w:tc>
      </w:tr>
      <w:tr>
        <w:trPr>
          <w:trHeight w:val="326" w:hRule="exact"/>
        </w:trPr>
        <w:tc>
          <w:tcPr>
            <w:tcW w:w="3320" w:type="dxa"/>
            <w:tcBorders>
              <w:top w:val="single" w:sz="17" w:space="0" w:color="000000"/>
              <w:left w:val="nil" w:sz="6" w:space="0" w:color="auto"/>
              <w:bottom w:val="nil" w:sz="6" w:space="0" w:color="auto"/>
              <w:right w:val="nil" w:sz="6" w:space="0" w:color="auto"/>
            </w:tcBorders>
          </w:tcPr>
          <w:p>
            <w:pPr/>
          </w:p>
        </w:tc>
        <w:tc>
          <w:tcPr>
            <w:tcW w:w="1130" w:type="dxa"/>
            <w:tcBorders>
              <w:top w:val="single" w:sz="17" w:space="0" w:color="000000"/>
              <w:left w:val="nil" w:sz="6" w:space="0" w:color="auto"/>
              <w:bottom w:val="single" w:sz="4" w:space="0" w:color="000000"/>
              <w:right w:val="nil" w:sz="6" w:space="0" w:color="auto"/>
            </w:tcBorders>
          </w:tcPr>
          <w:p>
            <w:pPr/>
          </w:p>
        </w:tc>
        <w:tc>
          <w:tcPr>
            <w:tcW w:w="1091" w:type="dxa"/>
            <w:tcBorders>
              <w:top w:val="single" w:sz="17" w:space="0" w:color="000000"/>
              <w:left w:val="nil" w:sz="6" w:space="0" w:color="auto"/>
              <w:bottom w:val="single" w:sz="4" w:space="0" w:color="000000"/>
              <w:right w:val="nil" w:sz="6" w:space="0" w:color="auto"/>
            </w:tcBorders>
          </w:tcPr>
          <w:p>
            <w:pPr>
              <w:pStyle w:val="TableParagraph"/>
              <w:spacing w:line="240" w:lineRule="auto" w:before="80"/>
              <w:ind w:left="327" w:right="0"/>
              <w:jc w:val="left"/>
              <w:rPr>
                <w:rFonts w:ascii="Calibri" w:hAnsi="Calibri" w:cs="Calibri" w:eastAsia="Calibri" w:hint="default"/>
                <w:sz w:val="18"/>
                <w:szCs w:val="18"/>
              </w:rPr>
            </w:pPr>
            <w:r>
              <w:rPr>
                <w:rFonts w:ascii="Calibri"/>
                <w:sz w:val="18"/>
              </w:rPr>
              <w:t>Factor</w:t>
            </w:r>
          </w:p>
        </w:tc>
        <w:tc>
          <w:tcPr>
            <w:tcW w:w="1161" w:type="dxa"/>
            <w:tcBorders>
              <w:top w:val="single" w:sz="17" w:space="0" w:color="000000"/>
              <w:left w:val="nil" w:sz="6" w:space="0" w:color="auto"/>
              <w:bottom w:val="single" w:sz="4" w:space="0" w:color="000000"/>
              <w:right w:val="nil" w:sz="6" w:space="0" w:color="auto"/>
            </w:tcBorders>
          </w:tcPr>
          <w:p>
            <w:pPr/>
          </w:p>
        </w:tc>
      </w:tr>
      <w:tr>
        <w:trPr>
          <w:trHeight w:val="355" w:hRule="exact"/>
        </w:trPr>
        <w:tc>
          <w:tcPr>
            <w:tcW w:w="3320" w:type="dxa"/>
            <w:tcBorders>
              <w:top w:val="nil" w:sz="6" w:space="0" w:color="auto"/>
              <w:left w:val="nil" w:sz="6" w:space="0" w:color="auto"/>
              <w:bottom w:val="single" w:sz="12" w:space="0" w:color="000000"/>
              <w:right w:val="nil" w:sz="6" w:space="0" w:color="auto"/>
            </w:tcBorders>
          </w:tcPr>
          <w:p>
            <w:pPr/>
          </w:p>
        </w:tc>
        <w:tc>
          <w:tcPr>
            <w:tcW w:w="1130" w:type="dxa"/>
            <w:tcBorders>
              <w:top w:val="single" w:sz="4" w:space="0" w:color="000000"/>
              <w:left w:val="nil" w:sz="6" w:space="0" w:color="auto"/>
              <w:bottom w:val="single" w:sz="12" w:space="0" w:color="000000"/>
              <w:right w:val="nil" w:sz="6" w:space="0" w:color="auto"/>
            </w:tcBorders>
          </w:tcPr>
          <w:p>
            <w:pPr>
              <w:pStyle w:val="TableParagraph"/>
              <w:spacing w:line="240" w:lineRule="auto" w:before="116"/>
              <w:ind w:right="166"/>
              <w:jc w:val="right"/>
              <w:rPr>
                <w:rFonts w:ascii="Calibri" w:hAnsi="Calibri" w:cs="Calibri" w:eastAsia="Calibri" w:hint="default"/>
                <w:sz w:val="18"/>
                <w:szCs w:val="18"/>
              </w:rPr>
            </w:pPr>
            <w:r>
              <w:rPr>
                <w:rFonts w:ascii="Calibri"/>
                <w:b/>
                <w:spacing w:val="-1"/>
                <w:sz w:val="18"/>
              </w:rPr>
              <w:t>Hospitality</w:t>
            </w:r>
            <w:r>
              <w:rPr>
                <w:rFonts w:ascii="Calibri"/>
                <w:spacing w:val="-1"/>
                <w:sz w:val="18"/>
              </w:rPr>
            </w:r>
          </w:p>
        </w:tc>
        <w:tc>
          <w:tcPr>
            <w:tcW w:w="1091" w:type="dxa"/>
            <w:tcBorders>
              <w:top w:val="single" w:sz="4" w:space="0" w:color="000000"/>
              <w:left w:val="nil" w:sz="6" w:space="0" w:color="auto"/>
              <w:bottom w:val="single" w:sz="12" w:space="0" w:color="000000"/>
              <w:right w:val="nil" w:sz="6" w:space="0" w:color="auto"/>
            </w:tcBorders>
          </w:tcPr>
          <w:p>
            <w:pPr>
              <w:pStyle w:val="TableParagraph"/>
              <w:spacing w:line="240" w:lineRule="auto" w:before="116"/>
              <w:ind w:left="168" w:right="0"/>
              <w:jc w:val="left"/>
              <w:rPr>
                <w:rFonts w:ascii="Calibri" w:hAnsi="Calibri" w:cs="Calibri" w:eastAsia="Calibri" w:hint="default"/>
                <w:sz w:val="18"/>
                <w:szCs w:val="18"/>
              </w:rPr>
            </w:pPr>
            <w:r>
              <w:rPr>
                <w:rFonts w:ascii="Calibri"/>
                <w:b/>
                <w:sz w:val="18"/>
              </w:rPr>
              <w:t>Duty-Free</w:t>
            </w:r>
            <w:r>
              <w:rPr>
                <w:rFonts w:ascii="Calibri"/>
                <w:sz w:val="18"/>
              </w:rPr>
            </w:r>
          </w:p>
        </w:tc>
        <w:tc>
          <w:tcPr>
            <w:tcW w:w="1161" w:type="dxa"/>
            <w:tcBorders>
              <w:top w:val="single" w:sz="4" w:space="0" w:color="000000"/>
              <w:left w:val="nil" w:sz="6" w:space="0" w:color="auto"/>
              <w:bottom w:val="single" w:sz="12" w:space="0" w:color="000000"/>
              <w:right w:val="nil" w:sz="6" w:space="0" w:color="auto"/>
            </w:tcBorders>
          </w:tcPr>
          <w:p>
            <w:pPr>
              <w:pStyle w:val="TableParagraph"/>
              <w:spacing w:line="240" w:lineRule="auto" w:before="116"/>
              <w:ind w:left="181" w:right="0"/>
              <w:jc w:val="left"/>
              <w:rPr>
                <w:rFonts w:ascii="Calibri" w:hAnsi="Calibri" w:cs="Calibri" w:eastAsia="Calibri" w:hint="default"/>
                <w:sz w:val="18"/>
                <w:szCs w:val="18"/>
              </w:rPr>
            </w:pPr>
            <w:r>
              <w:rPr>
                <w:rFonts w:ascii="Calibri"/>
                <w:b/>
                <w:sz w:val="18"/>
              </w:rPr>
              <w:t>Info&amp;Price</w:t>
            </w:r>
            <w:r>
              <w:rPr>
                <w:rFonts w:ascii="Calibri"/>
                <w:sz w:val="18"/>
              </w:rPr>
            </w:r>
          </w:p>
        </w:tc>
      </w:tr>
      <w:tr>
        <w:trPr>
          <w:trHeight w:val="292" w:hRule="exact"/>
        </w:trPr>
        <w:tc>
          <w:tcPr>
            <w:tcW w:w="3320" w:type="dxa"/>
            <w:tcBorders>
              <w:top w:val="single" w:sz="12" w:space="0" w:color="000000"/>
              <w:left w:val="nil" w:sz="6" w:space="0" w:color="auto"/>
              <w:bottom w:val="nil" w:sz="6" w:space="0" w:color="auto"/>
              <w:right w:val="nil" w:sz="6" w:space="0" w:color="auto"/>
            </w:tcBorders>
          </w:tcPr>
          <w:p>
            <w:pPr>
              <w:pStyle w:val="TableParagraph"/>
              <w:spacing w:line="240" w:lineRule="auto" w:before="1"/>
              <w:ind w:left="108" w:right="0"/>
              <w:jc w:val="left"/>
              <w:rPr>
                <w:rFonts w:ascii="Calibri" w:hAnsi="Calibri" w:cs="Calibri" w:eastAsia="Calibri" w:hint="default"/>
                <w:sz w:val="18"/>
                <w:szCs w:val="18"/>
              </w:rPr>
            </w:pPr>
            <w:r>
              <w:rPr>
                <w:rFonts w:ascii="Calibri" w:hAnsi="Calibri" w:cs="Calibri" w:eastAsia="Calibri" w:hint="default"/>
                <w:sz w:val="18"/>
                <w:szCs w:val="18"/>
              </w:rPr>
              <w:t>Locals’ Friendliness &amp;</w:t>
            </w:r>
            <w:r>
              <w:rPr>
                <w:rFonts w:ascii="Calibri" w:hAnsi="Calibri" w:cs="Calibri" w:eastAsia="Calibri" w:hint="default"/>
                <w:spacing w:val="-12"/>
                <w:sz w:val="18"/>
                <w:szCs w:val="18"/>
              </w:rPr>
              <w:t> </w:t>
            </w:r>
            <w:r>
              <w:rPr>
                <w:rFonts w:ascii="Calibri" w:hAnsi="Calibri" w:cs="Calibri" w:eastAsia="Calibri" w:hint="default"/>
                <w:sz w:val="18"/>
                <w:szCs w:val="18"/>
              </w:rPr>
              <w:t>Hospitality</w:t>
            </w:r>
          </w:p>
        </w:tc>
        <w:tc>
          <w:tcPr>
            <w:tcW w:w="1130" w:type="dxa"/>
            <w:tcBorders>
              <w:top w:val="single" w:sz="12" w:space="0" w:color="000000"/>
              <w:left w:val="nil" w:sz="6" w:space="0" w:color="auto"/>
              <w:bottom w:val="nil" w:sz="6" w:space="0" w:color="auto"/>
              <w:right w:val="nil" w:sz="6" w:space="0" w:color="auto"/>
            </w:tcBorders>
          </w:tcPr>
          <w:p>
            <w:pPr>
              <w:pStyle w:val="TableParagraph"/>
              <w:spacing w:line="240" w:lineRule="auto" w:before="1"/>
              <w:ind w:right="115"/>
              <w:jc w:val="right"/>
              <w:rPr>
                <w:rFonts w:ascii="Calibri" w:hAnsi="Calibri" w:cs="Calibri" w:eastAsia="Calibri" w:hint="default"/>
                <w:sz w:val="18"/>
                <w:szCs w:val="18"/>
              </w:rPr>
            </w:pPr>
            <w:r>
              <w:rPr>
                <w:rFonts w:ascii="Calibri"/>
                <w:spacing w:val="-1"/>
                <w:w w:val="95"/>
                <w:sz w:val="18"/>
              </w:rPr>
              <w:t>.852</w:t>
            </w:r>
            <w:r>
              <w:rPr>
                <w:rFonts w:ascii="Calibri"/>
                <w:w w:val="95"/>
                <w:sz w:val="18"/>
              </w:rPr>
            </w:r>
          </w:p>
        </w:tc>
        <w:tc>
          <w:tcPr>
            <w:tcW w:w="1091" w:type="dxa"/>
            <w:tcBorders>
              <w:top w:val="single" w:sz="12" w:space="0" w:color="000000"/>
              <w:left w:val="nil" w:sz="6" w:space="0" w:color="auto"/>
              <w:bottom w:val="nil" w:sz="6" w:space="0" w:color="auto"/>
              <w:right w:val="nil" w:sz="6" w:space="0" w:color="auto"/>
            </w:tcBorders>
          </w:tcPr>
          <w:p>
            <w:pPr/>
          </w:p>
        </w:tc>
        <w:tc>
          <w:tcPr>
            <w:tcW w:w="1161" w:type="dxa"/>
            <w:tcBorders>
              <w:top w:val="single" w:sz="12" w:space="0" w:color="000000"/>
              <w:left w:val="nil" w:sz="6" w:space="0" w:color="auto"/>
              <w:bottom w:val="nil" w:sz="6" w:space="0" w:color="auto"/>
              <w:right w:val="nil" w:sz="6" w:space="0" w:color="auto"/>
            </w:tcBorders>
          </w:tcPr>
          <w:p>
            <w:pPr/>
          </w:p>
        </w:tc>
      </w:tr>
      <w:tr>
        <w:trPr>
          <w:trHeight w:val="300"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23"/>
              <w:ind w:left="108" w:right="0"/>
              <w:jc w:val="left"/>
              <w:rPr>
                <w:rFonts w:ascii="Calibri" w:hAnsi="Calibri" w:cs="Calibri" w:eastAsia="Calibri" w:hint="default"/>
                <w:sz w:val="18"/>
                <w:szCs w:val="18"/>
              </w:rPr>
            </w:pPr>
            <w:r>
              <w:rPr>
                <w:rFonts w:ascii="Calibri"/>
                <w:sz w:val="18"/>
              </w:rPr>
              <w:t>Accommodations Service</w:t>
            </w:r>
            <w:r>
              <w:rPr>
                <w:rFonts w:ascii="Calibri"/>
                <w:spacing w:val="-9"/>
                <w:sz w:val="18"/>
              </w:rPr>
              <w:t> </w:t>
            </w:r>
            <w:r>
              <w:rPr>
                <w:rFonts w:ascii="Calibri"/>
                <w:sz w:val="18"/>
              </w:rPr>
              <w:t>Quality</w:t>
            </w:r>
          </w:p>
        </w:tc>
        <w:tc>
          <w:tcPr>
            <w:tcW w:w="1130" w:type="dxa"/>
            <w:tcBorders>
              <w:top w:val="nil" w:sz="6" w:space="0" w:color="auto"/>
              <w:left w:val="nil" w:sz="6" w:space="0" w:color="auto"/>
              <w:bottom w:val="nil" w:sz="6" w:space="0" w:color="auto"/>
              <w:right w:val="nil" w:sz="6" w:space="0" w:color="auto"/>
            </w:tcBorders>
          </w:tcPr>
          <w:p>
            <w:pPr>
              <w:pStyle w:val="TableParagraph"/>
              <w:spacing w:line="240" w:lineRule="auto" w:before="23"/>
              <w:ind w:right="115"/>
              <w:jc w:val="right"/>
              <w:rPr>
                <w:rFonts w:ascii="Calibri" w:hAnsi="Calibri" w:cs="Calibri" w:eastAsia="Calibri" w:hint="default"/>
                <w:sz w:val="18"/>
                <w:szCs w:val="18"/>
              </w:rPr>
            </w:pPr>
            <w:r>
              <w:rPr>
                <w:rFonts w:ascii="Calibri"/>
                <w:spacing w:val="-1"/>
                <w:w w:val="95"/>
                <w:sz w:val="18"/>
              </w:rPr>
              <w:t>.843</w:t>
            </w:r>
            <w:r>
              <w:rPr>
                <w:rFonts w:ascii="Calibri"/>
                <w:w w:val="95"/>
                <w:sz w:val="18"/>
              </w:rPr>
            </w: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
        </w:tc>
      </w:tr>
      <w:tr>
        <w:trPr>
          <w:trHeight w:val="300"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23"/>
              <w:ind w:left="108" w:right="0"/>
              <w:jc w:val="left"/>
              <w:rPr>
                <w:rFonts w:ascii="Calibri" w:hAnsi="Calibri" w:cs="Calibri" w:eastAsia="Calibri" w:hint="default"/>
                <w:sz w:val="18"/>
                <w:szCs w:val="18"/>
              </w:rPr>
            </w:pPr>
            <w:r>
              <w:rPr>
                <w:rFonts w:ascii="Calibri"/>
                <w:sz w:val="18"/>
              </w:rPr>
              <w:t>Restaurants Service</w:t>
            </w:r>
            <w:r>
              <w:rPr>
                <w:rFonts w:ascii="Calibri"/>
                <w:spacing w:val="-7"/>
                <w:sz w:val="18"/>
              </w:rPr>
              <w:t> </w:t>
            </w:r>
            <w:r>
              <w:rPr>
                <w:rFonts w:ascii="Calibri"/>
                <w:sz w:val="18"/>
              </w:rPr>
              <w:t>Quality</w:t>
            </w:r>
          </w:p>
        </w:tc>
        <w:tc>
          <w:tcPr>
            <w:tcW w:w="1130" w:type="dxa"/>
            <w:tcBorders>
              <w:top w:val="nil" w:sz="6" w:space="0" w:color="auto"/>
              <w:left w:val="nil" w:sz="6" w:space="0" w:color="auto"/>
              <w:bottom w:val="nil" w:sz="6" w:space="0" w:color="auto"/>
              <w:right w:val="nil" w:sz="6" w:space="0" w:color="auto"/>
            </w:tcBorders>
          </w:tcPr>
          <w:p>
            <w:pPr>
              <w:pStyle w:val="TableParagraph"/>
              <w:spacing w:line="240" w:lineRule="auto" w:before="23"/>
              <w:ind w:right="115"/>
              <w:jc w:val="right"/>
              <w:rPr>
                <w:rFonts w:ascii="Calibri" w:hAnsi="Calibri" w:cs="Calibri" w:eastAsia="Calibri" w:hint="default"/>
                <w:sz w:val="18"/>
                <w:szCs w:val="18"/>
              </w:rPr>
            </w:pPr>
            <w:r>
              <w:rPr>
                <w:rFonts w:ascii="Calibri"/>
                <w:spacing w:val="-1"/>
                <w:w w:val="95"/>
                <w:sz w:val="18"/>
              </w:rPr>
              <w:t>.826</w:t>
            </w:r>
            <w:r>
              <w:rPr>
                <w:rFonts w:ascii="Calibri"/>
                <w:w w:val="95"/>
                <w:sz w:val="18"/>
              </w:rPr>
            </w: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
        </w:tc>
      </w:tr>
      <w:tr>
        <w:trPr>
          <w:trHeight w:val="300"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23"/>
              <w:ind w:left="108" w:right="0"/>
              <w:jc w:val="left"/>
              <w:rPr>
                <w:rFonts w:ascii="Calibri" w:hAnsi="Calibri" w:cs="Calibri" w:eastAsia="Calibri" w:hint="default"/>
                <w:sz w:val="18"/>
                <w:szCs w:val="18"/>
              </w:rPr>
            </w:pPr>
            <w:r>
              <w:rPr>
                <w:rFonts w:ascii="Calibri"/>
                <w:sz w:val="18"/>
              </w:rPr>
              <w:t>Local Food</w:t>
            </w:r>
            <w:r>
              <w:rPr>
                <w:rFonts w:ascii="Calibri"/>
                <w:spacing w:val="-4"/>
                <w:sz w:val="18"/>
              </w:rPr>
              <w:t> </w:t>
            </w:r>
            <w:r>
              <w:rPr>
                <w:rFonts w:ascii="Calibri"/>
                <w:sz w:val="18"/>
              </w:rPr>
              <w:t>Taste</w:t>
            </w:r>
          </w:p>
        </w:tc>
        <w:tc>
          <w:tcPr>
            <w:tcW w:w="1130" w:type="dxa"/>
            <w:tcBorders>
              <w:top w:val="nil" w:sz="6" w:space="0" w:color="auto"/>
              <w:left w:val="nil" w:sz="6" w:space="0" w:color="auto"/>
              <w:bottom w:val="nil" w:sz="6" w:space="0" w:color="auto"/>
              <w:right w:val="nil" w:sz="6" w:space="0" w:color="auto"/>
            </w:tcBorders>
          </w:tcPr>
          <w:p>
            <w:pPr>
              <w:pStyle w:val="TableParagraph"/>
              <w:spacing w:line="240" w:lineRule="auto" w:before="23"/>
              <w:ind w:right="115"/>
              <w:jc w:val="right"/>
              <w:rPr>
                <w:rFonts w:ascii="Calibri" w:hAnsi="Calibri" w:cs="Calibri" w:eastAsia="Calibri" w:hint="default"/>
                <w:sz w:val="18"/>
                <w:szCs w:val="18"/>
              </w:rPr>
            </w:pPr>
            <w:r>
              <w:rPr>
                <w:rFonts w:ascii="Calibri"/>
                <w:spacing w:val="-1"/>
                <w:w w:val="95"/>
                <w:sz w:val="18"/>
              </w:rPr>
              <w:t>.686</w:t>
            </w:r>
            <w:r>
              <w:rPr>
                <w:rFonts w:ascii="Calibri"/>
                <w:w w:val="95"/>
                <w:sz w:val="18"/>
              </w:rPr>
            </w: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
        </w:tc>
      </w:tr>
      <w:tr>
        <w:trPr>
          <w:trHeight w:val="306"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23"/>
              <w:ind w:left="108" w:right="0"/>
              <w:jc w:val="left"/>
              <w:rPr>
                <w:rFonts w:ascii="Calibri" w:hAnsi="Calibri" w:cs="Calibri" w:eastAsia="Calibri" w:hint="default"/>
                <w:sz w:val="18"/>
                <w:szCs w:val="18"/>
              </w:rPr>
            </w:pPr>
            <w:r>
              <w:rPr>
                <w:rFonts w:ascii="Calibri"/>
                <w:sz w:val="18"/>
              </w:rPr>
              <w:t>Overall Cleanliness &amp;</w:t>
            </w:r>
            <w:r>
              <w:rPr>
                <w:rFonts w:ascii="Calibri"/>
                <w:spacing w:val="-13"/>
                <w:sz w:val="18"/>
              </w:rPr>
              <w:t> </w:t>
            </w:r>
            <w:r>
              <w:rPr>
                <w:rFonts w:ascii="Calibri"/>
                <w:sz w:val="18"/>
              </w:rPr>
              <w:t>Hygiene</w:t>
            </w:r>
          </w:p>
        </w:tc>
        <w:tc>
          <w:tcPr>
            <w:tcW w:w="1130" w:type="dxa"/>
            <w:tcBorders>
              <w:top w:val="nil" w:sz="6" w:space="0" w:color="auto"/>
              <w:left w:val="nil" w:sz="6" w:space="0" w:color="auto"/>
              <w:bottom w:val="nil" w:sz="6" w:space="0" w:color="auto"/>
              <w:right w:val="nil" w:sz="6" w:space="0" w:color="auto"/>
            </w:tcBorders>
          </w:tcPr>
          <w:p>
            <w:pPr>
              <w:pStyle w:val="TableParagraph"/>
              <w:spacing w:line="240" w:lineRule="auto" w:before="23"/>
              <w:ind w:right="115"/>
              <w:jc w:val="right"/>
              <w:rPr>
                <w:rFonts w:ascii="Calibri" w:hAnsi="Calibri" w:cs="Calibri" w:eastAsia="Calibri" w:hint="default"/>
                <w:sz w:val="18"/>
                <w:szCs w:val="18"/>
              </w:rPr>
            </w:pPr>
            <w:r>
              <w:rPr>
                <w:rFonts w:ascii="Calibri"/>
                <w:spacing w:val="-1"/>
                <w:w w:val="95"/>
                <w:sz w:val="18"/>
              </w:rPr>
              <w:t>.678</w:t>
            </w:r>
            <w:r>
              <w:rPr>
                <w:rFonts w:ascii="Calibri"/>
                <w:w w:val="95"/>
                <w:sz w:val="18"/>
              </w:rPr>
            </w: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
        </w:tc>
      </w:tr>
      <w:tr>
        <w:trPr>
          <w:trHeight w:val="306"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30"/>
              <w:ind w:left="108" w:right="0"/>
              <w:jc w:val="left"/>
              <w:rPr>
                <w:rFonts w:ascii="Calibri" w:hAnsi="Calibri" w:cs="Calibri" w:eastAsia="Calibri" w:hint="default"/>
                <w:sz w:val="18"/>
                <w:szCs w:val="18"/>
              </w:rPr>
            </w:pPr>
            <w:r>
              <w:rPr>
                <w:rFonts w:ascii="Calibri"/>
                <w:sz w:val="18"/>
              </w:rPr>
              <w:t>Food &amp; Water</w:t>
            </w:r>
            <w:r>
              <w:rPr>
                <w:rFonts w:ascii="Calibri"/>
                <w:spacing w:val="-8"/>
                <w:sz w:val="18"/>
              </w:rPr>
              <w:t> </w:t>
            </w:r>
            <w:r>
              <w:rPr>
                <w:rFonts w:ascii="Calibri"/>
                <w:sz w:val="18"/>
              </w:rPr>
              <w:t>Safety</w:t>
            </w:r>
          </w:p>
        </w:tc>
        <w:tc>
          <w:tcPr>
            <w:tcW w:w="1130" w:type="dxa"/>
            <w:tcBorders>
              <w:top w:val="nil" w:sz="6" w:space="0" w:color="auto"/>
              <w:left w:val="nil" w:sz="6" w:space="0" w:color="auto"/>
              <w:bottom w:val="nil" w:sz="6" w:space="0" w:color="auto"/>
              <w:right w:val="nil" w:sz="6" w:space="0" w:color="auto"/>
            </w:tcBorders>
          </w:tcPr>
          <w:p>
            <w:pPr>
              <w:pStyle w:val="TableParagraph"/>
              <w:spacing w:line="240" w:lineRule="auto" w:before="30"/>
              <w:ind w:right="115"/>
              <w:jc w:val="right"/>
              <w:rPr>
                <w:rFonts w:ascii="Calibri" w:hAnsi="Calibri" w:cs="Calibri" w:eastAsia="Calibri" w:hint="default"/>
                <w:sz w:val="18"/>
                <w:szCs w:val="18"/>
              </w:rPr>
            </w:pPr>
            <w:r>
              <w:rPr>
                <w:rFonts w:ascii="Calibri"/>
                <w:spacing w:val="-1"/>
                <w:w w:val="95"/>
                <w:sz w:val="18"/>
              </w:rPr>
              <w:t>.658</w:t>
            </w:r>
            <w:r>
              <w:rPr>
                <w:rFonts w:ascii="Calibri"/>
                <w:w w:val="95"/>
                <w:sz w:val="18"/>
              </w:rPr>
            </w: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
        </w:tc>
      </w:tr>
      <w:tr>
        <w:trPr>
          <w:trHeight w:val="294"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23"/>
              <w:ind w:left="108" w:right="0"/>
              <w:jc w:val="left"/>
              <w:rPr>
                <w:rFonts w:ascii="Calibri" w:hAnsi="Calibri" w:cs="Calibri" w:eastAsia="Calibri" w:hint="default"/>
                <w:sz w:val="18"/>
                <w:szCs w:val="18"/>
              </w:rPr>
            </w:pPr>
            <w:r>
              <w:rPr>
                <w:rFonts w:ascii="Calibri"/>
                <w:sz w:val="18"/>
              </w:rPr>
              <w:t>Social</w:t>
            </w:r>
            <w:r>
              <w:rPr>
                <w:rFonts w:ascii="Calibri"/>
                <w:spacing w:val="-6"/>
                <w:sz w:val="18"/>
              </w:rPr>
              <w:t> </w:t>
            </w:r>
            <w:r>
              <w:rPr>
                <w:rFonts w:ascii="Calibri"/>
                <w:sz w:val="18"/>
              </w:rPr>
              <w:t>Mingle</w:t>
            </w:r>
          </w:p>
        </w:tc>
        <w:tc>
          <w:tcPr>
            <w:tcW w:w="1130" w:type="dxa"/>
            <w:tcBorders>
              <w:top w:val="nil" w:sz="6" w:space="0" w:color="auto"/>
              <w:left w:val="nil" w:sz="6" w:space="0" w:color="auto"/>
              <w:bottom w:val="nil" w:sz="6" w:space="0" w:color="auto"/>
              <w:right w:val="nil" w:sz="6" w:space="0" w:color="auto"/>
            </w:tcBorders>
          </w:tcPr>
          <w:p>
            <w:pPr>
              <w:pStyle w:val="TableParagraph"/>
              <w:spacing w:line="240" w:lineRule="auto" w:before="23"/>
              <w:ind w:right="115"/>
              <w:jc w:val="right"/>
              <w:rPr>
                <w:rFonts w:ascii="Calibri" w:hAnsi="Calibri" w:cs="Calibri" w:eastAsia="Calibri" w:hint="default"/>
                <w:sz w:val="18"/>
                <w:szCs w:val="18"/>
              </w:rPr>
            </w:pPr>
            <w:r>
              <w:rPr>
                <w:rFonts w:ascii="Calibri"/>
                <w:spacing w:val="-1"/>
                <w:w w:val="95"/>
                <w:sz w:val="18"/>
              </w:rPr>
              <w:t>.592</w:t>
            </w:r>
            <w:r>
              <w:rPr>
                <w:rFonts w:ascii="Calibri"/>
                <w:w w:val="95"/>
                <w:sz w:val="18"/>
              </w:rPr>
            </w: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Water Activity</w:t>
            </w:r>
            <w:r>
              <w:rPr>
                <w:rFonts w:ascii="Calibri"/>
                <w:spacing w:val="-6"/>
                <w:sz w:val="18"/>
              </w:rPr>
              <w:t> </w:t>
            </w:r>
            <w:r>
              <w:rPr>
                <w:rFonts w:ascii="Calibri"/>
                <w:sz w:val="18"/>
              </w:rPr>
              <w:t>Variety</w:t>
            </w:r>
          </w:p>
        </w:tc>
        <w:tc>
          <w:tcPr>
            <w:tcW w:w="1130"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15"/>
              <w:jc w:val="right"/>
              <w:rPr>
                <w:rFonts w:ascii="Calibri" w:hAnsi="Calibri" w:cs="Calibri" w:eastAsia="Calibri" w:hint="default"/>
                <w:sz w:val="18"/>
                <w:szCs w:val="18"/>
              </w:rPr>
            </w:pPr>
            <w:r>
              <w:rPr>
                <w:rFonts w:ascii="Calibri"/>
                <w:spacing w:val="-1"/>
                <w:w w:val="95"/>
                <w:sz w:val="18"/>
              </w:rPr>
              <w:t>.560</w:t>
            </w:r>
            <w:r>
              <w:rPr>
                <w:rFonts w:ascii="Calibri"/>
                <w:w w:val="95"/>
                <w:sz w:val="18"/>
              </w:rPr>
            </w: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F&amp;B</w:t>
            </w:r>
            <w:r>
              <w:rPr>
                <w:rFonts w:ascii="Calibri"/>
                <w:spacing w:val="-5"/>
                <w:sz w:val="18"/>
              </w:rPr>
              <w:t> </w:t>
            </w:r>
            <w:r>
              <w:rPr>
                <w:rFonts w:ascii="Calibri"/>
                <w:sz w:val="18"/>
              </w:rPr>
              <w:t>Quality</w:t>
            </w:r>
          </w:p>
        </w:tc>
        <w:tc>
          <w:tcPr>
            <w:tcW w:w="1130"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15"/>
              <w:jc w:val="right"/>
              <w:rPr>
                <w:rFonts w:ascii="Calibri" w:hAnsi="Calibri" w:cs="Calibri" w:eastAsia="Calibri" w:hint="default"/>
                <w:sz w:val="18"/>
                <w:szCs w:val="18"/>
              </w:rPr>
            </w:pPr>
            <w:r>
              <w:rPr>
                <w:rFonts w:ascii="Calibri"/>
                <w:spacing w:val="-1"/>
                <w:w w:val="95"/>
                <w:sz w:val="18"/>
              </w:rPr>
              <w:t>.557</w:t>
            </w:r>
            <w:r>
              <w:rPr>
                <w:rFonts w:ascii="Calibri"/>
                <w:w w:val="95"/>
                <w:sz w:val="18"/>
              </w:rPr>
            </w: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Accommodation</w:t>
            </w:r>
            <w:r>
              <w:rPr>
                <w:rFonts w:ascii="Calibri"/>
                <w:spacing w:val="-7"/>
                <w:sz w:val="18"/>
              </w:rPr>
              <w:t> </w:t>
            </w:r>
            <w:r>
              <w:rPr>
                <w:rFonts w:ascii="Calibri"/>
                <w:sz w:val="18"/>
              </w:rPr>
              <w:t>Quality</w:t>
            </w:r>
          </w:p>
        </w:tc>
        <w:tc>
          <w:tcPr>
            <w:tcW w:w="1130"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15"/>
              <w:jc w:val="right"/>
              <w:rPr>
                <w:rFonts w:ascii="Calibri" w:hAnsi="Calibri" w:cs="Calibri" w:eastAsia="Calibri" w:hint="default"/>
                <w:sz w:val="18"/>
                <w:szCs w:val="18"/>
              </w:rPr>
            </w:pPr>
            <w:r>
              <w:rPr>
                <w:rFonts w:ascii="Calibri"/>
                <w:spacing w:val="-1"/>
                <w:w w:val="95"/>
                <w:sz w:val="18"/>
              </w:rPr>
              <w:t>.553</w:t>
            </w:r>
            <w:r>
              <w:rPr>
                <w:rFonts w:ascii="Calibri"/>
                <w:w w:val="95"/>
                <w:sz w:val="18"/>
              </w:rPr>
            </w: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Ease of Mobility in</w:t>
            </w:r>
            <w:r>
              <w:rPr>
                <w:rFonts w:ascii="Calibri"/>
                <w:spacing w:val="-9"/>
                <w:sz w:val="18"/>
              </w:rPr>
              <w:t> </w:t>
            </w:r>
            <w:r>
              <w:rPr>
                <w:rFonts w:ascii="Calibri"/>
                <w:sz w:val="18"/>
              </w:rPr>
              <w:t>Destination</w:t>
            </w:r>
          </w:p>
        </w:tc>
        <w:tc>
          <w:tcPr>
            <w:tcW w:w="1130"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15"/>
              <w:jc w:val="right"/>
              <w:rPr>
                <w:rFonts w:ascii="Calibri" w:hAnsi="Calibri" w:cs="Calibri" w:eastAsia="Calibri" w:hint="default"/>
                <w:sz w:val="18"/>
                <w:szCs w:val="18"/>
              </w:rPr>
            </w:pPr>
            <w:r>
              <w:rPr>
                <w:rFonts w:ascii="Calibri"/>
                <w:spacing w:val="-1"/>
                <w:w w:val="95"/>
                <w:sz w:val="18"/>
              </w:rPr>
              <w:t>.511</w:t>
            </w:r>
            <w:r>
              <w:rPr>
                <w:rFonts w:ascii="Calibri"/>
                <w:w w:val="95"/>
                <w:sz w:val="18"/>
              </w:rPr>
            </w: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High Prestige Product &amp;</w:t>
            </w:r>
            <w:r>
              <w:rPr>
                <w:rFonts w:ascii="Calibri"/>
                <w:spacing w:val="-11"/>
                <w:sz w:val="18"/>
              </w:rPr>
              <w:t> </w:t>
            </w:r>
            <w:r>
              <w:rPr>
                <w:rFonts w:ascii="Calibri"/>
                <w:sz w:val="18"/>
              </w:rPr>
              <w:t>Service</w:t>
            </w:r>
          </w:p>
        </w:tc>
        <w:tc>
          <w:tcPr>
            <w:tcW w:w="1130"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15"/>
              <w:jc w:val="right"/>
              <w:rPr>
                <w:rFonts w:ascii="Calibri" w:hAnsi="Calibri" w:cs="Calibri" w:eastAsia="Calibri" w:hint="default"/>
                <w:sz w:val="18"/>
                <w:szCs w:val="18"/>
              </w:rPr>
            </w:pPr>
            <w:r>
              <w:rPr>
                <w:rFonts w:ascii="Calibri"/>
                <w:spacing w:val="-1"/>
                <w:w w:val="95"/>
                <w:sz w:val="18"/>
              </w:rPr>
              <w:t>.497</w:t>
            </w:r>
            <w:r>
              <w:rPr>
                <w:rFonts w:ascii="Calibri"/>
                <w:w w:val="95"/>
                <w:sz w:val="18"/>
              </w:rPr>
            </w: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Facilities on</w:t>
            </w:r>
            <w:r>
              <w:rPr>
                <w:rFonts w:ascii="Calibri"/>
                <w:spacing w:val="-9"/>
                <w:sz w:val="18"/>
              </w:rPr>
              <w:t> </w:t>
            </w:r>
            <w:r>
              <w:rPr>
                <w:rFonts w:ascii="Calibri"/>
                <w:sz w:val="18"/>
              </w:rPr>
              <w:t>Beaches</w:t>
            </w:r>
          </w:p>
        </w:tc>
        <w:tc>
          <w:tcPr>
            <w:tcW w:w="1130"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15"/>
              <w:jc w:val="right"/>
              <w:rPr>
                <w:rFonts w:ascii="Calibri" w:hAnsi="Calibri" w:cs="Calibri" w:eastAsia="Calibri" w:hint="default"/>
                <w:sz w:val="18"/>
                <w:szCs w:val="18"/>
              </w:rPr>
            </w:pPr>
            <w:r>
              <w:rPr>
                <w:rFonts w:ascii="Calibri"/>
                <w:spacing w:val="-1"/>
                <w:w w:val="95"/>
                <w:sz w:val="18"/>
              </w:rPr>
              <w:t>.416</w:t>
            </w:r>
            <w:r>
              <w:rPr>
                <w:rFonts w:ascii="Calibri"/>
                <w:w w:val="95"/>
                <w:sz w:val="18"/>
              </w:rPr>
            </w: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Available Luxury Brands in</w:t>
            </w:r>
            <w:r>
              <w:rPr>
                <w:rFonts w:ascii="Calibri"/>
                <w:spacing w:val="-9"/>
                <w:sz w:val="18"/>
              </w:rPr>
              <w:t> </w:t>
            </w:r>
            <w:r>
              <w:rPr>
                <w:rFonts w:ascii="Calibri"/>
                <w:sz w:val="18"/>
              </w:rPr>
              <w:t>Duty-free</w:t>
            </w:r>
          </w:p>
        </w:tc>
        <w:tc>
          <w:tcPr>
            <w:tcW w:w="1130" w:type="dxa"/>
            <w:tcBorders>
              <w:top w:val="nil" w:sz="6" w:space="0" w:color="auto"/>
              <w:left w:val="nil" w:sz="6" w:space="0" w:color="auto"/>
              <w:bottom w:val="nil" w:sz="6" w:space="0" w:color="auto"/>
              <w:right w:val="nil" w:sz="6" w:space="0" w:color="auto"/>
            </w:tcBorders>
          </w:tcPr>
          <w:p>
            <w:pPr/>
          </w:p>
        </w:tc>
        <w:tc>
          <w:tcPr>
            <w:tcW w:w="1091"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07"/>
              <w:jc w:val="right"/>
              <w:rPr>
                <w:rFonts w:ascii="Calibri" w:hAnsi="Calibri" w:cs="Calibri" w:eastAsia="Calibri" w:hint="default"/>
                <w:sz w:val="18"/>
                <w:szCs w:val="18"/>
              </w:rPr>
            </w:pPr>
            <w:r>
              <w:rPr>
                <w:rFonts w:ascii="Calibri"/>
                <w:spacing w:val="-1"/>
                <w:w w:val="95"/>
                <w:sz w:val="18"/>
              </w:rPr>
              <w:t>.866</w:t>
            </w:r>
            <w:r>
              <w:rPr>
                <w:rFonts w:ascii="Calibri"/>
                <w:w w:val="95"/>
                <w:sz w:val="18"/>
              </w:rPr>
            </w:r>
          </w:p>
        </w:tc>
        <w:tc>
          <w:tcPr>
            <w:tcW w:w="1161" w:type="dxa"/>
            <w:tcBorders>
              <w:top w:val="nil" w:sz="6" w:space="0" w:color="auto"/>
              <w:left w:val="nil" w:sz="6" w:space="0" w:color="auto"/>
              <w:bottom w:val="nil" w:sz="6" w:space="0" w:color="auto"/>
              <w:right w:val="nil" w:sz="6" w:space="0" w:color="auto"/>
            </w:tcBorders>
          </w:tcPr>
          <w:p>
            <w:pP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Product Variety in</w:t>
            </w:r>
            <w:r>
              <w:rPr>
                <w:rFonts w:ascii="Calibri"/>
                <w:spacing w:val="-7"/>
                <w:sz w:val="18"/>
              </w:rPr>
              <w:t> </w:t>
            </w:r>
            <w:r>
              <w:rPr>
                <w:rFonts w:ascii="Calibri"/>
                <w:sz w:val="18"/>
              </w:rPr>
              <w:t>Duty-free</w:t>
            </w:r>
          </w:p>
        </w:tc>
        <w:tc>
          <w:tcPr>
            <w:tcW w:w="1130" w:type="dxa"/>
            <w:tcBorders>
              <w:top w:val="nil" w:sz="6" w:space="0" w:color="auto"/>
              <w:left w:val="nil" w:sz="6" w:space="0" w:color="auto"/>
              <w:bottom w:val="nil" w:sz="6" w:space="0" w:color="auto"/>
              <w:right w:val="nil" w:sz="6" w:space="0" w:color="auto"/>
            </w:tcBorders>
          </w:tcPr>
          <w:p>
            <w:pPr/>
          </w:p>
        </w:tc>
        <w:tc>
          <w:tcPr>
            <w:tcW w:w="1091"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07"/>
              <w:jc w:val="right"/>
              <w:rPr>
                <w:rFonts w:ascii="Calibri" w:hAnsi="Calibri" w:cs="Calibri" w:eastAsia="Calibri" w:hint="default"/>
                <w:sz w:val="18"/>
                <w:szCs w:val="18"/>
              </w:rPr>
            </w:pPr>
            <w:r>
              <w:rPr>
                <w:rFonts w:ascii="Calibri"/>
                <w:spacing w:val="-1"/>
                <w:w w:val="95"/>
                <w:sz w:val="18"/>
              </w:rPr>
              <w:t>.864</w:t>
            </w:r>
            <w:r>
              <w:rPr>
                <w:rFonts w:ascii="Calibri"/>
                <w:w w:val="95"/>
                <w:sz w:val="18"/>
              </w:rPr>
            </w:r>
          </w:p>
        </w:tc>
        <w:tc>
          <w:tcPr>
            <w:tcW w:w="1161" w:type="dxa"/>
            <w:tcBorders>
              <w:top w:val="nil" w:sz="6" w:space="0" w:color="auto"/>
              <w:left w:val="nil" w:sz="6" w:space="0" w:color="auto"/>
              <w:bottom w:val="nil" w:sz="6" w:space="0" w:color="auto"/>
              <w:right w:val="nil" w:sz="6" w:space="0" w:color="auto"/>
            </w:tcBorders>
          </w:tcPr>
          <w:p>
            <w:pP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Product Quality in</w:t>
            </w:r>
            <w:r>
              <w:rPr>
                <w:rFonts w:ascii="Calibri"/>
                <w:spacing w:val="-7"/>
                <w:sz w:val="18"/>
              </w:rPr>
              <w:t> </w:t>
            </w:r>
            <w:r>
              <w:rPr>
                <w:rFonts w:ascii="Calibri"/>
                <w:sz w:val="18"/>
              </w:rPr>
              <w:t>Duty-free</w:t>
            </w:r>
          </w:p>
        </w:tc>
        <w:tc>
          <w:tcPr>
            <w:tcW w:w="1130" w:type="dxa"/>
            <w:tcBorders>
              <w:top w:val="nil" w:sz="6" w:space="0" w:color="auto"/>
              <w:left w:val="nil" w:sz="6" w:space="0" w:color="auto"/>
              <w:bottom w:val="nil" w:sz="6" w:space="0" w:color="auto"/>
              <w:right w:val="nil" w:sz="6" w:space="0" w:color="auto"/>
            </w:tcBorders>
          </w:tcPr>
          <w:p>
            <w:pPr/>
          </w:p>
        </w:tc>
        <w:tc>
          <w:tcPr>
            <w:tcW w:w="1091"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07"/>
              <w:jc w:val="right"/>
              <w:rPr>
                <w:rFonts w:ascii="Calibri" w:hAnsi="Calibri" w:cs="Calibri" w:eastAsia="Calibri" w:hint="default"/>
                <w:sz w:val="18"/>
                <w:szCs w:val="18"/>
              </w:rPr>
            </w:pPr>
            <w:r>
              <w:rPr>
                <w:rFonts w:ascii="Calibri"/>
                <w:spacing w:val="-1"/>
                <w:w w:val="95"/>
                <w:sz w:val="18"/>
              </w:rPr>
              <w:t>.851</w:t>
            </w:r>
            <w:r>
              <w:rPr>
                <w:rFonts w:ascii="Calibri"/>
                <w:w w:val="95"/>
                <w:sz w:val="18"/>
              </w:rPr>
            </w:r>
          </w:p>
        </w:tc>
        <w:tc>
          <w:tcPr>
            <w:tcW w:w="1161" w:type="dxa"/>
            <w:tcBorders>
              <w:top w:val="nil" w:sz="6" w:space="0" w:color="auto"/>
              <w:left w:val="nil" w:sz="6" w:space="0" w:color="auto"/>
              <w:bottom w:val="nil" w:sz="6" w:space="0" w:color="auto"/>
              <w:right w:val="nil" w:sz="6" w:space="0" w:color="auto"/>
            </w:tcBorders>
          </w:tcPr>
          <w:p>
            <w:pP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8"/>
              <w:ind w:left="108" w:right="0"/>
              <w:jc w:val="left"/>
              <w:rPr>
                <w:rFonts w:ascii="Calibri" w:hAnsi="Calibri" w:cs="Calibri" w:eastAsia="Calibri" w:hint="default"/>
                <w:sz w:val="18"/>
                <w:szCs w:val="18"/>
              </w:rPr>
            </w:pPr>
            <w:r>
              <w:rPr>
                <w:rFonts w:ascii="Calibri"/>
                <w:sz w:val="18"/>
              </w:rPr>
              <w:t>Available</w:t>
            </w:r>
            <w:r>
              <w:rPr>
                <w:rFonts w:ascii="Calibri"/>
                <w:spacing w:val="-7"/>
                <w:sz w:val="18"/>
              </w:rPr>
              <w:t> </w:t>
            </w:r>
            <w:r>
              <w:rPr>
                <w:rFonts w:ascii="Calibri"/>
                <w:sz w:val="18"/>
              </w:rPr>
              <w:t>Duty-free</w:t>
            </w:r>
          </w:p>
        </w:tc>
        <w:tc>
          <w:tcPr>
            <w:tcW w:w="1130" w:type="dxa"/>
            <w:tcBorders>
              <w:top w:val="nil" w:sz="6" w:space="0" w:color="auto"/>
              <w:left w:val="nil" w:sz="6" w:space="0" w:color="auto"/>
              <w:bottom w:val="nil" w:sz="6" w:space="0" w:color="auto"/>
              <w:right w:val="nil" w:sz="6" w:space="0" w:color="auto"/>
            </w:tcBorders>
          </w:tcPr>
          <w:p>
            <w:pPr/>
          </w:p>
        </w:tc>
        <w:tc>
          <w:tcPr>
            <w:tcW w:w="1091" w:type="dxa"/>
            <w:tcBorders>
              <w:top w:val="nil" w:sz="6" w:space="0" w:color="auto"/>
              <w:left w:val="nil" w:sz="6" w:space="0" w:color="auto"/>
              <w:bottom w:val="nil" w:sz="6" w:space="0" w:color="auto"/>
              <w:right w:val="nil" w:sz="6" w:space="0" w:color="auto"/>
            </w:tcBorders>
          </w:tcPr>
          <w:p>
            <w:pPr>
              <w:pStyle w:val="TableParagraph"/>
              <w:spacing w:line="240" w:lineRule="auto" w:before="18"/>
              <w:ind w:right="107"/>
              <w:jc w:val="right"/>
              <w:rPr>
                <w:rFonts w:ascii="Calibri" w:hAnsi="Calibri" w:cs="Calibri" w:eastAsia="Calibri" w:hint="default"/>
                <w:sz w:val="18"/>
                <w:szCs w:val="18"/>
              </w:rPr>
            </w:pPr>
            <w:r>
              <w:rPr>
                <w:rFonts w:ascii="Calibri"/>
                <w:spacing w:val="-1"/>
                <w:w w:val="95"/>
                <w:sz w:val="18"/>
              </w:rPr>
              <w:t>.751</w:t>
            </w:r>
            <w:r>
              <w:rPr>
                <w:rFonts w:ascii="Calibri"/>
                <w:w w:val="95"/>
                <w:sz w:val="18"/>
              </w:rPr>
            </w:r>
          </w:p>
        </w:tc>
        <w:tc>
          <w:tcPr>
            <w:tcW w:w="1161" w:type="dxa"/>
            <w:tcBorders>
              <w:top w:val="nil" w:sz="6" w:space="0" w:color="auto"/>
              <w:left w:val="nil" w:sz="6" w:space="0" w:color="auto"/>
              <w:bottom w:val="nil" w:sz="6" w:space="0" w:color="auto"/>
              <w:right w:val="nil" w:sz="6" w:space="0" w:color="auto"/>
            </w:tcBorders>
          </w:tcPr>
          <w:p>
            <w:pP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Price in</w:t>
            </w:r>
            <w:r>
              <w:rPr>
                <w:rFonts w:ascii="Calibri"/>
                <w:spacing w:val="-7"/>
                <w:sz w:val="18"/>
              </w:rPr>
              <w:t> </w:t>
            </w:r>
            <w:r>
              <w:rPr>
                <w:rFonts w:ascii="Calibri"/>
                <w:sz w:val="18"/>
              </w:rPr>
              <w:t>Duty-free</w:t>
            </w:r>
          </w:p>
        </w:tc>
        <w:tc>
          <w:tcPr>
            <w:tcW w:w="1130" w:type="dxa"/>
            <w:tcBorders>
              <w:top w:val="nil" w:sz="6" w:space="0" w:color="auto"/>
              <w:left w:val="nil" w:sz="6" w:space="0" w:color="auto"/>
              <w:bottom w:val="nil" w:sz="6" w:space="0" w:color="auto"/>
              <w:right w:val="nil" w:sz="6" w:space="0" w:color="auto"/>
            </w:tcBorders>
          </w:tcPr>
          <w:p>
            <w:pPr/>
          </w:p>
        </w:tc>
        <w:tc>
          <w:tcPr>
            <w:tcW w:w="1091"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07"/>
              <w:jc w:val="right"/>
              <w:rPr>
                <w:rFonts w:ascii="Calibri" w:hAnsi="Calibri" w:cs="Calibri" w:eastAsia="Calibri" w:hint="default"/>
                <w:sz w:val="18"/>
                <w:szCs w:val="18"/>
              </w:rPr>
            </w:pPr>
            <w:r>
              <w:rPr>
                <w:rFonts w:ascii="Calibri"/>
                <w:spacing w:val="-1"/>
                <w:w w:val="95"/>
                <w:sz w:val="18"/>
              </w:rPr>
              <w:t>.746</w:t>
            </w:r>
            <w:r>
              <w:rPr>
                <w:rFonts w:ascii="Calibri"/>
                <w:w w:val="95"/>
                <w:sz w:val="18"/>
              </w:rPr>
            </w:r>
          </w:p>
        </w:tc>
        <w:tc>
          <w:tcPr>
            <w:tcW w:w="1161" w:type="dxa"/>
            <w:tcBorders>
              <w:top w:val="nil" w:sz="6" w:space="0" w:color="auto"/>
              <w:left w:val="nil" w:sz="6" w:space="0" w:color="auto"/>
              <w:bottom w:val="nil" w:sz="6" w:space="0" w:color="auto"/>
              <w:right w:val="nil" w:sz="6" w:space="0" w:color="auto"/>
            </w:tcBorders>
          </w:tcPr>
          <w:p>
            <w:pP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Restaurants</w:t>
            </w:r>
            <w:r>
              <w:rPr>
                <w:rFonts w:ascii="Calibri"/>
                <w:spacing w:val="-5"/>
                <w:sz w:val="18"/>
              </w:rPr>
              <w:t> </w:t>
            </w:r>
            <w:r>
              <w:rPr>
                <w:rFonts w:ascii="Calibri"/>
                <w:sz w:val="18"/>
              </w:rPr>
              <w:t>Price</w:t>
            </w:r>
          </w:p>
        </w:tc>
        <w:tc>
          <w:tcPr>
            <w:tcW w:w="1130" w:type="dxa"/>
            <w:tcBorders>
              <w:top w:val="nil" w:sz="6" w:space="0" w:color="auto"/>
              <w:left w:val="nil" w:sz="6" w:space="0" w:color="auto"/>
              <w:bottom w:val="nil" w:sz="6" w:space="0" w:color="auto"/>
              <w:right w:val="nil" w:sz="6" w:space="0" w:color="auto"/>
            </w:tcBorders>
          </w:tcPr>
          <w:p>
            <w:pP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09"/>
              <w:jc w:val="right"/>
              <w:rPr>
                <w:rFonts w:ascii="Calibri" w:hAnsi="Calibri" w:cs="Calibri" w:eastAsia="Calibri" w:hint="default"/>
                <w:sz w:val="18"/>
                <w:szCs w:val="18"/>
              </w:rPr>
            </w:pPr>
            <w:r>
              <w:rPr>
                <w:rFonts w:ascii="Calibri"/>
                <w:spacing w:val="-1"/>
                <w:w w:val="95"/>
                <w:sz w:val="18"/>
              </w:rPr>
              <w:t>.703</w:t>
            </w:r>
            <w:r>
              <w:rPr>
                <w:rFonts w:ascii="Calibri"/>
                <w:w w:val="95"/>
                <w:sz w:val="18"/>
              </w:rPr>
            </w: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Shopping</w:t>
            </w:r>
            <w:r>
              <w:rPr>
                <w:rFonts w:ascii="Calibri"/>
                <w:spacing w:val="-7"/>
                <w:sz w:val="18"/>
              </w:rPr>
              <w:t> </w:t>
            </w:r>
            <w:r>
              <w:rPr>
                <w:rFonts w:ascii="Calibri"/>
                <w:sz w:val="18"/>
              </w:rPr>
              <w:t>Price</w:t>
            </w:r>
          </w:p>
        </w:tc>
        <w:tc>
          <w:tcPr>
            <w:tcW w:w="1130" w:type="dxa"/>
            <w:tcBorders>
              <w:top w:val="nil" w:sz="6" w:space="0" w:color="auto"/>
              <w:left w:val="nil" w:sz="6" w:space="0" w:color="auto"/>
              <w:bottom w:val="nil" w:sz="6" w:space="0" w:color="auto"/>
              <w:right w:val="nil" w:sz="6" w:space="0" w:color="auto"/>
            </w:tcBorders>
          </w:tcPr>
          <w:p>
            <w:pP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09"/>
              <w:jc w:val="right"/>
              <w:rPr>
                <w:rFonts w:ascii="Calibri" w:hAnsi="Calibri" w:cs="Calibri" w:eastAsia="Calibri" w:hint="default"/>
                <w:sz w:val="18"/>
                <w:szCs w:val="18"/>
              </w:rPr>
            </w:pPr>
            <w:r>
              <w:rPr>
                <w:rFonts w:ascii="Calibri"/>
                <w:spacing w:val="-1"/>
                <w:w w:val="95"/>
                <w:sz w:val="18"/>
              </w:rPr>
              <w:t>.675</w:t>
            </w:r>
            <w:r>
              <w:rPr>
                <w:rFonts w:ascii="Calibri"/>
                <w:w w:val="95"/>
                <w:sz w:val="18"/>
              </w:rPr>
            </w: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Accommodation</w:t>
            </w:r>
            <w:r>
              <w:rPr>
                <w:rFonts w:ascii="Calibri"/>
                <w:spacing w:val="-4"/>
                <w:sz w:val="18"/>
              </w:rPr>
              <w:t> </w:t>
            </w:r>
            <w:r>
              <w:rPr>
                <w:rFonts w:ascii="Calibri"/>
                <w:sz w:val="18"/>
              </w:rPr>
              <w:t>Price</w:t>
            </w:r>
          </w:p>
        </w:tc>
        <w:tc>
          <w:tcPr>
            <w:tcW w:w="1130" w:type="dxa"/>
            <w:tcBorders>
              <w:top w:val="nil" w:sz="6" w:space="0" w:color="auto"/>
              <w:left w:val="nil" w:sz="6" w:space="0" w:color="auto"/>
              <w:bottom w:val="nil" w:sz="6" w:space="0" w:color="auto"/>
              <w:right w:val="nil" w:sz="6" w:space="0" w:color="auto"/>
            </w:tcBorders>
          </w:tcPr>
          <w:p>
            <w:pP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09"/>
              <w:jc w:val="right"/>
              <w:rPr>
                <w:rFonts w:ascii="Calibri" w:hAnsi="Calibri" w:cs="Calibri" w:eastAsia="Calibri" w:hint="default"/>
                <w:sz w:val="18"/>
                <w:szCs w:val="18"/>
              </w:rPr>
            </w:pPr>
            <w:r>
              <w:rPr>
                <w:rFonts w:ascii="Calibri"/>
                <w:spacing w:val="-1"/>
                <w:w w:val="95"/>
                <w:sz w:val="18"/>
              </w:rPr>
              <w:t>.668</w:t>
            </w:r>
            <w:r>
              <w:rPr>
                <w:rFonts w:ascii="Calibri"/>
                <w:w w:val="95"/>
                <w:sz w:val="18"/>
              </w:rPr>
            </w: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Cultural &amp; Heritage Attractions</w:t>
            </w:r>
            <w:r>
              <w:rPr>
                <w:rFonts w:ascii="Calibri"/>
                <w:spacing w:val="-10"/>
                <w:sz w:val="18"/>
              </w:rPr>
              <w:t> </w:t>
            </w:r>
            <w:r>
              <w:rPr>
                <w:rFonts w:ascii="Calibri"/>
                <w:sz w:val="18"/>
              </w:rPr>
              <w:t>Variety</w:t>
            </w:r>
          </w:p>
        </w:tc>
        <w:tc>
          <w:tcPr>
            <w:tcW w:w="1130" w:type="dxa"/>
            <w:tcBorders>
              <w:top w:val="nil" w:sz="6" w:space="0" w:color="auto"/>
              <w:left w:val="nil" w:sz="6" w:space="0" w:color="auto"/>
              <w:bottom w:val="nil" w:sz="6" w:space="0" w:color="auto"/>
              <w:right w:val="nil" w:sz="6" w:space="0" w:color="auto"/>
            </w:tcBorders>
          </w:tcPr>
          <w:p>
            <w:pP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09"/>
              <w:jc w:val="right"/>
              <w:rPr>
                <w:rFonts w:ascii="Calibri" w:hAnsi="Calibri" w:cs="Calibri" w:eastAsia="Calibri" w:hint="default"/>
                <w:sz w:val="18"/>
                <w:szCs w:val="18"/>
              </w:rPr>
            </w:pPr>
            <w:r>
              <w:rPr>
                <w:rFonts w:ascii="Calibri"/>
                <w:spacing w:val="-1"/>
                <w:w w:val="95"/>
                <w:sz w:val="18"/>
              </w:rPr>
              <w:t>.610</w:t>
            </w:r>
            <w:r>
              <w:rPr>
                <w:rFonts w:ascii="Calibri"/>
                <w:w w:val="95"/>
                <w:sz w:val="18"/>
              </w:rPr>
            </w: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Land-based Activity</w:t>
            </w:r>
            <w:r>
              <w:rPr>
                <w:rFonts w:ascii="Calibri"/>
                <w:spacing w:val="-7"/>
                <w:sz w:val="18"/>
              </w:rPr>
              <w:t> </w:t>
            </w:r>
            <w:r>
              <w:rPr>
                <w:rFonts w:ascii="Calibri"/>
                <w:sz w:val="18"/>
              </w:rPr>
              <w:t>Variety</w:t>
            </w:r>
          </w:p>
        </w:tc>
        <w:tc>
          <w:tcPr>
            <w:tcW w:w="1130" w:type="dxa"/>
            <w:tcBorders>
              <w:top w:val="nil" w:sz="6" w:space="0" w:color="auto"/>
              <w:left w:val="nil" w:sz="6" w:space="0" w:color="auto"/>
              <w:bottom w:val="nil" w:sz="6" w:space="0" w:color="auto"/>
              <w:right w:val="nil" w:sz="6" w:space="0" w:color="auto"/>
            </w:tcBorders>
          </w:tcPr>
          <w:p>
            <w:pP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09"/>
              <w:jc w:val="right"/>
              <w:rPr>
                <w:rFonts w:ascii="Calibri" w:hAnsi="Calibri" w:cs="Calibri" w:eastAsia="Calibri" w:hint="default"/>
                <w:sz w:val="18"/>
                <w:szCs w:val="18"/>
              </w:rPr>
            </w:pPr>
            <w:r>
              <w:rPr>
                <w:rFonts w:ascii="Calibri"/>
                <w:spacing w:val="-1"/>
                <w:w w:val="95"/>
                <w:sz w:val="18"/>
              </w:rPr>
              <w:t>.607</w:t>
            </w:r>
            <w:r>
              <w:rPr>
                <w:rFonts w:ascii="Calibri"/>
                <w:w w:val="95"/>
                <w:sz w:val="18"/>
              </w:rPr>
            </w: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Info. Signage</w:t>
            </w:r>
            <w:r>
              <w:rPr>
                <w:rFonts w:ascii="Calibri"/>
                <w:spacing w:val="-10"/>
                <w:sz w:val="18"/>
              </w:rPr>
              <w:t> </w:t>
            </w:r>
            <w:r>
              <w:rPr>
                <w:rFonts w:ascii="Calibri"/>
                <w:sz w:val="18"/>
              </w:rPr>
              <w:t>(Attractions)</w:t>
            </w:r>
          </w:p>
        </w:tc>
        <w:tc>
          <w:tcPr>
            <w:tcW w:w="1130" w:type="dxa"/>
            <w:tcBorders>
              <w:top w:val="nil" w:sz="6" w:space="0" w:color="auto"/>
              <w:left w:val="nil" w:sz="6" w:space="0" w:color="auto"/>
              <w:bottom w:val="nil" w:sz="6" w:space="0" w:color="auto"/>
              <w:right w:val="nil" w:sz="6" w:space="0" w:color="auto"/>
            </w:tcBorders>
          </w:tcPr>
          <w:p>
            <w:pP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09"/>
              <w:jc w:val="right"/>
              <w:rPr>
                <w:rFonts w:ascii="Calibri" w:hAnsi="Calibri" w:cs="Calibri" w:eastAsia="Calibri" w:hint="default"/>
                <w:sz w:val="18"/>
                <w:szCs w:val="18"/>
              </w:rPr>
            </w:pPr>
            <w:r>
              <w:rPr>
                <w:rFonts w:ascii="Calibri"/>
                <w:spacing w:val="-1"/>
                <w:w w:val="95"/>
                <w:sz w:val="18"/>
              </w:rPr>
              <w:t>.438</w:t>
            </w:r>
            <w:r>
              <w:rPr>
                <w:rFonts w:ascii="Calibri"/>
                <w:w w:val="95"/>
                <w:sz w:val="18"/>
              </w:rPr>
            </w:r>
          </w:p>
        </w:tc>
      </w:tr>
      <w:tr>
        <w:trPr>
          <w:trHeight w:val="288"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Directional Signage</w:t>
            </w:r>
            <w:r>
              <w:rPr>
                <w:rFonts w:ascii="Calibri"/>
                <w:spacing w:val="-11"/>
                <w:sz w:val="18"/>
              </w:rPr>
              <w:t> </w:t>
            </w:r>
            <w:r>
              <w:rPr>
                <w:rFonts w:ascii="Calibri"/>
                <w:sz w:val="18"/>
              </w:rPr>
              <w:t>(Roads)</w:t>
            </w:r>
          </w:p>
        </w:tc>
        <w:tc>
          <w:tcPr>
            <w:tcW w:w="1130" w:type="dxa"/>
            <w:tcBorders>
              <w:top w:val="nil" w:sz="6" w:space="0" w:color="auto"/>
              <w:left w:val="nil" w:sz="6" w:space="0" w:color="auto"/>
              <w:bottom w:val="nil" w:sz="6" w:space="0" w:color="auto"/>
              <w:right w:val="nil" w:sz="6" w:space="0" w:color="auto"/>
            </w:tcBorders>
          </w:tcPr>
          <w:p>
            <w:pP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Style w:val="TableParagraph"/>
              <w:spacing w:line="240" w:lineRule="auto" w:before="17"/>
              <w:ind w:right="109"/>
              <w:jc w:val="right"/>
              <w:rPr>
                <w:rFonts w:ascii="Calibri" w:hAnsi="Calibri" w:cs="Calibri" w:eastAsia="Calibri" w:hint="default"/>
                <w:sz w:val="18"/>
                <w:szCs w:val="18"/>
              </w:rPr>
            </w:pPr>
            <w:r>
              <w:rPr>
                <w:rFonts w:ascii="Calibri"/>
                <w:spacing w:val="-1"/>
                <w:w w:val="95"/>
                <w:sz w:val="18"/>
              </w:rPr>
              <w:t>.408</w:t>
            </w:r>
            <w:r>
              <w:rPr>
                <w:rFonts w:ascii="Calibri"/>
                <w:w w:val="95"/>
                <w:sz w:val="18"/>
              </w:rPr>
            </w:r>
          </w:p>
        </w:tc>
      </w:tr>
      <w:tr>
        <w:trPr>
          <w:trHeight w:val="340" w:hRule="exact"/>
        </w:trPr>
        <w:tc>
          <w:tcPr>
            <w:tcW w:w="3320" w:type="dxa"/>
            <w:tcBorders>
              <w:top w:val="nil" w:sz="6" w:space="0" w:color="auto"/>
              <w:left w:val="nil" w:sz="6" w:space="0" w:color="auto"/>
              <w:bottom w:val="single" w:sz="17" w:space="0" w:color="000000"/>
              <w:right w:val="nil" w:sz="6" w:space="0" w:color="auto"/>
            </w:tcBorders>
          </w:tcPr>
          <w:p>
            <w:pPr>
              <w:pStyle w:val="TableParagraph"/>
              <w:spacing w:line="240" w:lineRule="auto" w:before="17"/>
              <w:ind w:left="108" w:right="0"/>
              <w:jc w:val="left"/>
              <w:rPr>
                <w:rFonts w:ascii="Calibri" w:hAnsi="Calibri" w:cs="Calibri" w:eastAsia="Calibri" w:hint="default"/>
                <w:sz w:val="18"/>
                <w:szCs w:val="18"/>
              </w:rPr>
            </w:pPr>
            <w:r>
              <w:rPr>
                <w:rFonts w:ascii="Calibri"/>
                <w:sz w:val="18"/>
              </w:rPr>
              <w:t>Shopping</w:t>
            </w:r>
            <w:r>
              <w:rPr>
                <w:rFonts w:ascii="Calibri"/>
                <w:spacing w:val="-10"/>
                <w:sz w:val="18"/>
              </w:rPr>
              <w:t> </w:t>
            </w:r>
            <w:r>
              <w:rPr>
                <w:rFonts w:ascii="Calibri"/>
                <w:sz w:val="18"/>
              </w:rPr>
              <w:t>Opportunities</w:t>
            </w:r>
          </w:p>
        </w:tc>
        <w:tc>
          <w:tcPr>
            <w:tcW w:w="1130" w:type="dxa"/>
            <w:tcBorders>
              <w:top w:val="nil" w:sz="6" w:space="0" w:color="auto"/>
              <w:left w:val="nil" w:sz="6" w:space="0" w:color="auto"/>
              <w:bottom w:val="single" w:sz="17" w:space="0" w:color="000000"/>
              <w:right w:val="nil" w:sz="6" w:space="0" w:color="auto"/>
            </w:tcBorders>
          </w:tcPr>
          <w:p>
            <w:pPr/>
          </w:p>
        </w:tc>
        <w:tc>
          <w:tcPr>
            <w:tcW w:w="1091" w:type="dxa"/>
            <w:tcBorders>
              <w:top w:val="nil" w:sz="6" w:space="0" w:color="auto"/>
              <w:left w:val="nil" w:sz="6" w:space="0" w:color="auto"/>
              <w:bottom w:val="single" w:sz="17" w:space="0" w:color="000000"/>
              <w:right w:val="nil" w:sz="6" w:space="0" w:color="auto"/>
            </w:tcBorders>
          </w:tcPr>
          <w:p>
            <w:pPr/>
          </w:p>
        </w:tc>
        <w:tc>
          <w:tcPr>
            <w:tcW w:w="1161" w:type="dxa"/>
            <w:tcBorders>
              <w:top w:val="nil" w:sz="6" w:space="0" w:color="auto"/>
              <w:left w:val="nil" w:sz="6" w:space="0" w:color="auto"/>
              <w:bottom w:val="single" w:sz="17" w:space="0" w:color="000000"/>
              <w:right w:val="nil" w:sz="6" w:space="0" w:color="auto"/>
            </w:tcBorders>
          </w:tcPr>
          <w:p>
            <w:pPr>
              <w:pStyle w:val="TableParagraph"/>
              <w:spacing w:line="240" w:lineRule="auto" w:before="17"/>
              <w:ind w:right="109"/>
              <w:jc w:val="right"/>
              <w:rPr>
                <w:rFonts w:ascii="Calibri" w:hAnsi="Calibri" w:cs="Calibri" w:eastAsia="Calibri" w:hint="default"/>
                <w:sz w:val="18"/>
                <w:szCs w:val="18"/>
              </w:rPr>
            </w:pPr>
            <w:r>
              <w:rPr>
                <w:rFonts w:ascii="Calibri"/>
                <w:spacing w:val="-1"/>
                <w:w w:val="95"/>
                <w:sz w:val="18"/>
              </w:rPr>
              <w:t>.401</w:t>
            </w:r>
            <w:r>
              <w:rPr>
                <w:rFonts w:ascii="Calibri"/>
                <w:w w:val="95"/>
                <w:sz w:val="18"/>
              </w:rPr>
            </w:r>
          </w:p>
        </w:tc>
      </w:tr>
      <w:tr>
        <w:trPr>
          <w:trHeight w:val="335" w:hRule="exact"/>
        </w:trPr>
        <w:tc>
          <w:tcPr>
            <w:tcW w:w="3320" w:type="dxa"/>
            <w:tcBorders>
              <w:top w:val="single" w:sz="17" w:space="0" w:color="000000"/>
              <w:left w:val="nil" w:sz="6" w:space="0" w:color="auto"/>
              <w:bottom w:val="nil" w:sz="6" w:space="0" w:color="auto"/>
              <w:right w:val="nil" w:sz="6" w:space="0" w:color="auto"/>
            </w:tcBorders>
          </w:tcPr>
          <w:p>
            <w:pPr>
              <w:pStyle w:val="TableParagraph"/>
              <w:spacing w:line="240" w:lineRule="auto" w:before="40"/>
              <w:ind w:left="108" w:right="0"/>
              <w:jc w:val="left"/>
              <w:rPr>
                <w:rFonts w:ascii="Calibri" w:hAnsi="Calibri" w:cs="Calibri" w:eastAsia="Calibri" w:hint="default"/>
                <w:sz w:val="18"/>
                <w:szCs w:val="18"/>
              </w:rPr>
            </w:pPr>
            <w:r>
              <w:rPr>
                <w:rFonts w:ascii="Calibri"/>
                <w:sz w:val="18"/>
              </w:rPr>
              <w:t>Extraction Method: Principal Axis</w:t>
            </w:r>
            <w:r>
              <w:rPr>
                <w:rFonts w:ascii="Calibri"/>
                <w:spacing w:val="-13"/>
                <w:sz w:val="18"/>
              </w:rPr>
              <w:t> </w:t>
            </w:r>
            <w:r>
              <w:rPr>
                <w:rFonts w:ascii="Calibri"/>
                <w:sz w:val="18"/>
              </w:rPr>
              <w:t>Factoring.</w:t>
            </w:r>
          </w:p>
        </w:tc>
        <w:tc>
          <w:tcPr>
            <w:tcW w:w="1130" w:type="dxa"/>
            <w:tcBorders>
              <w:top w:val="single" w:sz="17" w:space="0" w:color="000000"/>
              <w:left w:val="nil" w:sz="6" w:space="0" w:color="auto"/>
              <w:bottom w:val="nil" w:sz="6" w:space="0" w:color="auto"/>
              <w:right w:val="nil" w:sz="6" w:space="0" w:color="auto"/>
            </w:tcBorders>
          </w:tcPr>
          <w:p>
            <w:pPr/>
          </w:p>
        </w:tc>
        <w:tc>
          <w:tcPr>
            <w:tcW w:w="1091" w:type="dxa"/>
            <w:tcBorders>
              <w:top w:val="single" w:sz="17" w:space="0" w:color="000000"/>
              <w:left w:val="nil" w:sz="6" w:space="0" w:color="auto"/>
              <w:bottom w:val="nil" w:sz="6" w:space="0" w:color="auto"/>
              <w:right w:val="nil" w:sz="6" w:space="0" w:color="auto"/>
            </w:tcBorders>
          </w:tcPr>
          <w:p>
            <w:pPr/>
          </w:p>
        </w:tc>
        <w:tc>
          <w:tcPr>
            <w:tcW w:w="1161" w:type="dxa"/>
            <w:tcBorders>
              <w:top w:val="single" w:sz="17" w:space="0" w:color="000000"/>
              <w:left w:val="nil" w:sz="6" w:space="0" w:color="auto"/>
              <w:bottom w:val="nil" w:sz="6" w:space="0" w:color="auto"/>
              <w:right w:val="nil" w:sz="6" w:space="0" w:color="auto"/>
            </w:tcBorders>
          </w:tcPr>
          <w:p>
            <w:pPr/>
          </w:p>
        </w:tc>
      </w:tr>
      <w:tr>
        <w:trPr>
          <w:trHeight w:val="292" w:hRule="exact"/>
        </w:trPr>
        <w:tc>
          <w:tcPr>
            <w:tcW w:w="6702" w:type="dxa"/>
            <w:gridSpan w:val="4"/>
            <w:tcBorders>
              <w:top w:val="nil" w:sz="6" w:space="0" w:color="auto"/>
              <w:left w:val="nil" w:sz="6" w:space="0" w:color="auto"/>
              <w:bottom w:val="nil" w:sz="6" w:space="0" w:color="auto"/>
              <w:right w:val="nil" w:sz="6" w:space="0" w:color="auto"/>
            </w:tcBorders>
          </w:tcPr>
          <w:p>
            <w:pPr>
              <w:pStyle w:val="TableParagraph"/>
              <w:spacing w:line="240" w:lineRule="auto" w:before="21"/>
              <w:ind w:left="108" w:right="0"/>
              <w:jc w:val="left"/>
              <w:rPr>
                <w:rFonts w:ascii="Calibri" w:hAnsi="Calibri" w:cs="Calibri" w:eastAsia="Calibri" w:hint="default"/>
                <w:sz w:val="18"/>
                <w:szCs w:val="18"/>
              </w:rPr>
            </w:pPr>
            <w:r>
              <w:rPr>
                <w:rFonts w:ascii="Calibri"/>
                <w:sz w:val="18"/>
              </w:rPr>
              <w:t>Rotation Method: Promax with Kaiser</w:t>
            </w:r>
            <w:r>
              <w:rPr>
                <w:rFonts w:ascii="Calibri"/>
                <w:spacing w:val="-16"/>
                <w:sz w:val="18"/>
              </w:rPr>
              <w:t> </w:t>
            </w:r>
            <w:r>
              <w:rPr>
                <w:rFonts w:ascii="Calibri"/>
                <w:sz w:val="18"/>
              </w:rPr>
              <w:t>Normalization</w:t>
            </w:r>
          </w:p>
        </w:tc>
      </w:tr>
      <w:tr>
        <w:trPr>
          <w:trHeight w:val="234" w:hRule="exact"/>
        </w:trPr>
        <w:tc>
          <w:tcPr>
            <w:tcW w:w="3320" w:type="dxa"/>
            <w:tcBorders>
              <w:top w:val="nil" w:sz="6" w:space="0" w:color="auto"/>
              <w:left w:val="nil" w:sz="6" w:space="0" w:color="auto"/>
              <w:bottom w:val="nil" w:sz="6" w:space="0" w:color="auto"/>
              <w:right w:val="nil" w:sz="6" w:space="0" w:color="auto"/>
            </w:tcBorders>
          </w:tcPr>
          <w:p>
            <w:pPr>
              <w:pStyle w:val="TableParagraph"/>
              <w:spacing w:line="240" w:lineRule="auto" w:before="18"/>
              <w:ind w:left="108" w:right="0"/>
              <w:jc w:val="left"/>
              <w:rPr>
                <w:rFonts w:ascii="Calibri" w:hAnsi="Calibri" w:cs="Calibri" w:eastAsia="Calibri" w:hint="default"/>
                <w:sz w:val="18"/>
                <w:szCs w:val="18"/>
              </w:rPr>
            </w:pPr>
            <w:r>
              <w:rPr>
                <w:rFonts w:ascii="Calibri"/>
                <w:sz w:val="18"/>
              </w:rPr>
              <w:t>Rotation converged in 8</w:t>
            </w:r>
            <w:r>
              <w:rPr>
                <w:rFonts w:ascii="Calibri"/>
                <w:spacing w:val="-12"/>
                <w:sz w:val="18"/>
              </w:rPr>
              <w:t> </w:t>
            </w:r>
            <w:r>
              <w:rPr>
                <w:rFonts w:ascii="Calibri"/>
                <w:sz w:val="18"/>
              </w:rPr>
              <w:t>iterations.</w:t>
            </w:r>
          </w:p>
        </w:tc>
        <w:tc>
          <w:tcPr>
            <w:tcW w:w="1130" w:type="dxa"/>
            <w:tcBorders>
              <w:top w:val="nil" w:sz="6" w:space="0" w:color="auto"/>
              <w:left w:val="nil" w:sz="6" w:space="0" w:color="auto"/>
              <w:bottom w:val="nil" w:sz="6" w:space="0" w:color="auto"/>
              <w:right w:val="nil" w:sz="6" w:space="0" w:color="auto"/>
            </w:tcBorders>
          </w:tcPr>
          <w:p>
            <w:pPr/>
          </w:p>
        </w:tc>
        <w:tc>
          <w:tcPr>
            <w:tcW w:w="1091" w:type="dxa"/>
            <w:tcBorders>
              <w:top w:val="nil" w:sz="6" w:space="0" w:color="auto"/>
              <w:left w:val="nil" w:sz="6" w:space="0" w:color="auto"/>
              <w:bottom w:val="nil" w:sz="6" w:space="0" w:color="auto"/>
              <w:right w:val="nil" w:sz="6" w:space="0" w:color="auto"/>
            </w:tcBorders>
          </w:tcPr>
          <w:p>
            <w:pPr/>
          </w:p>
        </w:tc>
        <w:tc>
          <w:tcPr>
            <w:tcW w:w="1161" w:type="dxa"/>
            <w:tcBorders>
              <w:top w:val="nil" w:sz="6" w:space="0" w:color="auto"/>
              <w:left w:val="nil" w:sz="6" w:space="0" w:color="auto"/>
              <w:bottom w:val="nil" w:sz="6" w:space="0" w:color="auto"/>
              <w:right w:val="nil" w:sz="6" w:space="0" w:color="auto"/>
            </w:tcBorders>
          </w:tcPr>
          <w:p>
            <w:pPr/>
          </w:p>
        </w:tc>
      </w:tr>
    </w:tbl>
    <w:p>
      <w:pPr>
        <w:spacing w:after="0"/>
        <w:sectPr>
          <w:pgSz w:w="12240" w:h="15840"/>
          <w:pgMar w:header="0" w:footer="647" w:top="840" w:bottom="700" w:left="0" w:right="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5"/>
        <w:ind w:right="0"/>
        <w:rPr>
          <w:rFonts w:ascii="Times New Roman" w:hAnsi="Times New Roman" w:cs="Times New Roman" w:eastAsia="Times New Roman" w:hint="default"/>
          <w:sz w:val="18"/>
          <w:szCs w:val="18"/>
        </w:rPr>
      </w:pPr>
    </w:p>
    <w:p>
      <w:pPr>
        <w:spacing w:before="19"/>
        <w:ind w:left="2906" w:right="0" w:firstLine="0"/>
        <w:jc w:val="left"/>
        <w:rPr>
          <w:rFonts w:ascii="Calibri" w:hAnsi="Calibri" w:cs="Calibri" w:eastAsia="Calibri" w:hint="default"/>
          <w:sz w:val="40"/>
          <w:szCs w:val="40"/>
        </w:rPr>
      </w:pPr>
      <w:bookmarkStart w:name="_bookmark180" w:id="181"/>
      <w:bookmarkEnd w:id="181"/>
      <w:r>
        <w:rPr/>
      </w:r>
      <w:r>
        <w:rPr>
          <w:rFonts w:ascii="Calibri"/>
          <w:b/>
          <w:sz w:val="40"/>
        </w:rPr>
        <w:t>ANNEX D: CRUISE CONJOINT</w:t>
      </w:r>
      <w:r>
        <w:rPr>
          <w:rFonts w:ascii="Calibri"/>
          <w:b/>
          <w:spacing w:val="-7"/>
          <w:sz w:val="40"/>
        </w:rPr>
        <w:t> </w:t>
      </w:r>
      <w:r>
        <w:rPr>
          <w:rFonts w:ascii="Calibri"/>
          <w:b/>
          <w:sz w:val="40"/>
        </w:rPr>
        <w:t>ANALYSIS</w:t>
      </w:r>
      <w:r>
        <w:rPr>
          <w:rFonts w:ascii="Calibri"/>
          <w:sz w:val="40"/>
        </w:rPr>
      </w: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9"/>
        <w:ind w:right="0"/>
        <w:rPr>
          <w:rFonts w:ascii="Calibri" w:hAnsi="Calibri" w:cs="Calibri" w:eastAsia="Calibri" w:hint="default"/>
          <w:b/>
          <w:bCs/>
          <w:sz w:val="24"/>
          <w:szCs w:val="24"/>
        </w:rPr>
      </w:pPr>
    </w:p>
    <w:p>
      <w:pPr>
        <w:spacing w:line="225" w:lineRule="exact" w:before="0"/>
        <w:ind w:left="0" w:right="1433" w:firstLine="0"/>
        <w:jc w:val="right"/>
        <w:rPr>
          <w:rFonts w:ascii="Calibri" w:hAnsi="Calibri" w:cs="Calibri" w:eastAsia="Calibri" w:hint="default"/>
          <w:sz w:val="24"/>
          <w:szCs w:val="24"/>
        </w:rPr>
      </w:pPr>
      <w:r>
        <w:rPr>
          <w:rFonts w:ascii="Calibri"/>
          <w:b/>
          <w:i/>
          <w:color w:val="FFFFFF"/>
          <w:sz w:val="24"/>
        </w:rPr>
        <w:t>Page | D</w:t>
      </w:r>
      <w:r>
        <w:rPr>
          <w:rFonts w:ascii="Calibri"/>
          <w:sz w:val="24"/>
        </w:rPr>
      </w:r>
    </w:p>
    <w:p>
      <w:pPr>
        <w:spacing w:after="0" w:line="225" w:lineRule="exact"/>
        <w:jc w:val="right"/>
        <w:rPr>
          <w:rFonts w:ascii="Calibri" w:hAnsi="Calibri" w:cs="Calibri" w:eastAsia="Calibri" w:hint="default"/>
          <w:sz w:val="24"/>
          <w:szCs w:val="24"/>
        </w:rPr>
        <w:sectPr>
          <w:pgSz w:w="12240" w:h="15840"/>
          <w:pgMar w:header="0" w:footer="647" w:top="840" w:bottom="840" w:left="0" w:right="0"/>
        </w:sect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2"/>
        <w:ind w:right="0"/>
        <w:rPr>
          <w:rFonts w:ascii="Calibri" w:hAnsi="Calibri" w:cs="Calibri" w:eastAsia="Calibri" w:hint="default"/>
          <w:b/>
          <w:bCs/>
          <w:i/>
          <w:sz w:val="23"/>
          <w:szCs w:val="23"/>
        </w:rPr>
      </w:pPr>
    </w:p>
    <w:p>
      <w:pPr>
        <w:pStyle w:val="Heading9"/>
        <w:tabs>
          <w:tab w:pos="4820" w:val="left" w:leader="none"/>
          <w:tab w:pos="10413" w:val="left" w:leader="none"/>
        </w:tabs>
        <w:spacing w:line="240" w:lineRule="auto" w:before="59" w:after="51"/>
        <w:ind w:left="1831" w:right="0"/>
        <w:jc w:val="left"/>
        <w:rPr>
          <w:b w:val="0"/>
          <w:bCs w:val="0"/>
        </w:rPr>
      </w:pPr>
      <w:bookmarkStart w:name="_bookmark181" w:id="182"/>
      <w:bookmarkEnd w:id="182"/>
      <w:r>
        <w:rPr>
          <w:b w:val="0"/>
        </w:rPr>
      </w:r>
      <w:r>
        <w:rPr>
          <w:w w:val="99"/>
        </w:rPr>
      </w:r>
      <w:r>
        <w:rPr>
          <w:w w:val="99"/>
          <w:u w:val="single" w:color="000000"/>
        </w:rPr>
        <w:t> </w:t>
      </w:r>
      <w:r>
        <w:rPr>
          <w:u w:val="single" w:color="000000"/>
        </w:rPr>
        <w:tab/>
        <w:t>Table 50: Attribute</w:t>
      </w:r>
      <w:r>
        <w:rPr>
          <w:spacing w:val="-17"/>
          <w:u w:val="single" w:color="000000"/>
        </w:rPr>
        <w:t> </w:t>
      </w:r>
      <w:r>
        <w:rPr>
          <w:u w:val="single" w:color="000000"/>
        </w:rPr>
        <w:t>Preferences</w:t>
        <w:tab/>
      </w:r>
      <w:r>
        <w:rPr/>
      </w:r>
      <w:r>
        <w:rPr>
          <w:b w:val="0"/>
        </w:rPr>
      </w:r>
    </w:p>
    <w:tbl>
      <w:tblPr>
        <w:tblW w:w="0" w:type="auto"/>
        <w:jc w:val="left"/>
        <w:tblInd w:w="1831" w:type="dxa"/>
        <w:tblLayout w:type="fixed"/>
        <w:tblCellMar>
          <w:top w:w="0" w:type="dxa"/>
          <w:left w:w="0" w:type="dxa"/>
          <w:bottom w:w="0" w:type="dxa"/>
          <w:right w:w="0" w:type="dxa"/>
        </w:tblCellMar>
        <w:tblLook w:val="01E0"/>
      </w:tblPr>
      <w:tblGrid>
        <w:gridCol w:w="2023"/>
        <w:gridCol w:w="1657"/>
        <w:gridCol w:w="1272"/>
        <w:gridCol w:w="1899"/>
        <w:gridCol w:w="1043"/>
        <w:gridCol w:w="688"/>
      </w:tblGrid>
      <w:tr>
        <w:trPr>
          <w:trHeight w:val="207" w:hRule="exact"/>
        </w:trPr>
        <w:tc>
          <w:tcPr>
            <w:tcW w:w="2023" w:type="dxa"/>
            <w:tcBorders>
              <w:top w:val="nil" w:sz="6" w:space="0" w:color="auto"/>
              <w:left w:val="nil" w:sz="6" w:space="0" w:color="auto"/>
              <w:bottom w:val="single" w:sz="4" w:space="0" w:color="000000"/>
              <w:right w:val="nil" w:sz="6" w:space="0" w:color="auto"/>
            </w:tcBorders>
          </w:tcPr>
          <w:p>
            <w:pPr>
              <w:pStyle w:val="TableParagraph"/>
              <w:spacing w:line="203" w:lineRule="exact"/>
              <w:ind w:left="69" w:right="0"/>
              <w:jc w:val="left"/>
              <w:rPr>
                <w:rFonts w:ascii="Calibri" w:hAnsi="Calibri" w:cs="Calibri" w:eastAsia="Calibri" w:hint="default"/>
                <w:sz w:val="20"/>
                <w:szCs w:val="20"/>
              </w:rPr>
            </w:pPr>
            <w:r>
              <w:rPr>
                <w:rFonts w:ascii="Calibri"/>
                <w:b/>
                <w:sz w:val="20"/>
              </w:rPr>
              <w:t>Item</w:t>
            </w:r>
            <w:r>
              <w:rPr>
                <w:rFonts w:ascii="Calibri"/>
                <w:sz w:val="20"/>
              </w:rPr>
            </w:r>
          </w:p>
        </w:tc>
        <w:tc>
          <w:tcPr>
            <w:tcW w:w="1657" w:type="dxa"/>
            <w:tcBorders>
              <w:top w:val="nil" w:sz="6" w:space="0" w:color="auto"/>
              <w:left w:val="nil" w:sz="6" w:space="0" w:color="auto"/>
              <w:bottom w:val="single" w:sz="4" w:space="0" w:color="000000"/>
              <w:right w:val="nil" w:sz="6" w:space="0" w:color="auto"/>
            </w:tcBorders>
          </w:tcPr>
          <w:p>
            <w:pPr>
              <w:pStyle w:val="TableParagraph"/>
              <w:spacing w:line="203" w:lineRule="exact"/>
              <w:ind w:left="134" w:right="0"/>
              <w:jc w:val="center"/>
              <w:rPr>
                <w:rFonts w:ascii="Calibri" w:hAnsi="Calibri" w:cs="Calibri" w:eastAsia="Calibri" w:hint="default"/>
                <w:sz w:val="20"/>
                <w:szCs w:val="20"/>
              </w:rPr>
            </w:pPr>
            <w:r>
              <w:rPr>
                <w:rFonts w:ascii="Calibri"/>
                <w:b/>
                <w:sz w:val="20"/>
              </w:rPr>
              <w:t>All</w:t>
            </w:r>
            <w:r>
              <w:rPr>
                <w:rFonts w:ascii="Calibri"/>
                <w:sz w:val="20"/>
              </w:rPr>
            </w:r>
          </w:p>
        </w:tc>
        <w:tc>
          <w:tcPr>
            <w:tcW w:w="1272" w:type="dxa"/>
            <w:tcBorders>
              <w:top w:val="nil" w:sz="6" w:space="0" w:color="auto"/>
              <w:left w:val="nil" w:sz="6" w:space="0" w:color="auto"/>
              <w:bottom w:val="single" w:sz="4" w:space="0" w:color="000000"/>
              <w:right w:val="nil" w:sz="6" w:space="0" w:color="auto"/>
            </w:tcBorders>
          </w:tcPr>
          <w:p>
            <w:pPr>
              <w:pStyle w:val="TableParagraph"/>
              <w:spacing w:line="203" w:lineRule="exact"/>
              <w:ind w:left="587" w:right="0"/>
              <w:jc w:val="left"/>
              <w:rPr>
                <w:rFonts w:ascii="Calibri" w:hAnsi="Calibri" w:cs="Calibri" w:eastAsia="Calibri" w:hint="default"/>
                <w:sz w:val="20"/>
                <w:szCs w:val="20"/>
              </w:rPr>
            </w:pPr>
            <w:r>
              <w:rPr>
                <w:rFonts w:ascii="Calibri"/>
                <w:b/>
                <w:sz w:val="20"/>
              </w:rPr>
              <w:t>USA</w:t>
            </w:r>
            <w:r>
              <w:rPr>
                <w:rFonts w:ascii="Calibri"/>
                <w:sz w:val="20"/>
              </w:rPr>
            </w:r>
          </w:p>
        </w:tc>
        <w:tc>
          <w:tcPr>
            <w:tcW w:w="1899" w:type="dxa"/>
            <w:tcBorders>
              <w:top w:val="nil" w:sz="6" w:space="0" w:color="auto"/>
              <w:left w:val="nil" w:sz="6" w:space="0" w:color="auto"/>
              <w:bottom w:val="single" w:sz="4" w:space="0" w:color="000000"/>
              <w:right w:val="nil" w:sz="6" w:space="0" w:color="auto"/>
            </w:tcBorders>
          </w:tcPr>
          <w:p>
            <w:pPr>
              <w:pStyle w:val="TableParagraph"/>
              <w:spacing w:line="203" w:lineRule="exact"/>
              <w:ind w:left="108" w:right="0"/>
              <w:jc w:val="center"/>
              <w:rPr>
                <w:rFonts w:ascii="Calibri" w:hAnsi="Calibri" w:cs="Calibri" w:eastAsia="Calibri" w:hint="default"/>
                <w:sz w:val="20"/>
                <w:szCs w:val="20"/>
              </w:rPr>
            </w:pPr>
            <w:r>
              <w:rPr>
                <w:rFonts w:ascii="Calibri"/>
                <w:b/>
                <w:sz w:val="20"/>
              </w:rPr>
              <w:t>Other</w:t>
            </w:r>
            <w:r>
              <w:rPr>
                <w:rFonts w:ascii="Calibri"/>
                <w:b/>
                <w:spacing w:val="-10"/>
                <w:sz w:val="20"/>
              </w:rPr>
              <w:t> </w:t>
            </w:r>
            <w:r>
              <w:rPr>
                <w:rFonts w:ascii="Calibri"/>
                <w:b/>
                <w:sz w:val="20"/>
              </w:rPr>
              <w:t>Countries</w:t>
            </w:r>
            <w:r>
              <w:rPr>
                <w:rFonts w:ascii="Calibri"/>
                <w:sz w:val="20"/>
              </w:rPr>
            </w:r>
          </w:p>
        </w:tc>
        <w:tc>
          <w:tcPr>
            <w:tcW w:w="1043" w:type="dxa"/>
            <w:tcBorders>
              <w:top w:val="nil" w:sz="6" w:space="0" w:color="auto"/>
              <w:left w:val="nil" w:sz="6" w:space="0" w:color="auto"/>
              <w:bottom w:val="single" w:sz="4" w:space="0" w:color="000000"/>
              <w:right w:val="nil" w:sz="6" w:space="0" w:color="auto"/>
            </w:tcBorders>
          </w:tcPr>
          <w:p>
            <w:pPr>
              <w:pStyle w:val="TableParagraph"/>
              <w:spacing w:line="203" w:lineRule="exact"/>
              <w:ind w:right="230"/>
              <w:jc w:val="right"/>
              <w:rPr>
                <w:rFonts w:ascii="Calibri" w:hAnsi="Calibri" w:cs="Calibri" w:eastAsia="Calibri" w:hint="default"/>
                <w:sz w:val="20"/>
                <w:szCs w:val="20"/>
              </w:rPr>
            </w:pPr>
            <w:r>
              <w:rPr>
                <w:rFonts w:ascii="Calibri"/>
                <w:b/>
                <w:spacing w:val="-1"/>
                <w:sz w:val="20"/>
              </w:rPr>
              <w:t>t-value</w:t>
            </w:r>
            <w:r>
              <w:rPr>
                <w:rFonts w:ascii="Calibri"/>
                <w:spacing w:val="-1"/>
                <w:sz w:val="20"/>
              </w:rPr>
            </w:r>
          </w:p>
        </w:tc>
        <w:tc>
          <w:tcPr>
            <w:tcW w:w="688" w:type="dxa"/>
            <w:tcBorders>
              <w:top w:val="nil" w:sz="6" w:space="0" w:color="auto"/>
              <w:left w:val="nil" w:sz="6" w:space="0" w:color="auto"/>
              <w:bottom w:val="single" w:sz="4" w:space="0" w:color="000000"/>
              <w:right w:val="nil" w:sz="6" w:space="0" w:color="auto"/>
            </w:tcBorders>
          </w:tcPr>
          <w:p>
            <w:pPr>
              <w:pStyle w:val="TableParagraph"/>
              <w:spacing w:line="203" w:lineRule="exact"/>
              <w:ind w:left="129" w:right="0"/>
              <w:jc w:val="center"/>
              <w:rPr>
                <w:rFonts w:ascii="Calibri" w:hAnsi="Calibri" w:cs="Calibri" w:eastAsia="Calibri" w:hint="default"/>
                <w:sz w:val="20"/>
                <w:szCs w:val="20"/>
              </w:rPr>
            </w:pPr>
            <w:r>
              <w:rPr>
                <w:rFonts w:ascii="Calibri"/>
                <w:b/>
                <w:sz w:val="20"/>
              </w:rPr>
              <w:t>Sig.</w:t>
            </w:r>
            <w:r>
              <w:rPr>
                <w:rFonts w:ascii="Calibri"/>
                <w:sz w:val="20"/>
              </w:rPr>
            </w:r>
          </w:p>
        </w:tc>
      </w:tr>
      <w:tr>
        <w:trPr>
          <w:trHeight w:val="268" w:hRule="exact"/>
        </w:trPr>
        <w:tc>
          <w:tcPr>
            <w:tcW w:w="2023"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69" w:right="0"/>
              <w:jc w:val="left"/>
              <w:rPr>
                <w:rFonts w:ascii="Calibri" w:hAnsi="Calibri" w:cs="Calibri" w:eastAsia="Calibri" w:hint="default"/>
                <w:sz w:val="20"/>
                <w:szCs w:val="20"/>
              </w:rPr>
            </w:pPr>
            <w:r>
              <w:rPr>
                <w:rFonts w:ascii="Calibri"/>
                <w:sz w:val="20"/>
              </w:rPr>
              <w:t>Activities</w:t>
            </w:r>
          </w:p>
        </w:tc>
        <w:tc>
          <w:tcPr>
            <w:tcW w:w="1657"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725" w:right="0"/>
              <w:jc w:val="left"/>
              <w:rPr>
                <w:rFonts w:ascii="Calibri" w:hAnsi="Calibri" w:cs="Calibri" w:eastAsia="Calibri" w:hint="default"/>
                <w:sz w:val="20"/>
                <w:szCs w:val="20"/>
              </w:rPr>
            </w:pPr>
            <w:r>
              <w:rPr>
                <w:rFonts w:ascii="Calibri"/>
                <w:sz w:val="20"/>
              </w:rPr>
              <w:t>58%</w:t>
            </w:r>
          </w:p>
        </w:tc>
        <w:tc>
          <w:tcPr>
            <w:tcW w:w="1272"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587" w:right="0"/>
              <w:jc w:val="left"/>
              <w:rPr>
                <w:rFonts w:ascii="Calibri" w:hAnsi="Calibri" w:cs="Calibri" w:eastAsia="Calibri" w:hint="default"/>
                <w:sz w:val="20"/>
                <w:szCs w:val="20"/>
              </w:rPr>
            </w:pPr>
            <w:r>
              <w:rPr>
                <w:rFonts w:ascii="Calibri"/>
                <w:sz w:val="20"/>
              </w:rPr>
              <w:t>60%</w:t>
            </w:r>
          </w:p>
        </w:tc>
        <w:tc>
          <w:tcPr>
            <w:tcW w:w="1899"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110" w:right="0"/>
              <w:jc w:val="center"/>
              <w:rPr>
                <w:rFonts w:ascii="Calibri" w:hAnsi="Calibri" w:cs="Calibri" w:eastAsia="Calibri" w:hint="default"/>
                <w:sz w:val="20"/>
                <w:szCs w:val="20"/>
              </w:rPr>
            </w:pPr>
            <w:r>
              <w:rPr>
                <w:rFonts w:ascii="Calibri"/>
                <w:sz w:val="20"/>
              </w:rPr>
              <w:t>55%</w:t>
            </w:r>
          </w:p>
        </w:tc>
        <w:tc>
          <w:tcPr>
            <w:tcW w:w="1043"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291"/>
              <w:jc w:val="right"/>
              <w:rPr>
                <w:rFonts w:ascii="Calibri" w:hAnsi="Calibri" w:cs="Calibri" w:eastAsia="Calibri" w:hint="default"/>
                <w:sz w:val="20"/>
                <w:szCs w:val="20"/>
              </w:rPr>
            </w:pPr>
            <w:r>
              <w:rPr>
                <w:rFonts w:ascii="Calibri"/>
                <w:w w:val="95"/>
                <w:sz w:val="20"/>
              </w:rPr>
              <w:t>1.513</w:t>
            </w:r>
            <w:r>
              <w:rPr>
                <w:rFonts w:ascii="Calibri"/>
                <w:sz w:val="20"/>
              </w:rPr>
            </w:r>
          </w:p>
        </w:tc>
        <w:tc>
          <w:tcPr>
            <w:tcW w:w="688"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129" w:right="0"/>
              <w:jc w:val="center"/>
              <w:rPr>
                <w:rFonts w:ascii="Calibri" w:hAnsi="Calibri" w:cs="Calibri" w:eastAsia="Calibri" w:hint="default"/>
                <w:sz w:val="20"/>
                <w:szCs w:val="20"/>
              </w:rPr>
            </w:pPr>
            <w:r>
              <w:rPr>
                <w:rFonts w:ascii="Calibri"/>
                <w:sz w:val="20"/>
              </w:rPr>
              <w:t>.133</w:t>
            </w:r>
          </w:p>
        </w:tc>
      </w:tr>
      <w:tr>
        <w:trPr>
          <w:trHeight w:val="244" w:hRule="exact"/>
        </w:trPr>
        <w:tc>
          <w:tcPr>
            <w:tcW w:w="2023" w:type="dxa"/>
            <w:tcBorders>
              <w:top w:val="nil" w:sz="6" w:space="0" w:color="auto"/>
              <w:left w:val="nil" w:sz="6" w:space="0" w:color="auto"/>
              <w:bottom w:val="nil" w:sz="6" w:space="0" w:color="auto"/>
              <w:right w:val="nil" w:sz="6" w:space="0" w:color="auto"/>
            </w:tcBorders>
          </w:tcPr>
          <w:p>
            <w:pPr>
              <w:pStyle w:val="TableParagraph"/>
              <w:spacing w:line="225" w:lineRule="exact"/>
              <w:ind w:left="69" w:right="0"/>
              <w:jc w:val="left"/>
              <w:rPr>
                <w:rFonts w:ascii="Calibri" w:hAnsi="Calibri" w:cs="Calibri" w:eastAsia="Calibri" w:hint="default"/>
                <w:sz w:val="20"/>
                <w:szCs w:val="20"/>
              </w:rPr>
            </w:pPr>
            <w:r>
              <w:rPr>
                <w:rFonts w:ascii="Calibri"/>
                <w:sz w:val="20"/>
              </w:rPr>
              <w:t>Time</w:t>
            </w:r>
            <w:r>
              <w:rPr>
                <w:rFonts w:ascii="Calibri"/>
                <w:spacing w:val="-7"/>
                <w:sz w:val="20"/>
              </w:rPr>
              <w:t> </w:t>
            </w:r>
            <w:r>
              <w:rPr>
                <w:rFonts w:ascii="Calibri"/>
                <w:sz w:val="20"/>
              </w:rPr>
              <w:t>Duration</w:t>
            </w:r>
          </w:p>
        </w:tc>
        <w:tc>
          <w:tcPr>
            <w:tcW w:w="1657" w:type="dxa"/>
            <w:tcBorders>
              <w:top w:val="nil" w:sz="6" w:space="0" w:color="auto"/>
              <w:left w:val="nil" w:sz="6" w:space="0" w:color="auto"/>
              <w:bottom w:val="nil" w:sz="6" w:space="0" w:color="auto"/>
              <w:right w:val="nil" w:sz="6" w:space="0" w:color="auto"/>
            </w:tcBorders>
          </w:tcPr>
          <w:p>
            <w:pPr>
              <w:pStyle w:val="TableParagraph"/>
              <w:spacing w:line="225" w:lineRule="exact"/>
              <w:ind w:left="725" w:right="0"/>
              <w:jc w:val="left"/>
              <w:rPr>
                <w:rFonts w:ascii="Calibri" w:hAnsi="Calibri" w:cs="Calibri" w:eastAsia="Calibri" w:hint="default"/>
                <w:sz w:val="20"/>
                <w:szCs w:val="20"/>
              </w:rPr>
            </w:pPr>
            <w:r>
              <w:rPr>
                <w:rFonts w:ascii="Calibri"/>
                <w:sz w:val="20"/>
              </w:rPr>
              <w:t>18%</w:t>
            </w:r>
          </w:p>
        </w:tc>
        <w:tc>
          <w:tcPr>
            <w:tcW w:w="1272" w:type="dxa"/>
            <w:tcBorders>
              <w:top w:val="nil" w:sz="6" w:space="0" w:color="auto"/>
              <w:left w:val="nil" w:sz="6" w:space="0" w:color="auto"/>
              <w:bottom w:val="nil" w:sz="6" w:space="0" w:color="auto"/>
              <w:right w:val="nil" w:sz="6" w:space="0" w:color="auto"/>
            </w:tcBorders>
          </w:tcPr>
          <w:p>
            <w:pPr>
              <w:pStyle w:val="TableParagraph"/>
              <w:spacing w:line="225" w:lineRule="exact"/>
              <w:ind w:left="587" w:right="0"/>
              <w:jc w:val="left"/>
              <w:rPr>
                <w:rFonts w:ascii="Calibri" w:hAnsi="Calibri" w:cs="Calibri" w:eastAsia="Calibri" w:hint="default"/>
                <w:sz w:val="20"/>
                <w:szCs w:val="20"/>
              </w:rPr>
            </w:pPr>
            <w:r>
              <w:rPr>
                <w:rFonts w:ascii="Calibri"/>
                <w:sz w:val="20"/>
              </w:rPr>
              <w:t>17%</w:t>
            </w:r>
          </w:p>
        </w:tc>
        <w:tc>
          <w:tcPr>
            <w:tcW w:w="1899" w:type="dxa"/>
            <w:tcBorders>
              <w:top w:val="nil" w:sz="6" w:space="0" w:color="auto"/>
              <w:left w:val="nil" w:sz="6" w:space="0" w:color="auto"/>
              <w:bottom w:val="nil" w:sz="6" w:space="0" w:color="auto"/>
              <w:right w:val="nil" w:sz="6" w:space="0" w:color="auto"/>
            </w:tcBorders>
          </w:tcPr>
          <w:p>
            <w:pPr>
              <w:pStyle w:val="TableParagraph"/>
              <w:spacing w:line="225" w:lineRule="exact"/>
              <w:ind w:left="110" w:right="0"/>
              <w:jc w:val="center"/>
              <w:rPr>
                <w:rFonts w:ascii="Calibri" w:hAnsi="Calibri" w:cs="Calibri" w:eastAsia="Calibri" w:hint="default"/>
                <w:sz w:val="20"/>
                <w:szCs w:val="20"/>
              </w:rPr>
            </w:pPr>
            <w:r>
              <w:rPr>
                <w:rFonts w:ascii="Calibri"/>
                <w:sz w:val="20"/>
              </w:rPr>
              <w:t>20%</w:t>
            </w:r>
          </w:p>
        </w:tc>
        <w:tc>
          <w:tcPr>
            <w:tcW w:w="1043" w:type="dxa"/>
            <w:tcBorders>
              <w:top w:val="nil" w:sz="6" w:space="0" w:color="auto"/>
              <w:left w:val="nil" w:sz="6" w:space="0" w:color="auto"/>
              <w:bottom w:val="nil" w:sz="6" w:space="0" w:color="auto"/>
              <w:right w:val="nil" w:sz="6" w:space="0" w:color="auto"/>
            </w:tcBorders>
          </w:tcPr>
          <w:p>
            <w:pPr>
              <w:pStyle w:val="TableParagraph"/>
              <w:spacing w:line="225" w:lineRule="exact"/>
              <w:ind w:right="260"/>
              <w:jc w:val="right"/>
              <w:rPr>
                <w:rFonts w:ascii="Calibri" w:hAnsi="Calibri" w:cs="Calibri" w:eastAsia="Calibri" w:hint="default"/>
                <w:sz w:val="20"/>
                <w:szCs w:val="20"/>
              </w:rPr>
            </w:pPr>
            <w:r>
              <w:rPr>
                <w:rFonts w:ascii="Calibri"/>
                <w:w w:val="95"/>
                <w:sz w:val="20"/>
              </w:rPr>
              <w:t>-1.164</w:t>
            </w:r>
            <w:r>
              <w:rPr>
                <w:rFonts w:ascii="Calibri"/>
                <w:sz w:val="20"/>
              </w:rPr>
            </w:r>
          </w:p>
        </w:tc>
        <w:tc>
          <w:tcPr>
            <w:tcW w:w="688" w:type="dxa"/>
            <w:tcBorders>
              <w:top w:val="nil" w:sz="6" w:space="0" w:color="auto"/>
              <w:left w:val="nil" w:sz="6" w:space="0" w:color="auto"/>
              <w:bottom w:val="nil" w:sz="6" w:space="0" w:color="auto"/>
              <w:right w:val="nil" w:sz="6" w:space="0" w:color="auto"/>
            </w:tcBorders>
          </w:tcPr>
          <w:p>
            <w:pPr>
              <w:pStyle w:val="TableParagraph"/>
              <w:spacing w:line="225" w:lineRule="exact"/>
              <w:ind w:left="129" w:right="0"/>
              <w:jc w:val="center"/>
              <w:rPr>
                <w:rFonts w:ascii="Calibri" w:hAnsi="Calibri" w:cs="Calibri" w:eastAsia="Calibri" w:hint="default"/>
                <w:sz w:val="20"/>
                <w:szCs w:val="20"/>
              </w:rPr>
            </w:pPr>
            <w:r>
              <w:rPr>
                <w:rFonts w:ascii="Calibri"/>
                <w:sz w:val="20"/>
              </w:rPr>
              <w:t>.247</w:t>
            </w:r>
          </w:p>
        </w:tc>
      </w:tr>
      <w:tr>
        <w:trPr>
          <w:trHeight w:val="245" w:hRule="exact"/>
        </w:trPr>
        <w:tc>
          <w:tcPr>
            <w:tcW w:w="2023"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Type of</w:t>
            </w:r>
            <w:r>
              <w:rPr>
                <w:rFonts w:ascii="Calibri"/>
                <w:spacing w:val="-11"/>
                <w:sz w:val="20"/>
              </w:rPr>
              <w:t> </w:t>
            </w:r>
            <w:r>
              <w:rPr>
                <w:rFonts w:ascii="Calibri"/>
                <w:sz w:val="20"/>
              </w:rPr>
              <w:t>Service</w:t>
            </w:r>
          </w:p>
        </w:tc>
        <w:tc>
          <w:tcPr>
            <w:tcW w:w="1657" w:type="dxa"/>
            <w:tcBorders>
              <w:top w:val="nil" w:sz="6" w:space="0" w:color="auto"/>
              <w:left w:val="nil" w:sz="6" w:space="0" w:color="auto"/>
              <w:bottom w:val="nil" w:sz="6" w:space="0" w:color="auto"/>
              <w:right w:val="nil" w:sz="6" w:space="0" w:color="auto"/>
            </w:tcBorders>
          </w:tcPr>
          <w:p>
            <w:pPr>
              <w:pStyle w:val="TableParagraph"/>
              <w:spacing w:line="226" w:lineRule="exact"/>
              <w:ind w:left="725" w:right="0"/>
              <w:jc w:val="left"/>
              <w:rPr>
                <w:rFonts w:ascii="Calibri" w:hAnsi="Calibri" w:cs="Calibri" w:eastAsia="Calibri" w:hint="default"/>
                <w:sz w:val="20"/>
                <w:szCs w:val="20"/>
              </w:rPr>
            </w:pPr>
            <w:r>
              <w:rPr>
                <w:rFonts w:ascii="Calibri"/>
                <w:sz w:val="20"/>
              </w:rPr>
              <w:t>16%</w:t>
            </w:r>
          </w:p>
        </w:tc>
        <w:tc>
          <w:tcPr>
            <w:tcW w:w="1272" w:type="dxa"/>
            <w:tcBorders>
              <w:top w:val="nil" w:sz="6" w:space="0" w:color="auto"/>
              <w:left w:val="nil" w:sz="6" w:space="0" w:color="auto"/>
              <w:bottom w:val="nil" w:sz="6" w:space="0" w:color="auto"/>
              <w:right w:val="nil" w:sz="6" w:space="0" w:color="auto"/>
            </w:tcBorders>
          </w:tcPr>
          <w:p>
            <w:pPr>
              <w:pStyle w:val="TableParagraph"/>
              <w:spacing w:line="226" w:lineRule="exact"/>
              <w:ind w:left="587" w:right="0"/>
              <w:jc w:val="left"/>
              <w:rPr>
                <w:rFonts w:ascii="Calibri" w:hAnsi="Calibri" w:cs="Calibri" w:eastAsia="Calibri" w:hint="default"/>
                <w:sz w:val="20"/>
                <w:szCs w:val="20"/>
              </w:rPr>
            </w:pPr>
            <w:r>
              <w:rPr>
                <w:rFonts w:ascii="Calibri"/>
                <w:sz w:val="20"/>
              </w:rPr>
              <w:t>16%</w:t>
            </w:r>
          </w:p>
        </w:tc>
        <w:tc>
          <w:tcPr>
            <w:tcW w:w="1899" w:type="dxa"/>
            <w:tcBorders>
              <w:top w:val="nil" w:sz="6" w:space="0" w:color="auto"/>
              <w:left w:val="nil" w:sz="6" w:space="0" w:color="auto"/>
              <w:bottom w:val="nil" w:sz="6" w:space="0" w:color="auto"/>
              <w:right w:val="nil" w:sz="6" w:space="0" w:color="auto"/>
            </w:tcBorders>
          </w:tcPr>
          <w:p>
            <w:pPr>
              <w:pStyle w:val="TableParagraph"/>
              <w:spacing w:line="226" w:lineRule="exact"/>
              <w:ind w:left="110" w:right="0"/>
              <w:jc w:val="center"/>
              <w:rPr>
                <w:rFonts w:ascii="Calibri" w:hAnsi="Calibri" w:cs="Calibri" w:eastAsia="Calibri" w:hint="default"/>
                <w:sz w:val="20"/>
                <w:szCs w:val="20"/>
              </w:rPr>
            </w:pPr>
            <w:r>
              <w:rPr>
                <w:rFonts w:ascii="Calibri"/>
                <w:sz w:val="20"/>
              </w:rPr>
              <w:t>16%</w:t>
            </w:r>
          </w:p>
        </w:tc>
        <w:tc>
          <w:tcPr>
            <w:tcW w:w="1043" w:type="dxa"/>
            <w:tcBorders>
              <w:top w:val="nil" w:sz="6" w:space="0" w:color="auto"/>
              <w:left w:val="nil" w:sz="6" w:space="0" w:color="auto"/>
              <w:bottom w:val="nil" w:sz="6" w:space="0" w:color="auto"/>
              <w:right w:val="nil" w:sz="6" w:space="0" w:color="auto"/>
            </w:tcBorders>
          </w:tcPr>
          <w:p>
            <w:pPr>
              <w:pStyle w:val="TableParagraph"/>
              <w:spacing w:line="226" w:lineRule="exact"/>
              <w:ind w:right="260"/>
              <w:jc w:val="right"/>
              <w:rPr>
                <w:rFonts w:ascii="Calibri" w:hAnsi="Calibri" w:cs="Calibri" w:eastAsia="Calibri" w:hint="default"/>
                <w:sz w:val="20"/>
                <w:szCs w:val="20"/>
              </w:rPr>
            </w:pPr>
            <w:r>
              <w:rPr>
                <w:rFonts w:ascii="Calibri"/>
                <w:w w:val="95"/>
                <w:sz w:val="20"/>
              </w:rPr>
              <w:t>-0.207</w:t>
            </w:r>
            <w:r>
              <w:rPr>
                <w:rFonts w:ascii="Calibri"/>
                <w:sz w:val="20"/>
              </w:rPr>
            </w:r>
          </w:p>
        </w:tc>
        <w:tc>
          <w:tcPr>
            <w:tcW w:w="688" w:type="dxa"/>
            <w:tcBorders>
              <w:top w:val="nil" w:sz="6" w:space="0" w:color="auto"/>
              <w:left w:val="nil" w:sz="6" w:space="0" w:color="auto"/>
              <w:bottom w:val="nil" w:sz="6" w:space="0" w:color="auto"/>
              <w:right w:val="nil" w:sz="6" w:space="0" w:color="auto"/>
            </w:tcBorders>
          </w:tcPr>
          <w:p>
            <w:pPr>
              <w:pStyle w:val="TableParagraph"/>
              <w:spacing w:line="226" w:lineRule="exact"/>
              <w:ind w:left="129" w:right="0"/>
              <w:jc w:val="center"/>
              <w:rPr>
                <w:rFonts w:ascii="Calibri" w:hAnsi="Calibri" w:cs="Calibri" w:eastAsia="Calibri" w:hint="default"/>
                <w:sz w:val="20"/>
                <w:szCs w:val="20"/>
              </w:rPr>
            </w:pPr>
            <w:r>
              <w:rPr>
                <w:rFonts w:ascii="Calibri"/>
                <w:sz w:val="20"/>
              </w:rPr>
              <w:t>.836</w:t>
            </w:r>
          </w:p>
        </w:tc>
      </w:tr>
      <w:tr>
        <w:trPr>
          <w:trHeight w:val="232" w:hRule="exact"/>
        </w:trPr>
        <w:tc>
          <w:tcPr>
            <w:tcW w:w="2023" w:type="dxa"/>
            <w:tcBorders>
              <w:top w:val="nil" w:sz="6" w:space="0" w:color="auto"/>
              <w:left w:val="nil" w:sz="6" w:space="0" w:color="auto"/>
              <w:bottom w:val="single" w:sz="4" w:space="0" w:color="000000"/>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Price</w:t>
            </w:r>
          </w:p>
        </w:tc>
        <w:tc>
          <w:tcPr>
            <w:tcW w:w="1657" w:type="dxa"/>
            <w:tcBorders>
              <w:top w:val="nil" w:sz="6" w:space="0" w:color="auto"/>
              <w:left w:val="nil" w:sz="6" w:space="0" w:color="auto"/>
              <w:bottom w:val="single" w:sz="4" w:space="0" w:color="000000"/>
              <w:right w:val="nil" w:sz="6" w:space="0" w:color="auto"/>
            </w:tcBorders>
          </w:tcPr>
          <w:p>
            <w:pPr>
              <w:pStyle w:val="TableParagraph"/>
              <w:spacing w:line="226" w:lineRule="exact"/>
              <w:ind w:left="775" w:right="0"/>
              <w:jc w:val="left"/>
              <w:rPr>
                <w:rFonts w:ascii="Calibri" w:hAnsi="Calibri" w:cs="Calibri" w:eastAsia="Calibri" w:hint="default"/>
                <w:sz w:val="20"/>
                <w:szCs w:val="20"/>
              </w:rPr>
            </w:pPr>
            <w:r>
              <w:rPr>
                <w:rFonts w:ascii="Calibri"/>
                <w:sz w:val="20"/>
              </w:rPr>
              <w:t>8%</w:t>
            </w:r>
          </w:p>
        </w:tc>
        <w:tc>
          <w:tcPr>
            <w:tcW w:w="1272" w:type="dxa"/>
            <w:tcBorders>
              <w:top w:val="nil" w:sz="6" w:space="0" w:color="auto"/>
              <w:left w:val="nil" w:sz="6" w:space="0" w:color="auto"/>
              <w:bottom w:val="single" w:sz="4" w:space="0" w:color="000000"/>
              <w:right w:val="nil" w:sz="6" w:space="0" w:color="auto"/>
            </w:tcBorders>
          </w:tcPr>
          <w:p>
            <w:pPr>
              <w:pStyle w:val="TableParagraph"/>
              <w:spacing w:line="226" w:lineRule="exact"/>
              <w:ind w:left="638" w:right="0"/>
              <w:jc w:val="left"/>
              <w:rPr>
                <w:rFonts w:ascii="Calibri" w:hAnsi="Calibri" w:cs="Calibri" w:eastAsia="Calibri" w:hint="default"/>
                <w:sz w:val="20"/>
                <w:szCs w:val="20"/>
              </w:rPr>
            </w:pPr>
            <w:r>
              <w:rPr>
                <w:rFonts w:ascii="Calibri"/>
                <w:sz w:val="20"/>
              </w:rPr>
              <w:t>7%</w:t>
            </w:r>
          </w:p>
        </w:tc>
        <w:tc>
          <w:tcPr>
            <w:tcW w:w="1899" w:type="dxa"/>
            <w:tcBorders>
              <w:top w:val="nil" w:sz="6" w:space="0" w:color="auto"/>
              <w:left w:val="nil" w:sz="6" w:space="0" w:color="auto"/>
              <w:bottom w:val="single" w:sz="4" w:space="0" w:color="000000"/>
              <w:right w:val="nil" w:sz="6" w:space="0" w:color="auto"/>
            </w:tcBorders>
          </w:tcPr>
          <w:p>
            <w:pPr>
              <w:pStyle w:val="TableParagraph"/>
              <w:spacing w:line="226" w:lineRule="exact"/>
              <w:ind w:left="110" w:right="0"/>
              <w:jc w:val="center"/>
              <w:rPr>
                <w:rFonts w:ascii="Calibri" w:hAnsi="Calibri" w:cs="Calibri" w:eastAsia="Calibri" w:hint="default"/>
                <w:sz w:val="20"/>
                <w:szCs w:val="20"/>
              </w:rPr>
            </w:pPr>
            <w:r>
              <w:rPr>
                <w:rFonts w:ascii="Calibri"/>
                <w:sz w:val="20"/>
              </w:rPr>
              <w:t>10%</w:t>
            </w:r>
          </w:p>
        </w:tc>
        <w:tc>
          <w:tcPr>
            <w:tcW w:w="1043" w:type="dxa"/>
            <w:tcBorders>
              <w:top w:val="nil" w:sz="6" w:space="0" w:color="auto"/>
              <w:left w:val="nil" w:sz="6" w:space="0" w:color="auto"/>
              <w:bottom w:val="single" w:sz="4" w:space="0" w:color="000000"/>
              <w:right w:val="nil" w:sz="6" w:space="0" w:color="auto"/>
            </w:tcBorders>
          </w:tcPr>
          <w:p>
            <w:pPr>
              <w:pStyle w:val="TableParagraph"/>
              <w:spacing w:line="226" w:lineRule="exact"/>
              <w:ind w:right="260"/>
              <w:jc w:val="right"/>
              <w:rPr>
                <w:rFonts w:ascii="Calibri" w:hAnsi="Calibri" w:cs="Calibri" w:eastAsia="Calibri" w:hint="default"/>
                <w:sz w:val="20"/>
                <w:szCs w:val="20"/>
              </w:rPr>
            </w:pPr>
            <w:r>
              <w:rPr>
                <w:rFonts w:ascii="Calibri"/>
                <w:w w:val="95"/>
                <w:sz w:val="20"/>
              </w:rPr>
              <w:t>-1.312</w:t>
            </w:r>
            <w:r>
              <w:rPr>
                <w:rFonts w:ascii="Calibri"/>
                <w:sz w:val="20"/>
              </w:rPr>
            </w:r>
          </w:p>
        </w:tc>
        <w:tc>
          <w:tcPr>
            <w:tcW w:w="688" w:type="dxa"/>
            <w:tcBorders>
              <w:top w:val="nil" w:sz="6" w:space="0" w:color="auto"/>
              <w:left w:val="nil" w:sz="6" w:space="0" w:color="auto"/>
              <w:bottom w:val="single" w:sz="4" w:space="0" w:color="000000"/>
              <w:right w:val="nil" w:sz="6" w:space="0" w:color="auto"/>
            </w:tcBorders>
          </w:tcPr>
          <w:p>
            <w:pPr>
              <w:pStyle w:val="TableParagraph"/>
              <w:spacing w:line="226" w:lineRule="exact"/>
              <w:ind w:left="129" w:right="0"/>
              <w:jc w:val="center"/>
              <w:rPr>
                <w:rFonts w:ascii="Calibri" w:hAnsi="Calibri" w:cs="Calibri" w:eastAsia="Calibri" w:hint="default"/>
                <w:sz w:val="20"/>
                <w:szCs w:val="20"/>
              </w:rPr>
            </w:pPr>
            <w:r>
              <w:rPr>
                <w:rFonts w:ascii="Calibri"/>
                <w:sz w:val="20"/>
              </w:rPr>
              <w:t>.192</w:t>
            </w:r>
          </w:p>
        </w:tc>
      </w:tr>
    </w:tbl>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15"/>
          <w:szCs w:val="15"/>
        </w:rPr>
      </w:pPr>
    </w:p>
    <w:p>
      <w:pPr>
        <w:pStyle w:val="Heading9"/>
        <w:tabs>
          <w:tab w:pos="4918" w:val="left" w:leader="none"/>
          <w:tab w:pos="10434" w:val="left" w:leader="none"/>
        </w:tabs>
        <w:spacing w:line="240" w:lineRule="auto" w:before="59" w:after="52"/>
        <w:ind w:left="1805" w:right="0"/>
        <w:jc w:val="left"/>
        <w:rPr>
          <w:b w:val="0"/>
          <w:bCs w:val="0"/>
        </w:rPr>
      </w:pPr>
      <w:bookmarkStart w:name="_bookmark182" w:id="183"/>
      <w:bookmarkEnd w:id="183"/>
      <w:r>
        <w:rPr>
          <w:b w:val="0"/>
        </w:rPr>
      </w:r>
      <w:r>
        <w:rPr>
          <w:w w:val="99"/>
        </w:rPr>
      </w:r>
      <w:r>
        <w:rPr>
          <w:w w:val="99"/>
          <w:u w:val="single" w:color="000000"/>
        </w:rPr>
        <w:t> </w:t>
      </w:r>
      <w:r>
        <w:rPr>
          <w:u w:val="single" w:color="000000"/>
        </w:rPr>
        <w:tab/>
        <w:t>Table 51: Utilities by</w:t>
      </w:r>
      <w:r>
        <w:rPr>
          <w:spacing w:val="-13"/>
          <w:u w:val="single" w:color="000000"/>
        </w:rPr>
        <w:t> </w:t>
      </w:r>
      <w:r>
        <w:rPr>
          <w:u w:val="single" w:color="000000"/>
        </w:rPr>
        <w:t>Country</w:t>
        <w:tab/>
      </w:r>
      <w:r>
        <w:rPr/>
      </w:r>
      <w:r>
        <w:rPr>
          <w:b w:val="0"/>
        </w:rPr>
      </w:r>
    </w:p>
    <w:tbl>
      <w:tblPr>
        <w:tblW w:w="0" w:type="auto"/>
        <w:jc w:val="left"/>
        <w:tblInd w:w="1805" w:type="dxa"/>
        <w:tblLayout w:type="fixed"/>
        <w:tblCellMar>
          <w:top w:w="0" w:type="dxa"/>
          <w:left w:w="0" w:type="dxa"/>
          <w:bottom w:w="0" w:type="dxa"/>
          <w:right w:w="0" w:type="dxa"/>
        </w:tblCellMar>
        <w:tblLook w:val="01E0"/>
      </w:tblPr>
      <w:tblGrid>
        <w:gridCol w:w="939"/>
        <w:gridCol w:w="1915"/>
        <w:gridCol w:w="1462"/>
        <w:gridCol w:w="824"/>
        <w:gridCol w:w="1170"/>
        <w:gridCol w:w="965"/>
        <w:gridCol w:w="878"/>
        <w:gridCol w:w="478"/>
      </w:tblGrid>
      <w:tr>
        <w:trPr>
          <w:trHeight w:val="227" w:hRule="exact"/>
        </w:trPr>
        <w:tc>
          <w:tcPr>
            <w:tcW w:w="939" w:type="dxa"/>
            <w:tcBorders>
              <w:top w:val="nil" w:sz="6" w:space="0" w:color="auto"/>
              <w:left w:val="nil" w:sz="6" w:space="0" w:color="auto"/>
              <w:bottom w:val="nil" w:sz="6" w:space="0" w:color="auto"/>
              <w:right w:val="nil" w:sz="6" w:space="0" w:color="auto"/>
            </w:tcBorders>
          </w:tcPr>
          <w:p>
            <w:pPr/>
          </w:p>
        </w:tc>
        <w:tc>
          <w:tcPr>
            <w:tcW w:w="1915" w:type="dxa"/>
            <w:tcBorders>
              <w:top w:val="nil" w:sz="6" w:space="0" w:color="auto"/>
              <w:left w:val="nil" w:sz="6" w:space="0" w:color="auto"/>
              <w:bottom w:val="nil" w:sz="6" w:space="0" w:color="auto"/>
              <w:right w:val="nil" w:sz="6" w:space="0" w:color="auto"/>
            </w:tcBorders>
          </w:tcPr>
          <w:p>
            <w:pPr/>
          </w:p>
        </w:tc>
        <w:tc>
          <w:tcPr>
            <w:tcW w:w="1462" w:type="dxa"/>
            <w:tcBorders>
              <w:top w:val="nil" w:sz="6" w:space="0" w:color="auto"/>
              <w:left w:val="nil" w:sz="6" w:space="0" w:color="auto"/>
              <w:bottom w:val="nil" w:sz="6" w:space="0" w:color="auto"/>
              <w:right w:val="nil" w:sz="6" w:space="0" w:color="auto"/>
            </w:tcBorders>
          </w:tcPr>
          <w:p>
            <w:pPr>
              <w:pStyle w:val="TableParagraph"/>
              <w:tabs>
                <w:tab w:pos="1025" w:val="left" w:leader="none"/>
                <w:tab w:pos="2712" w:val="left" w:leader="none"/>
              </w:tabs>
              <w:spacing w:line="203" w:lineRule="exact"/>
              <w:ind w:left="165" w:right="-1251"/>
              <w:jc w:val="left"/>
              <w:rPr>
                <w:rFonts w:ascii="Calibri" w:hAnsi="Calibri" w:cs="Calibri" w:eastAsia="Calibri" w:hint="default"/>
                <w:sz w:val="20"/>
                <w:szCs w:val="20"/>
              </w:rPr>
            </w:pPr>
            <w:r>
              <w:rPr>
                <w:rFonts w:ascii="Calibri"/>
                <w:b/>
                <w:w w:val="99"/>
                <w:sz w:val="20"/>
              </w:rPr>
            </w:r>
            <w:r>
              <w:rPr>
                <w:rFonts w:ascii="Calibri"/>
                <w:b/>
                <w:w w:val="99"/>
                <w:sz w:val="20"/>
                <w:u w:val="single" w:color="000000"/>
              </w:rPr>
              <w:t> </w:t>
            </w:r>
            <w:r>
              <w:rPr>
                <w:rFonts w:ascii="Calibri"/>
                <w:b/>
                <w:sz w:val="20"/>
                <w:u w:val="single" w:color="000000"/>
              </w:rPr>
              <w:tab/>
              <w:t>USA</w:t>
              <w:tab/>
            </w:r>
            <w:r>
              <w:rPr>
                <w:rFonts w:ascii="Calibri"/>
                <w:b/>
                <w:sz w:val="20"/>
              </w:rPr>
            </w:r>
            <w:r>
              <w:rPr>
                <w:rFonts w:ascii="Calibri"/>
                <w:sz w:val="20"/>
              </w:rPr>
            </w:r>
          </w:p>
        </w:tc>
        <w:tc>
          <w:tcPr>
            <w:tcW w:w="824" w:type="dxa"/>
            <w:tcBorders>
              <w:top w:val="nil" w:sz="6" w:space="0" w:color="auto"/>
              <w:left w:val="nil" w:sz="6" w:space="0" w:color="auto"/>
              <w:bottom w:val="nil" w:sz="6" w:space="0" w:color="auto"/>
              <w:right w:val="nil" w:sz="6" w:space="0" w:color="auto"/>
            </w:tcBorders>
          </w:tcPr>
          <w:p>
            <w:pPr/>
          </w:p>
        </w:tc>
        <w:tc>
          <w:tcPr>
            <w:tcW w:w="2134" w:type="dxa"/>
            <w:gridSpan w:val="2"/>
            <w:tcBorders>
              <w:top w:val="nil" w:sz="6" w:space="0" w:color="auto"/>
              <w:left w:val="nil" w:sz="6" w:space="0" w:color="auto"/>
              <w:bottom w:val="nil" w:sz="6" w:space="0" w:color="auto"/>
              <w:right w:val="nil" w:sz="6" w:space="0" w:color="auto"/>
            </w:tcBorders>
          </w:tcPr>
          <w:p>
            <w:pPr>
              <w:pStyle w:val="TableParagraph"/>
              <w:tabs>
                <w:tab w:pos="2240" w:val="left" w:leader="none"/>
              </w:tabs>
              <w:spacing w:line="203" w:lineRule="exact"/>
              <w:ind w:left="426" w:right="-107"/>
              <w:jc w:val="left"/>
              <w:rPr>
                <w:rFonts w:ascii="Calibri" w:hAnsi="Calibri" w:cs="Calibri" w:eastAsia="Calibri" w:hint="default"/>
                <w:sz w:val="20"/>
                <w:szCs w:val="20"/>
              </w:rPr>
            </w:pPr>
            <w:r>
              <w:rPr>
                <w:rFonts w:ascii="Calibri"/>
                <w:b/>
                <w:w w:val="99"/>
                <w:sz w:val="20"/>
              </w:rPr>
            </w:r>
            <w:r>
              <w:rPr>
                <w:rFonts w:ascii="Calibri"/>
                <w:b/>
                <w:sz w:val="20"/>
                <w:u w:val="single" w:color="000000"/>
              </w:rPr>
              <w:t>Other</w:t>
            </w:r>
            <w:r>
              <w:rPr>
                <w:rFonts w:ascii="Calibri"/>
                <w:b/>
                <w:spacing w:val="-9"/>
                <w:sz w:val="20"/>
                <w:u w:val="single" w:color="000000"/>
              </w:rPr>
              <w:t> </w:t>
            </w:r>
            <w:r>
              <w:rPr>
                <w:rFonts w:ascii="Calibri"/>
                <w:b/>
                <w:sz w:val="20"/>
                <w:u w:val="single" w:color="000000"/>
              </w:rPr>
              <w:t>Countries</w:t>
              <w:tab/>
            </w:r>
            <w:r>
              <w:rPr>
                <w:rFonts w:ascii="Calibri"/>
                <w:b/>
                <w:sz w:val="20"/>
              </w:rPr>
            </w:r>
            <w:r>
              <w:rPr>
                <w:rFonts w:ascii="Calibri"/>
                <w:sz w:val="20"/>
              </w:rPr>
            </w:r>
          </w:p>
        </w:tc>
        <w:tc>
          <w:tcPr>
            <w:tcW w:w="878" w:type="dxa"/>
            <w:vMerge w:val="restart"/>
            <w:tcBorders>
              <w:top w:val="nil" w:sz="6" w:space="0" w:color="auto"/>
              <w:left w:val="nil" w:sz="6" w:space="0" w:color="auto"/>
              <w:right w:val="nil" w:sz="6" w:space="0" w:color="auto"/>
            </w:tcBorders>
          </w:tcPr>
          <w:p>
            <w:pPr>
              <w:pStyle w:val="TableParagraph"/>
              <w:spacing w:line="240" w:lineRule="auto" w:before="86"/>
              <w:ind w:left="205" w:right="0"/>
              <w:jc w:val="left"/>
              <w:rPr>
                <w:rFonts w:ascii="Calibri" w:hAnsi="Calibri" w:cs="Calibri" w:eastAsia="Calibri" w:hint="default"/>
                <w:sz w:val="20"/>
                <w:szCs w:val="20"/>
              </w:rPr>
            </w:pPr>
            <w:r>
              <w:rPr>
                <w:rFonts w:ascii="Calibri"/>
                <w:b/>
                <w:sz w:val="20"/>
              </w:rPr>
              <w:t>t-value</w:t>
            </w:r>
            <w:r>
              <w:rPr>
                <w:rFonts w:ascii="Calibri"/>
                <w:sz w:val="20"/>
              </w:rPr>
            </w:r>
          </w:p>
        </w:tc>
        <w:tc>
          <w:tcPr>
            <w:tcW w:w="478" w:type="dxa"/>
            <w:vMerge w:val="restart"/>
            <w:tcBorders>
              <w:top w:val="nil" w:sz="6" w:space="0" w:color="auto"/>
              <w:left w:val="nil" w:sz="6" w:space="0" w:color="auto"/>
              <w:right w:val="nil" w:sz="6" w:space="0" w:color="auto"/>
            </w:tcBorders>
          </w:tcPr>
          <w:p>
            <w:pPr>
              <w:pStyle w:val="TableParagraph"/>
              <w:spacing w:line="240" w:lineRule="auto" w:before="86"/>
              <w:ind w:left="96" w:right="0"/>
              <w:jc w:val="left"/>
              <w:rPr>
                <w:rFonts w:ascii="Calibri" w:hAnsi="Calibri" w:cs="Calibri" w:eastAsia="Calibri" w:hint="default"/>
                <w:sz w:val="20"/>
                <w:szCs w:val="20"/>
              </w:rPr>
            </w:pPr>
            <w:r>
              <w:rPr>
                <w:rFonts w:ascii="Calibri"/>
                <w:b/>
                <w:sz w:val="20"/>
              </w:rPr>
              <w:t>Sig.</w:t>
            </w:r>
            <w:r>
              <w:rPr>
                <w:rFonts w:ascii="Calibri"/>
                <w:sz w:val="20"/>
              </w:rPr>
            </w:r>
          </w:p>
        </w:tc>
      </w:tr>
      <w:tr>
        <w:trPr>
          <w:trHeight w:val="235" w:hRule="exact"/>
        </w:trPr>
        <w:tc>
          <w:tcPr>
            <w:tcW w:w="939" w:type="dxa"/>
            <w:tcBorders>
              <w:top w:val="nil" w:sz="6" w:space="0" w:color="auto"/>
              <w:left w:val="nil" w:sz="6" w:space="0" w:color="auto"/>
              <w:bottom w:val="single" w:sz="4" w:space="0" w:color="000000"/>
              <w:right w:val="nil" w:sz="6" w:space="0" w:color="auto"/>
            </w:tcBorders>
          </w:tcPr>
          <w:p>
            <w:pPr/>
          </w:p>
        </w:tc>
        <w:tc>
          <w:tcPr>
            <w:tcW w:w="1915" w:type="dxa"/>
            <w:tcBorders>
              <w:top w:val="nil" w:sz="6" w:space="0" w:color="auto"/>
              <w:left w:val="nil" w:sz="6" w:space="0" w:color="auto"/>
              <w:bottom w:val="single" w:sz="4" w:space="0" w:color="000000"/>
              <w:right w:val="nil" w:sz="6" w:space="0" w:color="auto"/>
            </w:tcBorders>
          </w:tcPr>
          <w:p>
            <w:pPr>
              <w:pStyle w:val="TableParagraph"/>
              <w:spacing w:line="231" w:lineRule="exact"/>
              <w:ind w:left="376" w:right="0"/>
              <w:jc w:val="left"/>
              <w:rPr>
                <w:rFonts w:ascii="Calibri" w:hAnsi="Calibri" w:cs="Calibri" w:eastAsia="Calibri" w:hint="default"/>
                <w:sz w:val="20"/>
                <w:szCs w:val="20"/>
              </w:rPr>
            </w:pPr>
            <w:r>
              <w:rPr>
                <w:rFonts w:ascii="Calibri"/>
                <w:b/>
                <w:sz w:val="20"/>
              </w:rPr>
              <w:t>Item</w:t>
            </w:r>
            <w:r>
              <w:rPr>
                <w:rFonts w:ascii="Calibri"/>
                <w:sz w:val="20"/>
              </w:rPr>
            </w:r>
          </w:p>
        </w:tc>
        <w:tc>
          <w:tcPr>
            <w:tcW w:w="1462" w:type="dxa"/>
            <w:tcBorders>
              <w:top w:val="nil" w:sz="6" w:space="0" w:color="auto"/>
              <w:left w:val="nil" w:sz="6" w:space="0" w:color="auto"/>
              <w:bottom w:val="single" w:sz="4" w:space="0" w:color="000000"/>
              <w:right w:val="nil" w:sz="6" w:space="0" w:color="auto"/>
            </w:tcBorders>
          </w:tcPr>
          <w:p>
            <w:pPr>
              <w:pStyle w:val="TableParagraph"/>
              <w:spacing w:line="231" w:lineRule="exact"/>
              <w:ind w:left="477" w:right="0"/>
              <w:jc w:val="left"/>
              <w:rPr>
                <w:rFonts w:ascii="Calibri" w:hAnsi="Calibri" w:cs="Calibri" w:eastAsia="Calibri" w:hint="default"/>
                <w:sz w:val="20"/>
                <w:szCs w:val="20"/>
              </w:rPr>
            </w:pPr>
            <w:r>
              <w:rPr>
                <w:rFonts w:ascii="Calibri"/>
                <w:b/>
                <w:sz w:val="20"/>
              </w:rPr>
              <w:t>Utility</w:t>
            </w:r>
            <w:r>
              <w:rPr>
                <w:rFonts w:ascii="Calibri"/>
                <w:sz w:val="20"/>
              </w:rPr>
            </w:r>
          </w:p>
        </w:tc>
        <w:tc>
          <w:tcPr>
            <w:tcW w:w="824" w:type="dxa"/>
            <w:tcBorders>
              <w:top w:val="nil" w:sz="6" w:space="0" w:color="auto"/>
              <w:left w:val="nil" w:sz="6" w:space="0" w:color="auto"/>
              <w:bottom w:val="single" w:sz="4" w:space="0" w:color="000000"/>
              <w:right w:val="nil" w:sz="6" w:space="0" w:color="auto"/>
            </w:tcBorders>
          </w:tcPr>
          <w:p>
            <w:pPr>
              <w:pStyle w:val="TableParagraph"/>
              <w:spacing w:line="231" w:lineRule="exact"/>
              <w:ind w:right="220"/>
              <w:jc w:val="center"/>
              <w:rPr>
                <w:rFonts w:ascii="Calibri" w:hAnsi="Calibri" w:cs="Calibri" w:eastAsia="Calibri" w:hint="default"/>
                <w:sz w:val="20"/>
                <w:szCs w:val="20"/>
              </w:rPr>
            </w:pPr>
            <w:r>
              <w:rPr>
                <w:rFonts w:ascii="Calibri"/>
                <w:b/>
                <w:sz w:val="20"/>
              </w:rPr>
              <w:t>Rank</w:t>
            </w:r>
            <w:r>
              <w:rPr>
                <w:rFonts w:ascii="Calibri"/>
                <w:sz w:val="20"/>
              </w:rPr>
            </w:r>
          </w:p>
        </w:tc>
        <w:tc>
          <w:tcPr>
            <w:tcW w:w="1170" w:type="dxa"/>
            <w:tcBorders>
              <w:top w:val="nil" w:sz="6" w:space="0" w:color="auto"/>
              <w:left w:val="nil" w:sz="6" w:space="0" w:color="auto"/>
              <w:bottom w:val="single" w:sz="4" w:space="0" w:color="000000"/>
              <w:right w:val="nil" w:sz="6" w:space="0" w:color="auto"/>
            </w:tcBorders>
          </w:tcPr>
          <w:p>
            <w:pPr>
              <w:pStyle w:val="TableParagraph"/>
              <w:spacing w:line="231" w:lineRule="exact"/>
              <w:ind w:right="26"/>
              <w:jc w:val="center"/>
              <w:rPr>
                <w:rFonts w:ascii="Calibri" w:hAnsi="Calibri" w:cs="Calibri" w:eastAsia="Calibri" w:hint="default"/>
                <w:sz w:val="20"/>
                <w:szCs w:val="20"/>
              </w:rPr>
            </w:pPr>
            <w:r>
              <w:rPr>
                <w:rFonts w:ascii="Calibri"/>
                <w:b/>
                <w:sz w:val="20"/>
              </w:rPr>
              <w:t>Utility</w:t>
            </w:r>
            <w:r>
              <w:rPr>
                <w:rFonts w:ascii="Calibri"/>
                <w:sz w:val="20"/>
              </w:rPr>
            </w:r>
          </w:p>
        </w:tc>
        <w:tc>
          <w:tcPr>
            <w:tcW w:w="965" w:type="dxa"/>
            <w:tcBorders>
              <w:top w:val="nil" w:sz="6" w:space="0" w:color="auto"/>
              <w:left w:val="nil" w:sz="6" w:space="0" w:color="auto"/>
              <w:bottom w:val="single" w:sz="4" w:space="0" w:color="000000"/>
              <w:right w:val="nil" w:sz="6" w:space="0" w:color="auto"/>
            </w:tcBorders>
          </w:tcPr>
          <w:p>
            <w:pPr>
              <w:pStyle w:val="TableParagraph"/>
              <w:spacing w:line="231" w:lineRule="exact"/>
              <w:ind w:left="138" w:right="0"/>
              <w:jc w:val="center"/>
              <w:rPr>
                <w:rFonts w:ascii="Calibri" w:hAnsi="Calibri" w:cs="Calibri" w:eastAsia="Calibri" w:hint="default"/>
                <w:sz w:val="20"/>
                <w:szCs w:val="20"/>
              </w:rPr>
            </w:pPr>
            <w:r>
              <w:rPr>
                <w:rFonts w:ascii="Calibri"/>
                <w:b/>
                <w:sz w:val="20"/>
              </w:rPr>
              <w:t>Rank</w:t>
            </w:r>
            <w:r>
              <w:rPr>
                <w:rFonts w:ascii="Calibri"/>
                <w:sz w:val="20"/>
              </w:rPr>
            </w:r>
          </w:p>
        </w:tc>
        <w:tc>
          <w:tcPr>
            <w:tcW w:w="878" w:type="dxa"/>
            <w:vMerge/>
            <w:tcBorders>
              <w:left w:val="nil" w:sz="6" w:space="0" w:color="auto"/>
              <w:bottom w:val="single" w:sz="4" w:space="0" w:color="000000"/>
              <w:right w:val="nil" w:sz="6" w:space="0" w:color="auto"/>
            </w:tcBorders>
          </w:tcPr>
          <w:p>
            <w:pPr/>
          </w:p>
        </w:tc>
        <w:tc>
          <w:tcPr>
            <w:tcW w:w="478" w:type="dxa"/>
            <w:vMerge/>
            <w:tcBorders>
              <w:left w:val="nil" w:sz="6" w:space="0" w:color="auto"/>
              <w:bottom w:val="single" w:sz="4" w:space="0" w:color="000000"/>
              <w:right w:val="nil" w:sz="6" w:space="0" w:color="auto"/>
            </w:tcBorders>
          </w:tcPr>
          <w:p>
            <w:pPr/>
          </w:p>
        </w:tc>
      </w:tr>
      <w:tr>
        <w:trPr>
          <w:trHeight w:val="273" w:hRule="exact"/>
        </w:trPr>
        <w:tc>
          <w:tcPr>
            <w:tcW w:w="939" w:type="dxa"/>
            <w:vMerge w:val="restart"/>
            <w:tcBorders>
              <w:top w:val="single" w:sz="4" w:space="0" w:color="000000"/>
              <w:left w:val="nil" w:sz="6" w:space="0" w:color="auto"/>
              <w:right w:val="nil" w:sz="6" w:space="0" w:color="auto"/>
            </w:tcBorders>
          </w:tcPr>
          <w:p>
            <w:pPr>
              <w:pStyle w:val="TableParagraph"/>
              <w:spacing w:line="240" w:lineRule="auto" w:before="133"/>
              <w:ind w:left="120" w:right="100" w:firstLine="158"/>
              <w:jc w:val="left"/>
              <w:rPr>
                <w:rFonts w:ascii="Calibri" w:hAnsi="Calibri" w:cs="Calibri" w:eastAsia="Calibri" w:hint="default"/>
                <w:sz w:val="20"/>
                <w:szCs w:val="20"/>
              </w:rPr>
            </w:pPr>
            <w:r>
              <w:rPr>
                <w:rFonts w:ascii="Calibri"/>
                <w:sz w:val="20"/>
              </w:rPr>
              <w:t>Time </w:t>
            </w:r>
            <w:r>
              <w:rPr>
                <w:rFonts w:ascii="Calibri"/>
                <w:w w:val="95"/>
                <w:sz w:val="20"/>
              </w:rPr>
              <w:t>Duration</w:t>
            </w:r>
            <w:r>
              <w:rPr>
                <w:rFonts w:ascii="Calibri"/>
                <w:sz w:val="20"/>
              </w:rPr>
            </w:r>
          </w:p>
        </w:tc>
        <w:tc>
          <w:tcPr>
            <w:tcW w:w="1915"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90" w:right="0"/>
              <w:jc w:val="left"/>
              <w:rPr>
                <w:rFonts w:ascii="Calibri" w:hAnsi="Calibri" w:cs="Calibri" w:eastAsia="Calibri" w:hint="default"/>
                <w:sz w:val="20"/>
                <w:szCs w:val="20"/>
              </w:rPr>
            </w:pPr>
            <w:r>
              <w:rPr>
                <w:rFonts w:ascii="Calibri"/>
                <w:sz w:val="20"/>
              </w:rPr>
              <w:t>4.5</w:t>
            </w:r>
            <w:r>
              <w:rPr>
                <w:rFonts w:ascii="Calibri"/>
                <w:spacing w:val="-4"/>
                <w:sz w:val="20"/>
              </w:rPr>
              <w:t> </w:t>
            </w:r>
            <w:r>
              <w:rPr>
                <w:rFonts w:ascii="Calibri"/>
                <w:sz w:val="20"/>
              </w:rPr>
              <w:t>Hours</w:t>
            </w:r>
          </w:p>
        </w:tc>
        <w:tc>
          <w:tcPr>
            <w:tcW w:w="1462"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0"/>
              <w:jc w:val="center"/>
              <w:rPr>
                <w:rFonts w:ascii="Calibri" w:hAnsi="Calibri" w:cs="Calibri" w:eastAsia="Calibri" w:hint="default"/>
                <w:sz w:val="20"/>
                <w:szCs w:val="20"/>
              </w:rPr>
            </w:pPr>
            <w:r>
              <w:rPr>
                <w:rFonts w:ascii="Calibri"/>
                <w:sz w:val="20"/>
              </w:rPr>
              <w:t>8.12</w:t>
            </w:r>
          </w:p>
        </w:tc>
        <w:tc>
          <w:tcPr>
            <w:tcW w:w="824"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222"/>
              <w:jc w:val="center"/>
              <w:rPr>
                <w:rFonts w:ascii="Calibri" w:hAnsi="Calibri" w:cs="Calibri" w:eastAsia="Calibri" w:hint="default"/>
                <w:sz w:val="20"/>
                <w:szCs w:val="20"/>
              </w:rPr>
            </w:pPr>
            <w:r>
              <w:rPr>
                <w:rFonts w:ascii="Calibri"/>
                <w:sz w:val="20"/>
              </w:rPr>
              <w:t>1</w:t>
            </w:r>
          </w:p>
        </w:tc>
        <w:tc>
          <w:tcPr>
            <w:tcW w:w="1170"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23"/>
              <w:jc w:val="center"/>
              <w:rPr>
                <w:rFonts w:ascii="Calibri" w:hAnsi="Calibri" w:cs="Calibri" w:eastAsia="Calibri" w:hint="default"/>
                <w:sz w:val="20"/>
                <w:szCs w:val="20"/>
              </w:rPr>
            </w:pPr>
            <w:r>
              <w:rPr>
                <w:rFonts w:ascii="Calibri"/>
                <w:sz w:val="20"/>
              </w:rPr>
              <w:t>8.03</w:t>
            </w:r>
          </w:p>
        </w:tc>
        <w:tc>
          <w:tcPr>
            <w:tcW w:w="965"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141" w:right="0"/>
              <w:jc w:val="center"/>
              <w:rPr>
                <w:rFonts w:ascii="Calibri" w:hAnsi="Calibri" w:cs="Calibri" w:eastAsia="Calibri" w:hint="default"/>
                <w:sz w:val="20"/>
                <w:szCs w:val="20"/>
              </w:rPr>
            </w:pPr>
            <w:r>
              <w:rPr>
                <w:rFonts w:ascii="Calibri"/>
                <w:sz w:val="20"/>
              </w:rPr>
              <w:t>1</w:t>
            </w:r>
          </w:p>
        </w:tc>
        <w:tc>
          <w:tcPr>
            <w:tcW w:w="878"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203"/>
              <w:jc w:val="right"/>
              <w:rPr>
                <w:rFonts w:ascii="Calibri" w:hAnsi="Calibri" w:cs="Calibri" w:eastAsia="Calibri" w:hint="default"/>
                <w:sz w:val="20"/>
                <w:szCs w:val="20"/>
              </w:rPr>
            </w:pPr>
            <w:r>
              <w:rPr>
                <w:rFonts w:ascii="Calibri"/>
                <w:w w:val="95"/>
                <w:sz w:val="20"/>
              </w:rPr>
              <w:t>0.42</w:t>
            </w:r>
            <w:r>
              <w:rPr>
                <w:rFonts w:ascii="Calibri"/>
                <w:sz w:val="20"/>
              </w:rPr>
            </w:r>
          </w:p>
        </w:tc>
        <w:tc>
          <w:tcPr>
            <w:tcW w:w="478" w:type="dxa"/>
            <w:tcBorders>
              <w:top w:val="single" w:sz="4" w:space="0" w:color="000000"/>
              <w:left w:val="nil" w:sz="6" w:space="0" w:color="auto"/>
              <w:bottom w:val="nil" w:sz="6" w:space="0" w:color="auto"/>
              <w:right w:val="nil" w:sz="6" w:space="0" w:color="auto"/>
            </w:tcBorders>
          </w:tcPr>
          <w:p>
            <w:pPr/>
          </w:p>
        </w:tc>
      </w:tr>
      <w:tr>
        <w:trPr>
          <w:trHeight w:val="253" w:hRule="exact"/>
        </w:trPr>
        <w:tc>
          <w:tcPr>
            <w:tcW w:w="939" w:type="dxa"/>
            <w:vMerge/>
            <w:tcBorders>
              <w:left w:val="nil" w:sz="6" w:space="0" w:color="auto"/>
              <w:right w:val="nil" w:sz="6" w:space="0" w:color="auto"/>
            </w:tcBorders>
          </w:tcPr>
          <w:p>
            <w:pPr/>
          </w:p>
        </w:tc>
        <w:tc>
          <w:tcPr>
            <w:tcW w:w="1915" w:type="dxa"/>
            <w:tcBorders>
              <w:top w:val="nil" w:sz="6" w:space="0" w:color="auto"/>
              <w:left w:val="nil" w:sz="6" w:space="0" w:color="auto"/>
              <w:bottom w:val="nil" w:sz="6" w:space="0" w:color="auto"/>
              <w:right w:val="nil" w:sz="6" w:space="0" w:color="auto"/>
            </w:tcBorders>
          </w:tcPr>
          <w:p>
            <w:pPr>
              <w:pStyle w:val="TableParagraph"/>
              <w:spacing w:line="230" w:lineRule="exact"/>
              <w:ind w:left="90" w:right="0"/>
              <w:jc w:val="left"/>
              <w:rPr>
                <w:rFonts w:ascii="Calibri" w:hAnsi="Calibri" w:cs="Calibri" w:eastAsia="Calibri" w:hint="default"/>
                <w:sz w:val="20"/>
                <w:szCs w:val="20"/>
              </w:rPr>
            </w:pPr>
            <w:r>
              <w:rPr>
                <w:rFonts w:ascii="Calibri"/>
                <w:sz w:val="20"/>
              </w:rPr>
              <w:t>3.5</w:t>
            </w:r>
            <w:r>
              <w:rPr>
                <w:rFonts w:ascii="Calibri"/>
                <w:spacing w:val="-3"/>
                <w:sz w:val="20"/>
              </w:rPr>
              <w:t> </w:t>
            </w:r>
            <w:r>
              <w:rPr>
                <w:rFonts w:ascii="Calibri"/>
                <w:sz w:val="20"/>
              </w:rPr>
              <w:t>hours</w:t>
            </w:r>
          </w:p>
        </w:tc>
        <w:tc>
          <w:tcPr>
            <w:tcW w:w="1462" w:type="dxa"/>
            <w:tcBorders>
              <w:top w:val="nil" w:sz="6" w:space="0" w:color="auto"/>
              <w:left w:val="nil" w:sz="6" w:space="0" w:color="auto"/>
              <w:bottom w:val="nil" w:sz="6" w:space="0" w:color="auto"/>
              <w:right w:val="nil" w:sz="6" w:space="0" w:color="auto"/>
            </w:tcBorders>
          </w:tcPr>
          <w:p>
            <w:pPr>
              <w:pStyle w:val="TableParagraph"/>
              <w:spacing w:line="230" w:lineRule="exact"/>
              <w:ind w:right="0"/>
              <w:jc w:val="center"/>
              <w:rPr>
                <w:rFonts w:ascii="Calibri" w:hAnsi="Calibri" w:cs="Calibri" w:eastAsia="Calibri" w:hint="default"/>
                <w:sz w:val="20"/>
                <w:szCs w:val="20"/>
              </w:rPr>
            </w:pPr>
            <w:r>
              <w:rPr>
                <w:rFonts w:ascii="Calibri"/>
                <w:sz w:val="20"/>
              </w:rPr>
              <w:t>8.10</w:t>
            </w:r>
          </w:p>
        </w:tc>
        <w:tc>
          <w:tcPr>
            <w:tcW w:w="824" w:type="dxa"/>
            <w:tcBorders>
              <w:top w:val="nil" w:sz="6" w:space="0" w:color="auto"/>
              <w:left w:val="nil" w:sz="6" w:space="0" w:color="auto"/>
              <w:bottom w:val="nil" w:sz="6" w:space="0" w:color="auto"/>
              <w:right w:val="nil" w:sz="6" w:space="0" w:color="auto"/>
            </w:tcBorders>
          </w:tcPr>
          <w:p>
            <w:pPr>
              <w:pStyle w:val="TableParagraph"/>
              <w:spacing w:line="230" w:lineRule="exact"/>
              <w:ind w:right="222"/>
              <w:jc w:val="center"/>
              <w:rPr>
                <w:rFonts w:ascii="Calibri" w:hAnsi="Calibri" w:cs="Calibri" w:eastAsia="Calibri" w:hint="default"/>
                <w:sz w:val="20"/>
                <w:szCs w:val="20"/>
              </w:rPr>
            </w:pPr>
            <w:r>
              <w:rPr>
                <w:rFonts w:ascii="Calibri"/>
                <w:sz w:val="20"/>
              </w:rPr>
              <w:t>2</w:t>
            </w:r>
          </w:p>
        </w:tc>
        <w:tc>
          <w:tcPr>
            <w:tcW w:w="1170" w:type="dxa"/>
            <w:tcBorders>
              <w:top w:val="nil" w:sz="6" w:space="0" w:color="auto"/>
              <w:left w:val="nil" w:sz="6" w:space="0" w:color="auto"/>
              <w:bottom w:val="nil" w:sz="6" w:space="0" w:color="auto"/>
              <w:right w:val="nil" w:sz="6" w:space="0" w:color="auto"/>
            </w:tcBorders>
          </w:tcPr>
          <w:p>
            <w:pPr>
              <w:pStyle w:val="TableParagraph"/>
              <w:spacing w:line="230" w:lineRule="exact"/>
              <w:ind w:right="23"/>
              <w:jc w:val="center"/>
              <w:rPr>
                <w:rFonts w:ascii="Calibri" w:hAnsi="Calibri" w:cs="Calibri" w:eastAsia="Calibri" w:hint="default"/>
                <w:sz w:val="20"/>
                <w:szCs w:val="20"/>
              </w:rPr>
            </w:pPr>
            <w:r>
              <w:rPr>
                <w:rFonts w:ascii="Calibri"/>
                <w:sz w:val="20"/>
              </w:rPr>
              <w:t>7.96</w:t>
            </w:r>
          </w:p>
        </w:tc>
        <w:tc>
          <w:tcPr>
            <w:tcW w:w="965" w:type="dxa"/>
            <w:tcBorders>
              <w:top w:val="nil" w:sz="6" w:space="0" w:color="auto"/>
              <w:left w:val="nil" w:sz="6" w:space="0" w:color="auto"/>
              <w:bottom w:val="nil" w:sz="6" w:space="0" w:color="auto"/>
              <w:right w:val="nil" w:sz="6" w:space="0" w:color="auto"/>
            </w:tcBorders>
          </w:tcPr>
          <w:p>
            <w:pPr>
              <w:pStyle w:val="TableParagraph"/>
              <w:spacing w:line="230" w:lineRule="exact"/>
              <w:ind w:left="141" w:right="0"/>
              <w:jc w:val="center"/>
              <w:rPr>
                <w:rFonts w:ascii="Calibri" w:hAnsi="Calibri" w:cs="Calibri" w:eastAsia="Calibri" w:hint="default"/>
                <w:sz w:val="20"/>
                <w:szCs w:val="20"/>
              </w:rPr>
            </w:pPr>
            <w:r>
              <w:rPr>
                <w:rFonts w:ascii="Calibri"/>
                <w:sz w:val="20"/>
              </w:rPr>
              <w:t>2</w:t>
            </w:r>
          </w:p>
        </w:tc>
        <w:tc>
          <w:tcPr>
            <w:tcW w:w="878" w:type="dxa"/>
            <w:tcBorders>
              <w:top w:val="nil" w:sz="6" w:space="0" w:color="auto"/>
              <w:left w:val="nil" w:sz="6" w:space="0" w:color="auto"/>
              <w:bottom w:val="nil" w:sz="6" w:space="0" w:color="auto"/>
              <w:right w:val="nil" w:sz="6" w:space="0" w:color="auto"/>
            </w:tcBorders>
          </w:tcPr>
          <w:p>
            <w:pPr>
              <w:pStyle w:val="TableParagraph"/>
              <w:spacing w:line="230" w:lineRule="exact"/>
              <w:ind w:right="203"/>
              <w:jc w:val="right"/>
              <w:rPr>
                <w:rFonts w:ascii="Calibri" w:hAnsi="Calibri" w:cs="Calibri" w:eastAsia="Calibri" w:hint="default"/>
                <w:sz w:val="20"/>
                <w:szCs w:val="20"/>
              </w:rPr>
            </w:pPr>
            <w:r>
              <w:rPr>
                <w:rFonts w:ascii="Calibri"/>
                <w:w w:val="95"/>
                <w:sz w:val="20"/>
              </w:rPr>
              <w:t>0.69</w:t>
            </w:r>
            <w:r>
              <w:rPr>
                <w:rFonts w:ascii="Calibri"/>
                <w:sz w:val="20"/>
              </w:rPr>
            </w:r>
          </w:p>
        </w:tc>
        <w:tc>
          <w:tcPr>
            <w:tcW w:w="478" w:type="dxa"/>
            <w:tcBorders>
              <w:top w:val="nil" w:sz="6" w:space="0" w:color="auto"/>
              <w:left w:val="nil" w:sz="6" w:space="0" w:color="auto"/>
              <w:bottom w:val="nil" w:sz="6" w:space="0" w:color="auto"/>
              <w:right w:val="nil" w:sz="6" w:space="0" w:color="auto"/>
            </w:tcBorders>
          </w:tcPr>
          <w:p>
            <w:pPr/>
          </w:p>
        </w:tc>
      </w:tr>
      <w:tr>
        <w:trPr>
          <w:trHeight w:val="237" w:hRule="exact"/>
        </w:trPr>
        <w:tc>
          <w:tcPr>
            <w:tcW w:w="939" w:type="dxa"/>
            <w:vMerge/>
            <w:tcBorders>
              <w:left w:val="nil" w:sz="6" w:space="0" w:color="auto"/>
              <w:bottom w:val="single" w:sz="4" w:space="0" w:color="000000"/>
              <w:right w:val="nil" w:sz="6" w:space="0" w:color="auto"/>
            </w:tcBorders>
          </w:tcPr>
          <w:p>
            <w:pPr/>
          </w:p>
        </w:tc>
        <w:tc>
          <w:tcPr>
            <w:tcW w:w="1915" w:type="dxa"/>
            <w:tcBorders>
              <w:top w:val="nil" w:sz="6" w:space="0" w:color="auto"/>
              <w:left w:val="nil" w:sz="6" w:space="0" w:color="auto"/>
              <w:bottom w:val="single" w:sz="4" w:space="0" w:color="000000"/>
              <w:right w:val="nil" w:sz="6" w:space="0" w:color="auto"/>
            </w:tcBorders>
          </w:tcPr>
          <w:p>
            <w:pPr>
              <w:pStyle w:val="TableParagraph"/>
              <w:spacing w:line="231" w:lineRule="exact"/>
              <w:ind w:left="90" w:right="0"/>
              <w:jc w:val="left"/>
              <w:rPr>
                <w:rFonts w:ascii="Calibri" w:hAnsi="Calibri" w:cs="Calibri" w:eastAsia="Calibri" w:hint="default"/>
                <w:sz w:val="20"/>
                <w:szCs w:val="20"/>
              </w:rPr>
            </w:pPr>
            <w:r>
              <w:rPr>
                <w:rFonts w:ascii="Calibri"/>
                <w:sz w:val="20"/>
              </w:rPr>
              <w:t>2.5</w:t>
            </w:r>
            <w:r>
              <w:rPr>
                <w:rFonts w:ascii="Calibri"/>
                <w:spacing w:val="-3"/>
                <w:sz w:val="20"/>
              </w:rPr>
              <w:t> </w:t>
            </w:r>
            <w:r>
              <w:rPr>
                <w:rFonts w:ascii="Calibri"/>
                <w:sz w:val="20"/>
              </w:rPr>
              <w:t>hours</w:t>
            </w:r>
          </w:p>
        </w:tc>
        <w:tc>
          <w:tcPr>
            <w:tcW w:w="1462" w:type="dxa"/>
            <w:tcBorders>
              <w:top w:val="nil" w:sz="6" w:space="0" w:color="auto"/>
              <w:left w:val="nil" w:sz="6" w:space="0" w:color="auto"/>
              <w:bottom w:val="single" w:sz="4" w:space="0" w:color="000000"/>
              <w:right w:val="nil" w:sz="6" w:space="0" w:color="auto"/>
            </w:tcBorders>
          </w:tcPr>
          <w:p>
            <w:pPr>
              <w:pStyle w:val="TableParagraph"/>
              <w:spacing w:line="231" w:lineRule="exact"/>
              <w:ind w:right="0"/>
              <w:jc w:val="center"/>
              <w:rPr>
                <w:rFonts w:ascii="Calibri" w:hAnsi="Calibri" w:cs="Calibri" w:eastAsia="Calibri" w:hint="default"/>
                <w:sz w:val="20"/>
                <w:szCs w:val="20"/>
              </w:rPr>
            </w:pPr>
            <w:r>
              <w:rPr>
                <w:rFonts w:ascii="Calibri"/>
                <w:sz w:val="20"/>
              </w:rPr>
              <w:t>8.03</w:t>
            </w:r>
          </w:p>
        </w:tc>
        <w:tc>
          <w:tcPr>
            <w:tcW w:w="824" w:type="dxa"/>
            <w:tcBorders>
              <w:top w:val="nil" w:sz="6" w:space="0" w:color="auto"/>
              <w:left w:val="nil" w:sz="6" w:space="0" w:color="auto"/>
              <w:bottom w:val="single" w:sz="4" w:space="0" w:color="000000"/>
              <w:right w:val="nil" w:sz="6" w:space="0" w:color="auto"/>
            </w:tcBorders>
          </w:tcPr>
          <w:p>
            <w:pPr>
              <w:pStyle w:val="TableParagraph"/>
              <w:spacing w:line="231" w:lineRule="exact"/>
              <w:ind w:right="222"/>
              <w:jc w:val="center"/>
              <w:rPr>
                <w:rFonts w:ascii="Calibri" w:hAnsi="Calibri" w:cs="Calibri" w:eastAsia="Calibri" w:hint="default"/>
                <w:sz w:val="20"/>
                <w:szCs w:val="20"/>
              </w:rPr>
            </w:pPr>
            <w:r>
              <w:rPr>
                <w:rFonts w:ascii="Calibri"/>
                <w:sz w:val="20"/>
              </w:rPr>
              <w:t>3</w:t>
            </w:r>
          </w:p>
        </w:tc>
        <w:tc>
          <w:tcPr>
            <w:tcW w:w="1170" w:type="dxa"/>
            <w:tcBorders>
              <w:top w:val="nil" w:sz="6" w:space="0" w:color="auto"/>
              <w:left w:val="nil" w:sz="6" w:space="0" w:color="auto"/>
              <w:bottom w:val="single" w:sz="4" w:space="0" w:color="000000"/>
              <w:right w:val="nil" w:sz="6" w:space="0" w:color="auto"/>
            </w:tcBorders>
          </w:tcPr>
          <w:p>
            <w:pPr>
              <w:pStyle w:val="TableParagraph"/>
              <w:spacing w:line="231" w:lineRule="exact"/>
              <w:ind w:right="23"/>
              <w:jc w:val="center"/>
              <w:rPr>
                <w:rFonts w:ascii="Calibri" w:hAnsi="Calibri" w:cs="Calibri" w:eastAsia="Calibri" w:hint="default"/>
                <w:sz w:val="20"/>
                <w:szCs w:val="20"/>
              </w:rPr>
            </w:pPr>
            <w:r>
              <w:rPr>
                <w:rFonts w:ascii="Calibri"/>
                <w:sz w:val="20"/>
              </w:rPr>
              <w:t>7.83</w:t>
            </w:r>
          </w:p>
        </w:tc>
        <w:tc>
          <w:tcPr>
            <w:tcW w:w="965" w:type="dxa"/>
            <w:tcBorders>
              <w:top w:val="nil" w:sz="6" w:space="0" w:color="auto"/>
              <w:left w:val="nil" w:sz="6" w:space="0" w:color="auto"/>
              <w:bottom w:val="single" w:sz="4" w:space="0" w:color="000000"/>
              <w:right w:val="nil" w:sz="6" w:space="0" w:color="auto"/>
            </w:tcBorders>
          </w:tcPr>
          <w:p>
            <w:pPr>
              <w:pStyle w:val="TableParagraph"/>
              <w:spacing w:line="231" w:lineRule="exact"/>
              <w:ind w:left="141" w:right="0"/>
              <w:jc w:val="center"/>
              <w:rPr>
                <w:rFonts w:ascii="Calibri" w:hAnsi="Calibri" w:cs="Calibri" w:eastAsia="Calibri" w:hint="default"/>
                <w:sz w:val="20"/>
                <w:szCs w:val="20"/>
              </w:rPr>
            </w:pPr>
            <w:r>
              <w:rPr>
                <w:rFonts w:ascii="Calibri"/>
                <w:sz w:val="20"/>
              </w:rPr>
              <w:t>3</w:t>
            </w:r>
          </w:p>
        </w:tc>
        <w:tc>
          <w:tcPr>
            <w:tcW w:w="878" w:type="dxa"/>
            <w:tcBorders>
              <w:top w:val="nil" w:sz="6" w:space="0" w:color="auto"/>
              <w:left w:val="nil" w:sz="6" w:space="0" w:color="auto"/>
              <w:bottom w:val="single" w:sz="4" w:space="0" w:color="000000"/>
              <w:right w:val="nil" w:sz="6" w:space="0" w:color="auto"/>
            </w:tcBorders>
          </w:tcPr>
          <w:p>
            <w:pPr>
              <w:pStyle w:val="TableParagraph"/>
              <w:spacing w:line="231" w:lineRule="exact"/>
              <w:ind w:right="203"/>
              <w:jc w:val="right"/>
              <w:rPr>
                <w:rFonts w:ascii="Calibri" w:hAnsi="Calibri" w:cs="Calibri" w:eastAsia="Calibri" w:hint="default"/>
                <w:sz w:val="20"/>
                <w:szCs w:val="20"/>
              </w:rPr>
            </w:pPr>
            <w:r>
              <w:rPr>
                <w:rFonts w:ascii="Calibri"/>
                <w:w w:val="95"/>
                <w:sz w:val="20"/>
              </w:rPr>
              <w:t>1.54</w:t>
            </w:r>
            <w:r>
              <w:rPr>
                <w:rFonts w:ascii="Calibri"/>
                <w:sz w:val="20"/>
              </w:rPr>
            </w:r>
          </w:p>
        </w:tc>
        <w:tc>
          <w:tcPr>
            <w:tcW w:w="478" w:type="dxa"/>
            <w:tcBorders>
              <w:top w:val="nil" w:sz="6" w:space="0" w:color="auto"/>
              <w:left w:val="nil" w:sz="6" w:space="0" w:color="auto"/>
              <w:bottom w:val="single" w:sz="4" w:space="0" w:color="000000"/>
              <w:right w:val="nil" w:sz="6" w:space="0" w:color="auto"/>
            </w:tcBorders>
          </w:tcPr>
          <w:p>
            <w:pPr/>
          </w:p>
        </w:tc>
      </w:tr>
      <w:tr>
        <w:trPr>
          <w:trHeight w:val="272" w:hRule="exact"/>
        </w:trPr>
        <w:tc>
          <w:tcPr>
            <w:tcW w:w="939" w:type="dxa"/>
            <w:tcBorders>
              <w:top w:val="single" w:sz="4" w:space="0" w:color="000000"/>
              <w:left w:val="nil" w:sz="6" w:space="0" w:color="auto"/>
              <w:bottom w:val="nil" w:sz="6" w:space="0" w:color="auto"/>
              <w:right w:val="nil" w:sz="6" w:space="0" w:color="auto"/>
            </w:tcBorders>
          </w:tcPr>
          <w:p>
            <w:pPr/>
          </w:p>
        </w:tc>
        <w:tc>
          <w:tcPr>
            <w:tcW w:w="1915" w:type="dxa"/>
            <w:tcBorders>
              <w:top w:val="single" w:sz="4" w:space="0" w:color="000000"/>
              <w:left w:val="nil" w:sz="6" w:space="0" w:color="auto"/>
              <w:bottom w:val="nil" w:sz="6" w:space="0" w:color="auto"/>
              <w:right w:val="nil" w:sz="6" w:space="0" w:color="auto"/>
            </w:tcBorders>
          </w:tcPr>
          <w:p>
            <w:pPr>
              <w:pStyle w:val="TableParagraph"/>
              <w:spacing w:line="243" w:lineRule="exact"/>
              <w:ind w:left="90" w:right="0"/>
              <w:jc w:val="left"/>
              <w:rPr>
                <w:rFonts w:ascii="Calibri" w:hAnsi="Calibri" w:cs="Calibri" w:eastAsia="Calibri" w:hint="default"/>
                <w:sz w:val="20"/>
                <w:szCs w:val="20"/>
              </w:rPr>
            </w:pPr>
            <w:r>
              <w:rPr>
                <w:rFonts w:ascii="Calibri"/>
                <w:sz w:val="20"/>
              </w:rPr>
              <w:t>Historical</w:t>
            </w:r>
          </w:p>
        </w:tc>
        <w:tc>
          <w:tcPr>
            <w:tcW w:w="1462" w:type="dxa"/>
            <w:tcBorders>
              <w:top w:val="single" w:sz="4" w:space="0" w:color="000000"/>
              <w:left w:val="nil" w:sz="6" w:space="0" w:color="auto"/>
              <w:bottom w:val="nil" w:sz="6" w:space="0" w:color="auto"/>
              <w:right w:val="nil" w:sz="6" w:space="0" w:color="auto"/>
            </w:tcBorders>
          </w:tcPr>
          <w:p>
            <w:pPr>
              <w:pStyle w:val="TableParagraph"/>
              <w:spacing w:line="243" w:lineRule="exact"/>
              <w:ind w:right="0"/>
              <w:jc w:val="center"/>
              <w:rPr>
                <w:rFonts w:ascii="Calibri" w:hAnsi="Calibri" w:cs="Calibri" w:eastAsia="Calibri" w:hint="default"/>
                <w:sz w:val="20"/>
                <w:szCs w:val="20"/>
              </w:rPr>
            </w:pPr>
            <w:r>
              <w:rPr>
                <w:rFonts w:ascii="Calibri"/>
                <w:sz w:val="20"/>
              </w:rPr>
              <w:t>8.04</w:t>
            </w:r>
          </w:p>
        </w:tc>
        <w:tc>
          <w:tcPr>
            <w:tcW w:w="824" w:type="dxa"/>
            <w:tcBorders>
              <w:top w:val="single" w:sz="4" w:space="0" w:color="000000"/>
              <w:left w:val="nil" w:sz="6" w:space="0" w:color="auto"/>
              <w:bottom w:val="nil" w:sz="6" w:space="0" w:color="auto"/>
              <w:right w:val="nil" w:sz="6" w:space="0" w:color="auto"/>
            </w:tcBorders>
          </w:tcPr>
          <w:p>
            <w:pPr>
              <w:pStyle w:val="TableParagraph"/>
              <w:spacing w:line="243" w:lineRule="exact"/>
              <w:ind w:right="222"/>
              <w:jc w:val="center"/>
              <w:rPr>
                <w:rFonts w:ascii="Calibri" w:hAnsi="Calibri" w:cs="Calibri" w:eastAsia="Calibri" w:hint="default"/>
                <w:sz w:val="20"/>
                <w:szCs w:val="20"/>
              </w:rPr>
            </w:pPr>
            <w:r>
              <w:rPr>
                <w:rFonts w:ascii="Calibri"/>
                <w:sz w:val="20"/>
              </w:rPr>
              <w:t>1</w:t>
            </w:r>
          </w:p>
        </w:tc>
        <w:tc>
          <w:tcPr>
            <w:tcW w:w="1170" w:type="dxa"/>
            <w:tcBorders>
              <w:top w:val="single" w:sz="4" w:space="0" w:color="000000"/>
              <w:left w:val="nil" w:sz="6" w:space="0" w:color="auto"/>
              <w:bottom w:val="nil" w:sz="6" w:space="0" w:color="auto"/>
              <w:right w:val="nil" w:sz="6" w:space="0" w:color="auto"/>
            </w:tcBorders>
          </w:tcPr>
          <w:p>
            <w:pPr>
              <w:pStyle w:val="TableParagraph"/>
              <w:spacing w:line="243" w:lineRule="exact"/>
              <w:ind w:right="23"/>
              <w:jc w:val="center"/>
              <w:rPr>
                <w:rFonts w:ascii="Calibri" w:hAnsi="Calibri" w:cs="Calibri" w:eastAsia="Calibri" w:hint="default"/>
                <w:sz w:val="20"/>
                <w:szCs w:val="20"/>
              </w:rPr>
            </w:pPr>
            <w:r>
              <w:rPr>
                <w:rFonts w:ascii="Calibri"/>
                <w:sz w:val="20"/>
              </w:rPr>
              <w:t>8.79</w:t>
            </w:r>
          </w:p>
        </w:tc>
        <w:tc>
          <w:tcPr>
            <w:tcW w:w="965" w:type="dxa"/>
            <w:tcBorders>
              <w:top w:val="single" w:sz="4" w:space="0" w:color="000000"/>
              <w:left w:val="nil" w:sz="6" w:space="0" w:color="auto"/>
              <w:bottom w:val="nil" w:sz="6" w:space="0" w:color="auto"/>
              <w:right w:val="nil" w:sz="6" w:space="0" w:color="auto"/>
            </w:tcBorders>
          </w:tcPr>
          <w:p>
            <w:pPr>
              <w:pStyle w:val="TableParagraph"/>
              <w:spacing w:line="243" w:lineRule="exact"/>
              <w:ind w:left="141" w:right="0"/>
              <w:jc w:val="center"/>
              <w:rPr>
                <w:rFonts w:ascii="Calibri" w:hAnsi="Calibri" w:cs="Calibri" w:eastAsia="Calibri" w:hint="default"/>
                <w:sz w:val="20"/>
                <w:szCs w:val="20"/>
              </w:rPr>
            </w:pPr>
            <w:r>
              <w:rPr>
                <w:rFonts w:ascii="Calibri"/>
                <w:sz w:val="20"/>
              </w:rPr>
              <w:t>1</w:t>
            </w:r>
          </w:p>
        </w:tc>
        <w:tc>
          <w:tcPr>
            <w:tcW w:w="878" w:type="dxa"/>
            <w:tcBorders>
              <w:top w:val="single" w:sz="4" w:space="0" w:color="000000"/>
              <w:left w:val="nil" w:sz="6" w:space="0" w:color="auto"/>
              <w:bottom w:val="nil" w:sz="6" w:space="0" w:color="auto"/>
              <w:right w:val="nil" w:sz="6" w:space="0" w:color="auto"/>
            </w:tcBorders>
          </w:tcPr>
          <w:p>
            <w:pPr>
              <w:pStyle w:val="TableParagraph"/>
              <w:spacing w:line="243" w:lineRule="exact"/>
              <w:ind w:right="172"/>
              <w:jc w:val="right"/>
              <w:rPr>
                <w:rFonts w:ascii="Calibri" w:hAnsi="Calibri" w:cs="Calibri" w:eastAsia="Calibri" w:hint="default"/>
                <w:sz w:val="20"/>
                <w:szCs w:val="20"/>
              </w:rPr>
            </w:pPr>
            <w:r>
              <w:rPr>
                <w:rFonts w:ascii="Calibri"/>
                <w:spacing w:val="-1"/>
                <w:sz w:val="20"/>
              </w:rPr>
              <w:t>-1.73</w:t>
            </w:r>
          </w:p>
        </w:tc>
        <w:tc>
          <w:tcPr>
            <w:tcW w:w="478" w:type="dxa"/>
            <w:tcBorders>
              <w:top w:val="single" w:sz="4" w:space="0" w:color="000000"/>
              <w:left w:val="nil" w:sz="6" w:space="0" w:color="auto"/>
              <w:bottom w:val="nil" w:sz="6" w:space="0" w:color="auto"/>
              <w:right w:val="nil" w:sz="6" w:space="0" w:color="auto"/>
            </w:tcBorders>
          </w:tcPr>
          <w:p>
            <w:pPr>
              <w:pStyle w:val="TableParagraph"/>
              <w:spacing w:line="243" w:lineRule="exact"/>
              <w:ind w:left="93" w:right="0"/>
              <w:jc w:val="left"/>
              <w:rPr>
                <w:rFonts w:ascii="Calibri" w:hAnsi="Calibri" w:cs="Calibri" w:eastAsia="Calibri" w:hint="default"/>
                <w:sz w:val="20"/>
                <w:szCs w:val="20"/>
              </w:rPr>
            </w:pPr>
            <w:r>
              <w:rPr>
                <w:rFonts w:ascii="Calibri"/>
                <w:sz w:val="20"/>
              </w:rPr>
              <w:t>***</w:t>
            </w:r>
          </w:p>
        </w:tc>
      </w:tr>
      <w:tr>
        <w:trPr>
          <w:trHeight w:val="254" w:hRule="exact"/>
        </w:trPr>
        <w:tc>
          <w:tcPr>
            <w:tcW w:w="939" w:type="dxa"/>
            <w:tcBorders>
              <w:top w:val="nil" w:sz="6" w:space="0" w:color="auto"/>
              <w:left w:val="nil" w:sz="6" w:space="0" w:color="auto"/>
              <w:bottom w:val="nil" w:sz="6" w:space="0" w:color="auto"/>
              <w:right w:val="nil" w:sz="6" w:space="0" w:color="auto"/>
            </w:tcBorders>
          </w:tcPr>
          <w:p>
            <w:pPr/>
          </w:p>
        </w:tc>
        <w:tc>
          <w:tcPr>
            <w:tcW w:w="1915" w:type="dxa"/>
            <w:tcBorders>
              <w:top w:val="nil" w:sz="6" w:space="0" w:color="auto"/>
              <w:left w:val="nil" w:sz="6" w:space="0" w:color="auto"/>
              <w:bottom w:val="nil" w:sz="6" w:space="0" w:color="auto"/>
              <w:right w:val="nil" w:sz="6" w:space="0" w:color="auto"/>
            </w:tcBorders>
          </w:tcPr>
          <w:p>
            <w:pPr>
              <w:pStyle w:val="TableParagraph"/>
              <w:spacing w:line="231" w:lineRule="exact"/>
              <w:ind w:left="90" w:right="0"/>
              <w:jc w:val="left"/>
              <w:rPr>
                <w:rFonts w:ascii="Calibri" w:hAnsi="Calibri" w:cs="Calibri" w:eastAsia="Calibri" w:hint="default"/>
                <w:sz w:val="20"/>
                <w:szCs w:val="20"/>
              </w:rPr>
            </w:pPr>
            <w:r>
              <w:rPr>
                <w:rFonts w:ascii="Calibri"/>
                <w:sz w:val="20"/>
              </w:rPr>
              <w:t>Beach</w:t>
            </w:r>
          </w:p>
        </w:tc>
        <w:tc>
          <w:tcPr>
            <w:tcW w:w="1462" w:type="dxa"/>
            <w:tcBorders>
              <w:top w:val="nil" w:sz="6" w:space="0" w:color="auto"/>
              <w:left w:val="nil" w:sz="6" w:space="0" w:color="auto"/>
              <w:bottom w:val="nil" w:sz="6" w:space="0" w:color="auto"/>
              <w:right w:val="nil" w:sz="6" w:space="0" w:color="auto"/>
            </w:tcBorders>
          </w:tcPr>
          <w:p>
            <w:pPr>
              <w:pStyle w:val="TableParagraph"/>
              <w:spacing w:line="231" w:lineRule="exact"/>
              <w:ind w:right="0"/>
              <w:jc w:val="center"/>
              <w:rPr>
                <w:rFonts w:ascii="Calibri" w:hAnsi="Calibri" w:cs="Calibri" w:eastAsia="Calibri" w:hint="default"/>
                <w:sz w:val="20"/>
                <w:szCs w:val="20"/>
              </w:rPr>
            </w:pPr>
            <w:r>
              <w:rPr>
                <w:rFonts w:ascii="Calibri"/>
                <w:sz w:val="20"/>
              </w:rPr>
              <w:t>8.03</w:t>
            </w:r>
          </w:p>
        </w:tc>
        <w:tc>
          <w:tcPr>
            <w:tcW w:w="824" w:type="dxa"/>
            <w:tcBorders>
              <w:top w:val="nil" w:sz="6" w:space="0" w:color="auto"/>
              <w:left w:val="nil" w:sz="6" w:space="0" w:color="auto"/>
              <w:bottom w:val="nil" w:sz="6" w:space="0" w:color="auto"/>
              <w:right w:val="nil" w:sz="6" w:space="0" w:color="auto"/>
            </w:tcBorders>
          </w:tcPr>
          <w:p>
            <w:pPr>
              <w:pStyle w:val="TableParagraph"/>
              <w:spacing w:line="231" w:lineRule="exact"/>
              <w:ind w:right="222"/>
              <w:jc w:val="center"/>
              <w:rPr>
                <w:rFonts w:ascii="Calibri" w:hAnsi="Calibri" w:cs="Calibri" w:eastAsia="Calibri" w:hint="default"/>
                <w:sz w:val="20"/>
                <w:szCs w:val="20"/>
              </w:rPr>
            </w:pPr>
            <w:r>
              <w:rPr>
                <w:rFonts w:ascii="Calibri"/>
                <w:sz w:val="20"/>
              </w:rPr>
              <w:t>2</w:t>
            </w:r>
          </w:p>
        </w:tc>
        <w:tc>
          <w:tcPr>
            <w:tcW w:w="1170" w:type="dxa"/>
            <w:tcBorders>
              <w:top w:val="nil" w:sz="6" w:space="0" w:color="auto"/>
              <w:left w:val="nil" w:sz="6" w:space="0" w:color="auto"/>
              <w:bottom w:val="nil" w:sz="6" w:space="0" w:color="auto"/>
              <w:right w:val="nil" w:sz="6" w:space="0" w:color="auto"/>
            </w:tcBorders>
          </w:tcPr>
          <w:p>
            <w:pPr>
              <w:pStyle w:val="TableParagraph"/>
              <w:spacing w:line="231" w:lineRule="exact"/>
              <w:ind w:right="23"/>
              <w:jc w:val="center"/>
              <w:rPr>
                <w:rFonts w:ascii="Calibri" w:hAnsi="Calibri" w:cs="Calibri" w:eastAsia="Calibri" w:hint="default"/>
                <w:sz w:val="20"/>
                <w:szCs w:val="20"/>
              </w:rPr>
            </w:pPr>
            <w:r>
              <w:rPr>
                <w:rFonts w:ascii="Calibri"/>
                <w:sz w:val="20"/>
              </w:rPr>
              <w:t>7.83</w:t>
            </w:r>
          </w:p>
        </w:tc>
        <w:tc>
          <w:tcPr>
            <w:tcW w:w="965" w:type="dxa"/>
            <w:tcBorders>
              <w:top w:val="nil" w:sz="6" w:space="0" w:color="auto"/>
              <w:left w:val="nil" w:sz="6" w:space="0" w:color="auto"/>
              <w:bottom w:val="nil" w:sz="6" w:space="0" w:color="auto"/>
              <w:right w:val="nil" w:sz="6" w:space="0" w:color="auto"/>
            </w:tcBorders>
          </w:tcPr>
          <w:p>
            <w:pPr>
              <w:pStyle w:val="TableParagraph"/>
              <w:spacing w:line="231" w:lineRule="exact"/>
              <w:ind w:left="141" w:right="0"/>
              <w:jc w:val="center"/>
              <w:rPr>
                <w:rFonts w:ascii="Calibri" w:hAnsi="Calibri" w:cs="Calibri" w:eastAsia="Calibri" w:hint="default"/>
                <w:sz w:val="20"/>
                <w:szCs w:val="20"/>
              </w:rPr>
            </w:pPr>
            <w:r>
              <w:rPr>
                <w:rFonts w:ascii="Calibri"/>
                <w:sz w:val="20"/>
              </w:rPr>
              <w:t>5</w:t>
            </w:r>
          </w:p>
        </w:tc>
        <w:tc>
          <w:tcPr>
            <w:tcW w:w="878" w:type="dxa"/>
            <w:tcBorders>
              <w:top w:val="nil" w:sz="6" w:space="0" w:color="auto"/>
              <w:left w:val="nil" w:sz="6" w:space="0" w:color="auto"/>
              <w:bottom w:val="nil" w:sz="6" w:space="0" w:color="auto"/>
              <w:right w:val="nil" w:sz="6" w:space="0" w:color="auto"/>
            </w:tcBorders>
          </w:tcPr>
          <w:p>
            <w:pPr>
              <w:pStyle w:val="TableParagraph"/>
              <w:spacing w:line="231" w:lineRule="exact"/>
              <w:ind w:right="203"/>
              <w:jc w:val="right"/>
              <w:rPr>
                <w:rFonts w:ascii="Calibri" w:hAnsi="Calibri" w:cs="Calibri" w:eastAsia="Calibri" w:hint="default"/>
                <w:sz w:val="20"/>
                <w:szCs w:val="20"/>
              </w:rPr>
            </w:pPr>
            <w:r>
              <w:rPr>
                <w:rFonts w:ascii="Calibri"/>
                <w:w w:val="95"/>
                <w:sz w:val="20"/>
              </w:rPr>
              <w:t>1.54</w:t>
            </w:r>
            <w:r>
              <w:rPr>
                <w:rFonts w:ascii="Calibri"/>
                <w:sz w:val="20"/>
              </w:rPr>
            </w:r>
          </w:p>
        </w:tc>
        <w:tc>
          <w:tcPr>
            <w:tcW w:w="478" w:type="dxa"/>
            <w:tcBorders>
              <w:top w:val="nil" w:sz="6" w:space="0" w:color="auto"/>
              <w:left w:val="nil" w:sz="6" w:space="0" w:color="auto"/>
              <w:bottom w:val="nil" w:sz="6" w:space="0" w:color="auto"/>
              <w:right w:val="nil" w:sz="6" w:space="0" w:color="auto"/>
            </w:tcBorders>
          </w:tcPr>
          <w:p>
            <w:pPr/>
          </w:p>
        </w:tc>
      </w:tr>
      <w:tr>
        <w:trPr>
          <w:trHeight w:val="254" w:hRule="exact"/>
        </w:trPr>
        <w:tc>
          <w:tcPr>
            <w:tcW w:w="939" w:type="dxa"/>
            <w:vMerge w:val="restart"/>
            <w:tcBorders>
              <w:top w:val="nil" w:sz="6" w:space="0" w:color="auto"/>
              <w:left w:val="nil" w:sz="6" w:space="0" w:color="auto"/>
              <w:right w:val="nil" w:sz="6" w:space="0" w:color="auto"/>
            </w:tcBorders>
          </w:tcPr>
          <w:p>
            <w:pPr>
              <w:pStyle w:val="TableParagraph"/>
              <w:spacing w:line="240" w:lineRule="auto" w:before="113"/>
              <w:ind w:left="110" w:right="0"/>
              <w:jc w:val="left"/>
              <w:rPr>
                <w:rFonts w:ascii="Calibri" w:hAnsi="Calibri" w:cs="Calibri" w:eastAsia="Calibri" w:hint="default"/>
                <w:sz w:val="20"/>
                <w:szCs w:val="20"/>
              </w:rPr>
            </w:pPr>
            <w:r>
              <w:rPr>
                <w:rFonts w:ascii="Calibri"/>
                <w:sz w:val="20"/>
              </w:rPr>
              <w:t>Activities</w:t>
            </w:r>
          </w:p>
        </w:tc>
        <w:tc>
          <w:tcPr>
            <w:tcW w:w="1915" w:type="dxa"/>
            <w:tcBorders>
              <w:top w:val="nil" w:sz="6" w:space="0" w:color="auto"/>
              <w:left w:val="nil" w:sz="6" w:space="0" w:color="auto"/>
              <w:bottom w:val="nil" w:sz="6" w:space="0" w:color="auto"/>
              <w:right w:val="nil" w:sz="6" w:space="0" w:color="auto"/>
            </w:tcBorders>
          </w:tcPr>
          <w:p>
            <w:pPr>
              <w:pStyle w:val="TableParagraph"/>
              <w:spacing w:line="231" w:lineRule="exact"/>
              <w:ind w:left="90" w:right="0"/>
              <w:jc w:val="left"/>
              <w:rPr>
                <w:rFonts w:ascii="Calibri" w:hAnsi="Calibri" w:cs="Calibri" w:eastAsia="Calibri" w:hint="default"/>
                <w:sz w:val="20"/>
                <w:szCs w:val="20"/>
              </w:rPr>
            </w:pPr>
            <w:r>
              <w:rPr>
                <w:rFonts w:ascii="Calibri"/>
                <w:sz w:val="20"/>
              </w:rPr>
              <w:t>Adventure</w:t>
            </w:r>
          </w:p>
        </w:tc>
        <w:tc>
          <w:tcPr>
            <w:tcW w:w="1462" w:type="dxa"/>
            <w:tcBorders>
              <w:top w:val="nil" w:sz="6" w:space="0" w:color="auto"/>
              <w:left w:val="nil" w:sz="6" w:space="0" w:color="auto"/>
              <w:bottom w:val="nil" w:sz="6" w:space="0" w:color="auto"/>
              <w:right w:val="nil" w:sz="6" w:space="0" w:color="auto"/>
            </w:tcBorders>
          </w:tcPr>
          <w:p>
            <w:pPr>
              <w:pStyle w:val="TableParagraph"/>
              <w:spacing w:line="231" w:lineRule="exact"/>
              <w:ind w:right="0"/>
              <w:jc w:val="center"/>
              <w:rPr>
                <w:rFonts w:ascii="Calibri" w:hAnsi="Calibri" w:cs="Calibri" w:eastAsia="Calibri" w:hint="default"/>
                <w:sz w:val="20"/>
                <w:szCs w:val="20"/>
              </w:rPr>
            </w:pPr>
            <w:r>
              <w:rPr>
                <w:rFonts w:ascii="Calibri"/>
                <w:sz w:val="20"/>
              </w:rPr>
              <w:t>7.87</w:t>
            </w:r>
          </w:p>
        </w:tc>
        <w:tc>
          <w:tcPr>
            <w:tcW w:w="824" w:type="dxa"/>
            <w:tcBorders>
              <w:top w:val="nil" w:sz="6" w:space="0" w:color="auto"/>
              <w:left w:val="nil" w:sz="6" w:space="0" w:color="auto"/>
              <w:bottom w:val="nil" w:sz="6" w:space="0" w:color="auto"/>
              <w:right w:val="nil" w:sz="6" w:space="0" w:color="auto"/>
            </w:tcBorders>
          </w:tcPr>
          <w:p>
            <w:pPr>
              <w:pStyle w:val="TableParagraph"/>
              <w:spacing w:line="231" w:lineRule="exact"/>
              <w:ind w:right="222"/>
              <w:jc w:val="center"/>
              <w:rPr>
                <w:rFonts w:ascii="Calibri" w:hAnsi="Calibri" w:cs="Calibri" w:eastAsia="Calibri" w:hint="default"/>
                <w:sz w:val="20"/>
                <w:szCs w:val="20"/>
              </w:rPr>
            </w:pPr>
            <w:r>
              <w:rPr>
                <w:rFonts w:ascii="Calibri"/>
                <w:sz w:val="20"/>
              </w:rPr>
              <w:t>3</w:t>
            </w:r>
          </w:p>
        </w:tc>
        <w:tc>
          <w:tcPr>
            <w:tcW w:w="1170" w:type="dxa"/>
            <w:tcBorders>
              <w:top w:val="nil" w:sz="6" w:space="0" w:color="auto"/>
              <w:left w:val="nil" w:sz="6" w:space="0" w:color="auto"/>
              <w:bottom w:val="nil" w:sz="6" w:space="0" w:color="auto"/>
              <w:right w:val="nil" w:sz="6" w:space="0" w:color="auto"/>
            </w:tcBorders>
          </w:tcPr>
          <w:p>
            <w:pPr>
              <w:pStyle w:val="TableParagraph"/>
              <w:spacing w:line="231" w:lineRule="exact"/>
              <w:ind w:right="23"/>
              <w:jc w:val="center"/>
              <w:rPr>
                <w:rFonts w:ascii="Calibri" w:hAnsi="Calibri" w:cs="Calibri" w:eastAsia="Calibri" w:hint="default"/>
                <w:sz w:val="20"/>
                <w:szCs w:val="20"/>
              </w:rPr>
            </w:pPr>
            <w:r>
              <w:rPr>
                <w:rFonts w:ascii="Calibri"/>
                <w:sz w:val="20"/>
              </w:rPr>
              <w:t>8.00</w:t>
            </w:r>
          </w:p>
        </w:tc>
        <w:tc>
          <w:tcPr>
            <w:tcW w:w="965" w:type="dxa"/>
            <w:tcBorders>
              <w:top w:val="nil" w:sz="6" w:space="0" w:color="auto"/>
              <w:left w:val="nil" w:sz="6" w:space="0" w:color="auto"/>
              <w:bottom w:val="nil" w:sz="6" w:space="0" w:color="auto"/>
              <w:right w:val="nil" w:sz="6" w:space="0" w:color="auto"/>
            </w:tcBorders>
          </w:tcPr>
          <w:p>
            <w:pPr>
              <w:pStyle w:val="TableParagraph"/>
              <w:spacing w:line="231" w:lineRule="exact"/>
              <w:ind w:left="141" w:right="0"/>
              <w:jc w:val="center"/>
              <w:rPr>
                <w:rFonts w:ascii="Calibri" w:hAnsi="Calibri" w:cs="Calibri" w:eastAsia="Calibri" w:hint="default"/>
                <w:sz w:val="20"/>
                <w:szCs w:val="20"/>
              </w:rPr>
            </w:pPr>
            <w:r>
              <w:rPr>
                <w:rFonts w:ascii="Calibri"/>
                <w:sz w:val="20"/>
              </w:rPr>
              <w:t>4</w:t>
            </w:r>
          </w:p>
        </w:tc>
        <w:tc>
          <w:tcPr>
            <w:tcW w:w="878" w:type="dxa"/>
            <w:tcBorders>
              <w:top w:val="nil" w:sz="6" w:space="0" w:color="auto"/>
              <w:left w:val="nil" w:sz="6" w:space="0" w:color="auto"/>
              <w:bottom w:val="nil" w:sz="6" w:space="0" w:color="auto"/>
              <w:right w:val="nil" w:sz="6" w:space="0" w:color="auto"/>
            </w:tcBorders>
          </w:tcPr>
          <w:p>
            <w:pPr>
              <w:pStyle w:val="TableParagraph"/>
              <w:spacing w:line="231" w:lineRule="exact"/>
              <w:ind w:right="172"/>
              <w:jc w:val="right"/>
              <w:rPr>
                <w:rFonts w:ascii="Calibri" w:hAnsi="Calibri" w:cs="Calibri" w:eastAsia="Calibri" w:hint="default"/>
                <w:sz w:val="20"/>
                <w:szCs w:val="20"/>
              </w:rPr>
            </w:pPr>
            <w:r>
              <w:rPr>
                <w:rFonts w:ascii="Calibri"/>
                <w:spacing w:val="-1"/>
                <w:sz w:val="20"/>
              </w:rPr>
              <w:t>-0.37</w:t>
            </w:r>
          </w:p>
        </w:tc>
        <w:tc>
          <w:tcPr>
            <w:tcW w:w="478" w:type="dxa"/>
            <w:tcBorders>
              <w:top w:val="nil" w:sz="6" w:space="0" w:color="auto"/>
              <w:left w:val="nil" w:sz="6" w:space="0" w:color="auto"/>
              <w:bottom w:val="nil" w:sz="6" w:space="0" w:color="auto"/>
              <w:right w:val="nil" w:sz="6" w:space="0" w:color="auto"/>
            </w:tcBorders>
          </w:tcPr>
          <w:p>
            <w:pPr/>
          </w:p>
        </w:tc>
      </w:tr>
      <w:tr>
        <w:trPr>
          <w:trHeight w:val="254" w:hRule="exact"/>
        </w:trPr>
        <w:tc>
          <w:tcPr>
            <w:tcW w:w="939" w:type="dxa"/>
            <w:vMerge/>
            <w:tcBorders>
              <w:left w:val="nil" w:sz="6" w:space="0" w:color="auto"/>
              <w:bottom w:val="nil" w:sz="6" w:space="0" w:color="auto"/>
              <w:right w:val="nil" w:sz="6" w:space="0" w:color="auto"/>
            </w:tcBorders>
          </w:tcPr>
          <w:p>
            <w:pPr/>
          </w:p>
        </w:tc>
        <w:tc>
          <w:tcPr>
            <w:tcW w:w="1915" w:type="dxa"/>
            <w:tcBorders>
              <w:top w:val="nil" w:sz="6" w:space="0" w:color="auto"/>
              <w:left w:val="nil" w:sz="6" w:space="0" w:color="auto"/>
              <w:bottom w:val="nil" w:sz="6" w:space="0" w:color="auto"/>
              <w:right w:val="nil" w:sz="6" w:space="0" w:color="auto"/>
            </w:tcBorders>
          </w:tcPr>
          <w:p>
            <w:pPr>
              <w:pStyle w:val="TableParagraph"/>
              <w:spacing w:line="231" w:lineRule="exact"/>
              <w:ind w:left="90" w:right="0"/>
              <w:jc w:val="left"/>
              <w:rPr>
                <w:rFonts w:ascii="Calibri" w:hAnsi="Calibri" w:cs="Calibri" w:eastAsia="Calibri" w:hint="default"/>
                <w:sz w:val="20"/>
                <w:szCs w:val="20"/>
              </w:rPr>
            </w:pPr>
            <w:r>
              <w:rPr>
                <w:rFonts w:ascii="Calibri"/>
                <w:sz w:val="20"/>
              </w:rPr>
              <w:t>Entertainment</w:t>
            </w:r>
          </w:p>
        </w:tc>
        <w:tc>
          <w:tcPr>
            <w:tcW w:w="1462" w:type="dxa"/>
            <w:tcBorders>
              <w:top w:val="nil" w:sz="6" w:space="0" w:color="auto"/>
              <w:left w:val="nil" w:sz="6" w:space="0" w:color="auto"/>
              <w:bottom w:val="nil" w:sz="6" w:space="0" w:color="auto"/>
              <w:right w:val="nil" w:sz="6" w:space="0" w:color="auto"/>
            </w:tcBorders>
          </w:tcPr>
          <w:p>
            <w:pPr>
              <w:pStyle w:val="TableParagraph"/>
              <w:spacing w:line="231" w:lineRule="exact"/>
              <w:ind w:right="0"/>
              <w:jc w:val="center"/>
              <w:rPr>
                <w:rFonts w:ascii="Calibri" w:hAnsi="Calibri" w:cs="Calibri" w:eastAsia="Calibri" w:hint="default"/>
                <w:sz w:val="20"/>
                <w:szCs w:val="20"/>
              </w:rPr>
            </w:pPr>
            <w:r>
              <w:rPr>
                <w:rFonts w:ascii="Calibri"/>
                <w:sz w:val="20"/>
              </w:rPr>
              <w:t>7.38</w:t>
            </w:r>
          </w:p>
        </w:tc>
        <w:tc>
          <w:tcPr>
            <w:tcW w:w="824" w:type="dxa"/>
            <w:tcBorders>
              <w:top w:val="nil" w:sz="6" w:space="0" w:color="auto"/>
              <w:left w:val="nil" w:sz="6" w:space="0" w:color="auto"/>
              <w:bottom w:val="nil" w:sz="6" w:space="0" w:color="auto"/>
              <w:right w:val="nil" w:sz="6" w:space="0" w:color="auto"/>
            </w:tcBorders>
          </w:tcPr>
          <w:p>
            <w:pPr>
              <w:pStyle w:val="TableParagraph"/>
              <w:spacing w:line="231" w:lineRule="exact"/>
              <w:ind w:right="222"/>
              <w:jc w:val="center"/>
              <w:rPr>
                <w:rFonts w:ascii="Calibri" w:hAnsi="Calibri" w:cs="Calibri" w:eastAsia="Calibri" w:hint="default"/>
                <w:sz w:val="20"/>
                <w:szCs w:val="20"/>
              </w:rPr>
            </w:pPr>
            <w:r>
              <w:rPr>
                <w:rFonts w:ascii="Calibri"/>
                <w:sz w:val="20"/>
              </w:rPr>
              <w:t>4</w:t>
            </w:r>
          </w:p>
        </w:tc>
        <w:tc>
          <w:tcPr>
            <w:tcW w:w="1170" w:type="dxa"/>
            <w:tcBorders>
              <w:top w:val="nil" w:sz="6" w:space="0" w:color="auto"/>
              <w:left w:val="nil" w:sz="6" w:space="0" w:color="auto"/>
              <w:bottom w:val="nil" w:sz="6" w:space="0" w:color="auto"/>
              <w:right w:val="nil" w:sz="6" w:space="0" w:color="auto"/>
            </w:tcBorders>
          </w:tcPr>
          <w:p>
            <w:pPr>
              <w:pStyle w:val="TableParagraph"/>
              <w:spacing w:line="231" w:lineRule="exact"/>
              <w:ind w:right="23"/>
              <w:jc w:val="center"/>
              <w:rPr>
                <w:rFonts w:ascii="Calibri" w:hAnsi="Calibri" w:cs="Calibri" w:eastAsia="Calibri" w:hint="default"/>
                <w:sz w:val="20"/>
                <w:szCs w:val="20"/>
              </w:rPr>
            </w:pPr>
            <w:r>
              <w:rPr>
                <w:rFonts w:ascii="Calibri"/>
                <w:sz w:val="20"/>
              </w:rPr>
              <w:t>8.12</w:t>
            </w:r>
          </w:p>
        </w:tc>
        <w:tc>
          <w:tcPr>
            <w:tcW w:w="965" w:type="dxa"/>
            <w:tcBorders>
              <w:top w:val="nil" w:sz="6" w:space="0" w:color="auto"/>
              <w:left w:val="nil" w:sz="6" w:space="0" w:color="auto"/>
              <w:bottom w:val="nil" w:sz="6" w:space="0" w:color="auto"/>
              <w:right w:val="nil" w:sz="6" w:space="0" w:color="auto"/>
            </w:tcBorders>
          </w:tcPr>
          <w:p>
            <w:pPr>
              <w:pStyle w:val="TableParagraph"/>
              <w:spacing w:line="231" w:lineRule="exact"/>
              <w:ind w:left="141" w:right="0"/>
              <w:jc w:val="center"/>
              <w:rPr>
                <w:rFonts w:ascii="Calibri" w:hAnsi="Calibri" w:cs="Calibri" w:eastAsia="Calibri" w:hint="default"/>
                <w:sz w:val="20"/>
                <w:szCs w:val="20"/>
              </w:rPr>
            </w:pPr>
            <w:r>
              <w:rPr>
                <w:rFonts w:ascii="Calibri"/>
                <w:sz w:val="20"/>
              </w:rPr>
              <w:t>3</w:t>
            </w:r>
          </w:p>
        </w:tc>
        <w:tc>
          <w:tcPr>
            <w:tcW w:w="878" w:type="dxa"/>
            <w:tcBorders>
              <w:top w:val="nil" w:sz="6" w:space="0" w:color="auto"/>
              <w:left w:val="nil" w:sz="6" w:space="0" w:color="auto"/>
              <w:bottom w:val="nil" w:sz="6" w:space="0" w:color="auto"/>
              <w:right w:val="nil" w:sz="6" w:space="0" w:color="auto"/>
            </w:tcBorders>
          </w:tcPr>
          <w:p>
            <w:pPr>
              <w:pStyle w:val="TableParagraph"/>
              <w:spacing w:line="231" w:lineRule="exact"/>
              <w:ind w:right="172"/>
              <w:jc w:val="right"/>
              <w:rPr>
                <w:rFonts w:ascii="Calibri" w:hAnsi="Calibri" w:cs="Calibri" w:eastAsia="Calibri" w:hint="default"/>
                <w:sz w:val="20"/>
                <w:szCs w:val="20"/>
              </w:rPr>
            </w:pPr>
            <w:r>
              <w:rPr>
                <w:rFonts w:ascii="Calibri"/>
                <w:spacing w:val="-1"/>
                <w:sz w:val="20"/>
              </w:rPr>
              <w:t>-2.05</w:t>
            </w:r>
          </w:p>
        </w:tc>
        <w:tc>
          <w:tcPr>
            <w:tcW w:w="478" w:type="dxa"/>
            <w:tcBorders>
              <w:top w:val="nil" w:sz="6" w:space="0" w:color="auto"/>
              <w:left w:val="nil" w:sz="6" w:space="0" w:color="auto"/>
              <w:bottom w:val="nil" w:sz="6" w:space="0" w:color="auto"/>
              <w:right w:val="nil" w:sz="6" w:space="0" w:color="auto"/>
            </w:tcBorders>
          </w:tcPr>
          <w:p>
            <w:pPr>
              <w:pStyle w:val="TableParagraph"/>
              <w:spacing w:line="231" w:lineRule="exact"/>
              <w:ind w:left="144" w:right="0"/>
              <w:jc w:val="left"/>
              <w:rPr>
                <w:rFonts w:ascii="Calibri" w:hAnsi="Calibri" w:cs="Calibri" w:eastAsia="Calibri" w:hint="default"/>
                <w:sz w:val="20"/>
                <w:szCs w:val="20"/>
              </w:rPr>
            </w:pPr>
            <w:r>
              <w:rPr>
                <w:rFonts w:ascii="Calibri"/>
                <w:sz w:val="20"/>
              </w:rPr>
              <w:t>**</w:t>
            </w:r>
          </w:p>
        </w:tc>
      </w:tr>
      <w:tr>
        <w:trPr>
          <w:trHeight w:val="254" w:hRule="exact"/>
        </w:trPr>
        <w:tc>
          <w:tcPr>
            <w:tcW w:w="939" w:type="dxa"/>
            <w:tcBorders>
              <w:top w:val="nil" w:sz="6" w:space="0" w:color="auto"/>
              <w:left w:val="nil" w:sz="6" w:space="0" w:color="auto"/>
              <w:bottom w:val="nil" w:sz="6" w:space="0" w:color="auto"/>
              <w:right w:val="nil" w:sz="6" w:space="0" w:color="auto"/>
            </w:tcBorders>
          </w:tcPr>
          <w:p>
            <w:pPr/>
          </w:p>
        </w:tc>
        <w:tc>
          <w:tcPr>
            <w:tcW w:w="1915" w:type="dxa"/>
            <w:tcBorders>
              <w:top w:val="nil" w:sz="6" w:space="0" w:color="auto"/>
              <w:left w:val="nil" w:sz="6" w:space="0" w:color="auto"/>
              <w:bottom w:val="nil" w:sz="6" w:space="0" w:color="auto"/>
              <w:right w:val="nil" w:sz="6" w:space="0" w:color="auto"/>
            </w:tcBorders>
          </w:tcPr>
          <w:p>
            <w:pPr>
              <w:pStyle w:val="TableParagraph"/>
              <w:spacing w:line="231" w:lineRule="exact"/>
              <w:ind w:left="90" w:right="0"/>
              <w:jc w:val="left"/>
              <w:rPr>
                <w:rFonts w:ascii="Calibri" w:hAnsi="Calibri" w:cs="Calibri" w:eastAsia="Calibri" w:hint="default"/>
                <w:sz w:val="20"/>
                <w:szCs w:val="20"/>
              </w:rPr>
            </w:pPr>
            <w:r>
              <w:rPr>
                <w:rFonts w:ascii="Calibri"/>
                <w:sz w:val="20"/>
              </w:rPr>
              <w:t>Shopping</w:t>
            </w:r>
          </w:p>
        </w:tc>
        <w:tc>
          <w:tcPr>
            <w:tcW w:w="1462" w:type="dxa"/>
            <w:tcBorders>
              <w:top w:val="nil" w:sz="6" w:space="0" w:color="auto"/>
              <w:left w:val="nil" w:sz="6" w:space="0" w:color="auto"/>
              <w:bottom w:val="nil" w:sz="6" w:space="0" w:color="auto"/>
              <w:right w:val="nil" w:sz="6" w:space="0" w:color="auto"/>
            </w:tcBorders>
          </w:tcPr>
          <w:p>
            <w:pPr>
              <w:pStyle w:val="TableParagraph"/>
              <w:spacing w:line="231" w:lineRule="exact"/>
              <w:ind w:right="0"/>
              <w:jc w:val="center"/>
              <w:rPr>
                <w:rFonts w:ascii="Calibri" w:hAnsi="Calibri" w:cs="Calibri" w:eastAsia="Calibri" w:hint="default"/>
                <w:sz w:val="20"/>
                <w:szCs w:val="20"/>
              </w:rPr>
            </w:pPr>
            <w:r>
              <w:rPr>
                <w:rFonts w:ascii="Calibri"/>
                <w:sz w:val="20"/>
              </w:rPr>
              <w:t>7.38</w:t>
            </w:r>
          </w:p>
        </w:tc>
        <w:tc>
          <w:tcPr>
            <w:tcW w:w="824" w:type="dxa"/>
            <w:tcBorders>
              <w:top w:val="nil" w:sz="6" w:space="0" w:color="auto"/>
              <w:left w:val="nil" w:sz="6" w:space="0" w:color="auto"/>
              <w:bottom w:val="nil" w:sz="6" w:space="0" w:color="auto"/>
              <w:right w:val="nil" w:sz="6" w:space="0" w:color="auto"/>
            </w:tcBorders>
          </w:tcPr>
          <w:p>
            <w:pPr>
              <w:pStyle w:val="TableParagraph"/>
              <w:spacing w:line="231" w:lineRule="exact"/>
              <w:ind w:right="222"/>
              <w:jc w:val="center"/>
              <w:rPr>
                <w:rFonts w:ascii="Calibri" w:hAnsi="Calibri" w:cs="Calibri" w:eastAsia="Calibri" w:hint="default"/>
                <w:sz w:val="20"/>
                <w:szCs w:val="20"/>
              </w:rPr>
            </w:pPr>
            <w:r>
              <w:rPr>
                <w:rFonts w:ascii="Calibri"/>
                <w:sz w:val="20"/>
              </w:rPr>
              <w:t>5</w:t>
            </w:r>
          </w:p>
        </w:tc>
        <w:tc>
          <w:tcPr>
            <w:tcW w:w="1170" w:type="dxa"/>
            <w:tcBorders>
              <w:top w:val="nil" w:sz="6" w:space="0" w:color="auto"/>
              <w:left w:val="nil" w:sz="6" w:space="0" w:color="auto"/>
              <w:bottom w:val="nil" w:sz="6" w:space="0" w:color="auto"/>
              <w:right w:val="nil" w:sz="6" w:space="0" w:color="auto"/>
            </w:tcBorders>
          </w:tcPr>
          <w:p>
            <w:pPr>
              <w:pStyle w:val="TableParagraph"/>
              <w:spacing w:line="231" w:lineRule="exact"/>
              <w:ind w:right="23"/>
              <w:jc w:val="center"/>
              <w:rPr>
                <w:rFonts w:ascii="Calibri" w:hAnsi="Calibri" w:cs="Calibri" w:eastAsia="Calibri" w:hint="default"/>
                <w:sz w:val="20"/>
                <w:szCs w:val="20"/>
              </w:rPr>
            </w:pPr>
            <w:r>
              <w:rPr>
                <w:rFonts w:ascii="Calibri"/>
                <w:sz w:val="20"/>
              </w:rPr>
              <w:t>8.53</w:t>
            </w:r>
          </w:p>
        </w:tc>
        <w:tc>
          <w:tcPr>
            <w:tcW w:w="965" w:type="dxa"/>
            <w:tcBorders>
              <w:top w:val="nil" w:sz="6" w:space="0" w:color="auto"/>
              <w:left w:val="nil" w:sz="6" w:space="0" w:color="auto"/>
              <w:bottom w:val="nil" w:sz="6" w:space="0" w:color="auto"/>
              <w:right w:val="nil" w:sz="6" w:space="0" w:color="auto"/>
            </w:tcBorders>
          </w:tcPr>
          <w:p>
            <w:pPr>
              <w:pStyle w:val="TableParagraph"/>
              <w:spacing w:line="231" w:lineRule="exact"/>
              <w:ind w:left="141" w:right="0"/>
              <w:jc w:val="center"/>
              <w:rPr>
                <w:rFonts w:ascii="Calibri" w:hAnsi="Calibri" w:cs="Calibri" w:eastAsia="Calibri" w:hint="default"/>
                <w:sz w:val="20"/>
                <w:szCs w:val="20"/>
              </w:rPr>
            </w:pPr>
            <w:r>
              <w:rPr>
                <w:rFonts w:ascii="Calibri"/>
                <w:sz w:val="20"/>
              </w:rPr>
              <w:t>2</w:t>
            </w:r>
          </w:p>
        </w:tc>
        <w:tc>
          <w:tcPr>
            <w:tcW w:w="878" w:type="dxa"/>
            <w:tcBorders>
              <w:top w:val="nil" w:sz="6" w:space="0" w:color="auto"/>
              <w:left w:val="nil" w:sz="6" w:space="0" w:color="auto"/>
              <w:bottom w:val="nil" w:sz="6" w:space="0" w:color="auto"/>
              <w:right w:val="nil" w:sz="6" w:space="0" w:color="auto"/>
            </w:tcBorders>
          </w:tcPr>
          <w:p>
            <w:pPr>
              <w:pStyle w:val="TableParagraph"/>
              <w:spacing w:line="231" w:lineRule="exact"/>
              <w:ind w:right="172"/>
              <w:jc w:val="right"/>
              <w:rPr>
                <w:rFonts w:ascii="Calibri" w:hAnsi="Calibri" w:cs="Calibri" w:eastAsia="Calibri" w:hint="default"/>
                <w:sz w:val="20"/>
                <w:szCs w:val="20"/>
              </w:rPr>
            </w:pPr>
            <w:r>
              <w:rPr>
                <w:rFonts w:ascii="Calibri"/>
                <w:spacing w:val="-1"/>
                <w:sz w:val="20"/>
              </w:rPr>
              <w:t>-3.01</w:t>
            </w:r>
          </w:p>
        </w:tc>
        <w:tc>
          <w:tcPr>
            <w:tcW w:w="478" w:type="dxa"/>
            <w:tcBorders>
              <w:top w:val="nil" w:sz="6" w:space="0" w:color="auto"/>
              <w:left w:val="nil" w:sz="6" w:space="0" w:color="auto"/>
              <w:bottom w:val="nil" w:sz="6" w:space="0" w:color="auto"/>
              <w:right w:val="nil" w:sz="6" w:space="0" w:color="auto"/>
            </w:tcBorders>
          </w:tcPr>
          <w:p>
            <w:pPr>
              <w:pStyle w:val="TableParagraph"/>
              <w:spacing w:line="231" w:lineRule="exact"/>
              <w:ind w:left="192" w:right="0"/>
              <w:jc w:val="left"/>
              <w:rPr>
                <w:rFonts w:ascii="Calibri" w:hAnsi="Calibri" w:cs="Calibri" w:eastAsia="Calibri" w:hint="default"/>
                <w:sz w:val="20"/>
                <w:szCs w:val="20"/>
              </w:rPr>
            </w:pPr>
            <w:r>
              <w:rPr>
                <w:rFonts w:ascii="Calibri"/>
                <w:sz w:val="20"/>
              </w:rPr>
              <w:t>*</w:t>
            </w:r>
          </w:p>
        </w:tc>
      </w:tr>
      <w:tr>
        <w:trPr>
          <w:trHeight w:val="235" w:hRule="exact"/>
        </w:trPr>
        <w:tc>
          <w:tcPr>
            <w:tcW w:w="939" w:type="dxa"/>
            <w:tcBorders>
              <w:top w:val="nil" w:sz="6" w:space="0" w:color="auto"/>
              <w:left w:val="nil" w:sz="6" w:space="0" w:color="auto"/>
              <w:bottom w:val="single" w:sz="4" w:space="0" w:color="000000"/>
              <w:right w:val="nil" w:sz="6" w:space="0" w:color="auto"/>
            </w:tcBorders>
          </w:tcPr>
          <w:p>
            <w:pPr/>
          </w:p>
        </w:tc>
        <w:tc>
          <w:tcPr>
            <w:tcW w:w="1915" w:type="dxa"/>
            <w:tcBorders>
              <w:top w:val="nil" w:sz="6" w:space="0" w:color="auto"/>
              <w:left w:val="nil" w:sz="6" w:space="0" w:color="auto"/>
              <w:bottom w:val="single" w:sz="4" w:space="0" w:color="000000"/>
              <w:right w:val="nil" w:sz="6" w:space="0" w:color="auto"/>
            </w:tcBorders>
          </w:tcPr>
          <w:p>
            <w:pPr>
              <w:pStyle w:val="TableParagraph"/>
              <w:spacing w:line="231" w:lineRule="exact"/>
              <w:ind w:left="90" w:right="0"/>
              <w:jc w:val="left"/>
              <w:rPr>
                <w:rFonts w:ascii="Calibri" w:hAnsi="Calibri" w:cs="Calibri" w:eastAsia="Calibri" w:hint="default"/>
                <w:sz w:val="20"/>
                <w:szCs w:val="20"/>
              </w:rPr>
            </w:pPr>
            <w:r>
              <w:rPr>
                <w:rFonts w:ascii="Calibri"/>
                <w:sz w:val="20"/>
              </w:rPr>
              <w:t>Wellness</w:t>
            </w:r>
          </w:p>
        </w:tc>
        <w:tc>
          <w:tcPr>
            <w:tcW w:w="1462" w:type="dxa"/>
            <w:tcBorders>
              <w:top w:val="nil" w:sz="6" w:space="0" w:color="auto"/>
              <w:left w:val="nil" w:sz="6" w:space="0" w:color="auto"/>
              <w:bottom w:val="single" w:sz="4" w:space="0" w:color="000000"/>
              <w:right w:val="nil" w:sz="6" w:space="0" w:color="auto"/>
            </w:tcBorders>
          </w:tcPr>
          <w:p>
            <w:pPr>
              <w:pStyle w:val="TableParagraph"/>
              <w:spacing w:line="231" w:lineRule="exact"/>
              <w:ind w:right="0"/>
              <w:jc w:val="center"/>
              <w:rPr>
                <w:rFonts w:ascii="Calibri" w:hAnsi="Calibri" w:cs="Calibri" w:eastAsia="Calibri" w:hint="default"/>
                <w:sz w:val="20"/>
                <w:szCs w:val="20"/>
              </w:rPr>
            </w:pPr>
            <w:r>
              <w:rPr>
                <w:rFonts w:ascii="Calibri"/>
                <w:sz w:val="20"/>
              </w:rPr>
              <w:t>6.75</w:t>
            </w:r>
          </w:p>
        </w:tc>
        <w:tc>
          <w:tcPr>
            <w:tcW w:w="824" w:type="dxa"/>
            <w:tcBorders>
              <w:top w:val="nil" w:sz="6" w:space="0" w:color="auto"/>
              <w:left w:val="nil" w:sz="6" w:space="0" w:color="auto"/>
              <w:bottom w:val="single" w:sz="4" w:space="0" w:color="000000"/>
              <w:right w:val="nil" w:sz="6" w:space="0" w:color="auto"/>
            </w:tcBorders>
          </w:tcPr>
          <w:p>
            <w:pPr>
              <w:pStyle w:val="TableParagraph"/>
              <w:spacing w:line="231" w:lineRule="exact"/>
              <w:ind w:right="222"/>
              <w:jc w:val="center"/>
              <w:rPr>
                <w:rFonts w:ascii="Calibri" w:hAnsi="Calibri" w:cs="Calibri" w:eastAsia="Calibri" w:hint="default"/>
                <w:sz w:val="20"/>
                <w:szCs w:val="20"/>
              </w:rPr>
            </w:pPr>
            <w:r>
              <w:rPr>
                <w:rFonts w:ascii="Calibri"/>
                <w:sz w:val="20"/>
              </w:rPr>
              <w:t>6</w:t>
            </w:r>
          </w:p>
        </w:tc>
        <w:tc>
          <w:tcPr>
            <w:tcW w:w="1170" w:type="dxa"/>
            <w:tcBorders>
              <w:top w:val="nil" w:sz="6" w:space="0" w:color="auto"/>
              <w:left w:val="nil" w:sz="6" w:space="0" w:color="auto"/>
              <w:bottom w:val="single" w:sz="4" w:space="0" w:color="000000"/>
              <w:right w:val="nil" w:sz="6" w:space="0" w:color="auto"/>
            </w:tcBorders>
          </w:tcPr>
          <w:p>
            <w:pPr>
              <w:pStyle w:val="TableParagraph"/>
              <w:spacing w:line="231" w:lineRule="exact"/>
              <w:ind w:right="23"/>
              <w:jc w:val="center"/>
              <w:rPr>
                <w:rFonts w:ascii="Calibri" w:hAnsi="Calibri" w:cs="Calibri" w:eastAsia="Calibri" w:hint="default"/>
                <w:sz w:val="20"/>
                <w:szCs w:val="20"/>
              </w:rPr>
            </w:pPr>
            <w:r>
              <w:rPr>
                <w:rFonts w:ascii="Calibri"/>
                <w:sz w:val="20"/>
              </w:rPr>
              <w:t>7.83</w:t>
            </w:r>
          </w:p>
        </w:tc>
        <w:tc>
          <w:tcPr>
            <w:tcW w:w="965" w:type="dxa"/>
            <w:tcBorders>
              <w:top w:val="nil" w:sz="6" w:space="0" w:color="auto"/>
              <w:left w:val="nil" w:sz="6" w:space="0" w:color="auto"/>
              <w:bottom w:val="single" w:sz="4" w:space="0" w:color="000000"/>
              <w:right w:val="nil" w:sz="6" w:space="0" w:color="auto"/>
            </w:tcBorders>
          </w:tcPr>
          <w:p>
            <w:pPr>
              <w:pStyle w:val="TableParagraph"/>
              <w:spacing w:line="231" w:lineRule="exact"/>
              <w:ind w:left="141" w:right="0"/>
              <w:jc w:val="center"/>
              <w:rPr>
                <w:rFonts w:ascii="Calibri" w:hAnsi="Calibri" w:cs="Calibri" w:eastAsia="Calibri" w:hint="default"/>
                <w:sz w:val="20"/>
                <w:szCs w:val="20"/>
              </w:rPr>
            </w:pPr>
            <w:r>
              <w:rPr>
                <w:rFonts w:ascii="Calibri"/>
                <w:sz w:val="20"/>
              </w:rPr>
              <w:t>6</w:t>
            </w:r>
          </w:p>
        </w:tc>
        <w:tc>
          <w:tcPr>
            <w:tcW w:w="878" w:type="dxa"/>
            <w:tcBorders>
              <w:top w:val="nil" w:sz="6" w:space="0" w:color="auto"/>
              <w:left w:val="nil" w:sz="6" w:space="0" w:color="auto"/>
              <w:bottom w:val="single" w:sz="4" w:space="0" w:color="000000"/>
              <w:right w:val="nil" w:sz="6" w:space="0" w:color="auto"/>
            </w:tcBorders>
          </w:tcPr>
          <w:p>
            <w:pPr>
              <w:pStyle w:val="TableParagraph"/>
              <w:spacing w:line="231" w:lineRule="exact"/>
              <w:ind w:right="172"/>
              <w:jc w:val="right"/>
              <w:rPr>
                <w:rFonts w:ascii="Calibri" w:hAnsi="Calibri" w:cs="Calibri" w:eastAsia="Calibri" w:hint="default"/>
                <w:sz w:val="20"/>
                <w:szCs w:val="20"/>
              </w:rPr>
            </w:pPr>
            <w:r>
              <w:rPr>
                <w:rFonts w:ascii="Calibri"/>
                <w:spacing w:val="-1"/>
                <w:sz w:val="20"/>
              </w:rPr>
              <w:t>-2.58</w:t>
            </w:r>
          </w:p>
        </w:tc>
        <w:tc>
          <w:tcPr>
            <w:tcW w:w="478" w:type="dxa"/>
            <w:tcBorders>
              <w:top w:val="nil" w:sz="6" w:space="0" w:color="auto"/>
              <w:left w:val="nil" w:sz="6" w:space="0" w:color="auto"/>
              <w:bottom w:val="single" w:sz="4" w:space="0" w:color="000000"/>
              <w:right w:val="nil" w:sz="6" w:space="0" w:color="auto"/>
            </w:tcBorders>
          </w:tcPr>
          <w:p>
            <w:pPr>
              <w:pStyle w:val="TableParagraph"/>
              <w:spacing w:line="231" w:lineRule="exact"/>
              <w:ind w:left="144" w:right="0"/>
              <w:jc w:val="left"/>
              <w:rPr>
                <w:rFonts w:ascii="Calibri" w:hAnsi="Calibri" w:cs="Calibri" w:eastAsia="Calibri" w:hint="default"/>
                <w:sz w:val="20"/>
                <w:szCs w:val="20"/>
              </w:rPr>
            </w:pPr>
            <w:r>
              <w:rPr>
                <w:rFonts w:ascii="Calibri"/>
                <w:sz w:val="20"/>
              </w:rPr>
              <w:t>**</w:t>
            </w:r>
          </w:p>
        </w:tc>
      </w:tr>
      <w:tr>
        <w:trPr>
          <w:trHeight w:val="274" w:hRule="exact"/>
        </w:trPr>
        <w:tc>
          <w:tcPr>
            <w:tcW w:w="939" w:type="dxa"/>
            <w:vMerge w:val="restart"/>
            <w:tcBorders>
              <w:top w:val="single" w:sz="4" w:space="0" w:color="000000"/>
              <w:left w:val="nil" w:sz="6" w:space="0" w:color="auto"/>
              <w:right w:val="nil" w:sz="6" w:space="0" w:color="auto"/>
            </w:tcBorders>
          </w:tcPr>
          <w:p>
            <w:pPr>
              <w:pStyle w:val="TableParagraph"/>
              <w:spacing w:line="240" w:lineRule="auto" w:before="133"/>
              <w:ind w:left="189" w:right="156" w:hanging="12"/>
              <w:jc w:val="left"/>
              <w:rPr>
                <w:rFonts w:ascii="Calibri" w:hAnsi="Calibri" w:cs="Calibri" w:eastAsia="Calibri" w:hint="default"/>
                <w:sz w:val="20"/>
                <w:szCs w:val="20"/>
              </w:rPr>
            </w:pPr>
            <w:r>
              <w:rPr>
                <w:rFonts w:ascii="Calibri"/>
                <w:sz w:val="20"/>
              </w:rPr>
              <w:t>Type</w:t>
            </w:r>
            <w:r>
              <w:rPr>
                <w:rFonts w:ascii="Calibri"/>
                <w:spacing w:val="-5"/>
                <w:sz w:val="20"/>
              </w:rPr>
              <w:t> </w:t>
            </w:r>
            <w:r>
              <w:rPr>
                <w:rFonts w:ascii="Calibri"/>
                <w:sz w:val="20"/>
              </w:rPr>
              <w:t>of </w:t>
            </w:r>
            <w:r>
              <w:rPr>
                <w:rFonts w:ascii="Calibri"/>
                <w:sz w:val="20"/>
              </w:rPr>
              <w:t>Service</w:t>
            </w:r>
          </w:p>
        </w:tc>
        <w:tc>
          <w:tcPr>
            <w:tcW w:w="1915"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90" w:right="0"/>
              <w:jc w:val="left"/>
              <w:rPr>
                <w:rFonts w:ascii="Calibri" w:hAnsi="Calibri" w:cs="Calibri" w:eastAsia="Calibri" w:hint="default"/>
                <w:sz w:val="20"/>
                <w:szCs w:val="20"/>
              </w:rPr>
            </w:pPr>
            <w:r>
              <w:rPr>
                <w:rFonts w:ascii="Calibri"/>
                <w:sz w:val="20"/>
              </w:rPr>
              <w:t>Full</w:t>
            </w:r>
            <w:r>
              <w:rPr>
                <w:rFonts w:ascii="Calibri"/>
                <w:spacing w:val="-5"/>
                <w:sz w:val="20"/>
              </w:rPr>
              <w:t> </w:t>
            </w:r>
            <w:r>
              <w:rPr>
                <w:rFonts w:ascii="Calibri"/>
                <w:sz w:val="20"/>
              </w:rPr>
              <w:t>Meal</w:t>
            </w:r>
          </w:p>
        </w:tc>
        <w:tc>
          <w:tcPr>
            <w:tcW w:w="1462"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0"/>
              <w:jc w:val="center"/>
              <w:rPr>
                <w:rFonts w:ascii="Calibri" w:hAnsi="Calibri" w:cs="Calibri" w:eastAsia="Calibri" w:hint="default"/>
                <w:sz w:val="20"/>
                <w:szCs w:val="20"/>
              </w:rPr>
            </w:pPr>
            <w:r>
              <w:rPr>
                <w:rFonts w:ascii="Calibri"/>
                <w:sz w:val="20"/>
              </w:rPr>
              <w:t>8.12</w:t>
            </w:r>
          </w:p>
        </w:tc>
        <w:tc>
          <w:tcPr>
            <w:tcW w:w="824"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222"/>
              <w:jc w:val="center"/>
              <w:rPr>
                <w:rFonts w:ascii="Calibri" w:hAnsi="Calibri" w:cs="Calibri" w:eastAsia="Calibri" w:hint="default"/>
                <w:sz w:val="20"/>
                <w:szCs w:val="20"/>
              </w:rPr>
            </w:pPr>
            <w:r>
              <w:rPr>
                <w:rFonts w:ascii="Calibri"/>
                <w:sz w:val="20"/>
              </w:rPr>
              <w:t>1</w:t>
            </w:r>
          </w:p>
        </w:tc>
        <w:tc>
          <w:tcPr>
            <w:tcW w:w="1170"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23"/>
              <w:jc w:val="center"/>
              <w:rPr>
                <w:rFonts w:ascii="Calibri" w:hAnsi="Calibri" w:cs="Calibri" w:eastAsia="Calibri" w:hint="default"/>
                <w:sz w:val="20"/>
                <w:szCs w:val="20"/>
              </w:rPr>
            </w:pPr>
            <w:r>
              <w:rPr>
                <w:rFonts w:ascii="Calibri"/>
                <w:sz w:val="20"/>
              </w:rPr>
              <w:t>8.04</w:t>
            </w:r>
          </w:p>
        </w:tc>
        <w:tc>
          <w:tcPr>
            <w:tcW w:w="965"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141" w:right="0"/>
              <w:jc w:val="center"/>
              <w:rPr>
                <w:rFonts w:ascii="Calibri" w:hAnsi="Calibri" w:cs="Calibri" w:eastAsia="Calibri" w:hint="default"/>
                <w:sz w:val="20"/>
                <w:szCs w:val="20"/>
              </w:rPr>
            </w:pPr>
            <w:r>
              <w:rPr>
                <w:rFonts w:ascii="Calibri"/>
                <w:sz w:val="20"/>
              </w:rPr>
              <w:t>1</w:t>
            </w:r>
          </w:p>
        </w:tc>
        <w:tc>
          <w:tcPr>
            <w:tcW w:w="878"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203"/>
              <w:jc w:val="right"/>
              <w:rPr>
                <w:rFonts w:ascii="Calibri" w:hAnsi="Calibri" w:cs="Calibri" w:eastAsia="Calibri" w:hint="default"/>
                <w:sz w:val="20"/>
                <w:szCs w:val="20"/>
              </w:rPr>
            </w:pPr>
            <w:r>
              <w:rPr>
                <w:rFonts w:ascii="Calibri"/>
                <w:w w:val="95"/>
                <w:sz w:val="20"/>
              </w:rPr>
              <w:t>0.46</w:t>
            </w:r>
            <w:r>
              <w:rPr>
                <w:rFonts w:ascii="Calibri"/>
                <w:sz w:val="20"/>
              </w:rPr>
            </w:r>
          </w:p>
        </w:tc>
        <w:tc>
          <w:tcPr>
            <w:tcW w:w="478" w:type="dxa"/>
            <w:tcBorders>
              <w:top w:val="single" w:sz="4" w:space="0" w:color="000000"/>
              <w:left w:val="nil" w:sz="6" w:space="0" w:color="auto"/>
              <w:bottom w:val="nil" w:sz="6" w:space="0" w:color="auto"/>
              <w:right w:val="nil" w:sz="6" w:space="0" w:color="auto"/>
            </w:tcBorders>
          </w:tcPr>
          <w:p>
            <w:pPr/>
          </w:p>
        </w:tc>
      </w:tr>
      <w:tr>
        <w:trPr>
          <w:trHeight w:val="253" w:hRule="exact"/>
        </w:trPr>
        <w:tc>
          <w:tcPr>
            <w:tcW w:w="939" w:type="dxa"/>
            <w:vMerge/>
            <w:tcBorders>
              <w:left w:val="nil" w:sz="6" w:space="0" w:color="auto"/>
              <w:right w:val="nil" w:sz="6" w:space="0" w:color="auto"/>
            </w:tcBorders>
          </w:tcPr>
          <w:p>
            <w:pPr/>
          </w:p>
        </w:tc>
        <w:tc>
          <w:tcPr>
            <w:tcW w:w="1915" w:type="dxa"/>
            <w:tcBorders>
              <w:top w:val="nil" w:sz="6" w:space="0" w:color="auto"/>
              <w:left w:val="nil" w:sz="6" w:space="0" w:color="auto"/>
              <w:bottom w:val="nil" w:sz="6" w:space="0" w:color="auto"/>
              <w:right w:val="nil" w:sz="6" w:space="0" w:color="auto"/>
            </w:tcBorders>
          </w:tcPr>
          <w:p>
            <w:pPr>
              <w:pStyle w:val="TableParagraph"/>
              <w:spacing w:line="231" w:lineRule="exact"/>
              <w:ind w:left="90" w:right="0"/>
              <w:jc w:val="left"/>
              <w:rPr>
                <w:rFonts w:ascii="Calibri" w:hAnsi="Calibri" w:cs="Calibri" w:eastAsia="Calibri" w:hint="default"/>
                <w:sz w:val="20"/>
                <w:szCs w:val="20"/>
              </w:rPr>
            </w:pPr>
            <w:r>
              <w:rPr>
                <w:rFonts w:ascii="Calibri"/>
                <w:sz w:val="20"/>
              </w:rPr>
              <w:t>Beverages</w:t>
            </w:r>
            <w:r>
              <w:rPr>
                <w:rFonts w:ascii="Calibri"/>
                <w:spacing w:val="-8"/>
                <w:sz w:val="20"/>
              </w:rPr>
              <w:t> </w:t>
            </w:r>
            <w:r>
              <w:rPr>
                <w:rFonts w:ascii="Calibri"/>
                <w:sz w:val="20"/>
              </w:rPr>
              <w:t>Only</w:t>
            </w:r>
          </w:p>
        </w:tc>
        <w:tc>
          <w:tcPr>
            <w:tcW w:w="1462" w:type="dxa"/>
            <w:tcBorders>
              <w:top w:val="nil" w:sz="6" w:space="0" w:color="auto"/>
              <w:left w:val="nil" w:sz="6" w:space="0" w:color="auto"/>
              <w:bottom w:val="nil" w:sz="6" w:space="0" w:color="auto"/>
              <w:right w:val="nil" w:sz="6" w:space="0" w:color="auto"/>
            </w:tcBorders>
          </w:tcPr>
          <w:p>
            <w:pPr>
              <w:pStyle w:val="TableParagraph"/>
              <w:spacing w:line="231" w:lineRule="exact"/>
              <w:ind w:right="0"/>
              <w:jc w:val="center"/>
              <w:rPr>
                <w:rFonts w:ascii="Calibri" w:hAnsi="Calibri" w:cs="Calibri" w:eastAsia="Calibri" w:hint="default"/>
                <w:sz w:val="20"/>
                <w:szCs w:val="20"/>
              </w:rPr>
            </w:pPr>
            <w:r>
              <w:rPr>
                <w:rFonts w:ascii="Calibri"/>
                <w:sz w:val="20"/>
              </w:rPr>
              <w:t>8.03</w:t>
            </w:r>
          </w:p>
        </w:tc>
        <w:tc>
          <w:tcPr>
            <w:tcW w:w="824" w:type="dxa"/>
            <w:tcBorders>
              <w:top w:val="nil" w:sz="6" w:space="0" w:color="auto"/>
              <w:left w:val="nil" w:sz="6" w:space="0" w:color="auto"/>
              <w:bottom w:val="nil" w:sz="6" w:space="0" w:color="auto"/>
              <w:right w:val="nil" w:sz="6" w:space="0" w:color="auto"/>
            </w:tcBorders>
          </w:tcPr>
          <w:p>
            <w:pPr>
              <w:pStyle w:val="TableParagraph"/>
              <w:spacing w:line="231" w:lineRule="exact"/>
              <w:ind w:right="222"/>
              <w:jc w:val="center"/>
              <w:rPr>
                <w:rFonts w:ascii="Calibri" w:hAnsi="Calibri" w:cs="Calibri" w:eastAsia="Calibri" w:hint="default"/>
                <w:sz w:val="20"/>
                <w:szCs w:val="20"/>
              </w:rPr>
            </w:pPr>
            <w:r>
              <w:rPr>
                <w:rFonts w:ascii="Calibri"/>
                <w:sz w:val="20"/>
              </w:rPr>
              <w:t>2</w:t>
            </w:r>
          </w:p>
        </w:tc>
        <w:tc>
          <w:tcPr>
            <w:tcW w:w="1170" w:type="dxa"/>
            <w:tcBorders>
              <w:top w:val="nil" w:sz="6" w:space="0" w:color="auto"/>
              <w:left w:val="nil" w:sz="6" w:space="0" w:color="auto"/>
              <w:bottom w:val="nil" w:sz="6" w:space="0" w:color="auto"/>
              <w:right w:val="nil" w:sz="6" w:space="0" w:color="auto"/>
            </w:tcBorders>
          </w:tcPr>
          <w:p>
            <w:pPr>
              <w:pStyle w:val="TableParagraph"/>
              <w:spacing w:line="231" w:lineRule="exact"/>
              <w:ind w:right="23"/>
              <w:jc w:val="center"/>
              <w:rPr>
                <w:rFonts w:ascii="Calibri" w:hAnsi="Calibri" w:cs="Calibri" w:eastAsia="Calibri" w:hint="default"/>
                <w:sz w:val="20"/>
                <w:szCs w:val="20"/>
              </w:rPr>
            </w:pPr>
            <w:r>
              <w:rPr>
                <w:rFonts w:ascii="Calibri"/>
                <w:sz w:val="20"/>
              </w:rPr>
              <w:t>7.83</w:t>
            </w:r>
          </w:p>
        </w:tc>
        <w:tc>
          <w:tcPr>
            <w:tcW w:w="965" w:type="dxa"/>
            <w:tcBorders>
              <w:top w:val="nil" w:sz="6" w:space="0" w:color="auto"/>
              <w:left w:val="nil" w:sz="6" w:space="0" w:color="auto"/>
              <w:bottom w:val="nil" w:sz="6" w:space="0" w:color="auto"/>
              <w:right w:val="nil" w:sz="6" w:space="0" w:color="auto"/>
            </w:tcBorders>
          </w:tcPr>
          <w:p>
            <w:pPr>
              <w:pStyle w:val="TableParagraph"/>
              <w:spacing w:line="231" w:lineRule="exact"/>
              <w:ind w:left="141" w:right="0"/>
              <w:jc w:val="center"/>
              <w:rPr>
                <w:rFonts w:ascii="Calibri" w:hAnsi="Calibri" w:cs="Calibri" w:eastAsia="Calibri" w:hint="default"/>
                <w:sz w:val="20"/>
                <w:szCs w:val="20"/>
              </w:rPr>
            </w:pPr>
            <w:r>
              <w:rPr>
                <w:rFonts w:ascii="Calibri"/>
                <w:sz w:val="20"/>
              </w:rPr>
              <w:t>3</w:t>
            </w:r>
          </w:p>
        </w:tc>
        <w:tc>
          <w:tcPr>
            <w:tcW w:w="878" w:type="dxa"/>
            <w:tcBorders>
              <w:top w:val="nil" w:sz="6" w:space="0" w:color="auto"/>
              <w:left w:val="nil" w:sz="6" w:space="0" w:color="auto"/>
              <w:bottom w:val="nil" w:sz="6" w:space="0" w:color="auto"/>
              <w:right w:val="nil" w:sz="6" w:space="0" w:color="auto"/>
            </w:tcBorders>
          </w:tcPr>
          <w:p>
            <w:pPr>
              <w:pStyle w:val="TableParagraph"/>
              <w:spacing w:line="231" w:lineRule="exact"/>
              <w:ind w:right="203"/>
              <w:jc w:val="right"/>
              <w:rPr>
                <w:rFonts w:ascii="Calibri" w:hAnsi="Calibri" w:cs="Calibri" w:eastAsia="Calibri" w:hint="default"/>
                <w:sz w:val="20"/>
                <w:szCs w:val="20"/>
              </w:rPr>
            </w:pPr>
            <w:r>
              <w:rPr>
                <w:rFonts w:ascii="Calibri"/>
                <w:w w:val="95"/>
                <w:sz w:val="20"/>
              </w:rPr>
              <w:t>1.54</w:t>
            </w:r>
            <w:r>
              <w:rPr>
                <w:rFonts w:ascii="Calibri"/>
                <w:sz w:val="20"/>
              </w:rPr>
            </w:r>
          </w:p>
        </w:tc>
        <w:tc>
          <w:tcPr>
            <w:tcW w:w="478" w:type="dxa"/>
            <w:tcBorders>
              <w:top w:val="nil" w:sz="6" w:space="0" w:color="auto"/>
              <w:left w:val="nil" w:sz="6" w:space="0" w:color="auto"/>
              <w:bottom w:val="nil" w:sz="6" w:space="0" w:color="auto"/>
              <w:right w:val="nil" w:sz="6" w:space="0" w:color="auto"/>
            </w:tcBorders>
          </w:tcPr>
          <w:p>
            <w:pPr/>
          </w:p>
        </w:tc>
      </w:tr>
      <w:tr>
        <w:trPr>
          <w:trHeight w:val="236" w:hRule="exact"/>
        </w:trPr>
        <w:tc>
          <w:tcPr>
            <w:tcW w:w="939" w:type="dxa"/>
            <w:vMerge/>
            <w:tcBorders>
              <w:left w:val="nil" w:sz="6" w:space="0" w:color="auto"/>
              <w:bottom w:val="single" w:sz="4" w:space="0" w:color="000000"/>
              <w:right w:val="nil" w:sz="6" w:space="0" w:color="auto"/>
            </w:tcBorders>
          </w:tcPr>
          <w:p>
            <w:pPr/>
          </w:p>
        </w:tc>
        <w:tc>
          <w:tcPr>
            <w:tcW w:w="1915" w:type="dxa"/>
            <w:tcBorders>
              <w:top w:val="nil" w:sz="6" w:space="0" w:color="auto"/>
              <w:left w:val="nil" w:sz="6" w:space="0" w:color="auto"/>
              <w:bottom w:val="single" w:sz="4" w:space="0" w:color="000000"/>
              <w:right w:val="nil" w:sz="6" w:space="0" w:color="auto"/>
            </w:tcBorders>
          </w:tcPr>
          <w:p>
            <w:pPr>
              <w:pStyle w:val="TableParagraph"/>
              <w:spacing w:line="230" w:lineRule="exact"/>
              <w:ind w:left="90" w:right="0"/>
              <w:jc w:val="left"/>
              <w:rPr>
                <w:rFonts w:ascii="Calibri" w:hAnsi="Calibri" w:cs="Calibri" w:eastAsia="Calibri" w:hint="default"/>
                <w:sz w:val="20"/>
                <w:szCs w:val="20"/>
              </w:rPr>
            </w:pPr>
            <w:r>
              <w:rPr>
                <w:rFonts w:ascii="Calibri"/>
                <w:sz w:val="20"/>
              </w:rPr>
              <w:t>Beverage</w:t>
            </w:r>
            <w:r>
              <w:rPr>
                <w:rFonts w:ascii="Calibri"/>
                <w:spacing w:val="-7"/>
                <w:sz w:val="20"/>
              </w:rPr>
              <w:t> </w:t>
            </w:r>
            <w:r>
              <w:rPr>
                <w:rFonts w:ascii="Calibri"/>
                <w:sz w:val="20"/>
              </w:rPr>
              <w:t>Snacks</w:t>
            </w:r>
          </w:p>
        </w:tc>
        <w:tc>
          <w:tcPr>
            <w:tcW w:w="1462" w:type="dxa"/>
            <w:tcBorders>
              <w:top w:val="nil" w:sz="6" w:space="0" w:color="auto"/>
              <w:left w:val="nil" w:sz="6" w:space="0" w:color="auto"/>
              <w:bottom w:val="single" w:sz="4" w:space="0" w:color="000000"/>
              <w:right w:val="nil" w:sz="6" w:space="0" w:color="auto"/>
            </w:tcBorders>
          </w:tcPr>
          <w:p>
            <w:pPr>
              <w:pStyle w:val="TableParagraph"/>
              <w:spacing w:line="230" w:lineRule="exact"/>
              <w:ind w:right="0"/>
              <w:jc w:val="center"/>
              <w:rPr>
                <w:rFonts w:ascii="Calibri" w:hAnsi="Calibri" w:cs="Calibri" w:eastAsia="Calibri" w:hint="default"/>
                <w:sz w:val="20"/>
                <w:szCs w:val="20"/>
              </w:rPr>
            </w:pPr>
            <w:r>
              <w:rPr>
                <w:rFonts w:ascii="Calibri"/>
                <w:sz w:val="20"/>
              </w:rPr>
              <w:t>7.98</w:t>
            </w:r>
          </w:p>
        </w:tc>
        <w:tc>
          <w:tcPr>
            <w:tcW w:w="824" w:type="dxa"/>
            <w:tcBorders>
              <w:top w:val="nil" w:sz="6" w:space="0" w:color="auto"/>
              <w:left w:val="nil" w:sz="6" w:space="0" w:color="auto"/>
              <w:bottom w:val="single" w:sz="4" w:space="0" w:color="000000"/>
              <w:right w:val="nil" w:sz="6" w:space="0" w:color="auto"/>
            </w:tcBorders>
          </w:tcPr>
          <w:p>
            <w:pPr>
              <w:pStyle w:val="TableParagraph"/>
              <w:spacing w:line="230" w:lineRule="exact"/>
              <w:ind w:right="222"/>
              <w:jc w:val="center"/>
              <w:rPr>
                <w:rFonts w:ascii="Calibri" w:hAnsi="Calibri" w:cs="Calibri" w:eastAsia="Calibri" w:hint="default"/>
                <w:sz w:val="20"/>
                <w:szCs w:val="20"/>
              </w:rPr>
            </w:pPr>
            <w:r>
              <w:rPr>
                <w:rFonts w:ascii="Calibri"/>
                <w:sz w:val="20"/>
              </w:rPr>
              <w:t>3</w:t>
            </w:r>
          </w:p>
        </w:tc>
        <w:tc>
          <w:tcPr>
            <w:tcW w:w="1170" w:type="dxa"/>
            <w:tcBorders>
              <w:top w:val="nil" w:sz="6" w:space="0" w:color="auto"/>
              <w:left w:val="nil" w:sz="6" w:space="0" w:color="auto"/>
              <w:bottom w:val="single" w:sz="4" w:space="0" w:color="000000"/>
              <w:right w:val="nil" w:sz="6" w:space="0" w:color="auto"/>
            </w:tcBorders>
          </w:tcPr>
          <w:p>
            <w:pPr>
              <w:pStyle w:val="TableParagraph"/>
              <w:spacing w:line="230" w:lineRule="exact"/>
              <w:ind w:right="23"/>
              <w:jc w:val="center"/>
              <w:rPr>
                <w:rFonts w:ascii="Calibri" w:hAnsi="Calibri" w:cs="Calibri" w:eastAsia="Calibri" w:hint="default"/>
                <w:sz w:val="20"/>
                <w:szCs w:val="20"/>
              </w:rPr>
            </w:pPr>
            <w:r>
              <w:rPr>
                <w:rFonts w:ascii="Calibri"/>
                <w:sz w:val="20"/>
              </w:rPr>
              <w:t>8.03</w:t>
            </w:r>
          </w:p>
        </w:tc>
        <w:tc>
          <w:tcPr>
            <w:tcW w:w="965" w:type="dxa"/>
            <w:tcBorders>
              <w:top w:val="nil" w:sz="6" w:space="0" w:color="auto"/>
              <w:left w:val="nil" w:sz="6" w:space="0" w:color="auto"/>
              <w:bottom w:val="single" w:sz="4" w:space="0" w:color="000000"/>
              <w:right w:val="nil" w:sz="6" w:space="0" w:color="auto"/>
            </w:tcBorders>
          </w:tcPr>
          <w:p>
            <w:pPr>
              <w:pStyle w:val="TableParagraph"/>
              <w:spacing w:line="230" w:lineRule="exact"/>
              <w:ind w:left="141" w:right="0"/>
              <w:jc w:val="center"/>
              <w:rPr>
                <w:rFonts w:ascii="Calibri" w:hAnsi="Calibri" w:cs="Calibri" w:eastAsia="Calibri" w:hint="default"/>
                <w:sz w:val="20"/>
                <w:szCs w:val="20"/>
              </w:rPr>
            </w:pPr>
            <w:r>
              <w:rPr>
                <w:rFonts w:ascii="Calibri"/>
                <w:sz w:val="20"/>
              </w:rPr>
              <w:t>2</w:t>
            </w:r>
          </w:p>
        </w:tc>
        <w:tc>
          <w:tcPr>
            <w:tcW w:w="878" w:type="dxa"/>
            <w:tcBorders>
              <w:top w:val="nil" w:sz="6" w:space="0" w:color="auto"/>
              <w:left w:val="nil" w:sz="6" w:space="0" w:color="auto"/>
              <w:bottom w:val="single" w:sz="4" w:space="0" w:color="000000"/>
              <w:right w:val="nil" w:sz="6" w:space="0" w:color="auto"/>
            </w:tcBorders>
          </w:tcPr>
          <w:p>
            <w:pPr>
              <w:pStyle w:val="TableParagraph"/>
              <w:spacing w:line="230" w:lineRule="exact"/>
              <w:ind w:right="172"/>
              <w:jc w:val="right"/>
              <w:rPr>
                <w:rFonts w:ascii="Calibri" w:hAnsi="Calibri" w:cs="Calibri" w:eastAsia="Calibri" w:hint="default"/>
                <w:sz w:val="20"/>
                <w:szCs w:val="20"/>
              </w:rPr>
            </w:pPr>
            <w:r>
              <w:rPr>
                <w:rFonts w:ascii="Calibri"/>
                <w:spacing w:val="-1"/>
                <w:sz w:val="20"/>
              </w:rPr>
              <w:t>-0.27</w:t>
            </w:r>
          </w:p>
        </w:tc>
        <w:tc>
          <w:tcPr>
            <w:tcW w:w="478" w:type="dxa"/>
            <w:tcBorders>
              <w:top w:val="nil" w:sz="6" w:space="0" w:color="auto"/>
              <w:left w:val="nil" w:sz="6" w:space="0" w:color="auto"/>
              <w:bottom w:val="single" w:sz="4" w:space="0" w:color="000000"/>
              <w:right w:val="nil" w:sz="6" w:space="0" w:color="auto"/>
            </w:tcBorders>
          </w:tcPr>
          <w:p>
            <w:pPr/>
          </w:p>
        </w:tc>
      </w:tr>
      <w:tr>
        <w:trPr>
          <w:trHeight w:val="272" w:hRule="exact"/>
        </w:trPr>
        <w:tc>
          <w:tcPr>
            <w:tcW w:w="939" w:type="dxa"/>
            <w:tcBorders>
              <w:top w:val="single" w:sz="4" w:space="0" w:color="000000"/>
              <w:left w:val="nil" w:sz="6" w:space="0" w:color="auto"/>
              <w:bottom w:val="nil" w:sz="6" w:space="0" w:color="auto"/>
              <w:right w:val="nil" w:sz="6" w:space="0" w:color="auto"/>
            </w:tcBorders>
          </w:tcPr>
          <w:p>
            <w:pPr/>
          </w:p>
        </w:tc>
        <w:tc>
          <w:tcPr>
            <w:tcW w:w="1915" w:type="dxa"/>
            <w:tcBorders>
              <w:top w:val="single" w:sz="4" w:space="0" w:color="000000"/>
              <w:left w:val="nil" w:sz="6" w:space="0" w:color="auto"/>
              <w:bottom w:val="nil" w:sz="6" w:space="0" w:color="auto"/>
              <w:right w:val="nil" w:sz="6" w:space="0" w:color="auto"/>
            </w:tcBorders>
          </w:tcPr>
          <w:p>
            <w:pPr>
              <w:pStyle w:val="TableParagraph"/>
              <w:spacing w:line="244" w:lineRule="exact"/>
              <w:ind w:left="90" w:right="0"/>
              <w:jc w:val="left"/>
              <w:rPr>
                <w:rFonts w:ascii="Calibri" w:hAnsi="Calibri" w:cs="Calibri" w:eastAsia="Calibri" w:hint="default"/>
                <w:sz w:val="20"/>
                <w:szCs w:val="20"/>
              </w:rPr>
            </w:pPr>
            <w:r>
              <w:rPr>
                <w:rFonts w:ascii="Calibri"/>
                <w:sz w:val="20"/>
              </w:rPr>
              <w:t>$69</w:t>
            </w:r>
            <w:r>
              <w:rPr>
                <w:rFonts w:ascii="Calibri"/>
                <w:spacing w:val="-7"/>
                <w:sz w:val="20"/>
              </w:rPr>
              <w:t> </w:t>
            </w:r>
            <w:r>
              <w:rPr>
                <w:rFonts w:ascii="Calibri"/>
                <w:sz w:val="20"/>
              </w:rPr>
              <w:t>Dollars</w:t>
            </w:r>
          </w:p>
        </w:tc>
        <w:tc>
          <w:tcPr>
            <w:tcW w:w="1462" w:type="dxa"/>
            <w:tcBorders>
              <w:top w:val="single" w:sz="4" w:space="0" w:color="000000"/>
              <w:left w:val="nil" w:sz="6" w:space="0" w:color="auto"/>
              <w:bottom w:val="nil" w:sz="6" w:space="0" w:color="auto"/>
              <w:right w:val="nil" w:sz="6" w:space="0" w:color="auto"/>
            </w:tcBorders>
          </w:tcPr>
          <w:p>
            <w:pPr>
              <w:pStyle w:val="TableParagraph"/>
              <w:spacing w:line="244" w:lineRule="exact"/>
              <w:ind w:right="0"/>
              <w:jc w:val="center"/>
              <w:rPr>
                <w:rFonts w:ascii="Calibri" w:hAnsi="Calibri" w:cs="Calibri" w:eastAsia="Calibri" w:hint="default"/>
                <w:sz w:val="20"/>
                <w:szCs w:val="20"/>
              </w:rPr>
            </w:pPr>
            <w:r>
              <w:rPr>
                <w:rFonts w:ascii="Calibri"/>
                <w:sz w:val="20"/>
              </w:rPr>
              <w:t>8.03</w:t>
            </w:r>
          </w:p>
        </w:tc>
        <w:tc>
          <w:tcPr>
            <w:tcW w:w="824" w:type="dxa"/>
            <w:tcBorders>
              <w:top w:val="single" w:sz="4" w:space="0" w:color="000000"/>
              <w:left w:val="nil" w:sz="6" w:space="0" w:color="auto"/>
              <w:bottom w:val="nil" w:sz="6" w:space="0" w:color="auto"/>
              <w:right w:val="nil" w:sz="6" w:space="0" w:color="auto"/>
            </w:tcBorders>
          </w:tcPr>
          <w:p>
            <w:pPr>
              <w:pStyle w:val="TableParagraph"/>
              <w:spacing w:line="244" w:lineRule="exact"/>
              <w:ind w:right="222"/>
              <w:jc w:val="center"/>
              <w:rPr>
                <w:rFonts w:ascii="Calibri" w:hAnsi="Calibri" w:cs="Calibri" w:eastAsia="Calibri" w:hint="default"/>
                <w:sz w:val="20"/>
                <w:szCs w:val="20"/>
              </w:rPr>
            </w:pPr>
            <w:r>
              <w:rPr>
                <w:rFonts w:ascii="Calibri"/>
                <w:sz w:val="20"/>
              </w:rPr>
              <w:t>2</w:t>
            </w:r>
          </w:p>
        </w:tc>
        <w:tc>
          <w:tcPr>
            <w:tcW w:w="1170" w:type="dxa"/>
            <w:tcBorders>
              <w:top w:val="single" w:sz="4" w:space="0" w:color="000000"/>
              <w:left w:val="nil" w:sz="6" w:space="0" w:color="auto"/>
              <w:bottom w:val="nil" w:sz="6" w:space="0" w:color="auto"/>
              <w:right w:val="nil" w:sz="6" w:space="0" w:color="auto"/>
            </w:tcBorders>
          </w:tcPr>
          <w:p>
            <w:pPr>
              <w:pStyle w:val="TableParagraph"/>
              <w:spacing w:line="244" w:lineRule="exact"/>
              <w:ind w:right="23"/>
              <w:jc w:val="center"/>
              <w:rPr>
                <w:rFonts w:ascii="Calibri" w:hAnsi="Calibri" w:cs="Calibri" w:eastAsia="Calibri" w:hint="default"/>
                <w:sz w:val="20"/>
                <w:szCs w:val="20"/>
              </w:rPr>
            </w:pPr>
            <w:r>
              <w:rPr>
                <w:rFonts w:ascii="Calibri"/>
                <w:sz w:val="20"/>
              </w:rPr>
              <w:t>7.83</w:t>
            </w:r>
          </w:p>
        </w:tc>
        <w:tc>
          <w:tcPr>
            <w:tcW w:w="965" w:type="dxa"/>
            <w:tcBorders>
              <w:top w:val="single" w:sz="4" w:space="0" w:color="000000"/>
              <w:left w:val="nil" w:sz="6" w:space="0" w:color="auto"/>
              <w:bottom w:val="nil" w:sz="6" w:space="0" w:color="auto"/>
              <w:right w:val="nil" w:sz="6" w:space="0" w:color="auto"/>
            </w:tcBorders>
          </w:tcPr>
          <w:p>
            <w:pPr>
              <w:pStyle w:val="TableParagraph"/>
              <w:spacing w:line="244" w:lineRule="exact"/>
              <w:ind w:left="141" w:right="0"/>
              <w:jc w:val="center"/>
              <w:rPr>
                <w:rFonts w:ascii="Calibri" w:hAnsi="Calibri" w:cs="Calibri" w:eastAsia="Calibri" w:hint="default"/>
                <w:sz w:val="20"/>
                <w:szCs w:val="20"/>
              </w:rPr>
            </w:pPr>
            <w:r>
              <w:rPr>
                <w:rFonts w:ascii="Calibri"/>
                <w:sz w:val="20"/>
              </w:rPr>
              <w:t>1</w:t>
            </w:r>
          </w:p>
        </w:tc>
        <w:tc>
          <w:tcPr>
            <w:tcW w:w="878" w:type="dxa"/>
            <w:tcBorders>
              <w:top w:val="single" w:sz="4" w:space="0" w:color="000000"/>
              <w:left w:val="nil" w:sz="6" w:space="0" w:color="auto"/>
              <w:bottom w:val="nil" w:sz="6" w:space="0" w:color="auto"/>
              <w:right w:val="nil" w:sz="6" w:space="0" w:color="auto"/>
            </w:tcBorders>
          </w:tcPr>
          <w:p>
            <w:pPr>
              <w:pStyle w:val="TableParagraph"/>
              <w:spacing w:line="244" w:lineRule="exact"/>
              <w:ind w:right="203"/>
              <w:jc w:val="right"/>
              <w:rPr>
                <w:rFonts w:ascii="Calibri" w:hAnsi="Calibri" w:cs="Calibri" w:eastAsia="Calibri" w:hint="default"/>
                <w:sz w:val="20"/>
                <w:szCs w:val="20"/>
              </w:rPr>
            </w:pPr>
            <w:r>
              <w:rPr>
                <w:rFonts w:ascii="Calibri"/>
                <w:w w:val="95"/>
                <w:sz w:val="20"/>
              </w:rPr>
              <w:t>1.54</w:t>
            </w:r>
            <w:r>
              <w:rPr>
                <w:rFonts w:ascii="Calibri"/>
                <w:sz w:val="20"/>
              </w:rPr>
            </w:r>
          </w:p>
        </w:tc>
        <w:tc>
          <w:tcPr>
            <w:tcW w:w="478" w:type="dxa"/>
            <w:tcBorders>
              <w:top w:val="single" w:sz="4" w:space="0" w:color="000000"/>
              <w:left w:val="nil" w:sz="6" w:space="0" w:color="auto"/>
              <w:bottom w:val="nil" w:sz="6" w:space="0" w:color="auto"/>
              <w:right w:val="nil" w:sz="6" w:space="0" w:color="auto"/>
            </w:tcBorders>
          </w:tcPr>
          <w:p>
            <w:pPr/>
          </w:p>
        </w:tc>
      </w:tr>
      <w:tr>
        <w:trPr>
          <w:trHeight w:val="254" w:hRule="exact"/>
        </w:trPr>
        <w:tc>
          <w:tcPr>
            <w:tcW w:w="939" w:type="dxa"/>
            <w:tcBorders>
              <w:top w:val="nil" w:sz="6" w:space="0" w:color="auto"/>
              <w:left w:val="nil" w:sz="6" w:space="0" w:color="auto"/>
              <w:bottom w:val="nil" w:sz="6" w:space="0" w:color="auto"/>
              <w:right w:val="nil" w:sz="6" w:space="0" w:color="auto"/>
            </w:tcBorders>
          </w:tcPr>
          <w:p>
            <w:pPr>
              <w:pStyle w:val="TableParagraph"/>
              <w:spacing w:line="231" w:lineRule="exact"/>
              <w:ind w:left="278" w:right="0"/>
              <w:jc w:val="left"/>
              <w:rPr>
                <w:rFonts w:ascii="Calibri" w:hAnsi="Calibri" w:cs="Calibri" w:eastAsia="Calibri" w:hint="default"/>
                <w:sz w:val="20"/>
                <w:szCs w:val="20"/>
              </w:rPr>
            </w:pPr>
            <w:r>
              <w:rPr>
                <w:rFonts w:ascii="Calibri"/>
                <w:sz w:val="20"/>
              </w:rPr>
              <w:t>Price</w:t>
            </w:r>
          </w:p>
        </w:tc>
        <w:tc>
          <w:tcPr>
            <w:tcW w:w="1915" w:type="dxa"/>
            <w:tcBorders>
              <w:top w:val="nil" w:sz="6" w:space="0" w:color="auto"/>
              <w:left w:val="nil" w:sz="6" w:space="0" w:color="auto"/>
              <w:bottom w:val="nil" w:sz="6" w:space="0" w:color="auto"/>
              <w:right w:val="nil" w:sz="6" w:space="0" w:color="auto"/>
            </w:tcBorders>
          </w:tcPr>
          <w:p>
            <w:pPr>
              <w:pStyle w:val="TableParagraph"/>
              <w:spacing w:line="231" w:lineRule="exact"/>
              <w:ind w:left="90" w:right="0"/>
              <w:jc w:val="left"/>
              <w:rPr>
                <w:rFonts w:ascii="Calibri" w:hAnsi="Calibri" w:cs="Calibri" w:eastAsia="Calibri" w:hint="default"/>
                <w:sz w:val="20"/>
                <w:szCs w:val="20"/>
              </w:rPr>
            </w:pPr>
            <w:r>
              <w:rPr>
                <w:rFonts w:ascii="Calibri"/>
                <w:sz w:val="20"/>
              </w:rPr>
              <w:t>$89</w:t>
            </w:r>
            <w:r>
              <w:rPr>
                <w:rFonts w:ascii="Calibri"/>
                <w:spacing w:val="-7"/>
                <w:sz w:val="20"/>
              </w:rPr>
              <w:t> </w:t>
            </w:r>
            <w:r>
              <w:rPr>
                <w:rFonts w:ascii="Calibri"/>
                <w:sz w:val="20"/>
              </w:rPr>
              <w:t>Dollars</w:t>
            </w:r>
          </w:p>
        </w:tc>
        <w:tc>
          <w:tcPr>
            <w:tcW w:w="1462" w:type="dxa"/>
            <w:tcBorders>
              <w:top w:val="nil" w:sz="6" w:space="0" w:color="auto"/>
              <w:left w:val="nil" w:sz="6" w:space="0" w:color="auto"/>
              <w:bottom w:val="nil" w:sz="6" w:space="0" w:color="auto"/>
              <w:right w:val="nil" w:sz="6" w:space="0" w:color="auto"/>
            </w:tcBorders>
          </w:tcPr>
          <w:p>
            <w:pPr>
              <w:pStyle w:val="TableParagraph"/>
              <w:spacing w:line="231" w:lineRule="exact"/>
              <w:ind w:right="0"/>
              <w:jc w:val="center"/>
              <w:rPr>
                <w:rFonts w:ascii="Calibri" w:hAnsi="Calibri" w:cs="Calibri" w:eastAsia="Calibri" w:hint="default"/>
                <w:sz w:val="20"/>
                <w:szCs w:val="20"/>
              </w:rPr>
            </w:pPr>
            <w:r>
              <w:rPr>
                <w:rFonts w:ascii="Calibri"/>
                <w:sz w:val="20"/>
              </w:rPr>
              <w:t>8.09</w:t>
            </w:r>
          </w:p>
        </w:tc>
        <w:tc>
          <w:tcPr>
            <w:tcW w:w="824" w:type="dxa"/>
            <w:tcBorders>
              <w:top w:val="nil" w:sz="6" w:space="0" w:color="auto"/>
              <w:left w:val="nil" w:sz="6" w:space="0" w:color="auto"/>
              <w:bottom w:val="nil" w:sz="6" w:space="0" w:color="auto"/>
              <w:right w:val="nil" w:sz="6" w:space="0" w:color="auto"/>
            </w:tcBorders>
          </w:tcPr>
          <w:p>
            <w:pPr>
              <w:pStyle w:val="TableParagraph"/>
              <w:spacing w:line="231" w:lineRule="exact"/>
              <w:ind w:right="222"/>
              <w:jc w:val="center"/>
              <w:rPr>
                <w:rFonts w:ascii="Calibri" w:hAnsi="Calibri" w:cs="Calibri" w:eastAsia="Calibri" w:hint="default"/>
                <w:sz w:val="20"/>
                <w:szCs w:val="20"/>
              </w:rPr>
            </w:pPr>
            <w:r>
              <w:rPr>
                <w:rFonts w:ascii="Calibri"/>
                <w:sz w:val="20"/>
              </w:rPr>
              <w:t>1</w:t>
            </w:r>
          </w:p>
        </w:tc>
        <w:tc>
          <w:tcPr>
            <w:tcW w:w="1170" w:type="dxa"/>
            <w:tcBorders>
              <w:top w:val="nil" w:sz="6" w:space="0" w:color="auto"/>
              <w:left w:val="nil" w:sz="6" w:space="0" w:color="auto"/>
              <w:bottom w:val="nil" w:sz="6" w:space="0" w:color="auto"/>
              <w:right w:val="nil" w:sz="6" w:space="0" w:color="auto"/>
            </w:tcBorders>
          </w:tcPr>
          <w:p>
            <w:pPr>
              <w:pStyle w:val="TableParagraph"/>
              <w:spacing w:line="231" w:lineRule="exact"/>
              <w:ind w:right="23"/>
              <w:jc w:val="center"/>
              <w:rPr>
                <w:rFonts w:ascii="Calibri" w:hAnsi="Calibri" w:cs="Calibri" w:eastAsia="Calibri" w:hint="default"/>
                <w:sz w:val="20"/>
                <w:szCs w:val="20"/>
              </w:rPr>
            </w:pPr>
            <w:r>
              <w:rPr>
                <w:rFonts w:ascii="Calibri"/>
                <w:sz w:val="20"/>
              </w:rPr>
              <w:t>7.66</w:t>
            </w:r>
          </w:p>
        </w:tc>
        <w:tc>
          <w:tcPr>
            <w:tcW w:w="965" w:type="dxa"/>
            <w:tcBorders>
              <w:top w:val="nil" w:sz="6" w:space="0" w:color="auto"/>
              <w:left w:val="nil" w:sz="6" w:space="0" w:color="auto"/>
              <w:bottom w:val="nil" w:sz="6" w:space="0" w:color="auto"/>
              <w:right w:val="nil" w:sz="6" w:space="0" w:color="auto"/>
            </w:tcBorders>
          </w:tcPr>
          <w:p>
            <w:pPr>
              <w:pStyle w:val="TableParagraph"/>
              <w:spacing w:line="231" w:lineRule="exact"/>
              <w:ind w:left="141" w:right="0"/>
              <w:jc w:val="center"/>
              <w:rPr>
                <w:rFonts w:ascii="Calibri" w:hAnsi="Calibri" w:cs="Calibri" w:eastAsia="Calibri" w:hint="default"/>
                <w:sz w:val="20"/>
                <w:szCs w:val="20"/>
              </w:rPr>
            </w:pPr>
            <w:r>
              <w:rPr>
                <w:rFonts w:ascii="Calibri"/>
                <w:sz w:val="20"/>
              </w:rPr>
              <w:t>2</w:t>
            </w:r>
          </w:p>
        </w:tc>
        <w:tc>
          <w:tcPr>
            <w:tcW w:w="878" w:type="dxa"/>
            <w:tcBorders>
              <w:top w:val="nil" w:sz="6" w:space="0" w:color="auto"/>
              <w:left w:val="nil" w:sz="6" w:space="0" w:color="auto"/>
              <w:bottom w:val="nil" w:sz="6" w:space="0" w:color="auto"/>
              <w:right w:val="nil" w:sz="6" w:space="0" w:color="auto"/>
            </w:tcBorders>
          </w:tcPr>
          <w:p>
            <w:pPr>
              <w:pStyle w:val="TableParagraph"/>
              <w:spacing w:line="231" w:lineRule="exact"/>
              <w:ind w:right="203"/>
              <w:jc w:val="right"/>
              <w:rPr>
                <w:rFonts w:ascii="Calibri" w:hAnsi="Calibri" w:cs="Calibri" w:eastAsia="Calibri" w:hint="default"/>
                <w:sz w:val="20"/>
                <w:szCs w:val="20"/>
              </w:rPr>
            </w:pPr>
            <w:r>
              <w:rPr>
                <w:rFonts w:ascii="Calibri"/>
                <w:w w:val="95"/>
                <w:sz w:val="20"/>
              </w:rPr>
              <w:t>2.25</w:t>
            </w:r>
            <w:r>
              <w:rPr>
                <w:rFonts w:ascii="Calibri"/>
                <w:sz w:val="20"/>
              </w:rPr>
            </w:r>
          </w:p>
        </w:tc>
        <w:tc>
          <w:tcPr>
            <w:tcW w:w="478" w:type="dxa"/>
            <w:tcBorders>
              <w:top w:val="nil" w:sz="6" w:space="0" w:color="auto"/>
              <w:left w:val="nil" w:sz="6" w:space="0" w:color="auto"/>
              <w:bottom w:val="nil" w:sz="6" w:space="0" w:color="auto"/>
              <w:right w:val="nil" w:sz="6" w:space="0" w:color="auto"/>
            </w:tcBorders>
          </w:tcPr>
          <w:p>
            <w:pPr>
              <w:pStyle w:val="TableParagraph"/>
              <w:spacing w:line="231" w:lineRule="exact"/>
              <w:ind w:left="144" w:right="0"/>
              <w:jc w:val="left"/>
              <w:rPr>
                <w:rFonts w:ascii="Calibri" w:hAnsi="Calibri" w:cs="Calibri" w:eastAsia="Calibri" w:hint="default"/>
                <w:sz w:val="20"/>
                <w:szCs w:val="20"/>
              </w:rPr>
            </w:pPr>
            <w:r>
              <w:rPr>
                <w:rFonts w:ascii="Calibri"/>
                <w:sz w:val="20"/>
              </w:rPr>
              <w:t>**</w:t>
            </w:r>
          </w:p>
        </w:tc>
      </w:tr>
      <w:tr>
        <w:trPr>
          <w:trHeight w:val="237" w:hRule="exact"/>
        </w:trPr>
        <w:tc>
          <w:tcPr>
            <w:tcW w:w="939" w:type="dxa"/>
            <w:tcBorders>
              <w:top w:val="nil" w:sz="6" w:space="0" w:color="auto"/>
              <w:left w:val="nil" w:sz="6" w:space="0" w:color="auto"/>
              <w:bottom w:val="single" w:sz="4" w:space="0" w:color="000000"/>
              <w:right w:val="nil" w:sz="6" w:space="0" w:color="auto"/>
            </w:tcBorders>
          </w:tcPr>
          <w:p>
            <w:pPr/>
          </w:p>
        </w:tc>
        <w:tc>
          <w:tcPr>
            <w:tcW w:w="1915" w:type="dxa"/>
            <w:tcBorders>
              <w:top w:val="nil" w:sz="6" w:space="0" w:color="auto"/>
              <w:left w:val="nil" w:sz="6" w:space="0" w:color="auto"/>
              <w:bottom w:val="single" w:sz="4" w:space="0" w:color="000000"/>
              <w:right w:val="nil" w:sz="6" w:space="0" w:color="auto"/>
            </w:tcBorders>
          </w:tcPr>
          <w:p>
            <w:pPr>
              <w:pStyle w:val="TableParagraph"/>
              <w:spacing w:line="231" w:lineRule="exact"/>
              <w:ind w:left="90" w:right="0"/>
              <w:jc w:val="left"/>
              <w:rPr>
                <w:rFonts w:ascii="Calibri" w:hAnsi="Calibri" w:cs="Calibri" w:eastAsia="Calibri" w:hint="default"/>
                <w:sz w:val="20"/>
                <w:szCs w:val="20"/>
              </w:rPr>
            </w:pPr>
            <w:r>
              <w:rPr>
                <w:rFonts w:ascii="Calibri"/>
                <w:sz w:val="20"/>
              </w:rPr>
              <w:t>$109</w:t>
            </w:r>
            <w:r>
              <w:rPr>
                <w:rFonts w:ascii="Calibri"/>
                <w:spacing w:val="-4"/>
                <w:sz w:val="20"/>
              </w:rPr>
              <w:t> </w:t>
            </w:r>
            <w:r>
              <w:rPr>
                <w:rFonts w:ascii="Calibri"/>
                <w:sz w:val="20"/>
              </w:rPr>
              <w:t>Dollars</w:t>
            </w:r>
          </w:p>
        </w:tc>
        <w:tc>
          <w:tcPr>
            <w:tcW w:w="1462" w:type="dxa"/>
            <w:tcBorders>
              <w:top w:val="nil" w:sz="6" w:space="0" w:color="auto"/>
              <w:left w:val="nil" w:sz="6" w:space="0" w:color="auto"/>
              <w:bottom w:val="single" w:sz="4" w:space="0" w:color="000000"/>
              <w:right w:val="nil" w:sz="6" w:space="0" w:color="auto"/>
            </w:tcBorders>
          </w:tcPr>
          <w:p>
            <w:pPr>
              <w:pStyle w:val="TableParagraph"/>
              <w:spacing w:line="231" w:lineRule="exact"/>
              <w:ind w:right="0"/>
              <w:jc w:val="center"/>
              <w:rPr>
                <w:rFonts w:ascii="Calibri" w:hAnsi="Calibri" w:cs="Calibri" w:eastAsia="Calibri" w:hint="default"/>
                <w:sz w:val="20"/>
                <w:szCs w:val="20"/>
              </w:rPr>
            </w:pPr>
            <w:r>
              <w:rPr>
                <w:rFonts w:ascii="Calibri"/>
                <w:sz w:val="20"/>
              </w:rPr>
              <w:t>8.00</w:t>
            </w:r>
          </w:p>
        </w:tc>
        <w:tc>
          <w:tcPr>
            <w:tcW w:w="824" w:type="dxa"/>
            <w:tcBorders>
              <w:top w:val="nil" w:sz="6" w:space="0" w:color="auto"/>
              <w:left w:val="nil" w:sz="6" w:space="0" w:color="auto"/>
              <w:bottom w:val="single" w:sz="4" w:space="0" w:color="000000"/>
              <w:right w:val="nil" w:sz="6" w:space="0" w:color="auto"/>
            </w:tcBorders>
          </w:tcPr>
          <w:p>
            <w:pPr>
              <w:pStyle w:val="TableParagraph"/>
              <w:spacing w:line="231" w:lineRule="exact"/>
              <w:ind w:right="222"/>
              <w:jc w:val="center"/>
              <w:rPr>
                <w:rFonts w:ascii="Calibri" w:hAnsi="Calibri" w:cs="Calibri" w:eastAsia="Calibri" w:hint="default"/>
                <w:sz w:val="20"/>
                <w:szCs w:val="20"/>
              </w:rPr>
            </w:pPr>
            <w:r>
              <w:rPr>
                <w:rFonts w:ascii="Calibri"/>
                <w:sz w:val="20"/>
              </w:rPr>
              <w:t>3</w:t>
            </w:r>
          </w:p>
        </w:tc>
        <w:tc>
          <w:tcPr>
            <w:tcW w:w="1170" w:type="dxa"/>
            <w:tcBorders>
              <w:top w:val="nil" w:sz="6" w:space="0" w:color="auto"/>
              <w:left w:val="nil" w:sz="6" w:space="0" w:color="auto"/>
              <w:bottom w:val="single" w:sz="4" w:space="0" w:color="000000"/>
              <w:right w:val="nil" w:sz="6" w:space="0" w:color="auto"/>
            </w:tcBorders>
          </w:tcPr>
          <w:p>
            <w:pPr>
              <w:pStyle w:val="TableParagraph"/>
              <w:spacing w:line="231" w:lineRule="exact"/>
              <w:ind w:right="23"/>
              <w:jc w:val="center"/>
              <w:rPr>
                <w:rFonts w:ascii="Calibri" w:hAnsi="Calibri" w:cs="Calibri" w:eastAsia="Calibri" w:hint="default"/>
                <w:sz w:val="20"/>
                <w:szCs w:val="20"/>
              </w:rPr>
            </w:pPr>
            <w:r>
              <w:rPr>
                <w:rFonts w:ascii="Calibri"/>
                <w:sz w:val="20"/>
              </w:rPr>
              <w:t>7.60</w:t>
            </w:r>
          </w:p>
        </w:tc>
        <w:tc>
          <w:tcPr>
            <w:tcW w:w="965" w:type="dxa"/>
            <w:tcBorders>
              <w:top w:val="nil" w:sz="6" w:space="0" w:color="auto"/>
              <w:left w:val="nil" w:sz="6" w:space="0" w:color="auto"/>
              <w:bottom w:val="single" w:sz="4" w:space="0" w:color="000000"/>
              <w:right w:val="nil" w:sz="6" w:space="0" w:color="auto"/>
            </w:tcBorders>
          </w:tcPr>
          <w:p>
            <w:pPr>
              <w:pStyle w:val="TableParagraph"/>
              <w:spacing w:line="231" w:lineRule="exact"/>
              <w:ind w:left="141" w:right="0"/>
              <w:jc w:val="center"/>
              <w:rPr>
                <w:rFonts w:ascii="Calibri" w:hAnsi="Calibri" w:cs="Calibri" w:eastAsia="Calibri" w:hint="default"/>
                <w:sz w:val="20"/>
                <w:szCs w:val="20"/>
              </w:rPr>
            </w:pPr>
            <w:r>
              <w:rPr>
                <w:rFonts w:ascii="Calibri"/>
                <w:sz w:val="20"/>
              </w:rPr>
              <w:t>3</w:t>
            </w:r>
          </w:p>
        </w:tc>
        <w:tc>
          <w:tcPr>
            <w:tcW w:w="878" w:type="dxa"/>
            <w:tcBorders>
              <w:top w:val="nil" w:sz="6" w:space="0" w:color="auto"/>
              <w:left w:val="nil" w:sz="6" w:space="0" w:color="auto"/>
              <w:bottom w:val="single" w:sz="4" w:space="0" w:color="000000"/>
              <w:right w:val="nil" w:sz="6" w:space="0" w:color="auto"/>
            </w:tcBorders>
          </w:tcPr>
          <w:p>
            <w:pPr>
              <w:pStyle w:val="TableParagraph"/>
              <w:spacing w:line="231" w:lineRule="exact"/>
              <w:ind w:right="203"/>
              <w:jc w:val="right"/>
              <w:rPr>
                <w:rFonts w:ascii="Calibri" w:hAnsi="Calibri" w:cs="Calibri" w:eastAsia="Calibri" w:hint="default"/>
                <w:sz w:val="20"/>
                <w:szCs w:val="20"/>
              </w:rPr>
            </w:pPr>
            <w:r>
              <w:rPr>
                <w:rFonts w:ascii="Calibri"/>
                <w:w w:val="95"/>
                <w:sz w:val="20"/>
              </w:rPr>
              <w:t>1.78</w:t>
            </w:r>
            <w:r>
              <w:rPr>
                <w:rFonts w:ascii="Calibri"/>
                <w:sz w:val="20"/>
              </w:rPr>
            </w:r>
          </w:p>
        </w:tc>
        <w:tc>
          <w:tcPr>
            <w:tcW w:w="478" w:type="dxa"/>
            <w:tcBorders>
              <w:top w:val="nil" w:sz="6" w:space="0" w:color="auto"/>
              <w:left w:val="nil" w:sz="6" w:space="0" w:color="auto"/>
              <w:bottom w:val="single" w:sz="4" w:space="0" w:color="000000"/>
              <w:right w:val="nil" w:sz="6" w:space="0" w:color="auto"/>
            </w:tcBorders>
          </w:tcPr>
          <w:p>
            <w:pPr>
              <w:pStyle w:val="TableParagraph"/>
              <w:spacing w:line="231" w:lineRule="exact"/>
              <w:ind w:left="93" w:right="0"/>
              <w:jc w:val="left"/>
              <w:rPr>
                <w:rFonts w:ascii="Calibri" w:hAnsi="Calibri" w:cs="Calibri" w:eastAsia="Calibri" w:hint="default"/>
                <w:sz w:val="20"/>
                <w:szCs w:val="20"/>
              </w:rPr>
            </w:pPr>
            <w:r>
              <w:rPr>
                <w:rFonts w:ascii="Calibri"/>
                <w:sz w:val="20"/>
              </w:rPr>
              <w:t>***</w:t>
            </w:r>
          </w:p>
        </w:tc>
      </w:tr>
      <w:tr>
        <w:trPr>
          <w:trHeight w:val="244" w:hRule="exact"/>
        </w:trPr>
        <w:tc>
          <w:tcPr>
            <w:tcW w:w="2854" w:type="dxa"/>
            <w:gridSpan w:val="2"/>
            <w:tcBorders>
              <w:top w:val="single" w:sz="4" w:space="0" w:color="000000"/>
              <w:left w:val="nil" w:sz="6" w:space="0" w:color="auto"/>
              <w:bottom w:val="nil" w:sz="6" w:space="0" w:color="auto"/>
              <w:right w:val="nil" w:sz="6" w:space="0" w:color="auto"/>
            </w:tcBorders>
          </w:tcPr>
          <w:p>
            <w:pPr>
              <w:pStyle w:val="TableParagraph"/>
              <w:tabs>
                <w:tab w:pos="8629" w:val="left" w:leader="none"/>
              </w:tabs>
              <w:spacing w:line="243" w:lineRule="exact"/>
              <w:ind w:left="-15" w:right="-5776"/>
              <w:jc w:val="left"/>
              <w:rPr>
                <w:rFonts w:ascii="Calibri" w:hAnsi="Calibri" w:cs="Calibri" w:eastAsia="Calibri" w:hint="default"/>
                <w:sz w:val="20"/>
                <w:szCs w:val="20"/>
              </w:rPr>
            </w:pPr>
            <w:r>
              <w:rPr>
                <w:rFonts w:ascii="Calibri"/>
                <w:w w:val="99"/>
                <w:sz w:val="20"/>
              </w:rPr>
            </w:r>
            <w:r>
              <w:rPr>
                <w:rFonts w:ascii="Calibri"/>
                <w:w w:val="99"/>
                <w:sz w:val="20"/>
                <w:u w:val="single" w:color="000000"/>
              </w:rPr>
              <w:t> </w:t>
            </w:r>
            <w:r>
              <w:rPr>
                <w:rFonts w:ascii="Calibri"/>
                <w:spacing w:val="-7"/>
                <w:sz w:val="20"/>
                <w:u w:val="single" w:color="000000"/>
              </w:rPr>
              <w:t> </w:t>
            </w:r>
            <w:r>
              <w:rPr>
                <w:rFonts w:ascii="Calibri"/>
                <w:sz w:val="20"/>
                <w:u w:val="single" w:color="000000"/>
              </w:rPr>
              <w:t>*p&lt;.01 **p&lt;.05</w:t>
            </w:r>
            <w:r>
              <w:rPr>
                <w:rFonts w:ascii="Calibri"/>
                <w:spacing w:val="-14"/>
                <w:sz w:val="20"/>
                <w:u w:val="single" w:color="000000"/>
              </w:rPr>
              <w:t> </w:t>
            </w:r>
            <w:r>
              <w:rPr>
                <w:rFonts w:ascii="Calibri"/>
                <w:sz w:val="20"/>
                <w:u w:val="single" w:color="000000"/>
              </w:rPr>
              <w:t>***p&lt;.10</w:t>
              <w:tab/>
            </w:r>
            <w:r>
              <w:rPr>
                <w:rFonts w:ascii="Calibri"/>
                <w:sz w:val="20"/>
              </w:rPr>
            </w:r>
          </w:p>
        </w:tc>
        <w:tc>
          <w:tcPr>
            <w:tcW w:w="1462" w:type="dxa"/>
            <w:tcBorders>
              <w:top w:val="single" w:sz="4" w:space="0" w:color="000000"/>
              <w:left w:val="nil" w:sz="6" w:space="0" w:color="auto"/>
              <w:bottom w:val="nil" w:sz="6" w:space="0" w:color="auto"/>
              <w:right w:val="nil" w:sz="6" w:space="0" w:color="auto"/>
            </w:tcBorders>
          </w:tcPr>
          <w:p>
            <w:pPr/>
          </w:p>
        </w:tc>
        <w:tc>
          <w:tcPr>
            <w:tcW w:w="824" w:type="dxa"/>
            <w:tcBorders>
              <w:top w:val="single" w:sz="4" w:space="0" w:color="000000"/>
              <w:left w:val="nil" w:sz="6" w:space="0" w:color="auto"/>
              <w:bottom w:val="nil" w:sz="6" w:space="0" w:color="auto"/>
              <w:right w:val="nil" w:sz="6" w:space="0" w:color="auto"/>
            </w:tcBorders>
          </w:tcPr>
          <w:p>
            <w:pPr/>
          </w:p>
        </w:tc>
        <w:tc>
          <w:tcPr>
            <w:tcW w:w="1170" w:type="dxa"/>
            <w:tcBorders>
              <w:top w:val="single" w:sz="4" w:space="0" w:color="000000"/>
              <w:left w:val="nil" w:sz="6" w:space="0" w:color="auto"/>
              <w:bottom w:val="nil" w:sz="6" w:space="0" w:color="auto"/>
              <w:right w:val="nil" w:sz="6" w:space="0" w:color="auto"/>
            </w:tcBorders>
          </w:tcPr>
          <w:p>
            <w:pPr/>
          </w:p>
        </w:tc>
        <w:tc>
          <w:tcPr>
            <w:tcW w:w="965" w:type="dxa"/>
            <w:tcBorders>
              <w:top w:val="single" w:sz="4" w:space="0" w:color="000000"/>
              <w:left w:val="nil" w:sz="6" w:space="0" w:color="auto"/>
              <w:bottom w:val="nil" w:sz="6" w:space="0" w:color="auto"/>
              <w:right w:val="nil" w:sz="6" w:space="0" w:color="auto"/>
            </w:tcBorders>
          </w:tcPr>
          <w:p>
            <w:pPr/>
          </w:p>
        </w:tc>
        <w:tc>
          <w:tcPr>
            <w:tcW w:w="878" w:type="dxa"/>
            <w:tcBorders>
              <w:top w:val="single" w:sz="4" w:space="0" w:color="000000"/>
              <w:left w:val="nil" w:sz="6" w:space="0" w:color="auto"/>
              <w:bottom w:val="nil" w:sz="6" w:space="0" w:color="auto"/>
              <w:right w:val="nil" w:sz="6" w:space="0" w:color="auto"/>
            </w:tcBorders>
          </w:tcPr>
          <w:p>
            <w:pPr/>
          </w:p>
        </w:tc>
        <w:tc>
          <w:tcPr>
            <w:tcW w:w="478" w:type="dxa"/>
            <w:tcBorders>
              <w:top w:val="single" w:sz="4" w:space="0" w:color="000000"/>
              <w:left w:val="nil" w:sz="6" w:space="0" w:color="auto"/>
              <w:bottom w:val="nil" w:sz="6" w:space="0" w:color="auto"/>
              <w:right w:val="nil" w:sz="6" w:space="0" w:color="auto"/>
            </w:tcBorders>
          </w:tcPr>
          <w:p>
            <w:pPr/>
          </w:p>
        </w:tc>
      </w:tr>
    </w:tbl>
    <w:p>
      <w:pPr>
        <w:spacing w:after="0"/>
        <w:sectPr>
          <w:footerReference w:type="default" r:id="rId112"/>
          <w:pgSz w:w="12240" w:h="15840"/>
          <w:pgMar w:footer="539" w:header="0" w:top="840" w:bottom="720" w:left="0" w:right="0"/>
        </w:sect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2"/>
        <w:ind w:right="0"/>
        <w:rPr>
          <w:rFonts w:ascii="Calibri" w:hAnsi="Calibri" w:cs="Calibri" w:eastAsia="Calibri" w:hint="default"/>
          <w:b/>
          <w:bCs/>
          <w:sz w:val="23"/>
          <w:szCs w:val="23"/>
        </w:rPr>
      </w:pPr>
    </w:p>
    <w:p>
      <w:pPr>
        <w:pStyle w:val="Heading9"/>
        <w:tabs>
          <w:tab w:pos="4721" w:val="left" w:leader="none"/>
          <w:tab w:pos="10530" w:val="left" w:leader="none"/>
        </w:tabs>
        <w:spacing w:line="240" w:lineRule="auto" w:before="59" w:after="51"/>
        <w:ind w:left="1440" w:right="0"/>
        <w:jc w:val="left"/>
        <w:rPr>
          <w:b w:val="0"/>
          <w:bCs w:val="0"/>
        </w:rPr>
      </w:pPr>
      <w:bookmarkStart w:name="_bookmark183" w:id="184"/>
      <w:bookmarkEnd w:id="184"/>
      <w:r>
        <w:rPr>
          <w:b w:val="0"/>
        </w:rPr>
      </w:r>
      <w:r>
        <w:rPr>
          <w:w w:val="99"/>
        </w:rPr>
      </w:r>
      <w:r>
        <w:rPr>
          <w:w w:val="99"/>
          <w:u w:val="single" w:color="000000"/>
        </w:rPr>
        <w:t> </w:t>
      </w:r>
      <w:r>
        <w:rPr>
          <w:u w:val="single" w:color="000000"/>
        </w:rPr>
        <w:tab/>
        <w:t>Table 52: Expectations by</w:t>
      </w:r>
      <w:r>
        <w:rPr>
          <w:spacing w:val="-15"/>
          <w:u w:val="single" w:color="000000"/>
        </w:rPr>
        <w:t> </w:t>
      </w:r>
      <w:r>
        <w:rPr>
          <w:u w:val="single" w:color="000000"/>
        </w:rPr>
        <w:t>country</w:t>
        <w:tab/>
      </w:r>
      <w:r>
        <w:rPr/>
      </w:r>
      <w:r>
        <w:rPr>
          <w:b w:val="0"/>
        </w:rPr>
      </w:r>
    </w:p>
    <w:tbl>
      <w:tblPr>
        <w:tblW w:w="0" w:type="auto"/>
        <w:jc w:val="left"/>
        <w:tblInd w:w="1440" w:type="dxa"/>
        <w:tblLayout w:type="fixed"/>
        <w:tblCellMar>
          <w:top w:w="0" w:type="dxa"/>
          <w:left w:w="0" w:type="dxa"/>
          <w:bottom w:w="0" w:type="dxa"/>
          <w:right w:w="0" w:type="dxa"/>
        </w:tblCellMar>
        <w:tblLook w:val="01E0"/>
      </w:tblPr>
      <w:tblGrid>
        <w:gridCol w:w="4414"/>
        <w:gridCol w:w="1522"/>
        <w:gridCol w:w="1870"/>
        <w:gridCol w:w="806"/>
        <w:gridCol w:w="478"/>
      </w:tblGrid>
      <w:tr>
        <w:trPr>
          <w:trHeight w:val="207" w:hRule="exact"/>
        </w:trPr>
        <w:tc>
          <w:tcPr>
            <w:tcW w:w="4414" w:type="dxa"/>
            <w:tcBorders>
              <w:top w:val="nil" w:sz="6" w:space="0" w:color="auto"/>
              <w:left w:val="nil" w:sz="6" w:space="0" w:color="auto"/>
              <w:bottom w:val="single" w:sz="4" w:space="0" w:color="000000"/>
              <w:right w:val="nil" w:sz="6" w:space="0" w:color="auto"/>
            </w:tcBorders>
          </w:tcPr>
          <w:p>
            <w:pPr>
              <w:pStyle w:val="TableParagraph"/>
              <w:spacing w:line="203" w:lineRule="exact"/>
              <w:ind w:left="69" w:right="0"/>
              <w:jc w:val="left"/>
              <w:rPr>
                <w:rFonts w:ascii="Calibri" w:hAnsi="Calibri" w:cs="Calibri" w:eastAsia="Calibri" w:hint="default"/>
                <w:sz w:val="20"/>
                <w:szCs w:val="20"/>
              </w:rPr>
            </w:pPr>
            <w:r>
              <w:rPr>
                <w:rFonts w:ascii="Calibri"/>
                <w:b/>
                <w:sz w:val="20"/>
              </w:rPr>
              <w:t>Item</w:t>
            </w:r>
            <w:r>
              <w:rPr>
                <w:rFonts w:ascii="Calibri"/>
                <w:sz w:val="20"/>
              </w:rPr>
            </w:r>
          </w:p>
        </w:tc>
        <w:tc>
          <w:tcPr>
            <w:tcW w:w="1522" w:type="dxa"/>
            <w:tcBorders>
              <w:top w:val="nil" w:sz="6" w:space="0" w:color="auto"/>
              <w:left w:val="nil" w:sz="6" w:space="0" w:color="auto"/>
              <w:bottom w:val="single" w:sz="4" w:space="0" w:color="000000"/>
              <w:right w:val="nil" w:sz="6" w:space="0" w:color="auto"/>
            </w:tcBorders>
          </w:tcPr>
          <w:p>
            <w:pPr>
              <w:pStyle w:val="TableParagraph"/>
              <w:spacing w:line="203" w:lineRule="exact"/>
              <w:ind w:right="413"/>
              <w:jc w:val="right"/>
              <w:rPr>
                <w:rFonts w:ascii="Calibri" w:hAnsi="Calibri" w:cs="Calibri" w:eastAsia="Calibri" w:hint="default"/>
                <w:sz w:val="20"/>
                <w:szCs w:val="20"/>
              </w:rPr>
            </w:pPr>
            <w:r>
              <w:rPr>
                <w:rFonts w:ascii="Calibri"/>
                <w:b/>
                <w:spacing w:val="-1"/>
                <w:w w:val="95"/>
                <w:sz w:val="20"/>
              </w:rPr>
              <w:t>USA</w:t>
            </w:r>
            <w:r>
              <w:rPr>
                <w:rFonts w:ascii="Calibri"/>
                <w:sz w:val="20"/>
              </w:rPr>
            </w:r>
          </w:p>
        </w:tc>
        <w:tc>
          <w:tcPr>
            <w:tcW w:w="1870" w:type="dxa"/>
            <w:tcBorders>
              <w:top w:val="nil" w:sz="6" w:space="0" w:color="auto"/>
              <w:left w:val="nil" w:sz="6" w:space="0" w:color="auto"/>
              <w:bottom w:val="single" w:sz="4" w:space="0" w:color="000000"/>
              <w:right w:val="nil" w:sz="6" w:space="0" w:color="auto"/>
            </w:tcBorders>
          </w:tcPr>
          <w:p>
            <w:pPr>
              <w:pStyle w:val="TableParagraph"/>
              <w:spacing w:line="203" w:lineRule="exact"/>
              <w:ind w:left="275" w:right="0"/>
              <w:jc w:val="center"/>
              <w:rPr>
                <w:rFonts w:ascii="Calibri" w:hAnsi="Calibri" w:cs="Calibri" w:eastAsia="Calibri" w:hint="default"/>
                <w:sz w:val="20"/>
                <w:szCs w:val="20"/>
              </w:rPr>
            </w:pPr>
            <w:r>
              <w:rPr>
                <w:rFonts w:ascii="Calibri"/>
                <w:b/>
                <w:sz w:val="20"/>
              </w:rPr>
              <w:t>Other</w:t>
            </w:r>
            <w:r>
              <w:rPr>
                <w:rFonts w:ascii="Calibri"/>
                <w:b/>
                <w:spacing w:val="-10"/>
                <w:sz w:val="20"/>
              </w:rPr>
              <w:t> </w:t>
            </w:r>
            <w:r>
              <w:rPr>
                <w:rFonts w:ascii="Calibri"/>
                <w:b/>
                <w:sz w:val="20"/>
              </w:rPr>
              <w:t>Countries</w:t>
            </w:r>
            <w:r>
              <w:rPr>
                <w:rFonts w:ascii="Calibri"/>
                <w:sz w:val="20"/>
              </w:rPr>
            </w:r>
          </w:p>
        </w:tc>
        <w:tc>
          <w:tcPr>
            <w:tcW w:w="806" w:type="dxa"/>
            <w:tcBorders>
              <w:top w:val="nil" w:sz="6" w:space="0" w:color="auto"/>
              <w:left w:val="nil" w:sz="6" w:space="0" w:color="auto"/>
              <w:bottom w:val="single" w:sz="4" w:space="0" w:color="000000"/>
              <w:right w:val="nil" w:sz="6" w:space="0" w:color="auto"/>
            </w:tcBorders>
          </w:tcPr>
          <w:p>
            <w:pPr>
              <w:pStyle w:val="TableParagraph"/>
              <w:spacing w:line="203" w:lineRule="exact"/>
              <w:ind w:right="91"/>
              <w:jc w:val="right"/>
              <w:rPr>
                <w:rFonts w:ascii="Calibri" w:hAnsi="Calibri" w:cs="Calibri" w:eastAsia="Calibri" w:hint="default"/>
                <w:sz w:val="20"/>
                <w:szCs w:val="20"/>
              </w:rPr>
            </w:pPr>
            <w:r>
              <w:rPr>
                <w:rFonts w:ascii="Calibri"/>
                <w:b/>
                <w:spacing w:val="-1"/>
                <w:sz w:val="20"/>
              </w:rPr>
              <w:t>t-value</w:t>
            </w:r>
            <w:r>
              <w:rPr>
                <w:rFonts w:ascii="Calibri"/>
                <w:spacing w:val="-1"/>
                <w:sz w:val="20"/>
              </w:rPr>
            </w:r>
          </w:p>
        </w:tc>
        <w:tc>
          <w:tcPr>
            <w:tcW w:w="478" w:type="dxa"/>
            <w:tcBorders>
              <w:top w:val="nil" w:sz="6" w:space="0" w:color="auto"/>
              <w:left w:val="nil" w:sz="6" w:space="0" w:color="auto"/>
              <w:bottom w:val="single" w:sz="4" w:space="0" w:color="000000"/>
              <w:right w:val="nil" w:sz="6" w:space="0" w:color="auto"/>
            </w:tcBorders>
          </w:tcPr>
          <w:p>
            <w:pPr>
              <w:pStyle w:val="TableParagraph"/>
              <w:spacing w:line="203" w:lineRule="exact"/>
              <w:ind w:left="96" w:right="0"/>
              <w:jc w:val="left"/>
              <w:rPr>
                <w:rFonts w:ascii="Calibri" w:hAnsi="Calibri" w:cs="Calibri" w:eastAsia="Calibri" w:hint="default"/>
                <w:sz w:val="20"/>
                <w:szCs w:val="20"/>
              </w:rPr>
            </w:pPr>
            <w:r>
              <w:rPr>
                <w:rFonts w:ascii="Calibri"/>
                <w:b/>
                <w:sz w:val="20"/>
              </w:rPr>
              <w:t>Sig.</w:t>
            </w:r>
            <w:r>
              <w:rPr>
                <w:rFonts w:ascii="Calibri"/>
                <w:sz w:val="20"/>
              </w:rPr>
            </w:r>
          </w:p>
        </w:tc>
      </w:tr>
      <w:tr>
        <w:trPr>
          <w:trHeight w:val="268" w:hRule="exact"/>
        </w:trPr>
        <w:tc>
          <w:tcPr>
            <w:tcW w:w="4414"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69" w:right="0"/>
              <w:jc w:val="left"/>
              <w:rPr>
                <w:rFonts w:ascii="Calibri" w:hAnsi="Calibri" w:cs="Calibri" w:eastAsia="Calibri" w:hint="default"/>
                <w:sz w:val="20"/>
                <w:szCs w:val="20"/>
              </w:rPr>
            </w:pPr>
            <w:r>
              <w:rPr>
                <w:rFonts w:ascii="Calibri"/>
                <w:sz w:val="20"/>
              </w:rPr>
              <w:t>Did not know what to</w:t>
            </w:r>
            <w:r>
              <w:rPr>
                <w:rFonts w:ascii="Calibri"/>
                <w:spacing w:val="-10"/>
                <w:sz w:val="20"/>
              </w:rPr>
              <w:t> </w:t>
            </w:r>
            <w:r>
              <w:rPr>
                <w:rFonts w:ascii="Calibri"/>
                <w:sz w:val="20"/>
              </w:rPr>
              <w:t>expect</w:t>
            </w:r>
          </w:p>
        </w:tc>
        <w:tc>
          <w:tcPr>
            <w:tcW w:w="1522"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408"/>
              <w:jc w:val="right"/>
              <w:rPr>
                <w:rFonts w:ascii="Calibri" w:hAnsi="Calibri" w:cs="Calibri" w:eastAsia="Calibri" w:hint="default"/>
                <w:sz w:val="20"/>
                <w:szCs w:val="20"/>
              </w:rPr>
            </w:pPr>
            <w:r>
              <w:rPr>
                <w:rFonts w:ascii="Calibri"/>
                <w:w w:val="95"/>
                <w:sz w:val="20"/>
              </w:rPr>
              <w:t>3.43</w:t>
            </w:r>
            <w:r>
              <w:rPr>
                <w:rFonts w:ascii="Calibri"/>
                <w:sz w:val="20"/>
              </w:rPr>
            </w:r>
          </w:p>
        </w:tc>
        <w:tc>
          <w:tcPr>
            <w:tcW w:w="1870"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273" w:right="0"/>
              <w:jc w:val="center"/>
              <w:rPr>
                <w:rFonts w:ascii="Calibri" w:hAnsi="Calibri" w:cs="Calibri" w:eastAsia="Calibri" w:hint="default"/>
                <w:sz w:val="20"/>
                <w:szCs w:val="20"/>
              </w:rPr>
            </w:pPr>
            <w:r>
              <w:rPr>
                <w:rFonts w:ascii="Calibri"/>
                <w:sz w:val="20"/>
              </w:rPr>
              <w:t>3.89</w:t>
            </w:r>
          </w:p>
        </w:tc>
        <w:tc>
          <w:tcPr>
            <w:tcW w:w="806" w:type="dxa"/>
            <w:tcBorders>
              <w:top w:val="single" w:sz="4" w:space="0" w:color="000000"/>
              <w:left w:val="nil" w:sz="6" w:space="0" w:color="auto"/>
              <w:bottom w:val="nil" w:sz="6" w:space="0" w:color="auto"/>
              <w:right w:val="nil" w:sz="6" w:space="0" w:color="auto"/>
            </w:tcBorders>
          </w:tcPr>
          <w:p>
            <w:pPr>
              <w:pStyle w:val="TableParagraph"/>
              <w:spacing w:line="240" w:lineRule="auto" w:before="1"/>
              <w:ind w:right="122"/>
              <w:jc w:val="right"/>
              <w:rPr>
                <w:rFonts w:ascii="Calibri" w:hAnsi="Calibri" w:cs="Calibri" w:eastAsia="Calibri" w:hint="default"/>
                <w:sz w:val="20"/>
                <w:szCs w:val="20"/>
              </w:rPr>
            </w:pPr>
            <w:r>
              <w:rPr>
                <w:rFonts w:ascii="Calibri"/>
                <w:w w:val="95"/>
                <w:sz w:val="20"/>
              </w:rPr>
              <w:t>-1.842</w:t>
            </w:r>
            <w:r>
              <w:rPr>
                <w:rFonts w:ascii="Calibri"/>
                <w:sz w:val="20"/>
              </w:rPr>
            </w:r>
          </w:p>
        </w:tc>
        <w:tc>
          <w:tcPr>
            <w:tcW w:w="478" w:type="dxa"/>
            <w:tcBorders>
              <w:top w:val="single" w:sz="4" w:space="0" w:color="000000"/>
              <w:left w:val="nil" w:sz="6" w:space="0" w:color="auto"/>
              <w:bottom w:val="nil" w:sz="6" w:space="0" w:color="auto"/>
              <w:right w:val="nil" w:sz="6" w:space="0" w:color="auto"/>
            </w:tcBorders>
          </w:tcPr>
          <w:p>
            <w:pPr>
              <w:pStyle w:val="TableParagraph"/>
              <w:spacing w:line="240" w:lineRule="auto" w:before="1"/>
              <w:ind w:left="93" w:right="0"/>
              <w:jc w:val="left"/>
              <w:rPr>
                <w:rFonts w:ascii="Calibri" w:hAnsi="Calibri" w:cs="Calibri" w:eastAsia="Calibri" w:hint="default"/>
                <w:sz w:val="20"/>
                <w:szCs w:val="20"/>
              </w:rPr>
            </w:pPr>
            <w:r>
              <w:rPr>
                <w:rFonts w:ascii="Calibri"/>
                <w:sz w:val="20"/>
              </w:rPr>
              <w:t>***</w:t>
            </w:r>
          </w:p>
        </w:tc>
      </w:tr>
      <w:tr>
        <w:trPr>
          <w:trHeight w:val="244" w:hRule="exact"/>
        </w:trPr>
        <w:tc>
          <w:tcPr>
            <w:tcW w:w="4414" w:type="dxa"/>
            <w:tcBorders>
              <w:top w:val="nil" w:sz="6" w:space="0" w:color="auto"/>
              <w:left w:val="nil" w:sz="6" w:space="0" w:color="auto"/>
              <w:bottom w:val="nil" w:sz="6" w:space="0" w:color="auto"/>
              <w:right w:val="nil" w:sz="6" w:space="0" w:color="auto"/>
            </w:tcBorders>
          </w:tcPr>
          <w:p>
            <w:pPr>
              <w:pStyle w:val="TableParagraph"/>
              <w:spacing w:line="225" w:lineRule="exact"/>
              <w:ind w:left="69" w:right="0"/>
              <w:jc w:val="left"/>
              <w:rPr>
                <w:rFonts w:ascii="Calibri" w:hAnsi="Calibri" w:cs="Calibri" w:eastAsia="Calibri" w:hint="default"/>
                <w:sz w:val="20"/>
                <w:szCs w:val="20"/>
              </w:rPr>
            </w:pPr>
            <w:r>
              <w:rPr>
                <w:rFonts w:ascii="Calibri"/>
                <w:sz w:val="20"/>
              </w:rPr>
              <w:t>Was impressed with</w:t>
            </w:r>
            <w:r>
              <w:rPr>
                <w:rFonts w:ascii="Calibri"/>
                <w:spacing w:val="-12"/>
                <w:sz w:val="20"/>
              </w:rPr>
              <w:t> </w:t>
            </w:r>
            <w:r>
              <w:rPr>
                <w:rFonts w:ascii="Calibri"/>
                <w:sz w:val="20"/>
              </w:rPr>
              <w:t>Curacao</w:t>
            </w:r>
          </w:p>
        </w:tc>
        <w:tc>
          <w:tcPr>
            <w:tcW w:w="1522" w:type="dxa"/>
            <w:tcBorders>
              <w:top w:val="nil" w:sz="6" w:space="0" w:color="auto"/>
              <w:left w:val="nil" w:sz="6" w:space="0" w:color="auto"/>
              <w:bottom w:val="nil" w:sz="6" w:space="0" w:color="auto"/>
              <w:right w:val="nil" w:sz="6" w:space="0" w:color="auto"/>
            </w:tcBorders>
          </w:tcPr>
          <w:p>
            <w:pPr>
              <w:pStyle w:val="TableParagraph"/>
              <w:spacing w:line="225" w:lineRule="exact"/>
              <w:ind w:right="408"/>
              <w:jc w:val="right"/>
              <w:rPr>
                <w:rFonts w:ascii="Calibri" w:hAnsi="Calibri" w:cs="Calibri" w:eastAsia="Calibri" w:hint="default"/>
                <w:sz w:val="20"/>
                <w:szCs w:val="20"/>
              </w:rPr>
            </w:pPr>
            <w:r>
              <w:rPr>
                <w:rFonts w:ascii="Calibri"/>
                <w:w w:val="95"/>
                <w:sz w:val="20"/>
              </w:rPr>
              <w:t>4.10</w:t>
            </w:r>
            <w:r>
              <w:rPr>
                <w:rFonts w:ascii="Calibri"/>
                <w:sz w:val="20"/>
              </w:rPr>
            </w:r>
          </w:p>
        </w:tc>
        <w:tc>
          <w:tcPr>
            <w:tcW w:w="1870" w:type="dxa"/>
            <w:tcBorders>
              <w:top w:val="nil" w:sz="6" w:space="0" w:color="auto"/>
              <w:left w:val="nil" w:sz="6" w:space="0" w:color="auto"/>
              <w:bottom w:val="nil" w:sz="6" w:space="0" w:color="auto"/>
              <w:right w:val="nil" w:sz="6" w:space="0" w:color="auto"/>
            </w:tcBorders>
          </w:tcPr>
          <w:p>
            <w:pPr>
              <w:pStyle w:val="TableParagraph"/>
              <w:spacing w:line="225" w:lineRule="exact"/>
              <w:ind w:left="273" w:right="0"/>
              <w:jc w:val="center"/>
              <w:rPr>
                <w:rFonts w:ascii="Calibri" w:hAnsi="Calibri" w:cs="Calibri" w:eastAsia="Calibri" w:hint="default"/>
                <w:sz w:val="20"/>
                <w:szCs w:val="20"/>
              </w:rPr>
            </w:pPr>
            <w:r>
              <w:rPr>
                <w:rFonts w:ascii="Calibri"/>
                <w:sz w:val="20"/>
              </w:rPr>
              <w:t>4.13</w:t>
            </w:r>
          </w:p>
        </w:tc>
        <w:tc>
          <w:tcPr>
            <w:tcW w:w="806" w:type="dxa"/>
            <w:tcBorders>
              <w:top w:val="nil" w:sz="6" w:space="0" w:color="auto"/>
              <w:left w:val="nil" w:sz="6" w:space="0" w:color="auto"/>
              <w:bottom w:val="nil" w:sz="6" w:space="0" w:color="auto"/>
              <w:right w:val="nil" w:sz="6" w:space="0" w:color="auto"/>
            </w:tcBorders>
          </w:tcPr>
          <w:p>
            <w:pPr>
              <w:pStyle w:val="TableParagraph"/>
              <w:spacing w:line="225" w:lineRule="exact"/>
              <w:ind w:right="122"/>
              <w:jc w:val="right"/>
              <w:rPr>
                <w:rFonts w:ascii="Calibri" w:hAnsi="Calibri" w:cs="Calibri" w:eastAsia="Calibri" w:hint="default"/>
                <w:sz w:val="20"/>
                <w:szCs w:val="20"/>
              </w:rPr>
            </w:pPr>
            <w:r>
              <w:rPr>
                <w:rFonts w:ascii="Calibri"/>
                <w:w w:val="95"/>
                <w:sz w:val="20"/>
              </w:rPr>
              <w:t>-0.237</w:t>
            </w:r>
            <w:r>
              <w:rPr>
                <w:rFonts w:ascii="Calibri"/>
                <w:sz w:val="20"/>
              </w:rPr>
            </w:r>
          </w:p>
        </w:tc>
        <w:tc>
          <w:tcPr>
            <w:tcW w:w="478" w:type="dxa"/>
            <w:tcBorders>
              <w:top w:val="nil" w:sz="6" w:space="0" w:color="auto"/>
              <w:left w:val="nil" w:sz="6" w:space="0" w:color="auto"/>
              <w:bottom w:val="nil" w:sz="6" w:space="0" w:color="auto"/>
              <w:right w:val="nil" w:sz="6" w:space="0" w:color="auto"/>
            </w:tcBorders>
          </w:tcPr>
          <w:p>
            <w:pPr/>
          </w:p>
        </w:tc>
      </w:tr>
      <w:tr>
        <w:trPr>
          <w:trHeight w:val="245" w:hRule="exact"/>
        </w:trPr>
        <w:tc>
          <w:tcPr>
            <w:tcW w:w="4414"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Will return to</w:t>
            </w:r>
            <w:r>
              <w:rPr>
                <w:rFonts w:ascii="Calibri"/>
                <w:spacing w:val="-9"/>
                <w:sz w:val="20"/>
              </w:rPr>
              <w:t> </w:t>
            </w:r>
            <w:r>
              <w:rPr>
                <w:rFonts w:ascii="Calibri"/>
                <w:sz w:val="20"/>
              </w:rPr>
              <w:t>Curacao</w:t>
            </w:r>
          </w:p>
        </w:tc>
        <w:tc>
          <w:tcPr>
            <w:tcW w:w="1522" w:type="dxa"/>
            <w:tcBorders>
              <w:top w:val="nil" w:sz="6" w:space="0" w:color="auto"/>
              <w:left w:val="nil" w:sz="6" w:space="0" w:color="auto"/>
              <w:bottom w:val="nil" w:sz="6" w:space="0" w:color="auto"/>
              <w:right w:val="nil" w:sz="6" w:space="0" w:color="auto"/>
            </w:tcBorders>
          </w:tcPr>
          <w:p>
            <w:pPr>
              <w:pStyle w:val="TableParagraph"/>
              <w:spacing w:line="226" w:lineRule="exact"/>
              <w:ind w:right="408"/>
              <w:jc w:val="right"/>
              <w:rPr>
                <w:rFonts w:ascii="Calibri" w:hAnsi="Calibri" w:cs="Calibri" w:eastAsia="Calibri" w:hint="default"/>
                <w:sz w:val="20"/>
                <w:szCs w:val="20"/>
              </w:rPr>
            </w:pPr>
            <w:r>
              <w:rPr>
                <w:rFonts w:ascii="Calibri"/>
                <w:w w:val="95"/>
                <w:sz w:val="20"/>
              </w:rPr>
              <w:t>3.09</w:t>
            </w:r>
            <w:r>
              <w:rPr>
                <w:rFonts w:ascii="Calibri"/>
                <w:sz w:val="20"/>
              </w:rPr>
            </w:r>
          </w:p>
        </w:tc>
        <w:tc>
          <w:tcPr>
            <w:tcW w:w="1870" w:type="dxa"/>
            <w:tcBorders>
              <w:top w:val="nil" w:sz="6" w:space="0" w:color="auto"/>
              <w:left w:val="nil" w:sz="6" w:space="0" w:color="auto"/>
              <w:bottom w:val="nil" w:sz="6" w:space="0" w:color="auto"/>
              <w:right w:val="nil" w:sz="6" w:space="0" w:color="auto"/>
            </w:tcBorders>
          </w:tcPr>
          <w:p>
            <w:pPr>
              <w:pStyle w:val="TableParagraph"/>
              <w:spacing w:line="226" w:lineRule="exact"/>
              <w:ind w:left="273" w:right="0"/>
              <w:jc w:val="center"/>
              <w:rPr>
                <w:rFonts w:ascii="Calibri" w:hAnsi="Calibri" w:cs="Calibri" w:eastAsia="Calibri" w:hint="default"/>
                <w:sz w:val="20"/>
                <w:szCs w:val="20"/>
              </w:rPr>
            </w:pPr>
            <w:r>
              <w:rPr>
                <w:rFonts w:ascii="Calibri"/>
                <w:sz w:val="20"/>
              </w:rPr>
              <w:t>3.67</w:t>
            </w:r>
          </w:p>
        </w:tc>
        <w:tc>
          <w:tcPr>
            <w:tcW w:w="806" w:type="dxa"/>
            <w:tcBorders>
              <w:top w:val="nil" w:sz="6" w:space="0" w:color="auto"/>
              <w:left w:val="nil" w:sz="6" w:space="0" w:color="auto"/>
              <w:bottom w:val="nil" w:sz="6" w:space="0" w:color="auto"/>
              <w:right w:val="nil" w:sz="6" w:space="0" w:color="auto"/>
            </w:tcBorders>
          </w:tcPr>
          <w:p>
            <w:pPr>
              <w:pStyle w:val="TableParagraph"/>
              <w:spacing w:line="226" w:lineRule="exact"/>
              <w:ind w:right="122"/>
              <w:jc w:val="right"/>
              <w:rPr>
                <w:rFonts w:ascii="Calibri" w:hAnsi="Calibri" w:cs="Calibri" w:eastAsia="Calibri" w:hint="default"/>
                <w:sz w:val="20"/>
                <w:szCs w:val="20"/>
              </w:rPr>
            </w:pPr>
            <w:r>
              <w:rPr>
                <w:rFonts w:ascii="Calibri"/>
                <w:w w:val="95"/>
                <w:sz w:val="20"/>
              </w:rPr>
              <w:t>-2.504</w:t>
            </w:r>
            <w:r>
              <w:rPr>
                <w:rFonts w:ascii="Calibri"/>
                <w:sz w:val="20"/>
              </w:rPr>
            </w:r>
          </w:p>
        </w:tc>
        <w:tc>
          <w:tcPr>
            <w:tcW w:w="478" w:type="dxa"/>
            <w:tcBorders>
              <w:top w:val="nil" w:sz="6" w:space="0" w:color="auto"/>
              <w:left w:val="nil" w:sz="6" w:space="0" w:color="auto"/>
              <w:bottom w:val="nil" w:sz="6" w:space="0" w:color="auto"/>
              <w:right w:val="nil" w:sz="6" w:space="0" w:color="auto"/>
            </w:tcBorders>
          </w:tcPr>
          <w:p>
            <w:pPr>
              <w:pStyle w:val="TableParagraph"/>
              <w:spacing w:line="226" w:lineRule="exact"/>
              <w:ind w:left="144" w:right="0"/>
              <w:jc w:val="left"/>
              <w:rPr>
                <w:rFonts w:ascii="Calibri" w:hAnsi="Calibri" w:cs="Calibri" w:eastAsia="Calibri" w:hint="default"/>
                <w:sz w:val="20"/>
                <w:szCs w:val="20"/>
              </w:rPr>
            </w:pPr>
            <w:r>
              <w:rPr>
                <w:rFonts w:ascii="Calibri"/>
                <w:sz w:val="20"/>
              </w:rPr>
              <w:t>**</w:t>
            </w:r>
          </w:p>
        </w:tc>
      </w:tr>
      <w:tr>
        <w:trPr>
          <w:trHeight w:val="244" w:hRule="exact"/>
        </w:trPr>
        <w:tc>
          <w:tcPr>
            <w:tcW w:w="4414"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Will recommend</w:t>
            </w:r>
            <w:r>
              <w:rPr>
                <w:rFonts w:ascii="Calibri"/>
                <w:spacing w:val="-10"/>
                <w:sz w:val="20"/>
              </w:rPr>
              <w:t> </w:t>
            </w:r>
            <w:r>
              <w:rPr>
                <w:rFonts w:ascii="Calibri"/>
                <w:sz w:val="20"/>
              </w:rPr>
              <w:t>Curacao</w:t>
            </w:r>
          </w:p>
        </w:tc>
        <w:tc>
          <w:tcPr>
            <w:tcW w:w="1522" w:type="dxa"/>
            <w:tcBorders>
              <w:top w:val="nil" w:sz="6" w:space="0" w:color="auto"/>
              <w:left w:val="nil" w:sz="6" w:space="0" w:color="auto"/>
              <w:bottom w:val="nil" w:sz="6" w:space="0" w:color="auto"/>
              <w:right w:val="nil" w:sz="6" w:space="0" w:color="auto"/>
            </w:tcBorders>
          </w:tcPr>
          <w:p>
            <w:pPr>
              <w:pStyle w:val="TableParagraph"/>
              <w:spacing w:line="226" w:lineRule="exact"/>
              <w:ind w:right="408"/>
              <w:jc w:val="right"/>
              <w:rPr>
                <w:rFonts w:ascii="Calibri" w:hAnsi="Calibri" w:cs="Calibri" w:eastAsia="Calibri" w:hint="default"/>
                <w:sz w:val="20"/>
                <w:szCs w:val="20"/>
              </w:rPr>
            </w:pPr>
            <w:r>
              <w:rPr>
                <w:rFonts w:ascii="Calibri"/>
                <w:w w:val="95"/>
                <w:sz w:val="20"/>
              </w:rPr>
              <w:t>3.96</w:t>
            </w:r>
            <w:r>
              <w:rPr>
                <w:rFonts w:ascii="Calibri"/>
                <w:sz w:val="20"/>
              </w:rPr>
            </w:r>
          </w:p>
        </w:tc>
        <w:tc>
          <w:tcPr>
            <w:tcW w:w="1870" w:type="dxa"/>
            <w:tcBorders>
              <w:top w:val="nil" w:sz="6" w:space="0" w:color="auto"/>
              <w:left w:val="nil" w:sz="6" w:space="0" w:color="auto"/>
              <w:bottom w:val="nil" w:sz="6" w:space="0" w:color="auto"/>
              <w:right w:val="nil" w:sz="6" w:space="0" w:color="auto"/>
            </w:tcBorders>
          </w:tcPr>
          <w:p>
            <w:pPr>
              <w:pStyle w:val="TableParagraph"/>
              <w:spacing w:line="226" w:lineRule="exact"/>
              <w:ind w:left="273" w:right="0"/>
              <w:jc w:val="center"/>
              <w:rPr>
                <w:rFonts w:ascii="Calibri" w:hAnsi="Calibri" w:cs="Calibri" w:eastAsia="Calibri" w:hint="default"/>
                <w:sz w:val="20"/>
                <w:szCs w:val="20"/>
              </w:rPr>
            </w:pPr>
            <w:r>
              <w:rPr>
                <w:rFonts w:ascii="Calibri"/>
                <w:sz w:val="20"/>
              </w:rPr>
              <w:t>4.03</w:t>
            </w:r>
          </w:p>
        </w:tc>
        <w:tc>
          <w:tcPr>
            <w:tcW w:w="806" w:type="dxa"/>
            <w:tcBorders>
              <w:top w:val="nil" w:sz="6" w:space="0" w:color="auto"/>
              <w:left w:val="nil" w:sz="6" w:space="0" w:color="auto"/>
              <w:bottom w:val="nil" w:sz="6" w:space="0" w:color="auto"/>
              <w:right w:val="nil" w:sz="6" w:space="0" w:color="auto"/>
            </w:tcBorders>
          </w:tcPr>
          <w:p>
            <w:pPr>
              <w:pStyle w:val="TableParagraph"/>
              <w:spacing w:line="226" w:lineRule="exact"/>
              <w:ind w:right="122"/>
              <w:jc w:val="right"/>
              <w:rPr>
                <w:rFonts w:ascii="Calibri" w:hAnsi="Calibri" w:cs="Calibri" w:eastAsia="Calibri" w:hint="default"/>
                <w:sz w:val="20"/>
                <w:szCs w:val="20"/>
              </w:rPr>
            </w:pPr>
            <w:r>
              <w:rPr>
                <w:rFonts w:ascii="Calibri"/>
                <w:w w:val="95"/>
                <w:sz w:val="20"/>
              </w:rPr>
              <w:t>-0.333</w:t>
            </w:r>
            <w:r>
              <w:rPr>
                <w:rFonts w:ascii="Calibri"/>
                <w:sz w:val="20"/>
              </w:rPr>
            </w:r>
          </w:p>
        </w:tc>
        <w:tc>
          <w:tcPr>
            <w:tcW w:w="478" w:type="dxa"/>
            <w:tcBorders>
              <w:top w:val="nil" w:sz="6" w:space="0" w:color="auto"/>
              <w:left w:val="nil" w:sz="6" w:space="0" w:color="auto"/>
              <w:bottom w:val="nil" w:sz="6" w:space="0" w:color="auto"/>
              <w:right w:val="nil" w:sz="6" w:space="0" w:color="auto"/>
            </w:tcBorders>
          </w:tcPr>
          <w:p>
            <w:pPr/>
          </w:p>
        </w:tc>
      </w:tr>
      <w:tr>
        <w:trPr>
          <w:trHeight w:val="244" w:hRule="exact"/>
        </w:trPr>
        <w:tc>
          <w:tcPr>
            <w:tcW w:w="4414" w:type="dxa"/>
            <w:tcBorders>
              <w:top w:val="nil" w:sz="6" w:space="0" w:color="auto"/>
              <w:left w:val="nil" w:sz="6" w:space="0" w:color="auto"/>
              <w:bottom w:val="nil" w:sz="6" w:space="0" w:color="auto"/>
              <w:right w:val="nil" w:sz="6" w:space="0" w:color="auto"/>
            </w:tcBorders>
          </w:tcPr>
          <w:p>
            <w:pPr>
              <w:pStyle w:val="TableParagraph"/>
              <w:spacing w:line="225" w:lineRule="exact"/>
              <w:ind w:left="69" w:right="0"/>
              <w:jc w:val="left"/>
              <w:rPr>
                <w:rFonts w:ascii="Calibri" w:hAnsi="Calibri" w:cs="Calibri" w:eastAsia="Calibri" w:hint="default"/>
                <w:sz w:val="20"/>
                <w:szCs w:val="20"/>
              </w:rPr>
            </w:pPr>
            <w:r>
              <w:rPr>
                <w:rFonts w:ascii="Calibri"/>
                <w:sz w:val="20"/>
              </w:rPr>
              <w:t>Curacao has more to offer than</w:t>
            </w:r>
            <w:r>
              <w:rPr>
                <w:rFonts w:ascii="Calibri"/>
                <w:spacing w:val="-17"/>
                <w:sz w:val="20"/>
              </w:rPr>
              <w:t> </w:t>
            </w:r>
            <w:r>
              <w:rPr>
                <w:rFonts w:ascii="Calibri"/>
                <w:sz w:val="20"/>
              </w:rPr>
              <w:t>experienced</w:t>
            </w:r>
          </w:p>
        </w:tc>
        <w:tc>
          <w:tcPr>
            <w:tcW w:w="1522" w:type="dxa"/>
            <w:tcBorders>
              <w:top w:val="nil" w:sz="6" w:space="0" w:color="auto"/>
              <w:left w:val="nil" w:sz="6" w:space="0" w:color="auto"/>
              <w:bottom w:val="nil" w:sz="6" w:space="0" w:color="auto"/>
              <w:right w:val="nil" w:sz="6" w:space="0" w:color="auto"/>
            </w:tcBorders>
          </w:tcPr>
          <w:p>
            <w:pPr>
              <w:pStyle w:val="TableParagraph"/>
              <w:spacing w:line="225" w:lineRule="exact"/>
              <w:ind w:right="408"/>
              <w:jc w:val="right"/>
              <w:rPr>
                <w:rFonts w:ascii="Calibri" w:hAnsi="Calibri" w:cs="Calibri" w:eastAsia="Calibri" w:hint="default"/>
                <w:sz w:val="20"/>
                <w:szCs w:val="20"/>
              </w:rPr>
            </w:pPr>
            <w:r>
              <w:rPr>
                <w:rFonts w:ascii="Calibri"/>
                <w:w w:val="95"/>
                <w:sz w:val="20"/>
              </w:rPr>
              <w:t>3.96</w:t>
            </w:r>
            <w:r>
              <w:rPr>
                <w:rFonts w:ascii="Calibri"/>
                <w:sz w:val="20"/>
              </w:rPr>
            </w:r>
          </w:p>
        </w:tc>
        <w:tc>
          <w:tcPr>
            <w:tcW w:w="1870" w:type="dxa"/>
            <w:tcBorders>
              <w:top w:val="nil" w:sz="6" w:space="0" w:color="auto"/>
              <w:left w:val="nil" w:sz="6" w:space="0" w:color="auto"/>
              <w:bottom w:val="nil" w:sz="6" w:space="0" w:color="auto"/>
              <w:right w:val="nil" w:sz="6" w:space="0" w:color="auto"/>
            </w:tcBorders>
          </w:tcPr>
          <w:p>
            <w:pPr>
              <w:pStyle w:val="TableParagraph"/>
              <w:spacing w:line="225" w:lineRule="exact"/>
              <w:ind w:left="273" w:right="0"/>
              <w:jc w:val="center"/>
              <w:rPr>
                <w:rFonts w:ascii="Calibri" w:hAnsi="Calibri" w:cs="Calibri" w:eastAsia="Calibri" w:hint="default"/>
                <w:sz w:val="20"/>
                <w:szCs w:val="20"/>
              </w:rPr>
            </w:pPr>
            <w:r>
              <w:rPr>
                <w:rFonts w:ascii="Calibri"/>
                <w:sz w:val="20"/>
              </w:rPr>
              <w:t>4.18</w:t>
            </w:r>
          </w:p>
        </w:tc>
        <w:tc>
          <w:tcPr>
            <w:tcW w:w="806" w:type="dxa"/>
            <w:tcBorders>
              <w:top w:val="nil" w:sz="6" w:space="0" w:color="auto"/>
              <w:left w:val="nil" w:sz="6" w:space="0" w:color="auto"/>
              <w:bottom w:val="nil" w:sz="6" w:space="0" w:color="auto"/>
              <w:right w:val="nil" w:sz="6" w:space="0" w:color="auto"/>
            </w:tcBorders>
          </w:tcPr>
          <w:p>
            <w:pPr>
              <w:pStyle w:val="TableParagraph"/>
              <w:spacing w:line="225" w:lineRule="exact"/>
              <w:ind w:right="122"/>
              <w:jc w:val="right"/>
              <w:rPr>
                <w:rFonts w:ascii="Calibri" w:hAnsi="Calibri" w:cs="Calibri" w:eastAsia="Calibri" w:hint="default"/>
                <w:sz w:val="20"/>
                <w:szCs w:val="20"/>
              </w:rPr>
            </w:pPr>
            <w:r>
              <w:rPr>
                <w:rFonts w:ascii="Calibri"/>
                <w:w w:val="95"/>
                <w:sz w:val="20"/>
              </w:rPr>
              <w:t>-1.178</w:t>
            </w:r>
            <w:r>
              <w:rPr>
                <w:rFonts w:ascii="Calibri"/>
                <w:sz w:val="20"/>
              </w:rPr>
            </w:r>
          </w:p>
        </w:tc>
        <w:tc>
          <w:tcPr>
            <w:tcW w:w="478" w:type="dxa"/>
            <w:tcBorders>
              <w:top w:val="nil" w:sz="6" w:space="0" w:color="auto"/>
              <w:left w:val="nil" w:sz="6" w:space="0" w:color="auto"/>
              <w:bottom w:val="nil" w:sz="6" w:space="0" w:color="auto"/>
              <w:right w:val="nil" w:sz="6" w:space="0" w:color="auto"/>
            </w:tcBorders>
          </w:tcPr>
          <w:p>
            <w:pPr/>
          </w:p>
        </w:tc>
      </w:tr>
      <w:tr>
        <w:trPr>
          <w:trHeight w:val="245" w:hRule="exact"/>
        </w:trPr>
        <w:tc>
          <w:tcPr>
            <w:tcW w:w="4414"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A non-cruise vacation is  worth time</w:t>
            </w:r>
            <w:r>
              <w:rPr>
                <w:rFonts w:ascii="Calibri"/>
                <w:spacing w:val="-16"/>
                <w:sz w:val="20"/>
              </w:rPr>
              <w:t> </w:t>
            </w:r>
            <w:r>
              <w:rPr>
                <w:rFonts w:ascii="Calibri"/>
                <w:sz w:val="20"/>
              </w:rPr>
              <w:t>money</w:t>
            </w:r>
          </w:p>
        </w:tc>
        <w:tc>
          <w:tcPr>
            <w:tcW w:w="1522" w:type="dxa"/>
            <w:tcBorders>
              <w:top w:val="nil" w:sz="6" w:space="0" w:color="auto"/>
              <w:left w:val="nil" w:sz="6" w:space="0" w:color="auto"/>
              <w:bottom w:val="nil" w:sz="6" w:space="0" w:color="auto"/>
              <w:right w:val="nil" w:sz="6" w:space="0" w:color="auto"/>
            </w:tcBorders>
          </w:tcPr>
          <w:p>
            <w:pPr>
              <w:pStyle w:val="TableParagraph"/>
              <w:spacing w:line="226" w:lineRule="exact"/>
              <w:ind w:right="408"/>
              <w:jc w:val="right"/>
              <w:rPr>
                <w:rFonts w:ascii="Calibri" w:hAnsi="Calibri" w:cs="Calibri" w:eastAsia="Calibri" w:hint="default"/>
                <w:sz w:val="20"/>
                <w:szCs w:val="20"/>
              </w:rPr>
            </w:pPr>
            <w:r>
              <w:rPr>
                <w:rFonts w:ascii="Calibri"/>
                <w:w w:val="95"/>
                <w:sz w:val="20"/>
              </w:rPr>
              <w:t>3.70</w:t>
            </w:r>
            <w:r>
              <w:rPr>
                <w:rFonts w:ascii="Calibri"/>
                <w:sz w:val="20"/>
              </w:rPr>
            </w:r>
          </w:p>
        </w:tc>
        <w:tc>
          <w:tcPr>
            <w:tcW w:w="1870" w:type="dxa"/>
            <w:tcBorders>
              <w:top w:val="nil" w:sz="6" w:space="0" w:color="auto"/>
              <w:left w:val="nil" w:sz="6" w:space="0" w:color="auto"/>
              <w:bottom w:val="nil" w:sz="6" w:space="0" w:color="auto"/>
              <w:right w:val="nil" w:sz="6" w:space="0" w:color="auto"/>
            </w:tcBorders>
          </w:tcPr>
          <w:p>
            <w:pPr>
              <w:pStyle w:val="TableParagraph"/>
              <w:spacing w:line="226" w:lineRule="exact"/>
              <w:ind w:left="273" w:right="0"/>
              <w:jc w:val="center"/>
              <w:rPr>
                <w:rFonts w:ascii="Calibri" w:hAnsi="Calibri" w:cs="Calibri" w:eastAsia="Calibri" w:hint="default"/>
                <w:sz w:val="20"/>
                <w:szCs w:val="20"/>
              </w:rPr>
            </w:pPr>
            <w:r>
              <w:rPr>
                <w:rFonts w:ascii="Calibri"/>
                <w:sz w:val="20"/>
              </w:rPr>
              <w:t>4.00</w:t>
            </w:r>
          </w:p>
        </w:tc>
        <w:tc>
          <w:tcPr>
            <w:tcW w:w="806" w:type="dxa"/>
            <w:tcBorders>
              <w:top w:val="nil" w:sz="6" w:space="0" w:color="auto"/>
              <w:left w:val="nil" w:sz="6" w:space="0" w:color="auto"/>
              <w:bottom w:val="nil" w:sz="6" w:space="0" w:color="auto"/>
              <w:right w:val="nil" w:sz="6" w:space="0" w:color="auto"/>
            </w:tcBorders>
          </w:tcPr>
          <w:p>
            <w:pPr>
              <w:pStyle w:val="TableParagraph"/>
              <w:spacing w:line="226" w:lineRule="exact"/>
              <w:ind w:right="122"/>
              <w:jc w:val="right"/>
              <w:rPr>
                <w:rFonts w:ascii="Calibri" w:hAnsi="Calibri" w:cs="Calibri" w:eastAsia="Calibri" w:hint="default"/>
                <w:sz w:val="20"/>
                <w:szCs w:val="20"/>
              </w:rPr>
            </w:pPr>
            <w:r>
              <w:rPr>
                <w:rFonts w:ascii="Calibri"/>
                <w:w w:val="95"/>
                <w:sz w:val="20"/>
              </w:rPr>
              <w:t>-1.416</w:t>
            </w:r>
            <w:r>
              <w:rPr>
                <w:rFonts w:ascii="Calibri"/>
                <w:sz w:val="20"/>
              </w:rPr>
            </w:r>
          </w:p>
        </w:tc>
        <w:tc>
          <w:tcPr>
            <w:tcW w:w="478" w:type="dxa"/>
            <w:tcBorders>
              <w:top w:val="nil" w:sz="6" w:space="0" w:color="auto"/>
              <w:left w:val="nil" w:sz="6" w:space="0" w:color="auto"/>
              <w:bottom w:val="nil" w:sz="6" w:space="0" w:color="auto"/>
              <w:right w:val="nil" w:sz="6" w:space="0" w:color="auto"/>
            </w:tcBorders>
          </w:tcPr>
          <w:p>
            <w:pPr/>
          </w:p>
        </w:tc>
      </w:tr>
      <w:tr>
        <w:trPr>
          <w:trHeight w:val="245" w:hRule="exact"/>
        </w:trPr>
        <w:tc>
          <w:tcPr>
            <w:tcW w:w="4414"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Delighted with</w:t>
            </w:r>
            <w:r>
              <w:rPr>
                <w:rFonts w:ascii="Calibri"/>
                <w:spacing w:val="-10"/>
                <w:sz w:val="20"/>
              </w:rPr>
              <w:t> </w:t>
            </w:r>
            <w:r>
              <w:rPr>
                <w:rFonts w:ascii="Calibri"/>
                <w:sz w:val="20"/>
              </w:rPr>
              <w:t>Curacao</w:t>
            </w:r>
          </w:p>
        </w:tc>
        <w:tc>
          <w:tcPr>
            <w:tcW w:w="1522" w:type="dxa"/>
            <w:tcBorders>
              <w:top w:val="nil" w:sz="6" w:space="0" w:color="auto"/>
              <w:left w:val="nil" w:sz="6" w:space="0" w:color="auto"/>
              <w:bottom w:val="nil" w:sz="6" w:space="0" w:color="auto"/>
              <w:right w:val="nil" w:sz="6" w:space="0" w:color="auto"/>
            </w:tcBorders>
          </w:tcPr>
          <w:p>
            <w:pPr>
              <w:pStyle w:val="TableParagraph"/>
              <w:spacing w:line="226" w:lineRule="exact"/>
              <w:ind w:right="408"/>
              <w:jc w:val="right"/>
              <w:rPr>
                <w:rFonts w:ascii="Calibri" w:hAnsi="Calibri" w:cs="Calibri" w:eastAsia="Calibri" w:hint="default"/>
                <w:sz w:val="20"/>
                <w:szCs w:val="20"/>
              </w:rPr>
            </w:pPr>
            <w:r>
              <w:rPr>
                <w:rFonts w:ascii="Calibri"/>
                <w:w w:val="95"/>
                <w:sz w:val="20"/>
              </w:rPr>
              <w:t>4.26</w:t>
            </w:r>
            <w:r>
              <w:rPr>
                <w:rFonts w:ascii="Calibri"/>
                <w:sz w:val="20"/>
              </w:rPr>
            </w:r>
          </w:p>
        </w:tc>
        <w:tc>
          <w:tcPr>
            <w:tcW w:w="1870" w:type="dxa"/>
            <w:tcBorders>
              <w:top w:val="nil" w:sz="6" w:space="0" w:color="auto"/>
              <w:left w:val="nil" w:sz="6" w:space="0" w:color="auto"/>
              <w:bottom w:val="nil" w:sz="6" w:space="0" w:color="auto"/>
              <w:right w:val="nil" w:sz="6" w:space="0" w:color="auto"/>
            </w:tcBorders>
          </w:tcPr>
          <w:p>
            <w:pPr>
              <w:pStyle w:val="TableParagraph"/>
              <w:spacing w:line="226" w:lineRule="exact"/>
              <w:ind w:left="273" w:right="0"/>
              <w:jc w:val="center"/>
              <w:rPr>
                <w:rFonts w:ascii="Calibri" w:hAnsi="Calibri" w:cs="Calibri" w:eastAsia="Calibri" w:hint="default"/>
                <w:sz w:val="20"/>
                <w:szCs w:val="20"/>
              </w:rPr>
            </w:pPr>
            <w:r>
              <w:rPr>
                <w:rFonts w:ascii="Calibri"/>
                <w:sz w:val="20"/>
              </w:rPr>
              <w:t>4.27</w:t>
            </w:r>
          </w:p>
        </w:tc>
        <w:tc>
          <w:tcPr>
            <w:tcW w:w="806" w:type="dxa"/>
            <w:tcBorders>
              <w:top w:val="nil" w:sz="6" w:space="0" w:color="auto"/>
              <w:left w:val="nil" w:sz="6" w:space="0" w:color="auto"/>
              <w:bottom w:val="nil" w:sz="6" w:space="0" w:color="auto"/>
              <w:right w:val="nil" w:sz="6" w:space="0" w:color="auto"/>
            </w:tcBorders>
          </w:tcPr>
          <w:p>
            <w:pPr>
              <w:pStyle w:val="TableParagraph"/>
              <w:spacing w:line="226" w:lineRule="exact"/>
              <w:ind w:right="122"/>
              <w:jc w:val="right"/>
              <w:rPr>
                <w:rFonts w:ascii="Calibri" w:hAnsi="Calibri" w:cs="Calibri" w:eastAsia="Calibri" w:hint="default"/>
                <w:sz w:val="20"/>
                <w:szCs w:val="20"/>
              </w:rPr>
            </w:pPr>
            <w:r>
              <w:rPr>
                <w:rFonts w:ascii="Calibri"/>
                <w:w w:val="95"/>
                <w:sz w:val="20"/>
              </w:rPr>
              <w:t>-0.080</w:t>
            </w:r>
            <w:r>
              <w:rPr>
                <w:rFonts w:ascii="Calibri"/>
                <w:sz w:val="20"/>
              </w:rPr>
            </w:r>
          </w:p>
        </w:tc>
        <w:tc>
          <w:tcPr>
            <w:tcW w:w="478" w:type="dxa"/>
            <w:tcBorders>
              <w:top w:val="nil" w:sz="6" w:space="0" w:color="auto"/>
              <w:left w:val="nil" w:sz="6" w:space="0" w:color="auto"/>
              <w:bottom w:val="nil" w:sz="6" w:space="0" w:color="auto"/>
              <w:right w:val="nil" w:sz="6" w:space="0" w:color="auto"/>
            </w:tcBorders>
          </w:tcPr>
          <w:p>
            <w:pPr/>
          </w:p>
        </w:tc>
      </w:tr>
      <w:tr>
        <w:trPr>
          <w:trHeight w:val="244" w:hRule="exact"/>
        </w:trPr>
        <w:tc>
          <w:tcPr>
            <w:tcW w:w="4414"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Tour Guide was well</w:t>
            </w:r>
            <w:r>
              <w:rPr>
                <w:rFonts w:ascii="Calibri"/>
                <w:spacing w:val="-14"/>
                <w:sz w:val="20"/>
              </w:rPr>
              <w:t> </w:t>
            </w:r>
            <w:r>
              <w:rPr>
                <w:rFonts w:ascii="Calibri"/>
                <w:sz w:val="20"/>
              </w:rPr>
              <w:t>trained</w:t>
            </w:r>
          </w:p>
        </w:tc>
        <w:tc>
          <w:tcPr>
            <w:tcW w:w="1522" w:type="dxa"/>
            <w:tcBorders>
              <w:top w:val="nil" w:sz="6" w:space="0" w:color="auto"/>
              <w:left w:val="nil" w:sz="6" w:space="0" w:color="auto"/>
              <w:bottom w:val="nil" w:sz="6" w:space="0" w:color="auto"/>
              <w:right w:val="nil" w:sz="6" w:space="0" w:color="auto"/>
            </w:tcBorders>
          </w:tcPr>
          <w:p>
            <w:pPr>
              <w:pStyle w:val="TableParagraph"/>
              <w:spacing w:line="226" w:lineRule="exact"/>
              <w:ind w:right="408"/>
              <w:jc w:val="right"/>
              <w:rPr>
                <w:rFonts w:ascii="Calibri" w:hAnsi="Calibri" w:cs="Calibri" w:eastAsia="Calibri" w:hint="default"/>
                <w:sz w:val="20"/>
                <w:szCs w:val="20"/>
              </w:rPr>
            </w:pPr>
            <w:r>
              <w:rPr>
                <w:rFonts w:ascii="Calibri"/>
                <w:w w:val="95"/>
                <w:sz w:val="20"/>
              </w:rPr>
              <w:t>4.76</w:t>
            </w:r>
            <w:r>
              <w:rPr>
                <w:rFonts w:ascii="Calibri"/>
                <w:sz w:val="20"/>
              </w:rPr>
            </w:r>
          </w:p>
        </w:tc>
        <w:tc>
          <w:tcPr>
            <w:tcW w:w="1870" w:type="dxa"/>
            <w:tcBorders>
              <w:top w:val="nil" w:sz="6" w:space="0" w:color="auto"/>
              <w:left w:val="nil" w:sz="6" w:space="0" w:color="auto"/>
              <w:bottom w:val="nil" w:sz="6" w:space="0" w:color="auto"/>
              <w:right w:val="nil" w:sz="6" w:space="0" w:color="auto"/>
            </w:tcBorders>
          </w:tcPr>
          <w:p>
            <w:pPr>
              <w:pStyle w:val="TableParagraph"/>
              <w:spacing w:line="226" w:lineRule="exact"/>
              <w:ind w:left="273" w:right="0"/>
              <w:jc w:val="center"/>
              <w:rPr>
                <w:rFonts w:ascii="Calibri" w:hAnsi="Calibri" w:cs="Calibri" w:eastAsia="Calibri" w:hint="default"/>
                <w:sz w:val="20"/>
                <w:szCs w:val="20"/>
              </w:rPr>
            </w:pPr>
            <w:r>
              <w:rPr>
                <w:rFonts w:ascii="Calibri"/>
                <w:sz w:val="20"/>
              </w:rPr>
              <w:t>4.34</w:t>
            </w:r>
          </w:p>
        </w:tc>
        <w:tc>
          <w:tcPr>
            <w:tcW w:w="806" w:type="dxa"/>
            <w:tcBorders>
              <w:top w:val="nil" w:sz="6" w:space="0" w:color="auto"/>
              <w:left w:val="nil" w:sz="6" w:space="0" w:color="auto"/>
              <w:bottom w:val="nil" w:sz="6" w:space="0" w:color="auto"/>
              <w:right w:val="nil" w:sz="6" w:space="0" w:color="auto"/>
            </w:tcBorders>
          </w:tcPr>
          <w:p>
            <w:pPr>
              <w:pStyle w:val="TableParagraph"/>
              <w:spacing w:line="226" w:lineRule="exact"/>
              <w:ind w:right="152"/>
              <w:jc w:val="right"/>
              <w:rPr>
                <w:rFonts w:ascii="Calibri" w:hAnsi="Calibri" w:cs="Calibri" w:eastAsia="Calibri" w:hint="default"/>
                <w:sz w:val="20"/>
                <w:szCs w:val="20"/>
              </w:rPr>
            </w:pPr>
            <w:r>
              <w:rPr>
                <w:rFonts w:ascii="Calibri"/>
                <w:w w:val="95"/>
                <w:sz w:val="20"/>
              </w:rPr>
              <w:t>3.293</w:t>
            </w:r>
            <w:r>
              <w:rPr>
                <w:rFonts w:ascii="Calibri"/>
                <w:sz w:val="20"/>
              </w:rPr>
            </w:r>
          </w:p>
        </w:tc>
        <w:tc>
          <w:tcPr>
            <w:tcW w:w="478" w:type="dxa"/>
            <w:tcBorders>
              <w:top w:val="nil" w:sz="6" w:space="0" w:color="auto"/>
              <w:left w:val="nil" w:sz="6" w:space="0" w:color="auto"/>
              <w:bottom w:val="nil" w:sz="6" w:space="0" w:color="auto"/>
              <w:right w:val="nil" w:sz="6" w:space="0" w:color="auto"/>
            </w:tcBorders>
          </w:tcPr>
          <w:p>
            <w:pPr>
              <w:pStyle w:val="TableParagraph"/>
              <w:spacing w:line="226" w:lineRule="exact"/>
              <w:ind w:left="5" w:right="0"/>
              <w:jc w:val="center"/>
              <w:rPr>
                <w:rFonts w:ascii="Calibri" w:hAnsi="Calibri" w:cs="Calibri" w:eastAsia="Calibri" w:hint="default"/>
                <w:sz w:val="20"/>
                <w:szCs w:val="20"/>
              </w:rPr>
            </w:pPr>
            <w:r>
              <w:rPr>
                <w:rFonts w:ascii="Calibri"/>
                <w:sz w:val="20"/>
              </w:rPr>
              <w:t>*</w:t>
            </w:r>
          </w:p>
        </w:tc>
      </w:tr>
      <w:tr>
        <w:trPr>
          <w:trHeight w:val="244" w:hRule="exact"/>
        </w:trPr>
        <w:tc>
          <w:tcPr>
            <w:tcW w:w="4414" w:type="dxa"/>
            <w:tcBorders>
              <w:top w:val="nil" w:sz="6" w:space="0" w:color="auto"/>
              <w:left w:val="nil" w:sz="6" w:space="0" w:color="auto"/>
              <w:bottom w:val="nil" w:sz="6" w:space="0" w:color="auto"/>
              <w:right w:val="nil" w:sz="6" w:space="0" w:color="auto"/>
            </w:tcBorders>
          </w:tcPr>
          <w:p>
            <w:pPr>
              <w:pStyle w:val="TableParagraph"/>
              <w:spacing w:line="225" w:lineRule="exact"/>
              <w:ind w:left="69" w:right="0"/>
              <w:jc w:val="left"/>
              <w:rPr>
                <w:rFonts w:ascii="Calibri" w:hAnsi="Calibri" w:cs="Calibri" w:eastAsia="Calibri" w:hint="default"/>
                <w:sz w:val="20"/>
                <w:szCs w:val="20"/>
              </w:rPr>
            </w:pPr>
            <w:r>
              <w:rPr>
                <w:rFonts w:ascii="Calibri"/>
                <w:sz w:val="20"/>
              </w:rPr>
              <w:t>Tour Guide communicated</w:t>
            </w:r>
            <w:r>
              <w:rPr>
                <w:rFonts w:ascii="Calibri"/>
                <w:spacing w:val="-11"/>
                <w:sz w:val="20"/>
              </w:rPr>
              <w:t> </w:t>
            </w:r>
            <w:r>
              <w:rPr>
                <w:rFonts w:ascii="Calibri"/>
                <w:sz w:val="20"/>
              </w:rPr>
              <w:t>well</w:t>
            </w:r>
          </w:p>
        </w:tc>
        <w:tc>
          <w:tcPr>
            <w:tcW w:w="1522" w:type="dxa"/>
            <w:tcBorders>
              <w:top w:val="nil" w:sz="6" w:space="0" w:color="auto"/>
              <w:left w:val="nil" w:sz="6" w:space="0" w:color="auto"/>
              <w:bottom w:val="nil" w:sz="6" w:space="0" w:color="auto"/>
              <w:right w:val="nil" w:sz="6" w:space="0" w:color="auto"/>
            </w:tcBorders>
          </w:tcPr>
          <w:p>
            <w:pPr>
              <w:pStyle w:val="TableParagraph"/>
              <w:spacing w:line="225" w:lineRule="exact"/>
              <w:ind w:right="408"/>
              <w:jc w:val="right"/>
              <w:rPr>
                <w:rFonts w:ascii="Calibri" w:hAnsi="Calibri" w:cs="Calibri" w:eastAsia="Calibri" w:hint="default"/>
                <w:sz w:val="20"/>
                <w:szCs w:val="20"/>
              </w:rPr>
            </w:pPr>
            <w:r>
              <w:rPr>
                <w:rFonts w:ascii="Calibri"/>
                <w:w w:val="95"/>
                <w:sz w:val="20"/>
              </w:rPr>
              <w:t>4.82</w:t>
            </w:r>
            <w:r>
              <w:rPr>
                <w:rFonts w:ascii="Calibri"/>
                <w:sz w:val="20"/>
              </w:rPr>
            </w:r>
          </w:p>
        </w:tc>
        <w:tc>
          <w:tcPr>
            <w:tcW w:w="1870" w:type="dxa"/>
            <w:tcBorders>
              <w:top w:val="nil" w:sz="6" w:space="0" w:color="auto"/>
              <w:left w:val="nil" w:sz="6" w:space="0" w:color="auto"/>
              <w:bottom w:val="nil" w:sz="6" w:space="0" w:color="auto"/>
              <w:right w:val="nil" w:sz="6" w:space="0" w:color="auto"/>
            </w:tcBorders>
          </w:tcPr>
          <w:p>
            <w:pPr>
              <w:pStyle w:val="TableParagraph"/>
              <w:spacing w:line="225" w:lineRule="exact"/>
              <w:ind w:left="273" w:right="0"/>
              <w:jc w:val="center"/>
              <w:rPr>
                <w:rFonts w:ascii="Calibri" w:hAnsi="Calibri" w:cs="Calibri" w:eastAsia="Calibri" w:hint="default"/>
                <w:sz w:val="20"/>
                <w:szCs w:val="20"/>
              </w:rPr>
            </w:pPr>
            <w:r>
              <w:rPr>
                <w:rFonts w:ascii="Calibri"/>
                <w:sz w:val="20"/>
              </w:rPr>
              <w:t>4.46</w:t>
            </w:r>
          </w:p>
        </w:tc>
        <w:tc>
          <w:tcPr>
            <w:tcW w:w="806" w:type="dxa"/>
            <w:tcBorders>
              <w:top w:val="nil" w:sz="6" w:space="0" w:color="auto"/>
              <w:left w:val="nil" w:sz="6" w:space="0" w:color="auto"/>
              <w:bottom w:val="nil" w:sz="6" w:space="0" w:color="auto"/>
              <w:right w:val="nil" w:sz="6" w:space="0" w:color="auto"/>
            </w:tcBorders>
          </w:tcPr>
          <w:p>
            <w:pPr>
              <w:pStyle w:val="TableParagraph"/>
              <w:spacing w:line="225" w:lineRule="exact"/>
              <w:ind w:right="152"/>
              <w:jc w:val="right"/>
              <w:rPr>
                <w:rFonts w:ascii="Calibri" w:hAnsi="Calibri" w:cs="Calibri" w:eastAsia="Calibri" w:hint="default"/>
                <w:sz w:val="20"/>
                <w:szCs w:val="20"/>
              </w:rPr>
            </w:pPr>
            <w:r>
              <w:rPr>
                <w:rFonts w:ascii="Calibri"/>
                <w:w w:val="95"/>
                <w:sz w:val="20"/>
              </w:rPr>
              <w:t>3.152</w:t>
            </w:r>
            <w:r>
              <w:rPr>
                <w:rFonts w:ascii="Calibri"/>
                <w:sz w:val="20"/>
              </w:rPr>
            </w:r>
          </w:p>
        </w:tc>
        <w:tc>
          <w:tcPr>
            <w:tcW w:w="478" w:type="dxa"/>
            <w:tcBorders>
              <w:top w:val="nil" w:sz="6" w:space="0" w:color="auto"/>
              <w:left w:val="nil" w:sz="6" w:space="0" w:color="auto"/>
              <w:bottom w:val="nil" w:sz="6" w:space="0" w:color="auto"/>
              <w:right w:val="nil" w:sz="6" w:space="0" w:color="auto"/>
            </w:tcBorders>
          </w:tcPr>
          <w:p>
            <w:pPr>
              <w:pStyle w:val="TableParagraph"/>
              <w:spacing w:line="225" w:lineRule="exact"/>
              <w:ind w:left="5" w:right="0"/>
              <w:jc w:val="center"/>
              <w:rPr>
                <w:rFonts w:ascii="Calibri" w:hAnsi="Calibri" w:cs="Calibri" w:eastAsia="Calibri" w:hint="default"/>
                <w:sz w:val="20"/>
                <w:szCs w:val="20"/>
              </w:rPr>
            </w:pPr>
            <w:r>
              <w:rPr>
                <w:rFonts w:ascii="Calibri"/>
                <w:sz w:val="20"/>
              </w:rPr>
              <w:t>*</w:t>
            </w:r>
          </w:p>
        </w:tc>
      </w:tr>
      <w:tr>
        <w:trPr>
          <w:trHeight w:val="245" w:hRule="exact"/>
        </w:trPr>
        <w:tc>
          <w:tcPr>
            <w:tcW w:w="4414"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Tour Guide was</w:t>
            </w:r>
            <w:r>
              <w:rPr>
                <w:rFonts w:ascii="Calibri"/>
                <w:spacing w:val="-13"/>
                <w:sz w:val="20"/>
              </w:rPr>
              <w:t> </w:t>
            </w:r>
            <w:r>
              <w:rPr>
                <w:rFonts w:ascii="Calibri"/>
                <w:sz w:val="20"/>
              </w:rPr>
              <w:t>friendly</w:t>
            </w:r>
          </w:p>
        </w:tc>
        <w:tc>
          <w:tcPr>
            <w:tcW w:w="1522" w:type="dxa"/>
            <w:tcBorders>
              <w:top w:val="nil" w:sz="6" w:space="0" w:color="auto"/>
              <w:left w:val="nil" w:sz="6" w:space="0" w:color="auto"/>
              <w:bottom w:val="nil" w:sz="6" w:space="0" w:color="auto"/>
              <w:right w:val="nil" w:sz="6" w:space="0" w:color="auto"/>
            </w:tcBorders>
          </w:tcPr>
          <w:p>
            <w:pPr>
              <w:pStyle w:val="TableParagraph"/>
              <w:spacing w:line="226" w:lineRule="exact"/>
              <w:ind w:right="408"/>
              <w:jc w:val="right"/>
              <w:rPr>
                <w:rFonts w:ascii="Calibri" w:hAnsi="Calibri" w:cs="Calibri" w:eastAsia="Calibri" w:hint="default"/>
                <w:sz w:val="20"/>
                <w:szCs w:val="20"/>
              </w:rPr>
            </w:pPr>
            <w:r>
              <w:rPr>
                <w:rFonts w:ascii="Calibri"/>
                <w:w w:val="95"/>
                <w:sz w:val="20"/>
              </w:rPr>
              <w:t>4.82</w:t>
            </w:r>
            <w:r>
              <w:rPr>
                <w:rFonts w:ascii="Calibri"/>
                <w:sz w:val="20"/>
              </w:rPr>
            </w:r>
          </w:p>
        </w:tc>
        <w:tc>
          <w:tcPr>
            <w:tcW w:w="1870" w:type="dxa"/>
            <w:tcBorders>
              <w:top w:val="nil" w:sz="6" w:space="0" w:color="auto"/>
              <w:left w:val="nil" w:sz="6" w:space="0" w:color="auto"/>
              <w:bottom w:val="nil" w:sz="6" w:space="0" w:color="auto"/>
              <w:right w:val="nil" w:sz="6" w:space="0" w:color="auto"/>
            </w:tcBorders>
          </w:tcPr>
          <w:p>
            <w:pPr>
              <w:pStyle w:val="TableParagraph"/>
              <w:spacing w:line="226" w:lineRule="exact"/>
              <w:ind w:left="273" w:right="0"/>
              <w:jc w:val="center"/>
              <w:rPr>
                <w:rFonts w:ascii="Calibri" w:hAnsi="Calibri" w:cs="Calibri" w:eastAsia="Calibri" w:hint="default"/>
                <w:sz w:val="20"/>
                <w:szCs w:val="20"/>
              </w:rPr>
            </w:pPr>
            <w:r>
              <w:rPr>
                <w:rFonts w:ascii="Calibri"/>
                <w:sz w:val="20"/>
              </w:rPr>
              <w:t>4.62</w:t>
            </w:r>
          </w:p>
        </w:tc>
        <w:tc>
          <w:tcPr>
            <w:tcW w:w="806" w:type="dxa"/>
            <w:tcBorders>
              <w:top w:val="nil" w:sz="6" w:space="0" w:color="auto"/>
              <w:left w:val="nil" w:sz="6" w:space="0" w:color="auto"/>
              <w:bottom w:val="nil" w:sz="6" w:space="0" w:color="auto"/>
              <w:right w:val="nil" w:sz="6" w:space="0" w:color="auto"/>
            </w:tcBorders>
          </w:tcPr>
          <w:p>
            <w:pPr>
              <w:pStyle w:val="TableParagraph"/>
              <w:spacing w:line="226" w:lineRule="exact"/>
              <w:ind w:right="152"/>
              <w:jc w:val="right"/>
              <w:rPr>
                <w:rFonts w:ascii="Calibri" w:hAnsi="Calibri" w:cs="Calibri" w:eastAsia="Calibri" w:hint="default"/>
                <w:sz w:val="20"/>
                <w:szCs w:val="20"/>
              </w:rPr>
            </w:pPr>
            <w:r>
              <w:rPr>
                <w:rFonts w:ascii="Calibri"/>
                <w:w w:val="95"/>
                <w:sz w:val="20"/>
              </w:rPr>
              <w:t>1.909</w:t>
            </w:r>
            <w:r>
              <w:rPr>
                <w:rFonts w:ascii="Calibri"/>
                <w:sz w:val="20"/>
              </w:rPr>
            </w:r>
          </w:p>
        </w:tc>
        <w:tc>
          <w:tcPr>
            <w:tcW w:w="478" w:type="dxa"/>
            <w:tcBorders>
              <w:top w:val="nil" w:sz="6" w:space="0" w:color="auto"/>
              <w:left w:val="nil" w:sz="6" w:space="0" w:color="auto"/>
              <w:bottom w:val="nil" w:sz="6" w:space="0" w:color="auto"/>
              <w:right w:val="nil" w:sz="6" w:space="0" w:color="auto"/>
            </w:tcBorders>
          </w:tcPr>
          <w:p>
            <w:pPr>
              <w:pStyle w:val="TableParagraph"/>
              <w:spacing w:line="226" w:lineRule="exact"/>
              <w:ind w:left="93" w:right="0"/>
              <w:jc w:val="left"/>
              <w:rPr>
                <w:rFonts w:ascii="Calibri" w:hAnsi="Calibri" w:cs="Calibri" w:eastAsia="Calibri" w:hint="default"/>
                <w:sz w:val="20"/>
                <w:szCs w:val="20"/>
              </w:rPr>
            </w:pPr>
            <w:r>
              <w:rPr>
                <w:rFonts w:ascii="Calibri"/>
                <w:sz w:val="20"/>
              </w:rPr>
              <w:t>***</w:t>
            </w:r>
          </w:p>
        </w:tc>
      </w:tr>
      <w:tr>
        <w:trPr>
          <w:trHeight w:val="244" w:hRule="exact"/>
        </w:trPr>
        <w:tc>
          <w:tcPr>
            <w:tcW w:w="4414"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Tour Guide was</w:t>
            </w:r>
            <w:r>
              <w:rPr>
                <w:rFonts w:ascii="Calibri"/>
                <w:spacing w:val="-11"/>
                <w:sz w:val="20"/>
              </w:rPr>
              <w:t> </w:t>
            </w:r>
            <w:r>
              <w:rPr>
                <w:rFonts w:ascii="Calibri"/>
                <w:sz w:val="20"/>
              </w:rPr>
              <w:t>knowledgeable</w:t>
            </w:r>
          </w:p>
        </w:tc>
        <w:tc>
          <w:tcPr>
            <w:tcW w:w="1522" w:type="dxa"/>
            <w:tcBorders>
              <w:top w:val="nil" w:sz="6" w:space="0" w:color="auto"/>
              <w:left w:val="nil" w:sz="6" w:space="0" w:color="auto"/>
              <w:bottom w:val="nil" w:sz="6" w:space="0" w:color="auto"/>
              <w:right w:val="nil" w:sz="6" w:space="0" w:color="auto"/>
            </w:tcBorders>
          </w:tcPr>
          <w:p>
            <w:pPr>
              <w:pStyle w:val="TableParagraph"/>
              <w:spacing w:line="226" w:lineRule="exact"/>
              <w:ind w:right="408"/>
              <w:jc w:val="right"/>
              <w:rPr>
                <w:rFonts w:ascii="Calibri" w:hAnsi="Calibri" w:cs="Calibri" w:eastAsia="Calibri" w:hint="default"/>
                <w:sz w:val="20"/>
                <w:szCs w:val="20"/>
              </w:rPr>
            </w:pPr>
            <w:r>
              <w:rPr>
                <w:rFonts w:ascii="Calibri"/>
                <w:spacing w:val="-1"/>
                <w:sz w:val="20"/>
              </w:rPr>
              <w:t>4.88</w:t>
            </w:r>
          </w:p>
        </w:tc>
        <w:tc>
          <w:tcPr>
            <w:tcW w:w="1870" w:type="dxa"/>
            <w:tcBorders>
              <w:top w:val="nil" w:sz="6" w:space="0" w:color="auto"/>
              <w:left w:val="nil" w:sz="6" w:space="0" w:color="auto"/>
              <w:bottom w:val="nil" w:sz="6" w:space="0" w:color="auto"/>
              <w:right w:val="nil" w:sz="6" w:space="0" w:color="auto"/>
            </w:tcBorders>
          </w:tcPr>
          <w:p>
            <w:pPr>
              <w:pStyle w:val="TableParagraph"/>
              <w:spacing w:line="226" w:lineRule="exact"/>
              <w:ind w:left="273" w:right="0"/>
              <w:jc w:val="center"/>
              <w:rPr>
                <w:rFonts w:ascii="Calibri" w:hAnsi="Calibri" w:cs="Calibri" w:eastAsia="Calibri" w:hint="default"/>
                <w:sz w:val="20"/>
                <w:szCs w:val="20"/>
              </w:rPr>
            </w:pPr>
            <w:r>
              <w:rPr>
                <w:rFonts w:ascii="Calibri"/>
                <w:sz w:val="20"/>
              </w:rPr>
              <w:t>4.58</w:t>
            </w:r>
          </w:p>
        </w:tc>
        <w:tc>
          <w:tcPr>
            <w:tcW w:w="806" w:type="dxa"/>
            <w:tcBorders>
              <w:top w:val="nil" w:sz="6" w:space="0" w:color="auto"/>
              <w:left w:val="nil" w:sz="6" w:space="0" w:color="auto"/>
              <w:bottom w:val="nil" w:sz="6" w:space="0" w:color="auto"/>
              <w:right w:val="nil" w:sz="6" w:space="0" w:color="auto"/>
            </w:tcBorders>
          </w:tcPr>
          <w:p>
            <w:pPr>
              <w:pStyle w:val="TableParagraph"/>
              <w:spacing w:line="226" w:lineRule="exact"/>
              <w:ind w:right="152"/>
              <w:jc w:val="right"/>
              <w:rPr>
                <w:rFonts w:ascii="Calibri" w:hAnsi="Calibri" w:cs="Calibri" w:eastAsia="Calibri" w:hint="default"/>
                <w:sz w:val="20"/>
                <w:szCs w:val="20"/>
              </w:rPr>
            </w:pPr>
            <w:r>
              <w:rPr>
                <w:rFonts w:ascii="Calibri"/>
                <w:w w:val="95"/>
                <w:sz w:val="20"/>
              </w:rPr>
              <w:t>2.818</w:t>
            </w:r>
            <w:r>
              <w:rPr>
                <w:rFonts w:ascii="Calibri"/>
                <w:sz w:val="20"/>
              </w:rPr>
            </w:r>
          </w:p>
        </w:tc>
        <w:tc>
          <w:tcPr>
            <w:tcW w:w="478" w:type="dxa"/>
            <w:tcBorders>
              <w:top w:val="nil" w:sz="6" w:space="0" w:color="auto"/>
              <w:left w:val="nil" w:sz="6" w:space="0" w:color="auto"/>
              <w:bottom w:val="nil" w:sz="6" w:space="0" w:color="auto"/>
              <w:right w:val="nil" w:sz="6" w:space="0" w:color="auto"/>
            </w:tcBorders>
          </w:tcPr>
          <w:p>
            <w:pPr>
              <w:pStyle w:val="TableParagraph"/>
              <w:spacing w:line="226" w:lineRule="exact"/>
              <w:ind w:left="5" w:right="0"/>
              <w:jc w:val="center"/>
              <w:rPr>
                <w:rFonts w:ascii="Calibri" w:hAnsi="Calibri" w:cs="Calibri" w:eastAsia="Calibri" w:hint="default"/>
                <w:sz w:val="20"/>
                <w:szCs w:val="20"/>
              </w:rPr>
            </w:pPr>
            <w:r>
              <w:rPr>
                <w:rFonts w:ascii="Calibri"/>
                <w:sz w:val="20"/>
              </w:rPr>
              <w:t>*</w:t>
            </w:r>
          </w:p>
        </w:tc>
      </w:tr>
      <w:tr>
        <w:trPr>
          <w:trHeight w:val="232" w:hRule="exact"/>
        </w:trPr>
        <w:tc>
          <w:tcPr>
            <w:tcW w:w="4414" w:type="dxa"/>
            <w:tcBorders>
              <w:top w:val="nil" w:sz="6" w:space="0" w:color="auto"/>
              <w:left w:val="nil" w:sz="6" w:space="0" w:color="auto"/>
              <w:bottom w:val="single" w:sz="4" w:space="0" w:color="000000"/>
              <w:right w:val="nil" w:sz="6" w:space="0" w:color="auto"/>
            </w:tcBorders>
          </w:tcPr>
          <w:p>
            <w:pPr>
              <w:pStyle w:val="TableParagraph"/>
              <w:spacing w:line="225" w:lineRule="exact"/>
              <w:ind w:left="69" w:right="0"/>
              <w:jc w:val="left"/>
              <w:rPr>
                <w:rFonts w:ascii="Calibri" w:hAnsi="Calibri" w:cs="Calibri" w:eastAsia="Calibri" w:hint="default"/>
                <w:sz w:val="20"/>
                <w:szCs w:val="20"/>
              </w:rPr>
            </w:pPr>
            <w:r>
              <w:rPr>
                <w:rFonts w:ascii="Calibri"/>
                <w:sz w:val="20"/>
              </w:rPr>
              <w:t>Tour Guide made the experience</w:t>
            </w:r>
            <w:r>
              <w:rPr>
                <w:rFonts w:ascii="Calibri"/>
                <w:spacing w:val="-16"/>
                <w:sz w:val="20"/>
              </w:rPr>
              <w:t> </w:t>
            </w:r>
            <w:r>
              <w:rPr>
                <w:rFonts w:ascii="Calibri"/>
                <w:sz w:val="20"/>
              </w:rPr>
              <w:t>better</w:t>
            </w:r>
          </w:p>
        </w:tc>
        <w:tc>
          <w:tcPr>
            <w:tcW w:w="1522" w:type="dxa"/>
            <w:tcBorders>
              <w:top w:val="nil" w:sz="6" w:space="0" w:color="auto"/>
              <w:left w:val="nil" w:sz="6" w:space="0" w:color="auto"/>
              <w:bottom w:val="single" w:sz="4" w:space="0" w:color="000000"/>
              <w:right w:val="nil" w:sz="6" w:space="0" w:color="auto"/>
            </w:tcBorders>
          </w:tcPr>
          <w:p>
            <w:pPr>
              <w:pStyle w:val="TableParagraph"/>
              <w:spacing w:line="225" w:lineRule="exact"/>
              <w:ind w:right="408"/>
              <w:jc w:val="right"/>
              <w:rPr>
                <w:rFonts w:ascii="Calibri" w:hAnsi="Calibri" w:cs="Calibri" w:eastAsia="Calibri" w:hint="default"/>
                <w:sz w:val="20"/>
                <w:szCs w:val="20"/>
              </w:rPr>
            </w:pPr>
            <w:r>
              <w:rPr>
                <w:rFonts w:ascii="Calibri"/>
                <w:w w:val="95"/>
                <w:sz w:val="20"/>
              </w:rPr>
              <w:t>4.68</w:t>
            </w:r>
            <w:r>
              <w:rPr>
                <w:rFonts w:ascii="Calibri"/>
                <w:sz w:val="20"/>
              </w:rPr>
            </w:r>
          </w:p>
        </w:tc>
        <w:tc>
          <w:tcPr>
            <w:tcW w:w="1870" w:type="dxa"/>
            <w:tcBorders>
              <w:top w:val="nil" w:sz="6" w:space="0" w:color="auto"/>
              <w:left w:val="nil" w:sz="6" w:space="0" w:color="auto"/>
              <w:bottom w:val="single" w:sz="4" w:space="0" w:color="000000"/>
              <w:right w:val="nil" w:sz="6" w:space="0" w:color="auto"/>
            </w:tcBorders>
          </w:tcPr>
          <w:p>
            <w:pPr>
              <w:pStyle w:val="TableParagraph"/>
              <w:spacing w:line="225" w:lineRule="exact"/>
              <w:ind w:left="273" w:right="0"/>
              <w:jc w:val="center"/>
              <w:rPr>
                <w:rFonts w:ascii="Calibri" w:hAnsi="Calibri" w:cs="Calibri" w:eastAsia="Calibri" w:hint="default"/>
                <w:sz w:val="20"/>
                <w:szCs w:val="20"/>
              </w:rPr>
            </w:pPr>
            <w:r>
              <w:rPr>
                <w:rFonts w:ascii="Calibri"/>
                <w:sz w:val="20"/>
              </w:rPr>
              <w:t>4.36</w:t>
            </w:r>
          </w:p>
        </w:tc>
        <w:tc>
          <w:tcPr>
            <w:tcW w:w="806" w:type="dxa"/>
            <w:tcBorders>
              <w:top w:val="nil" w:sz="6" w:space="0" w:color="auto"/>
              <w:left w:val="nil" w:sz="6" w:space="0" w:color="auto"/>
              <w:bottom w:val="single" w:sz="4" w:space="0" w:color="000000"/>
              <w:right w:val="nil" w:sz="6" w:space="0" w:color="auto"/>
            </w:tcBorders>
          </w:tcPr>
          <w:p>
            <w:pPr>
              <w:pStyle w:val="TableParagraph"/>
              <w:spacing w:line="225" w:lineRule="exact"/>
              <w:ind w:right="152"/>
              <w:jc w:val="right"/>
              <w:rPr>
                <w:rFonts w:ascii="Calibri" w:hAnsi="Calibri" w:cs="Calibri" w:eastAsia="Calibri" w:hint="default"/>
                <w:sz w:val="20"/>
                <w:szCs w:val="20"/>
              </w:rPr>
            </w:pPr>
            <w:r>
              <w:rPr>
                <w:rFonts w:ascii="Calibri"/>
                <w:w w:val="95"/>
                <w:sz w:val="20"/>
              </w:rPr>
              <w:t>2.149</w:t>
            </w:r>
            <w:r>
              <w:rPr>
                <w:rFonts w:ascii="Calibri"/>
                <w:sz w:val="20"/>
              </w:rPr>
            </w:r>
          </w:p>
        </w:tc>
        <w:tc>
          <w:tcPr>
            <w:tcW w:w="478" w:type="dxa"/>
            <w:tcBorders>
              <w:top w:val="nil" w:sz="6" w:space="0" w:color="auto"/>
              <w:left w:val="nil" w:sz="6" w:space="0" w:color="auto"/>
              <w:bottom w:val="single" w:sz="4" w:space="0" w:color="000000"/>
              <w:right w:val="nil" w:sz="6" w:space="0" w:color="auto"/>
            </w:tcBorders>
          </w:tcPr>
          <w:p>
            <w:pPr>
              <w:pStyle w:val="TableParagraph"/>
              <w:spacing w:line="225" w:lineRule="exact"/>
              <w:ind w:left="144" w:right="0"/>
              <w:jc w:val="left"/>
              <w:rPr>
                <w:rFonts w:ascii="Calibri" w:hAnsi="Calibri" w:cs="Calibri" w:eastAsia="Calibri" w:hint="default"/>
                <w:sz w:val="20"/>
                <w:szCs w:val="20"/>
              </w:rPr>
            </w:pPr>
            <w:r>
              <w:rPr>
                <w:rFonts w:ascii="Calibri"/>
                <w:sz w:val="20"/>
              </w:rPr>
              <w:t>**</w:t>
            </w:r>
          </w:p>
        </w:tc>
      </w:tr>
      <w:tr>
        <w:trPr>
          <w:trHeight w:val="244" w:hRule="exact"/>
        </w:trPr>
        <w:tc>
          <w:tcPr>
            <w:tcW w:w="4414" w:type="dxa"/>
            <w:tcBorders>
              <w:top w:val="single" w:sz="4" w:space="0" w:color="000000"/>
              <w:left w:val="nil" w:sz="6" w:space="0" w:color="auto"/>
              <w:bottom w:val="nil" w:sz="6" w:space="0" w:color="auto"/>
              <w:right w:val="nil" w:sz="6" w:space="0" w:color="auto"/>
            </w:tcBorders>
          </w:tcPr>
          <w:p>
            <w:pPr>
              <w:pStyle w:val="TableParagraph"/>
              <w:tabs>
                <w:tab w:pos="9090" w:val="left" w:leader="none"/>
              </w:tabs>
              <w:spacing w:line="243" w:lineRule="exact"/>
              <w:ind w:left="-15" w:right="-4676"/>
              <w:jc w:val="left"/>
              <w:rPr>
                <w:rFonts w:ascii="Calibri" w:hAnsi="Calibri" w:cs="Calibri" w:eastAsia="Calibri" w:hint="default"/>
                <w:sz w:val="20"/>
                <w:szCs w:val="20"/>
              </w:rPr>
            </w:pPr>
            <w:r>
              <w:rPr>
                <w:rFonts w:ascii="Calibri"/>
                <w:w w:val="99"/>
                <w:sz w:val="20"/>
              </w:rPr>
            </w:r>
            <w:r>
              <w:rPr>
                <w:rFonts w:ascii="Calibri"/>
                <w:w w:val="99"/>
                <w:sz w:val="20"/>
                <w:u w:val="single" w:color="000000"/>
              </w:rPr>
              <w:t> </w:t>
            </w:r>
            <w:r>
              <w:rPr>
                <w:rFonts w:ascii="Calibri"/>
                <w:spacing w:val="-7"/>
                <w:sz w:val="20"/>
                <w:u w:val="single" w:color="000000"/>
              </w:rPr>
              <w:t> </w:t>
            </w:r>
            <w:r>
              <w:rPr>
                <w:rFonts w:ascii="Calibri"/>
                <w:sz w:val="20"/>
                <w:u w:val="single" w:color="000000"/>
              </w:rPr>
              <w:t>*p&lt;.01 **p&lt;.05</w:t>
            </w:r>
            <w:r>
              <w:rPr>
                <w:rFonts w:ascii="Calibri"/>
                <w:spacing w:val="-14"/>
                <w:sz w:val="20"/>
                <w:u w:val="single" w:color="000000"/>
              </w:rPr>
              <w:t> </w:t>
            </w:r>
            <w:r>
              <w:rPr>
                <w:rFonts w:ascii="Calibri"/>
                <w:sz w:val="20"/>
                <w:u w:val="single" w:color="000000"/>
              </w:rPr>
              <w:t>***p&lt;.10</w:t>
              <w:tab/>
            </w:r>
            <w:r>
              <w:rPr>
                <w:rFonts w:ascii="Calibri"/>
                <w:sz w:val="20"/>
              </w:rPr>
            </w:r>
          </w:p>
        </w:tc>
        <w:tc>
          <w:tcPr>
            <w:tcW w:w="1522" w:type="dxa"/>
            <w:tcBorders>
              <w:top w:val="single" w:sz="4" w:space="0" w:color="000000"/>
              <w:left w:val="nil" w:sz="6" w:space="0" w:color="auto"/>
              <w:bottom w:val="nil" w:sz="6" w:space="0" w:color="auto"/>
              <w:right w:val="nil" w:sz="6" w:space="0" w:color="auto"/>
            </w:tcBorders>
          </w:tcPr>
          <w:p>
            <w:pPr/>
          </w:p>
        </w:tc>
        <w:tc>
          <w:tcPr>
            <w:tcW w:w="1870" w:type="dxa"/>
            <w:tcBorders>
              <w:top w:val="single" w:sz="4" w:space="0" w:color="000000"/>
              <w:left w:val="nil" w:sz="6" w:space="0" w:color="auto"/>
              <w:bottom w:val="nil" w:sz="6" w:space="0" w:color="auto"/>
              <w:right w:val="nil" w:sz="6" w:space="0" w:color="auto"/>
            </w:tcBorders>
          </w:tcPr>
          <w:p>
            <w:pPr/>
          </w:p>
        </w:tc>
        <w:tc>
          <w:tcPr>
            <w:tcW w:w="806" w:type="dxa"/>
            <w:tcBorders>
              <w:top w:val="single" w:sz="4" w:space="0" w:color="000000"/>
              <w:left w:val="nil" w:sz="6" w:space="0" w:color="auto"/>
              <w:bottom w:val="nil" w:sz="6" w:space="0" w:color="auto"/>
              <w:right w:val="nil" w:sz="6" w:space="0" w:color="auto"/>
            </w:tcBorders>
          </w:tcPr>
          <w:p>
            <w:pPr/>
          </w:p>
        </w:tc>
        <w:tc>
          <w:tcPr>
            <w:tcW w:w="478" w:type="dxa"/>
            <w:tcBorders>
              <w:top w:val="single" w:sz="4" w:space="0" w:color="000000"/>
              <w:left w:val="nil" w:sz="6" w:space="0" w:color="auto"/>
              <w:bottom w:val="nil" w:sz="6" w:space="0" w:color="auto"/>
              <w:right w:val="nil" w:sz="6" w:space="0" w:color="auto"/>
            </w:tcBorders>
          </w:tcPr>
          <w:p>
            <w:pPr/>
          </w:p>
        </w:tc>
      </w:tr>
    </w:tbl>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4"/>
        <w:ind w:right="0"/>
        <w:rPr>
          <w:rFonts w:ascii="Calibri" w:hAnsi="Calibri" w:cs="Calibri" w:eastAsia="Calibri" w:hint="default"/>
          <w:b/>
          <w:bCs/>
          <w:sz w:val="16"/>
          <w:szCs w:val="16"/>
        </w:rPr>
      </w:pPr>
    </w:p>
    <w:p>
      <w:pPr>
        <w:pStyle w:val="Heading9"/>
        <w:tabs>
          <w:tab w:pos="5110" w:val="left" w:leader="none"/>
          <w:tab w:pos="10700" w:val="left" w:leader="none"/>
        </w:tabs>
        <w:spacing w:line="240" w:lineRule="auto" w:before="59" w:after="51"/>
        <w:ind w:left="1541" w:right="0"/>
        <w:jc w:val="left"/>
        <w:rPr>
          <w:b w:val="0"/>
          <w:bCs w:val="0"/>
        </w:rPr>
      </w:pPr>
      <w:bookmarkStart w:name="_bookmark184" w:id="185"/>
      <w:bookmarkEnd w:id="185"/>
      <w:r>
        <w:rPr>
          <w:b w:val="0"/>
        </w:rPr>
      </w:r>
      <w:r>
        <w:rPr>
          <w:w w:val="99"/>
        </w:rPr>
      </w:r>
      <w:r>
        <w:rPr>
          <w:w w:val="99"/>
          <w:u w:val="single" w:color="000000"/>
        </w:rPr>
        <w:t> </w:t>
      </w:r>
      <w:r>
        <w:rPr>
          <w:u w:val="single" w:color="000000"/>
        </w:rPr>
        <w:tab/>
        <w:t>Table 53: Loyalty</w:t>
      </w:r>
      <w:r>
        <w:rPr>
          <w:spacing w:val="-13"/>
          <w:u w:val="single" w:color="000000"/>
        </w:rPr>
        <w:t> </w:t>
      </w:r>
      <w:r>
        <w:rPr>
          <w:u w:val="single" w:color="000000"/>
        </w:rPr>
        <w:t>drivers</w:t>
        <w:tab/>
      </w:r>
      <w:r>
        <w:rPr/>
      </w:r>
      <w:r>
        <w:rPr>
          <w:b w:val="0"/>
        </w:rPr>
      </w:r>
    </w:p>
    <w:tbl>
      <w:tblPr>
        <w:tblW w:w="0" w:type="auto"/>
        <w:jc w:val="left"/>
        <w:tblInd w:w="1541" w:type="dxa"/>
        <w:tblLayout w:type="fixed"/>
        <w:tblCellMar>
          <w:top w:w="0" w:type="dxa"/>
          <w:left w:w="0" w:type="dxa"/>
          <w:bottom w:w="0" w:type="dxa"/>
          <w:right w:w="0" w:type="dxa"/>
        </w:tblCellMar>
        <w:tblLook w:val="01E0"/>
      </w:tblPr>
      <w:tblGrid>
        <w:gridCol w:w="3642"/>
        <w:gridCol w:w="3205"/>
        <w:gridCol w:w="2312"/>
      </w:tblGrid>
      <w:tr>
        <w:trPr>
          <w:trHeight w:val="209" w:hRule="exact"/>
        </w:trPr>
        <w:tc>
          <w:tcPr>
            <w:tcW w:w="3642" w:type="dxa"/>
            <w:tcBorders>
              <w:top w:val="nil" w:sz="6" w:space="0" w:color="auto"/>
              <w:left w:val="nil" w:sz="6" w:space="0" w:color="auto"/>
              <w:bottom w:val="single" w:sz="4" w:space="0" w:color="000000"/>
              <w:right w:val="nil" w:sz="6" w:space="0" w:color="auto"/>
            </w:tcBorders>
          </w:tcPr>
          <w:p>
            <w:pPr>
              <w:pStyle w:val="TableParagraph"/>
              <w:spacing w:line="203" w:lineRule="exact"/>
              <w:ind w:left="69" w:right="0"/>
              <w:jc w:val="left"/>
              <w:rPr>
                <w:rFonts w:ascii="Calibri" w:hAnsi="Calibri" w:cs="Calibri" w:eastAsia="Calibri" w:hint="default"/>
                <w:sz w:val="20"/>
                <w:szCs w:val="20"/>
              </w:rPr>
            </w:pPr>
            <w:r>
              <w:rPr>
                <w:rFonts w:ascii="Calibri"/>
                <w:b/>
                <w:sz w:val="20"/>
              </w:rPr>
              <w:t>Independent</w:t>
            </w:r>
            <w:r>
              <w:rPr>
                <w:rFonts w:ascii="Calibri"/>
                <w:b/>
                <w:spacing w:val="-13"/>
                <w:sz w:val="20"/>
              </w:rPr>
              <w:t> </w:t>
            </w:r>
            <w:r>
              <w:rPr>
                <w:rFonts w:ascii="Calibri"/>
                <w:b/>
                <w:sz w:val="20"/>
              </w:rPr>
              <w:t>Variables</w:t>
            </w:r>
            <w:r>
              <w:rPr>
                <w:rFonts w:ascii="Calibri"/>
                <w:sz w:val="20"/>
              </w:rPr>
            </w:r>
          </w:p>
        </w:tc>
        <w:tc>
          <w:tcPr>
            <w:tcW w:w="3205" w:type="dxa"/>
            <w:tcBorders>
              <w:top w:val="nil" w:sz="6" w:space="0" w:color="auto"/>
              <w:left w:val="nil" w:sz="6" w:space="0" w:color="auto"/>
              <w:bottom w:val="single" w:sz="4" w:space="0" w:color="000000"/>
              <w:right w:val="nil" w:sz="6" w:space="0" w:color="auto"/>
            </w:tcBorders>
          </w:tcPr>
          <w:p>
            <w:pPr>
              <w:pStyle w:val="TableParagraph"/>
              <w:spacing w:line="203" w:lineRule="exact"/>
              <w:ind w:left="1085" w:right="0"/>
              <w:jc w:val="center"/>
              <w:rPr>
                <w:rFonts w:ascii="Calibri" w:hAnsi="Calibri" w:cs="Calibri" w:eastAsia="Calibri" w:hint="default"/>
                <w:sz w:val="20"/>
                <w:szCs w:val="20"/>
              </w:rPr>
            </w:pPr>
            <w:r>
              <w:rPr>
                <w:rFonts w:ascii="Calibri"/>
                <w:b/>
                <w:sz w:val="20"/>
              </w:rPr>
              <w:t>Will return to</w:t>
            </w:r>
            <w:r>
              <w:rPr>
                <w:rFonts w:ascii="Calibri"/>
                <w:b/>
                <w:spacing w:val="-11"/>
                <w:sz w:val="20"/>
              </w:rPr>
              <w:t> </w:t>
            </w:r>
            <w:r>
              <w:rPr>
                <w:rFonts w:ascii="Calibri"/>
                <w:b/>
                <w:sz w:val="20"/>
              </w:rPr>
              <w:t>Curacao</w:t>
            </w:r>
            <w:r>
              <w:rPr>
                <w:rFonts w:ascii="Calibri"/>
                <w:sz w:val="20"/>
              </w:rPr>
            </w:r>
          </w:p>
        </w:tc>
        <w:tc>
          <w:tcPr>
            <w:tcW w:w="2312" w:type="dxa"/>
            <w:tcBorders>
              <w:top w:val="nil" w:sz="6" w:space="0" w:color="auto"/>
              <w:left w:val="nil" w:sz="6" w:space="0" w:color="auto"/>
              <w:bottom w:val="single" w:sz="4" w:space="0" w:color="000000"/>
              <w:right w:val="nil" w:sz="6" w:space="0" w:color="auto"/>
            </w:tcBorders>
          </w:tcPr>
          <w:p>
            <w:pPr>
              <w:pStyle w:val="TableParagraph"/>
              <w:spacing w:line="203" w:lineRule="exact"/>
              <w:ind w:left="61" w:right="0"/>
              <w:jc w:val="center"/>
              <w:rPr>
                <w:rFonts w:ascii="Calibri" w:hAnsi="Calibri" w:cs="Calibri" w:eastAsia="Calibri" w:hint="default"/>
                <w:sz w:val="20"/>
                <w:szCs w:val="20"/>
              </w:rPr>
            </w:pPr>
            <w:r>
              <w:rPr>
                <w:rFonts w:ascii="Calibri"/>
                <w:b/>
                <w:sz w:val="20"/>
              </w:rPr>
              <w:t>Will recommend</w:t>
            </w:r>
            <w:r>
              <w:rPr>
                <w:rFonts w:ascii="Calibri"/>
                <w:b/>
                <w:spacing w:val="-13"/>
                <w:sz w:val="20"/>
              </w:rPr>
              <w:t> </w:t>
            </w:r>
            <w:r>
              <w:rPr>
                <w:rFonts w:ascii="Calibri"/>
                <w:b/>
                <w:sz w:val="20"/>
              </w:rPr>
              <w:t>Curacao</w:t>
            </w:r>
            <w:r>
              <w:rPr>
                <w:rFonts w:ascii="Calibri"/>
                <w:sz w:val="20"/>
              </w:rPr>
            </w:r>
          </w:p>
        </w:tc>
      </w:tr>
      <w:tr>
        <w:trPr>
          <w:trHeight w:val="267" w:hRule="exact"/>
        </w:trPr>
        <w:tc>
          <w:tcPr>
            <w:tcW w:w="3642" w:type="dxa"/>
            <w:tcBorders>
              <w:top w:val="single" w:sz="4" w:space="0" w:color="000000"/>
              <w:left w:val="nil" w:sz="6" w:space="0" w:color="auto"/>
              <w:bottom w:val="nil" w:sz="6" w:space="0" w:color="auto"/>
              <w:right w:val="nil" w:sz="6" w:space="0" w:color="auto"/>
            </w:tcBorders>
          </w:tcPr>
          <w:p>
            <w:pPr>
              <w:pStyle w:val="TableParagraph"/>
              <w:spacing w:line="243" w:lineRule="exact"/>
              <w:ind w:left="69" w:right="0"/>
              <w:jc w:val="left"/>
              <w:rPr>
                <w:rFonts w:ascii="Calibri" w:hAnsi="Calibri" w:cs="Calibri" w:eastAsia="Calibri" w:hint="default"/>
                <w:sz w:val="20"/>
                <w:szCs w:val="20"/>
              </w:rPr>
            </w:pPr>
            <w:r>
              <w:rPr>
                <w:rFonts w:ascii="Calibri"/>
                <w:sz w:val="20"/>
              </w:rPr>
              <w:t>Was impressed with</w:t>
            </w:r>
            <w:r>
              <w:rPr>
                <w:rFonts w:ascii="Calibri"/>
                <w:spacing w:val="-12"/>
                <w:sz w:val="20"/>
              </w:rPr>
              <w:t> </w:t>
            </w:r>
            <w:r>
              <w:rPr>
                <w:rFonts w:ascii="Calibri"/>
                <w:sz w:val="20"/>
              </w:rPr>
              <w:t>Curacao</w:t>
            </w:r>
          </w:p>
        </w:tc>
        <w:tc>
          <w:tcPr>
            <w:tcW w:w="3205" w:type="dxa"/>
            <w:tcBorders>
              <w:top w:val="single" w:sz="4" w:space="0" w:color="000000"/>
              <w:left w:val="nil" w:sz="6" w:space="0" w:color="auto"/>
              <w:bottom w:val="nil" w:sz="6" w:space="0" w:color="auto"/>
              <w:right w:val="nil" w:sz="6" w:space="0" w:color="auto"/>
            </w:tcBorders>
          </w:tcPr>
          <w:p>
            <w:pPr>
              <w:pStyle w:val="TableParagraph"/>
              <w:spacing w:line="243" w:lineRule="exact"/>
              <w:ind w:left="1087" w:right="0"/>
              <w:jc w:val="center"/>
              <w:rPr>
                <w:rFonts w:ascii="Calibri" w:hAnsi="Calibri" w:cs="Calibri" w:eastAsia="Calibri" w:hint="default"/>
                <w:sz w:val="20"/>
                <w:szCs w:val="20"/>
              </w:rPr>
            </w:pPr>
            <w:r>
              <w:rPr>
                <w:rFonts w:ascii="Calibri"/>
                <w:sz w:val="20"/>
              </w:rPr>
              <w:t>.323</w:t>
            </w:r>
          </w:p>
        </w:tc>
        <w:tc>
          <w:tcPr>
            <w:tcW w:w="2312" w:type="dxa"/>
            <w:tcBorders>
              <w:top w:val="single" w:sz="4" w:space="0" w:color="000000"/>
              <w:left w:val="nil" w:sz="6" w:space="0" w:color="auto"/>
              <w:bottom w:val="nil" w:sz="6" w:space="0" w:color="auto"/>
              <w:right w:val="nil" w:sz="6" w:space="0" w:color="auto"/>
            </w:tcBorders>
          </w:tcPr>
          <w:p>
            <w:pPr>
              <w:pStyle w:val="TableParagraph"/>
              <w:spacing w:line="243" w:lineRule="exact"/>
              <w:ind w:left="63" w:right="0"/>
              <w:jc w:val="center"/>
              <w:rPr>
                <w:rFonts w:ascii="Calibri" w:hAnsi="Calibri" w:cs="Calibri" w:eastAsia="Calibri" w:hint="default"/>
                <w:sz w:val="20"/>
                <w:szCs w:val="20"/>
              </w:rPr>
            </w:pPr>
            <w:r>
              <w:rPr>
                <w:rFonts w:ascii="Calibri"/>
                <w:sz w:val="20"/>
              </w:rPr>
              <w:t>.576</w:t>
            </w:r>
          </w:p>
        </w:tc>
      </w:tr>
      <w:tr>
        <w:trPr>
          <w:trHeight w:val="244" w:hRule="exact"/>
        </w:trPr>
        <w:tc>
          <w:tcPr>
            <w:tcW w:w="3642"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sz w:val="20"/>
              </w:rPr>
              <w:t>Delighted with</w:t>
            </w:r>
            <w:r>
              <w:rPr>
                <w:rFonts w:ascii="Calibri"/>
                <w:spacing w:val="-10"/>
                <w:sz w:val="20"/>
              </w:rPr>
              <w:t> </w:t>
            </w:r>
            <w:r>
              <w:rPr>
                <w:rFonts w:ascii="Calibri"/>
                <w:sz w:val="20"/>
              </w:rPr>
              <w:t>Curacao</w:t>
            </w:r>
          </w:p>
        </w:tc>
        <w:tc>
          <w:tcPr>
            <w:tcW w:w="3205" w:type="dxa"/>
            <w:tcBorders>
              <w:top w:val="nil" w:sz="6" w:space="0" w:color="auto"/>
              <w:left w:val="nil" w:sz="6" w:space="0" w:color="auto"/>
              <w:bottom w:val="nil" w:sz="6" w:space="0" w:color="auto"/>
              <w:right w:val="nil" w:sz="6" w:space="0" w:color="auto"/>
            </w:tcBorders>
          </w:tcPr>
          <w:p>
            <w:pPr>
              <w:pStyle w:val="TableParagraph"/>
              <w:spacing w:line="226" w:lineRule="exact"/>
              <w:ind w:left="1087" w:right="0"/>
              <w:jc w:val="center"/>
              <w:rPr>
                <w:rFonts w:ascii="Calibri" w:hAnsi="Calibri" w:cs="Calibri" w:eastAsia="Calibri" w:hint="default"/>
                <w:sz w:val="20"/>
                <w:szCs w:val="20"/>
              </w:rPr>
            </w:pPr>
            <w:r>
              <w:rPr>
                <w:rFonts w:ascii="Calibri"/>
                <w:sz w:val="20"/>
              </w:rPr>
              <w:t>.263</w:t>
            </w:r>
          </w:p>
        </w:tc>
        <w:tc>
          <w:tcPr>
            <w:tcW w:w="2312" w:type="dxa"/>
            <w:tcBorders>
              <w:top w:val="nil" w:sz="6" w:space="0" w:color="auto"/>
              <w:left w:val="nil" w:sz="6" w:space="0" w:color="auto"/>
              <w:bottom w:val="nil" w:sz="6" w:space="0" w:color="auto"/>
              <w:right w:val="nil" w:sz="6" w:space="0" w:color="auto"/>
            </w:tcBorders>
          </w:tcPr>
          <w:p>
            <w:pPr>
              <w:pStyle w:val="TableParagraph"/>
              <w:spacing w:line="226" w:lineRule="exact"/>
              <w:ind w:left="63" w:right="0"/>
              <w:jc w:val="center"/>
              <w:rPr>
                <w:rFonts w:ascii="Calibri" w:hAnsi="Calibri" w:cs="Calibri" w:eastAsia="Calibri" w:hint="default"/>
                <w:sz w:val="20"/>
                <w:szCs w:val="20"/>
              </w:rPr>
            </w:pPr>
            <w:r>
              <w:rPr>
                <w:rFonts w:ascii="Calibri"/>
                <w:sz w:val="20"/>
              </w:rPr>
              <w:t>.206</w:t>
            </w:r>
          </w:p>
        </w:tc>
      </w:tr>
      <w:tr>
        <w:trPr>
          <w:trHeight w:val="244" w:hRule="exact"/>
        </w:trPr>
        <w:tc>
          <w:tcPr>
            <w:tcW w:w="3642" w:type="dxa"/>
            <w:tcBorders>
              <w:top w:val="nil" w:sz="6" w:space="0" w:color="auto"/>
              <w:left w:val="nil" w:sz="6" w:space="0" w:color="auto"/>
              <w:bottom w:val="nil" w:sz="6" w:space="0" w:color="auto"/>
              <w:right w:val="nil" w:sz="6" w:space="0" w:color="auto"/>
            </w:tcBorders>
          </w:tcPr>
          <w:p>
            <w:pPr>
              <w:pStyle w:val="TableParagraph"/>
              <w:spacing w:line="225" w:lineRule="exact"/>
              <w:ind w:left="69" w:right="0"/>
              <w:jc w:val="left"/>
              <w:rPr>
                <w:rFonts w:ascii="Calibri" w:hAnsi="Calibri" w:cs="Calibri" w:eastAsia="Calibri" w:hint="default"/>
                <w:sz w:val="20"/>
                <w:szCs w:val="20"/>
              </w:rPr>
            </w:pPr>
            <w:r>
              <w:rPr>
                <w:rFonts w:ascii="Calibri"/>
                <w:sz w:val="20"/>
              </w:rPr>
              <w:t>R</w:t>
            </w:r>
            <w:r>
              <w:rPr>
                <w:rFonts w:ascii="Calibri"/>
                <w:spacing w:val="-5"/>
                <w:sz w:val="20"/>
              </w:rPr>
              <w:t> </w:t>
            </w:r>
            <w:r>
              <w:rPr>
                <w:rFonts w:ascii="Calibri"/>
                <w:sz w:val="20"/>
              </w:rPr>
              <w:t>Square</w:t>
            </w:r>
          </w:p>
        </w:tc>
        <w:tc>
          <w:tcPr>
            <w:tcW w:w="3205" w:type="dxa"/>
            <w:tcBorders>
              <w:top w:val="nil" w:sz="6" w:space="0" w:color="auto"/>
              <w:left w:val="nil" w:sz="6" w:space="0" w:color="auto"/>
              <w:bottom w:val="nil" w:sz="6" w:space="0" w:color="auto"/>
              <w:right w:val="nil" w:sz="6" w:space="0" w:color="auto"/>
            </w:tcBorders>
          </w:tcPr>
          <w:p>
            <w:pPr>
              <w:pStyle w:val="TableParagraph"/>
              <w:spacing w:line="225" w:lineRule="exact"/>
              <w:ind w:left="1087" w:right="0"/>
              <w:jc w:val="center"/>
              <w:rPr>
                <w:rFonts w:ascii="Calibri" w:hAnsi="Calibri" w:cs="Calibri" w:eastAsia="Calibri" w:hint="default"/>
                <w:sz w:val="20"/>
                <w:szCs w:val="20"/>
              </w:rPr>
            </w:pPr>
            <w:r>
              <w:rPr>
                <w:rFonts w:ascii="Calibri"/>
                <w:sz w:val="20"/>
              </w:rPr>
              <w:t>.280</w:t>
            </w:r>
          </w:p>
        </w:tc>
        <w:tc>
          <w:tcPr>
            <w:tcW w:w="2312" w:type="dxa"/>
            <w:tcBorders>
              <w:top w:val="nil" w:sz="6" w:space="0" w:color="auto"/>
              <w:left w:val="nil" w:sz="6" w:space="0" w:color="auto"/>
              <w:bottom w:val="nil" w:sz="6" w:space="0" w:color="auto"/>
              <w:right w:val="nil" w:sz="6" w:space="0" w:color="auto"/>
            </w:tcBorders>
          </w:tcPr>
          <w:p>
            <w:pPr>
              <w:pStyle w:val="TableParagraph"/>
              <w:spacing w:line="225" w:lineRule="exact"/>
              <w:ind w:left="63" w:right="0"/>
              <w:jc w:val="center"/>
              <w:rPr>
                <w:rFonts w:ascii="Calibri" w:hAnsi="Calibri" w:cs="Calibri" w:eastAsia="Calibri" w:hint="default"/>
                <w:sz w:val="20"/>
                <w:szCs w:val="20"/>
              </w:rPr>
            </w:pPr>
            <w:r>
              <w:rPr>
                <w:rFonts w:ascii="Calibri"/>
                <w:sz w:val="20"/>
              </w:rPr>
              <w:t>.531</w:t>
            </w:r>
          </w:p>
        </w:tc>
      </w:tr>
      <w:tr>
        <w:trPr>
          <w:trHeight w:val="245" w:hRule="exact"/>
        </w:trPr>
        <w:tc>
          <w:tcPr>
            <w:tcW w:w="3642" w:type="dxa"/>
            <w:tcBorders>
              <w:top w:val="nil" w:sz="6" w:space="0" w:color="auto"/>
              <w:left w:val="nil" w:sz="6" w:space="0" w:color="auto"/>
              <w:bottom w:val="nil" w:sz="6" w:space="0" w:color="auto"/>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i/>
                <w:sz w:val="20"/>
              </w:rPr>
              <w:t>F-statistic</w:t>
            </w:r>
            <w:r>
              <w:rPr>
                <w:rFonts w:ascii="Calibri"/>
                <w:sz w:val="20"/>
              </w:rPr>
            </w:r>
          </w:p>
        </w:tc>
        <w:tc>
          <w:tcPr>
            <w:tcW w:w="3205" w:type="dxa"/>
            <w:tcBorders>
              <w:top w:val="nil" w:sz="6" w:space="0" w:color="auto"/>
              <w:left w:val="nil" w:sz="6" w:space="0" w:color="auto"/>
              <w:bottom w:val="nil" w:sz="6" w:space="0" w:color="auto"/>
              <w:right w:val="nil" w:sz="6" w:space="0" w:color="auto"/>
            </w:tcBorders>
          </w:tcPr>
          <w:p>
            <w:pPr>
              <w:pStyle w:val="TableParagraph"/>
              <w:spacing w:line="226" w:lineRule="exact"/>
              <w:ind w:left="1088" w:right="0"/>
              <w:jc w:val="center"/>
              <w:rPr>
                <w:rFonts w:ascii="Calibri" w:hAnsi="Calibri" w:cs="Calibri" w:eastAsia="Calibri" w:hint="default"/>
                <w:sz w:val="20"/>
                <w:szCs w:val="20"/>
              </w:rPr>
            </w:pPr>
            <w:r>
              <w:rPr>
                <w:rFonts w:ascii="Calibri"/>
                <w:sz w:val="20"/>
              </w:rPr>
              <w:t>22.80</w:t>
            </w:r>
          </w:p>
        </w:tc>
        <w:tc>
          <w:tcPr>
            <w:tcW w:w="2312" w:type="dxa"/>
            <w:tcBorders>
              <w:top w:val="nil" w:sz="6" w:space="0" w:color="auto"/>
              <w:left w:val="nil" w:sz="6" w:space="0" w:color="auto"/>
              <w:bottom w:val="nil" w:sz="6" w:space="0" w:color="auto"/>
              <w:right w:val="nil" w:sz="6" w:space="0" w:color="auto"/>
            </w:tcBorders>
          </w:tcPr>
          <w:p>
            <w:pPr>
              <w:pStyle w:val="TableParagraph"/>
              <w:spacing w:line="226" w:lineRule="exact"/>
              <w:ind w:left="64" w:right="0"/>
              <w:jc w:val="center"/>
              <w:rPr>
                <w:rFonts w:ascii="Calibri" w:hAnsi="Calibri" w:cs="Calibri" w:eastAsia="Calibri" w:hint="default"/>
                <w:sz w:val="20"/>
                <w:szCs w:val="20"/>
              </w:rPr>
            </w:pPr>
            <w:r>
              <w:rPr>
                <w:rFonts w:ascii="Calibri"/>
                <w:sz w:val="20"/>
              </w:rPr>
              <w:t>65.07</w:t>
            </w:r>
          </w:p>
        </w:tc>
      </w:tr>
      <w:tr>
        <w:trPr>
          <w:trHeight w:val="232" w:hRule="exact"/>
        </w:trPr>
        <w:tc>
          <w:tcPr>
            <w:tcW w:w="3642" w:type="dxa"/>
            <w:tcBorders>
              <w:top w:val="nil" w:sz="6" w:space="0" w:color="auto"/>
              <w:left w:val="nil" w:sz="6" w:space="0" w:color="auto"/>
              <w:bottom w:val="single" w:sz="4" w:space="0" w:color="000000"/>
              <w:right w:val="nil" w:sz="6" w:space="0" w:color="auto"/>
            </w:tcBorders>
          </w:tcPr>
          <w:p>
            <w:pPr>
              <w:pStyle w:val="TableParagraph"/>
              <w:spacing w:line="226" w:lineRule="exact"/>
              <w:ind w:left="69" w:right="0"/>
              <w:jc w:val="left"/>
              <w:rPr>
                <w:rFonts w:ascii="Calibri" w:hAnsi="Calibri" w:cs="Calibri" w:eastAsia="Calibri" w:hint="default"/>
                <w:sz w:val="20"/>
                <w:szCs w:val="20"/>
              </w:rPr>
            </w:pPr>
            <w:r>
              <w:rPr>
                <w:rFonts w:ascii="Calibri"/>
                <w:i/>
                <w:sz w:val="20"/>
              </w:rPr>
              <w:t>sig.</w:t>
            </w:r>
            <w:r>
              <w:rPr>
                <w:rFonts w:ascii="Calibri"/>
                <w:sz w:val="20"/>
              </w:rPr>
            </w:r>
          </w:p>
        </w:tc>
        <w:tc>
          <w:tcPr>
            <w:tcW w:w="3205" w:type="dxa"/>
            <w:tcBorders>
              <w:top w:val="nil" w:sz="6" w:space="0" w:color="auto"/>
              <w:left w:val="nil" w:sz="6" w:space="0" w:color="auto"/>
              <w:bottom w:val="single" w:sz="4" w:space="0" w:color="000000"/>
              <w:right w:val="nil" w:sz="6" w:space="0" w:color="auto"/>
            </w:tcBorders>
          </w:tcPr>
          <w:p>
            <w:pPr>
              <w:pStyle w:val="TableParagraph"/>
              <w:spacing w:line="226" w:lineRule="exact"/>
              <w:ind w:left="1084" w:right="0"/>
              <w:jc w:val="center"/>
              <w:rPr>
                <w:rFonts w:ascii="Calibri" w:hAnsi="Calibri" w:cs="Calibri" w:eastAsia="Calibri" w:hint="default"/>
                <w:sz w:val="20"/>
                <w:szCs w:val="20"/>
              </w:rPr>
            </w:pPr>
            <w:r>
              <w:rPr>
                <w:rFonts w:ascii="Calibri"/>
                <w:sz w:val="20"/>
              </w:rPr>
              <w:t>&lt;.001</w:t>
            </w:r>
          </w:p>
        </w:tc>
        <w:tc>
          <w:tcPr>
            <w:tcW w:w="2312" w:type="dxa"/>
            <w:tcBorders>
              <w:top w:val="nil" w:sz="6" w:space="0" w:color="auto"/>
              <w:left w:val="nil" w:sz="6" w:space="0" w:color="auto"/>
              <w:bottom w:val="single" w:sz="4" w:space="0" w:color="000000"/>
              <w:right w:val="nil" w:sz="6" w:space="0" w:color="auto"/>
            </w:tcBorders>
          </w:tcPr>
          <w:p>
            <w:pPr>
              <w:pStyle w:val="TableParagraph"/>
              <w:spacing w:line="226" w:lineRule="exact"/>
              <w:ind w:left="61" w:right="0"/>
              <w:jc w:val="center"/>
              <w:rPr>
                <w:rFonts w:ascii="Calibri" w:hAnsi="Calibri" w:cs="Calibri" w:eastAsia="Calibri" w:hint="default"/>
                <w:sz w:val="20"/>
                <w:szCs w:val="20"/>
              </w:rPr>
            </w:pPr>
            <w:r>
              <w:rPr>
                <w:rFonts w:ascii="Calibri"/>
                <w:sz w:val="20"/>
              </w:rPr>
              <w:t>&lt;.001</w:t>
            </w:r>
          </w:p>
        </w:tc>
      </w:tr>
    </w:tbl>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15"/>
          <w:szCs w:val="15"/>
        </w:rPr>
      </w:pPr>
    </w:p>
    <w:p>
      <w:pPr>
        <w:pStyle w:val="Heading9"/>
        <w:tabs>
          <w:tab w:pos="4644" w:val="left" w:leader="none"/>
          <w:tab w:pos="10761" w:val="left" w:leader="none"/>
        </w:tabs>
        <w:spacing w:line="240" w:lineRule="auto" w:before="59" w:after="51"/>
        <w:ind w:left="1478" w:right="0"/>
        <w:jc w:val="left"/>
        <w:rPr>
          <w:b w:val="0"/>
          <w:bCs w:val="0"/>
        </w:rPr>
      </w:pPr>
      <w:bookmarkStart w:name="_bookmark185" w:id="186"/>
      <w:bookmarkEnd w:id="186"/>
      <w:r>
        <w:rPr>
          <w:b w:val="0"/>
        </w:rPr>
      </w:r>
      <w:r>
        <w:rPr>
          <w:w w:val="99"/>
        </w:rPr>
      </w:r>
      <w:r>
        <w:rPr>
          <w:w w:val="99"/>
          <w:u w:val="single" w:color="000000"/>
        </w:rPr>
        <w:t> </w:t>
      </w:r>
      <w:r>
        <w:rPr>
          <w:u w:val="single" w:color="000000"/>
        </w:rPr>
        <w:tab/>
        <w:t>Table 54: Demographic</w:t>
      </w:r>
      <w:r>
        <w:rPr>
          <w:spacing w:val="-18"/>
          <w:u w:val="single" w:color="000000"/>
        </w:rPr>
        <w:t> </w:t>
      </w:r>
      <w:r>
        <w:rPr>
          <w:u w:val="single" w:color="000000"/>
        </w:rPr>
        <w:t>information</w:t>
        <w:tab/>
      </w:r>
      <w:r>
        <w:rPr/>
      </w:r>
      <w:r>
        <w:rPr>
          <w:b w:val="0"/>
        </w:rPr>
      </w:r>
    </w:p>
    <w:tbl>
      <w:tblPr>
        <w:tblW w:w="0" w:type="auto"/>
        <w:jc w:val="left"/>
        <w:tblInd w:w="1478" w:type="dxa"/>
        <w:tblLayout w:type="fixed"/>
        <w:tblCellMar>
          <w:top w:w="0" w:type="dxa"/>
          <w:left w:w="0" w:type="dxa"/>
          <w:bottom w:w="0" w:type="dxa"/>
          <w:right w:w="0" w:type="dxa"/>
        </w:tblCellMar>
        <w:tblLook w:val="01E0"/>
      </w:tblPr>
      <w:tblGrid>
        <w:gridCol w:w="3611"/>
        <w:gridCol w:w="2879"/>
        <w:gridCol w:w="2793"/>
      </w:tblGrid>
      <w:tr>
        <w:trPr>
          <w:trHeight w:val="209" w:hRule="exact"/>
        </w:trPr>
        <w:tc>
          <w:tcPr>
            <w:tcW w:w="3611" w:type="dxa"/>
            <w:tcBorders>
              <w:top w:val="nil" w:sz="6" w:space="0" w:color="auto"/>
              <w:left w:val="nil" w:sz="6" w:space="0" w:color="auto"/>
              <w:bottom w:val="single" w:sz="4" w:space="0" w:color="000000"/>
              <w:right w:val="nil" w:sz="6" w:space="0" w:color="auto"/>
            </w:tcBorders>
          </w:tcPr>
          <w:p>
            <w:pPr>
              <w:pStyle w:val="TableParagraph"/>
              <w:spacing w:line="203" w:lineRule="exact"/>
              <w:ind w:left="71" w:right="0"/>
              <w:jc w:val="left"/>
              <w:rPr>
                <w:rFonts w:ascii="Calibri" w:hAnsi="Calibri" w:cs="Calibri" w:eastAsia="Calibri" w:hint="default"/>
                <w:sz w:val="20"/>
                <w:szCs w:val="20"/>
              </w:rPr>
            </w:pPr>
            <w:r>
              <w:rPr>
                <w:rFonts w:ascii="Calibri"/>
                <w:b/>
                <w:sz w:val="20"/>
              </w:rPr>
              <w:t>Demographics</w:t>
            </w:r>
            <w:r>
              <w:rPr>
                <w:rFonts w:ascii="Calibri"/>
                <w:sz w:val="20"/>
              </w:rPr>
            </w:r>
          </w:p>
        </w:tc>
        <w:tc>
          <w:tcPr>
            <w:tcW w:w="2879" w:type="dxa"/>
            <w:tcBorders>
              <w:top w:val="nil" w:sz="6" w:space="0" w:color="auto"/>
              <w:left w:val="nil" w:sz="6" w:space="0" w:color="auto"/>
              <w:bottom w:val="single" w:sz="4" w:space="0" w:color="000000"/>
              <w:right w:val="nil" w:sz="6" w:space="0" w:color="auto"/>
            </w:tcBorders>
          </w:tcPr>
          <w:p>
            <w:pPr>
              <w:pStyle w:val="TableParagraph"/>
              <w:spacing w:line="203" w:lineRule="exact"/>
              <w:ind w:right="949"/>
              <w:jc w:val="right"/>
              <w:rPr>
                <w:rFonts w:ascii="Calibri" w:hAnsi="Calibri" w:cs="Calibri" w:eastAsia="Calibri" w:hint="default"/>
                <w:sz w:val="20"/>
                <w:szCs w:val="20"/>
              </w:rPr>
            </w:pPr>
            <w:r>
              <w:rPr>
                <w:rFonts w:ascii="Calibri"/>
                <w:b/>
                <w:spacing w:val="-1"/>
                <w:w w:val="95"/>
                <w:sz w:val="20"/>
              </w:rPr>
              <w:t>USA</w:t>
            </w:r>
            <w:r>
              <w:rPr>
                <w:rFonts w:ascii="Calibri"/>
                <w:sz w:val="20"/>
              </w:rPr>
            </w:r>
          </w:p>
        </w:tc>
        <w:tc>
          <w:tcPr>
            <w:tcW w:w="2793" w:type="dxa"/>
            <w:tcBorders>
              <w:top w:val="nil" w:sz="6" w:space="0" w:color="auto"/>
              <w:left w:val="nil" w:sz="6" w:space="0" w:color="auto"/>
              <w:bottom w:val="single" w:sz="4" w:space="0" w:color="000000"/>
              <w:right w:val="nil" w:sz="6" w:space="0" w:color="auto"/>
            </w:tcBorders>
          </w:tcPr>
          <w:p>
            <w:pPr>
              <w:pStyle w:val="TableParagraph"/>
              <w:spacing w:line="203" w:lineRule="exact"/>
              <w:ind w:left="181" w:right="0"/>
              <w:jc w:val="center"/>
              <w:rPr>
                <w:rFonts w:ascii="Calibri" w:hAnsi="Calibri" w:cs="Calibri" w:eastAsia="Calibri" w:hint="default"/>
                <w:sz w:val="20"/>
                <w:szCs w:val="20"/>
              </w:rPr>
            </w:pPr>
            <w:r>
              <w:rPr>
                <w:rFonts w:ascii="Calibri"/>
                <w:b/>
                <w:sz w:val="20"/>
              </w:rPr>
              <w:t>Other</w:t>
            </w:r>
            <w:r>
              <w:rPr>
                <w:rFonts w:ascii="Calibri"/>
                <w:b/>
                <w:spacing w:val="-10"/>
                <w:sz w:val="20"/>
              </w:rPr>
              <w:t> </w:t>
            </w:r>
            <w:r>
              <w:rPr>
                <w:rFonts w:ascii="Calibri"/>
                <w:b/>
                <w:sz w:val="20"/>
              </w:rPr>
              <w:t>Countries</w:t>
            </w:r>
            <w:r>
              <w:rPr>
                <w:rFonts w:ascii="Calibri"/>
                <w:sz w:val="20"/>
              </w:rPr>
            </w:r>
          </w:p>
        </w:tc>
      </w:tr>
      <w:tr>
        <w:trPr>
          <w:trHeight w:val="267" w:hRule="exact"/>
        </w:trPr>
        <w:tc>
          <w:tcPr>
            <w:tcW w:w="3611" w:type="dxa"/>
            <w:tcBorders>
              <w:top w:val="single" w:sz="4" w:space="0" w:color="000000"/>
              <w:left w:val="nil" w:sz="6" w:space="0" w:color="auto"/>
              <w:bottom w:val="nil" w:sz="6" w:space="0" w:color="auto"/>
              <w:right w:val="nil" w:sz="6" w:space="0" w:color="auto"/>
            </w:tcBorders>
          </w:tcPr>
          <w:p>
            <w:pPr>
              <w:pStyle w:val="TableParagraph"/>
              <w:spacing w:line="243" w:lineRule="exact"/>
              <w:ind w:left="71" w:right="0"/>
              <w:jc w:val="left"/>
              <w:rPr>
                <w:rFonts w:ascii="Calibri" w:hAnsi="Calibri" w:cs="Calibri" w:eastAsia="Calibri" w:hint="default"/>
                <w:sz w:val="20"/>
                <w:szCs w:val="20"/>
              </w:rPr>
            </w:pPr>
            <w:r>
              <w:rPr>
                <w:rFonts w:ascii="Calibri"/>
                <w:sz w:val="20"/>
              </w:rPr>
              <w:t>Previous Visit</w:t>
            </w:r>
            <w:r>
              <w:rPr>
                <w:rFonts w:ascii="Calibri"/>
                <w:spacing w:val="-8"/>
                <w:sz w:val="20"/>
              </w:rPr>
              <w:t> </w:t>
            </w:r>
            <w:r>
              <w:rPr>
                <w:rFonts w:ascii="Calibri"/>
                <w:sz w:val="20"/>
              </w:rPr>
              <w:t>(Yes)</w:t>
            </w:r>
          </w:p>
        </w:tc>
        <w:tc>
          <w:tcPr>
            <w:tcW w:w="2879" w:type="dxa"/>
            <w:tcBorders>
              <w:top w:val="single" w:sz="4" w:space="0" w:color="000000"/>
              <w:left w:val="nil" w:sz="6" w:space="0" w:color="auto"/>
              <w:bottom w:val="nil" w:sz="6" w:space="0" w:color="auto"/>
              <w:right w:val="nil" w:sz="6" w:space="0" w:color="auto"/>
            </w:tcBorders>
          </w:tcPr>
          <w:p>
            <w:pPr>
              <w:pStyle w:val="TableParagraph"/>
              <w:spacing w:line="243" w:lineRule="exact"/>
              <w:ind w:right="822"/>
              <w:jc w:val="right"/>
              <w:rPr>
                <w:rFonts w:ascii="Calibri" w:hAnsi="Calibri" w:cs="Calibri" w:eastAsia="Calibri" w:hint="default"/>
                <w:sz w:val="20"/>
                <w:szCs w:val="20"/>
              </w:rPr>
            </w:pPr>
            <w:r>
              <w:rPr>
                <w:rFonts w:ascii="Calibri"/>
                <w:w w:val="95"/>
                <w:sz w:val="20"/>
              </w:rPr>
              <w:t>20.70%</w:t>
            </w:r>
            <w:r>
              <w:rPr>
                <w:rFonts w:ascii="Calibri"/>
                <w:sz w:val="20"/>
              </w:rPr>
            </w:r>
          </w:p>
        </w:tc>
        <w:tc>
          <w:tcPr>
            <w:tcW w:w="2793" w:type="dxa"/>
            <w:tcBorders>
              <w:top w:val="single" w:sz="4" w:space="0" w:color="000000"/>
              <w:left w:val="nil" w:sz="6" w:space="0" w:color="auto"/>
              <w:bottom w:val="nil" w:sz="6" w:space="0" w:color="auto"/>
              <w:right w:val="nil" w:sz="6" w:space="0" w:color="auto"/>
            </w:tcBorders>
          </w:tcPr>
          <w:p>
            <w:pPr>
              <w:pStyle w:val="TableParagraph"/>
              <w:spacing w:line="243" w:lineRule="exact"/>
              <w:ind w:left="183" w:right="0"/>
              <w:jc w:val="center"/>
              <w:rPr>
                <w:rFonts w:ascii="Calibri" w:hAnsi="Calibri" w:cs="Calibri" w:eastAsia="Calibri" w:hint="default"/>
                <w:sz w:val="20"/>
                <w:szCs w:val="20"/>
              </w:rPr>
            </w:pPr>
            <w:r>
              <w:rPr>
                <w:rFonts w:ascii="Calibri"/>
                <w:sz w:val="20"/>
              </w:rPr>
              <w:t>41.00%</w:t>
            </w:r>
          </w:p>
        </w:tc>
      </w:tr>
      <w:tr>
        <w:trPr>
          <w:trHeight w:val="245" w:hRule="exact"/>
        </w:trPr>
        <w:tc>
          <w:tcPr>
            <w:tcW w:w="3611" w:type="dxa"/>
            <w:tcBorders>
              <w:top w:val="nil" w:sz="6" w:space="0" w:color="auto"/>
              <w:left w:val="nil" w:sz="6" w:space="0" w:color="auto"/>
              <w:bottom w:val="nil" w:sz="6" w:space="0" w:color="auto"/>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Previous Visit Plane</w:t>
            </w:r>
            <w:r>
              <w:rPr>
                <w:rFonts w:ascii="Calibri"/>
                <w:spacing w:val="-9"/>
                <w:sz w:val="20"/>
              </w:rPr>
              <w:t> </w:t>
            </w:r>
            <w:r>
              <w:rPr>
                <w:rFonts w:ascii="Calibri"/>
                <w:sz w:val="20"/>
              </w:rPr>
              <w:t>(Yes)</w:t>
            </w:r>
          </w:p>
        </w:tc>
        <w:tc>
          <w:tcPr>
            <w:tcW w:w="2879" w:type="dxa"/>
            <w:tcBorders>
              <w:top w:val="nil" w:sz="6" w:space="0" w:color="auto"/>
              <w:left w:val="nil" w:sz="6" w:space="0" w:color="auto"/>
              <w:bottom w:val="nil" w:sz="6" w:space="0" w:color="auto"/>
              <w:right w:val="nil" w:sz="6" w:space="0" w:color="auto"/>
            </w:tcBorders>
          </w:tcPr>
          <w:p>
            <w:pPr>
              <w:pStyle w:val="TableParagraph"/>
              <w:spacing w:line="226" w:lineRule="exact"/>
              <w:ind w:right="873"/>
              <w:jc w:val="right"/>
              <w:rPr>
                <w:rFonts w:ascii="Calibri" w:hAnsi="Calibri" w:cs="Calibri" w:eastAsia="Calibri" w:hint="default"/>
                <w:sz w:val="20"/>
                <w:szCs w:val="20"/>
              </w:rPr>
            </w:pPr>
            <w:r>
              <w:rPr>
                <w:rFonts w:ascii="Calibri"/>
                <w:w w:val="95"/>
                <w:sz w:val="20"/>
              </w:rPr>
              <w:t>6.90%</w:t>
            </w:r>
            <w:r>
              <w:rPr>
                <w:rFonts w:ascii="Calibri"/>
                <w:sz w:val="20"/>
              </w:rPr>
            </w:r>
          </w:p>
        </w:tc>
        <w:tc>
          <w:tcPr>
            <w:tcW w:w="2793" w:type="dxa"/>
            <w:tcBorders>
              <w:top w:val="nil" w:sz="6" w:space="0" w:color="auto"/>
              <w:left w:val="nil" w:sz="6" w:space="0" w:color="auto"/>
              <w:bottom w:val="nil" w:sz="6" w:space="0" w:color="auto"/>
              <w:right w:val="nil" w:sz="6" w:space="0" w:color="auto"/>
            </w:tcBorders>
          </w:tcPr>
          <w:p>
            <w:pPr>
              <w:pStyle w:val="TableParagraph"/>
              <w:spacing w:line="226" w:lineRule="exact"/>
              <w:ind w:left="183" w:right="0"/>
              <w:jc w:val="center"/>
              <w:rPr>
                <w:rFonts w:ascii="Calibri" w:hAnsi="Calibri" w:cs="Calibri" w:eastAsia="Calibri" w:hint="default"/>
                <w:sz w:val="20"/>
                <w:szCs w:val="20"/>
              </w:rPr>
            </w:pPr>
            <w:r>
              <w:rPr>
                <w:rFonts w:ascii="Calibri"/>
                <w:sz w:val="20"/>
              </w:rPr>
              <w:t>28.20%</w:t>
            </w:r>
          </w:p>
        </w:tc>
      </w:tr>
      <w:tr>
        <w:trPr>
          <w:trHeight w:val="244" w:hRule="exact"/>
        </w:trPr>
        <w:tc>
          <w:tcPr>
            <w:tcW w:w="3611" w:type="dxa"/>
            <w:tcBorders>
              <w:top w:val="nil" w:sz="6" w:space="0" w:color="auto"/>
              <w:left w:val="nil" w:sz="6" w:space="0" w:color="auto"/>
              <w:bottom w:val="nil" w:sz="6" w:space="0" w:color="auto"/>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Previous Visit Cruise</w:t>
            </w:r>
            <w:r>
              <w:rPr>
                <w:rFonts w:ascii="Calibri"/>
                <w:spacing w:val="-13"/>
                <w:sz w:val="20"/>
              </w:rPr>
              <w:t> </w:t>
            </w:r>
            <w:r>
              <w:rPr>
                <w:rFonts w:ascii="Calibri"/>
                <w:sz w:val="20"/>
              </w:rPr>
              <w:t>(Yes)</w:t>
            </w:r>
          </w:p>
        </w:tc>
        <w:tc>
          <w:tcPr>
            <w:tcW w:w="2879" w:type="dxa"/>
            <w:tcBorders>
              <w:top w:val="nil" w:sz="6" w:space="0" w:color="auto"/>
              <w:left w:val="nil" w:sz="6" w:space="0" w:color="auto"/>
              <w:bottom w:val="nil" w:sz="6" w:space="0" w:color="auto"/>
              <w:right w:val="nil" w:sz="6" w:space="0" w:color="auto"/>
            </w:tcBorders>
          </w:tcPr>
          <w:p>
            <w:pPr>
              <w:pStyle w:val="TableParagraph"/>
              <w:spacing w:line="226" w:lineRule="exact"/>
              <w:ind w:right="822"/>
              <w:jc w:val="right"/>
              <w:rPr>
                <w:rFonts w:ascii="Calibri" w:hAnsi="Calibri" w:cs="Calibri" w:eastAsia="Calibri" w:hint="default"/>
                <w:sz w:val="20"/>
                <w:szCs w:val="20"/>
              </w:rPr>
            </w:pPr>
            <w:r>
              <w:rPr>
                <w:rFonts w:ascii="Calibri"/>
                <w:w w:val="95"/>
                <w:sz w:val="20"/>
              </w:rPr>
              <w:t>13.80%</w:t>
            </w:r>
            <w:r>
              <w:rPr>
                <w:rFonts w:ascii="Calibri"/>
                <w:sz w:val="20"/>
              </w:rPr>
            </w:r>
          </w:p>
        </w:tc>
        <w:tc>
          <w:tcPr>
            <w:tcW w:w="2793" w:type="dxa"/>
            <w:tcBorders>
              <w:top w:val="nil" w:sz="6" w:space="0" w:color="auto"/>
              <w:left w:val="nil" w:sz="6" w:space="0" w:color="auto"/>
              <w:bottom w:val="nil" w:sz="6" w:space="0" w:color="auto"/>
              <w:right w:val="nil" w:sz="6" w:space="0" w:color="auto"/>
            </w:tcBorders>
          </w:tcPr>
          <w:p>
            <w:pPr>
              <w:pStyle w:val="TableParagraph"/>
              <w:spacing w:line="226" w:lineRule="exact"/>
              <w:ind w:left="183" w:right="0"/>
              <w:jc w:val="center"/>
              <w:rPr>
                <w:rFonts w:ascii="Calibri" w:hAnsi="Calibri" w:cs="Calibri" w:eastAsia="Calibri" w:hint="default"/>
                <w:sz w:val="20"/>
                <w:szCs w:val="20"/>
              </w:rPr>
            </w:pPr>
            <w:r>
              <w:rPr>
                <w:rFonts w:ascii="Calibri"/>
                <w:sz w:val="20"/>
              </w:rPr>
              <w:t>12.80%</w:t>
            </w:r>
          </w:p>
        </w:tc>
      </w:tr>
      <w:tr>
        <w:trPr>
          <w:trHeight w:val="244" w:hRule="exact"/>
        </w:trPr>
        <w:tc>
          <w:tcPr>
            <w:tcW w:w="3611" w:type="dxa"/>
            <w:tcBorders>
              <w:top w:val="nil" w:sz="6" w:space="0" w:color="auto"/>
              <w:left w:val="nil" w:sz="6" w:space="0" w:color="auto"/>
              <w:bottom w:val="nil" w:sz="6" w:space="0" w:color="auto"/>
              <w:right w:val="nil" w:sz="6" w:space="0" w:color="auto"/>
            </w:tcBorders>
          </w:tcPr>
          <w:p>
            <w:pPr>
              <w:pStyle w:val="TableParagraph"/>
              <w:spacing w:line="225" w:lineRule="exact"/>
              <w:ind w:left="71" w:right="0"/>
              <w:jc w:val="left"/>
              <w:rPr>
                <w:rFonts w:ascii="Calibri" w:hAnsi="Calibri" w:cs="Calibri" w:eastAsia="Calibri" w:hint="default"/>
                <w:sz w:val="20"/>
                <w:szCs w:val="20"/>
              </w:rPr>
            </w:pPr>
            <w:r>
              <w:rPr>
                <w:rFonts w:ascii="Calibri"/>
                <w:sz w:val="20"/>
              </w:rPr>
              <w:t>Age</w:t>
            </w:r>
            <w:r>
              <w:rPr>
                <w:rFonts w:ascii="Calibri"/>
                <w:spacing w:val="-6"/>
                <w:sz w:val="20"/>
              </w:rPr>
              <w:t> </w:t>
            </w:r>
            <w:r>
              <w:rPr>
                <w:rFonts w:ascii="Calibri"/>
                <w:sz w:val="20"/>
              </w:rPr>
              <w:t>(years)</w:t>
            </w:r>
          </w:p>
        </w:tc>
        <w:tc>
          <w:tcPr>
            <w:tcW w:w="2879" w:type="dxa"/>
            <w:tcBorders>
              <w:top w:val="nil" w:sz="6" w:space="0" w:color="auto"/>
              <w:left w:val="nil" w:sz="6" w:space="0" w:color="auto"/>
              <w:bottom w:val="nil" w:sz="6" w:space="0" w:color="auto"/>
              <w:right w:val="nil" w:sz="6" w:space="0" w:color="auto"/>
            </w:tcBorders>
          </w:tcPr>
          <w:p>
            <w:pPr>
              <w:pStyle w:val="TableParagraph"/>
              <w:spacing w:line="225" w:lineRule="exact"/>
              <w:ind w:right="893"/>
              <w:jc w:val="right"/>
              <w:rPr>
                <w:rFonts w:ascii="Calibri" w:hAnsi="Calibri" w:cs="Calibri" w:eastAsia="Calibri" w:hint="default"/>
                <w:sz w:val="20"/>
                <w:szCs w:val="20"/>
              </w:rPr>
            </w:pPr>
            <w:r>
              <w:rPr>
                <w:rFonts w:ascii="Calibri"/>
                <w:w w:val="95"/>
                <w:sz w:val="20"/>
              </w:rPr>
              <w:t>54.90</w:t>
            </w:r>
            <w:r>
              <w:rPr>
                <w:rFonts w:ascii="Calibri"/>
                <w:sz w:val="20"/>
              </w:rPr>
            </w:r>
          </w:p>
        </w:tc>
        <w:tc>
          <w:tcPr>
            <w:tcW w:w="2793" w:type="dxa"/>
            <w:tcBorders>
              <w:top w:val="nil" w:sz="6" w:space="0" w:color="auto"/>
              <w:left w:val="nil" w:sz="6" w:space="0" w:color="auto"/>
              <w:bottom w:val="nil" w:sz="6" w:space="0" w:color="auto"/>
              <w:right w:val="nil" w:sz="6" w:space="0" w:color="auto"/>
            </w:tcBorders>
          </w:tcPr>
          <w:p>
            <w:pPr>
              <w:pStyle w:val="TableParagraph"/>
              <w:spacing w:line="225" w:lineRule="exact"/>
              <w:ind w:left="185" w:right="0"/>
              <w:jc w:val="center"/>
              <w:rPr>
                <w:rFonts w:ascii="Calibri" w:hAnsi="Calibri" w:cs="Calibri" w:eastAsia="Calibri" w:hint="default"/>
                <w:sz w:val="20"/>
                <w:szCs w:val="20"/>
              </w:rPr>
            </w:pPr>
            <w:r>
              <w:rPr>
                <w:rFonts w:ascii="Calibri"/>
                <w:sz w:val="20"/>
              </w:rPr>
              <w:t>54.35</w:t>
            </w:r>
          </w:p>
        </w:tc>
      </w:tr>
      <w:tr>
        <w:trPr>
          <w:trHeight w:val="245" w:hRule="exact"/>
        </w:trPr>
        <w:tc>
          <w:tcPr>
            <w:tcW w:w="3611" w:type="dxa"/>
            <w:tcBorders>
              <w:top w:val="nil" w:sz="6" w:space="0" w:color="auto"/>
              <w:left w:val="nil" w:sz="6" w:space="0" w:color="auto"/>
              <w:bottom w:val="nil" w:sz="6" w:space="0" w:color="auto"/>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Under</w:t>
            </w:r>
            <w:r>
              <w:rPr>
                <w:rFonts w:ascii="Calibri"/>
                <w:spacing w:val="-9"/>
                <w:sz w:val="20"/>
              </w:rPr>
              <w:t> </w:t>
            </w:r>
            <w:r>
              <w:rPr>
                <w:rFonts w:ascii="Calibri"/>
                <w:sz w:val="20"/>
              </w:rPr>
              <w:t>US$50,000</w:t>
            </w:r>
          </w:p>
        </w:tc>
        <w:tc>
          <w:tcPr>
            <w:tcW w:w="2879" w:type="dxa"/>
            <w:tcBorders>
              <w:top w:val="nil" w:sz="6" w:space="0" w:color="auto"/>
              <w:left w:val="nil" w:sz="6" w:space="0" w:color="auto"/>
              <w:bottom w:val="nil" w:sz="6" w:space="0" w:color="auto"/>
              <w:right w:val="nil" w:sz="6" w:space="0" w:color="auto"/>
            </w:tcBorders>
          </w:tcPr>
          <w:p>
            <w:pPr>
              <w:pStyle w:val="TableParagraph"/>
              <w:spacing w:line="226" w:lineRule="exact"/>
              <w:ind w:right="873"/>
              <w:jc w:val="right"/>
              <w:rPr>
                <w:rFonts w:ascii="Calibri" w:hAnsi="Calibri" w:cs="Calibri" w:eastAsia="Calibri" w:hint="default"/>
                <w:sz w:val="20"/>
                <w:szCs w:val="20"/>
              </w:rPr>
            </w:pPr>
            <w:r>
              <w:rPr>
                <w:rFonts w:ascii="Calibri"/>
                <w:w w:val="95"/>
                <w:sz w:val="20"/>
              </w:rPr>
              <w:t>8.33%</w:t>
            </w:r>
            <w:r>
              <w:rPr>
                <w:rFonts w:ascii="Calibri"/>
                <w:sz w:val="20"/>
              </w:rPr>
            </w:r>
          </w:p>
        </w:tc>
        <w:tc>
          <w:tcPr>
            <w:tcW w:w="2793" w:type="dxa"/>
            <w:tcBorders>
              <w:top w:val="nil" w:sz="6" w:space="0" w:color="auto"/>
              <w:left w:val="nil" w:sz="6" w:space="0" w:color="auto"/>
              <w:bottom w:val="nil" w:sz="6" w:space="0" w:color="auto"/>
              <w:right w:val="nil" w:sz="6" w:space="0" w:color="auto"/>
            </w:tcBorders>
          </w:tcPr>
          <w:p>
            <w:pPr>
              <w:pStyle w:val="TableParagraph"/>
              <w:spacing w:line="226" w:lineRule="exact"/>
              <w:ind w:left="183" w:right="0"/>
              <w:jc w:val="center"/>
              <w:rPr>
                <w:rFonts w:ascii="Calibri" w:hAnsi="Calibri" w:cs="Calibri" w:eastAsia="Calibri" w:hint="default"/>
                <w:sz w:val="20"/>
                <w:szCs w:val="20"/>
              </w:rPr>
            </w:pPr>
            <w:r>
              <w:rPr>
                <w:rFonts w:ascii="Calibri"/>
                <w:sz w:val="20"/>
              </w:rPr>
              <w:t>37.50%</w:t>
            </w:r>
          </w:p>
        </w:tc>
      </w:tr>
      <w:tr>
        <w:trPr>
          <w:trHeight w:val="245" w:hRule="exact"/>
        </w:trPr>
        <w:tc>
          <w:tcPr>
            <w:tcW w:w="3611" w:type="dxa"/>
            <w:tcBorders>
              <w:top w:val="nil" w:sz="6" w:space="0" w:color="auto"/>
              <w:left w:val="nil" w:sz="6" w:space="0" w:color="auto"/>
              <w:bottom w:val="nil" w:sz="6" w:space="0" w:color="auto"/>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US$50,000-US$74,999</w:t>
            </w:r>
          </w:p>
        </w:tc>
        <w:tc>
          <w:tcPr>
            <w:tcW w:w="2879" w:type="dxa"/>
            <w:tcBorders>
              <w:top w:val="nil" w:sz="6" w:space="0" w:color="auto"/>
              <w:left w:val="nil" w:sz="6" w:space="0" w:color="auto"/>
              <w:bottom w:val="nil" w:sz="6" w:space="0" w:color="auto"/>
              <w:right w:val="nil" w:sz="6" w:space="0" w:color="auto"/>
            </w:tcBorders>
          </w:tcPr>
          <w:p>
            <w:pPr>
              <w:pStyle w:val="TableParagraph"/>
              <w:spacing w:line="226" w:lineRule="exact"/>
              <w:ind w:right="822"/>
              <w:jc w:val="right"/>
              <w:rPr>
                <w:rFonts w:ascii="Calibri" w:hAnsi="Calibri" w:cs="Calibri" w:eastAsia="Calibri" w:hint="default"/>
                <w:sz w:val="20"/>
                <w:szCs w:val="20"/>
              </w:rPr>
            </w:pPr>
            <w:r>
              <w:rPr>
                <w:rFonts w:ascii="Calibri"/>
                <w:w w:val="95"/>
                <w:sz w:val="20"/>
              </w:rPr>
              <w:t>25.00%</w:t>
            </w:r>
            <w:r>
              <w:rPr>
                <w:rFonts w:ascii="Calibri"/>
                <w:sz w:val="20"/>
              </w:rPr>
            </w:r>
          </w:p>
        </w:tc>
        <w:tc>
          <w:tcPr>
            <w:tcW w:w="2793" w:type="dxa"/>
            <w:tcBorders>
              <w:top w:val="nil" w:sz="6" w:space="0" w:color="auto"/>
              <w:left w:val="nil" w:sz="6" w:space="0" w:color="auto"/>
              <w:bottom w:val="nil" w:sz="6" w:space="0" w:color="auto"/>
              <w:right w:val="nil" w:sz="6" w:space="0" w:color="auto"/>
            </w:tcBorders>
          </w:tcPr>
          <w:p>
            <w:pPr>
              <w:pStyle w:val="TableParagraph"/>
              <w:spacing w:line="226" w:lineRule="exact"/>
              <w:ind w:left="183" w:right="0"/>
              <w:jc w:val="center"/>
              <w:rPr>
                <w:rFonts w:ascii="Calibri" w:hAnsi="Calibri" w:cs="Calibri" w:eastAsia="Calibri" w:hint="default"/>
                <w:sz w:val="20"/>
                <w:szCs w:val="20"/>
              </w:rPr>
            </w:pPr>
            <w:r>
              <w:rPr>
                <w:rFonts w:ascii="Calibri"/>
                <w:sz w:val="20"/>
              </w:rPr>
              <w:t>4.17%</w:t>
            </w:r>
          </w:p>
        </w:tc>
      </w:tr>
      <w:tr>
        <w:trPr>
          <w:trHeight w:val="244" w:hRule="exact"/>
        </w:trPr>
        <w:tc>
          <w:tcPr>
            <w:tcW w:w="3611" w:type="dxa"/>
            <w:tcBorders>
              <w:top w:val="nil" w:sz="6" w:space="0" w:color="auto"/>
              <w:left w:val="nil" w:sz="6" w:space="0" w:color="auto"/>
              <w:bottom w:val="nil" w:sz="6" w:space="0" w:color="auto"/>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US$75,000-US$99,999</w:t>
            </w:r>
          </w:p>
        </w:tc>
        <w:tc>
          <w:tcPr>
            <w:tcW w:w="2879" w:type="dxa"/>
            <w:tcBorders>
              <w:top w:val="nil" w:sz="6" w:space="0" w:color="auto"/>
              <w:left w:val="nil" w:sz="6" w:space="0" w:color="auto"/>
              <w:bottom w:val="nil" w:sz="6" w:space="0" w:color="auto"/>
              <w:right w:val="nil" w:sz="6" w:space="0" w:color="auto"/>
            </w:tcBorders>
          </w:tcPr>
          <w:p>
            <w:pPr>
              <w:pStyle w:val="TableParagraph"/>
              <w:spacing w:line="226" w:lineRule="exact"/>
              <w:ind w:right="822"/>
              <w:jc w:val="right"/>
              <w:rPr>
                <w:rFonts w:ascii="Calibri" w:hAnsi="Calibri" w:cs="Calibri" w:eastAsia="Calibri" w:hint="default"/>
                <w:sz w:val="20"/>
                <w:szCs w:val="20"/>
              </w:rPr>
            </w:pPr>
            <w:r>
              <w:rPr>
                <w:rFonts w:ascii="Calibri"/>
                <w:w w:val="95"/>
                <w:sz w:val="20"/>
              </w:rPr>
              <w:t>13.33%</w:t>
            </w:r>
            <w:r>
              <w:rPr>
                <w:rFonts w:ascii="Calibri"/>
                <w:sz w:val="20"/>
              </w:rPr>
            </w:r>
          </w:p>
        </w:tc>
        <w:tc>
          <w:tcPr>
            <w:tcW w:w="2793" w:type="dxa"/>
            <w:tcBorders>
              <w:top w:val="nil" w:sz="6" w:space="0" w:color="auto"/>
              <w:left w:val="nil" w:sz="6" w:space="0" w:color="auto"/>
              <w:bottom w:val="nil" w:sz="6" w:space="0" w:color="auto"/>
              <w:right w:val="nil" w:sz="6" w:space="0" w:color="auto"/>
            </w:tcBorders>
          </w:tcPr>
          <w:p>
            <w:pPr>
              <w:pStyle w:val="TableParagraph"/>
              <w:spacing w:line="226" w:lineRule="exact"/>
              <w:ind w:left="183" w:right="0"/>
              <w:jc w:val="center"/>
              <w:rPr>
                <w:rFonts w:ascii="Calibri" w:hAnsi="Calibri" w:cs="Calibri" w:eastAsia="Calibri" w:hint="default"/>
                <w:sz w:val="20"/>
                <w:szCs w:val="20"/>
              </w:rPr>
            </w:pPr>
            <w:r>
              <w:rPr>
                <w:rFonts w:ascii="Calibri"/>
                <w:sz w:val="20"/>
              </w:rPr>
              <w:t>25.00%</w:t>
            </w:r>
          </w:p>
        </w:tc>
      </w:tr>
      <w:tr>
        <w:trPr>
          <w:trHeight w:val="244" w:hRule="exact"/>
        </w:trPr>
        <w:tc>
          <w:tcPr>
            <w:tcW w:w="3611" w:type="dxa"/>
            <w:tcBorders>
              <w:top w:val="nil" w:sz="6" w:space="0" w:color="auto"/>
              <w:left w:val="nil" w:sz="6" w:space="0" w:color="auto"/>
              <w:bottom w:val="nil" w:sz="6" w:space="0" w:color="auto"/>
              <w:right w:val="nil" w:sz="6" w:space="0" w:color="auto"/>
            </w:tcBorders>
          </w:tcPr>
          <w:p>
            <w:pPr>
              <w:pStyle w:val="TableParagraph"/>
              <w:spacing w:line="225" w:lineRule="exact"/>
              <w:ind w:left="71" w:right="0"/>
              <w:jc w:val="left"/>
              <w:rPr>
                <w:rFonts w:ascii="Calibri" w:hAnsi="Calibri" w:cs="Calibri" w:eastAsia="Calibri" w:hint="default"/>
                <w:sz w:val="20"/>
                <w:szCs w:val="20"/>
              </w:rPr>
            </w:pPr>
            <w:r>
              <w:rPr>
                <w:rFonts w:ascii="Calibri"/>
                <w:sz w:val="20"/>
              </w:rPr>
              <w:t>US$100,000-US$149,999</w:t>
            </w:r>
          </w:p>
        </w:tc>
        <w:tc>
          <w:tcPr>
            <w:tcW w:w="2879" w:type="dxa"/>
            <w:tcBorders>
              <w:top w:val="nil" w:sz="6" w:space="0" w:color="auto"/>
              <w:left w:val="nil" w:sz="6" w:space="0" w:color="auto"/>
              <w:bottom w:val="nil" w:sz="6" w:space="0" w:color="auto"/>
              <w:right w:val="nil" w:sz="6" w:space="0" w:color="auto"/>
            </w:tcBorders>
          </w:tcPr>
          <w:p>
            <w:pPr>
              <w:pStyle w:val="TableParagraph"/>
              <w:spacing w:line="225" w:lineRule="exact"/>
              <w:ind w:right="822"/>
              <w:jc w:val="right"/>
              <w:rPr>
                <w:rFonts w:ascii="Calibri" w:hAnsi="Calibri" w:cs="Calibri" w:eastAsia="Calibri" w:hint="default"/>
                <w:sz w:val="20"/>
                <w:szCs w:val="20"/>
              </w:rPr>
            </w:pPr>
            <w:r>
              <w:rPr>
                <w:rFonts w:ascii="Calibri"/>
                <w:w w:val="95"/>
                <w:sz w:val="20"/>
              </w:rPr>
              <w:t>41.67%</w:t>
            </w:r>
            <w:r>
              <w:rPr>
                <w:rFonts w:ascii="Calibri"/>
                <w:sz w:val="20"/>
              </w:rPr>
            </w:r>
          </w:p>
        </w:tc>
        <w:tc>
          <w:tcPr>
            <w:tcW w:w="2793" w:type="dxa"/>
            <w:tcBorders>
              <w:top w:val="nil" w:sz="6" w:space="0" w:color="auto"/>
              <w:left w:val="nil" w:sz="6" w:space="0" w:color="auto"/>
              <w:bottom w:val="nil" w:sz="6" w:space="0" w:color="auto"/>
              <w:right w:val="nil" w:sz="6" w:space="0" w:color="auto"/>
            </w:tcBorders>
          </w:tcPr>
          <w:p>
            <w:pPr>
              <w:pStyle w:val="TableParagraph"/>
              <w:spacing w:line="225" w:lineRule="exact"/>
              <w:ind w:left="183" w:right="0"/>
              <w:jc w:val="center"/>
              <w:rPr>
                <w:rFonts w:ascii="Calibri" w:hAnsi="Calibri" w:cs="Calibri" w:eastAsia="Calibri" w:hint="default"/>
                <w:sz w:val="20"/>
                <w:szCs w:val="20"/>
              </w:rPr>
            </w:pPr>
            <w:r>
              <w:rPr>
                <w:rFonts w:ascii="Calibri"/>
                <w:sz w:val="20"/>
              </w:rPr>
              <w:t>16.67%</w:t>
            </w:r>
          </w:p>
        </w:tc>
      </w:tr>
      <w:tr>
        <w:trPr>
          <w:trHeight w:val="245" w:hRule="exact"/>
        </w:trPr>
        <w:tc>
          <w:tcPr>
            <w:tcW w:w="3611" w:type="dxa"/>
            <w:tcBorders>
              <w:top w:val="nil" w:sz="6" w:space="0" w:color="auto"/>
              <w:left w:val="nil" w:sz="6" w:space="0" w:color="auto"/>
              <w:bottom w:val="nil" w:sz="6" w:space="0" w:color="auto"/>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US$150,000-US$199,999</w:t>
            </w:r>
          </w:p>
        </w:tc>
        <w:tc>
          <w:tcPr>
            <w:tcW w:w="2879" w:type="dxa"/>
            <w:tcBorders>
              <w:top w:val="nil" w:sz="6" w:space="0" w:color="auto"/>
              <w:left w:val="nil" w:sz="6" w:space="0" w:color="auto"/>
              <w:bottom w:val="nil" w:sz="6" w:space="0" w:color="auto"/>
              <w:right w:val="nil" w:sz="6" w:space="0" w:color="auto"/>
            </w:tcBorders>
          </w:tcPr>
          <w:p>
            <w:pPr>
              <w:pStyle w:val="TableParagraph"/>
              <w:spacing w:line="226" w:lineRule="exact"/>
              <w:ind w:right="873"/>
              <w:jc w:val="right"/>
              <w:rPr>
                <w:rFonts w:ascii="Calibri" w:hAnsi="Calibri" w:cs="Calibri" w:eastAsia="Calibri" w:hint="default"/>
                <w:sz w:val="20"/>
                <w:szCs w:val="20"/>
              </w:rPr>
            </w:pPr>
            <w:r>
              <w:rPr>
                <w:rFonts w:ascii="Calibri"/>
                <w:w w:val="95"/>
                <w:sz w:val="20"/>
              </w:rPr>
              <w:t>5.00%</w:t>
            </w:r>
            <w:r>
              <w:rPr>
                <w:rFonts w:ascii="Calibri"/>
                <w:sz w:val="20"/>
              </w:rPr>
            </w:r>
          </w:p>
        </w:tc>
        <w:tc>
          <w:tcPr>
            <w:tcW w:w="2793" w:type="dxa"/>
            <w:tcBorders>
              <w:top w:val="nil" w:sz="6" w:space="0" w:color="auto"/>
              <w:left w:val="nil" w:sz="6" w:space="0" w:color="auto"/>
              <w:bottom w:val="nil" w:sz="6" w:space="0" w:color="auto"/>
              <w:right w:val="nil" w:sz="6" w:space="0" w:color="auto"/>
            </w:tcBorders>
          </w:tcPr>
          <w:p>
            <w:pPr>
              <w:pStyle w:val="TableParagraph"/>
              <w:spacing w:line="226" w:lineRule="exact"/>
              <w:ind w:left="184" w:right="0"/>
              <w:jc w:val="center"/>
              <w:rPr>
                <w:rFonts w:ascii="Calibri" w:hAnsi="Calibri" w:cs="Calibri" w:eastAsia="Calibri" w:hint="default"/>
                <w:sz w:val="20"/>
                <w:szCs w:val="20"/>
              </w:rPr>
            </w:pPr>
            <w:r>
              <w:rPr>
                <w:rFonts w:ascii="Calibri"/>
                <w:sz w:val="20"/>
              </w:rPr>
              <w:t>16.67%</w:t>
            </w:r>
          </w:p>
        </w:tc>
      </w:tr>
      <w:tr>
        <w:trPr>
          <w:trHeight w:val="233" w:hRule="exact"/>
        </w:trPr>
        <w:tc>
          <w:tcPr>
            <w:tcW w:w="3611" w:type="dxa"/>
            <w:tcBorders>
              <w:top w:val="nil" w:sz="6" w:space="0" w:color="auto"/>
              <w:left w:val="nil" w:sz="6" w:space="0" w:color="auto"/>
              <w:bottom w:val="single" w:sz="4" w:space="0" w:color="000000"/>
              <w:right w:val="nil" w:sz="6" w:space="0" w:color="auto"/>
            </w:tcBorders>
          </w:tcPr>
          <w:p>
            <w:pPr>
              <w:pStyle w:val="TableParagraph"/>
              <w:spacing w:line="226" w:lineRule="exact"/>
              <w:ind w:left="71" w:right="0"/>
              <w:jc w:val="left"/>
              <w:rPr>
                <w:rFonts w:ascii="Calibri" w:hAnsi="Calibri" w:cs="Calibri" w:eastAsia="Calibri" w:hint="default"/>
                <w:sz w:val="20"/>
                <w:szCs w:val="20"/>
              </w:rPr>
            </w:pPr>
            <w:r>
              <w:rPr>
                <w:rFonts w:ascii="Calibri"/>
                <w:sz w:val="20"/>
              </w:rPr>
              <w:t>US$200,000 &amp;</w:t>
            </w:r>
            <w:r>
              <w:rPr>
                <w:rFonts w:ascii="Calibri"/>
                <w:spacing w:val="-9"/>
                <w:sz w:val="20"/>
              </w:rPr>
              <w:t> </w:t>
            </w:r>
            <w:r>
              <w:rPr>
                <w:rFonts w:ascii="Calibri"/>
                <w:sz w:val="20"/>
              </w:rPr>
              <w:t>over</w:t>
            </w:r>
          </w:p>
        </w:tc>
        <w:tc>
          <w:tcPr>
            <w:tcW w:w="2879" w:type="dxa"/>
            <w:tcBorders>
              <w:top w:val="nil" w:sz="6" w:space="0" w:color="auto"/>
              <w:left w:val="nil" w:sz="6" w:space="0" w:color="auto"/>
              <w:bottom w:val="single" w:sz="4" w:space="0" w:color="000000"/>
              <w:right w:val="nil" w:sz="6" w:space="0" w:color="auto"/>
            </w:tcBorders>
          </w:tcPr>
          <w:p>
            <w:pPr>
              <w:pStyle w:val="TableParagraph"/>
              <w:spacing w:line="226" w:lineRule="exact"/>
              <w:ind w:right="873"/>
              <w:jc w:val="right"/>
              <w:rPr>
                <w:rFonts w:ascii="Calibri" w:hAnsi="Calibri" w:cs="Calibri" w:eastAsia="Calibri" w:hint="default"/>
                <w:sz w:val="20"/>
                <w:szCs w:val="20"/>
              </w:rPr>
            </w:pPr>
            <w:r>
              <w:rPr>
                <w:rFonts w:ascii="Calibri"/>
                <w:w w:val="95"/>
                <w:sz w:val="20"/>
              </w:rPr>
              <w:t>6.67%</w:t>
            </w:r>
            <w:r>
              <w:rPr>
                <w:rFonts w:ascii="Calibri"/>
                <w:sz w:val="20"/>
              </w:rPr>
            </w:r>
          </w:p>
        </w:tc>
        <w:tc>
          <w:tcPr>
            <w:tcW w:w="2793" w:type="dxa"/>
            <w:tcBorders>
              <w:top w:val="nil" w:sz="6" w:space="0" w:color="auto"/>
              <w:left w:val="nil" w:sz="6" w:space="0" w:color="auto"/>
              <w:bottom w:val="single" w:sz="4" w:space="0" w:color="000000"/>
              <w:right w:val="nil" w:sz="6" w:space="0" w:color="auto"/>
            </w:tcBorders>
          </w:tcPr>
          <w:p>
            <w:pPr>
              <w:pStyle w:val="TableParagraph"/>
              <w:spacing w:line="226" w:lineRule="exact"/>
              <w:ind w:left="183" w:right="0"/>
              <w:jc w:val="center"/>
              <w:rPr>
                <w:rFonts w:ascii="Calibri" w:hAnsi="Calibri" w:cs="Calibri" w:eastAsia="Calibri" w:hint="default"/>
                <w:sz w:val="20"/>
                <w:szCs w:val="20"/>
              </w:rPr>
            </w:pPr>
            <w:r>
              <w:rPr>
                <w:rFonts w:ascii="Calibri"/>
                <w:sz w:val="20"/>
              </w:rPr>
              <w:t>0.00%</w:t>
            </w:r>
          </w:p>
        </w:tc>
      </w:tr>
    </w:tbl>
    <w:sectPr>
      <w:pgSz w:w="12240" w:h="15840"/>
      <w:pgMar w:header="0" w:footer="539" w:top="840" w:bottom="72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ourier New">
    <w:altName w:val="Courier New"/>
    <w:charset w:val="0"/>
    <w:family w:val="modern"/>
    <w:pitch w:val="fixed"/>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2248" type="#_x0000_t75" stroked="false">
          <v:imagedata r:id="rId1" o:title=""/>
        </v:shape>
      </w:pict>
    </w:r>
    <w:r>
      <w:rPr/>
      <w:pict>
        <v:shapetype id="_x0000_t202" o:spt="202" coordsize="21600,21600" path="m,l,21600r21600,l21600,xe">
          <v:stroke joinstyle="miter"/>
          <v:path gradientshapeok="t" o:connecttype="rect"/>
        </v:shapetype>
        <v:shape style="position:absolute;margin-left:498.619995pt;margin-top:762.296021pt;width:42.5pt;height:14pt;mso-position-horizontal-relative:page;mso-position-vertical-relative:page;z-index:-452224" type="#_x0000_t202" filled="false" stroked="false">
          <v:textbox inset="0,0,0,0">
            <w:txbxContent>
              <w:p>
                <w:pPr>
                  <w:spacing w:line="264" w:lineRule="exact" w:before="0"/>
                  <w:ind w:left="40" w:right="0" w:firstLine="0"/>
                  <w:jc w:val="left"/>
                  <w:rPr>
                    <w:rFonts w:ascii="Calibri" w:hAnsi="Calibri" w:cs="Calibri" w:eastAsia="Calibri" w:hint="default"/>
                    <w:sz w:val="24"/>
                    <w:szCs w:val="24"/>
                  </w:rPr>
                </w:pPr>
                <w:r>
                  <w:rPr>
                    <w:rFonts w:ascii="Calibri"/>
                    <w:b/>
                    <w:i/>
                    <w:color w:val="FFFFFF"/>
                    <w:sz w:val="24"/>
                  </w:rPr>
                </w:r>
                <w:r>
                  <w:rPr/>
                  <w:fldChar w:fldCharType="begin"/>
                </w:r>
                <w:r>
                  <w:rPr>
                    <w:rFonts w:ascii="Calibri"/>
                    <w:b/>
                    <w:i/>
                    <w:color w:val="FFFFFF"/>
                    <w:sz w:val="24"/>
                  </w:rPr>
                  <w:instrText> PAGE </w:instrText>
                </w:r>
                <w:r>
                  <w:rPr/>
                  <w:fldChar w:fldCharType="separate"/>
                </w:r>
                <w:r>
                  <w:rPr/>
                  <w:t>1</w:t>
                </w:r>
                <w:r>
                  <w:rPr/>
                  <w:fldChar w:fldCharType="end"/>
                </w:r>
                <w:r>
                  <w:rPr>
                    <w:rFonts w:ascii="Calibri"/>
                    <w:b/>
                    <w:i/>
                    <w:color w:val="FFFFFF"/>
                    <w:spacing w:val="-3"/>
                    <w:sz w:val="24"/>
                  </w:rPr>
                  <w:t> </w:t>
                </w:r>
                <w:r>
                  <w:rPr>
                    <w:rFonts w:ascii="Calibri"/>
                    <w:b/>
                    <w:i/>
                    <w:color w:val="FFFFFF"/>
                    <w:sz w:val="24"/>
                  </w:rPr>
                  <w:t>|Page</w:t>
                </w:r>
                <w:r>
                  <w:rPr>
                    <w:rFonts w:ascii="Calibri"/>
                    <w:sz w:val="24"/>
                  </w:rPr>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1768" type="#_x0000_t75" stroked="false">
          <v:imagedata r:id="rId1" o:title=""/>
        </v:shape>
      </w:pict>
    </w:r>
    <w:r>
      <w:rPr/>
      <w:pict>
        <v:shape style="position:absolute;margin-left:493.619995pt;margin-top:762.296021pt;width:47.6pt;height:14pt;mso-position-horizontal-relative:page;mso-position-vertical-relative:page;z-index:-451744" type="#_x0000_t202" filled="false" stroked="false">
          <v:textbox inset="0,0,0,0">
            <w:txbxContent>
              <w:p>
                <w:pPr>
                  <w:spacing w:line="264" w:lineRule="exact" w:before="0"/>
                  <w:ind w:left="20" w:right="0" w:firstLine="0"/>
                  <w:jc w:val="left"/>
                  <w:rPr>
                    <w:rFonts w:ascii="Calibri" w:hAnsi="Calibri" w:cs="Calibri" w:eastAsia="Calibri" w:hint="default"/>
                    <w:sz w:val="24"/>
                    <w:szCs w:val="24"/>
                  </w:rPr>
                </w:pPr>
                <w:r>
                  <w:rPr>
                    <w:rFonts w:ascii="Calibri"/>
                    <w:b/>
                    <w:i/>
                    <w:color w:val="FFFFFF"/>
                    <w:sz w:val="24"/>
                  </w:rPr>
                  <w:t>50</w:t>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1720" type="#_x0000_t75" stroked="false">
          <v:imagedata r:id="rId1" o:title=""/>
        </v:shape>
      </w:pict>
    </w:r>
    <w:r>
      <w:rPr/>
      <w:pict>
        <v:shape style="position:absolute;margin-left:492.619995pt;margin-top:762.296021pt;width:48.6pt;height:14pt;mso-position-horizontal-relative:page;mso-position-vertical-relative:page;z-index:-451696" type="#_x0000_t202" filled="false" stroked="false">
          <v:textbox inset="0,0,0,0">
            <w:txbxContent>
              <w:p>
                <w:pPr>
                  <w:spacing w:line="264" w:lineRule="exact" w:before="0"/>
                  <w:ind w:left="40" w:right="0" w:firstLine="0"/>
                  <w:jc w:val="left"/>
                  <w:rPr>
                    <w:rFonts w:ascii="Calibri" w:hAnsi="Calibri" w:cs="Calibri" w:eastAsia="Calibri" w:hint="default"/>
                    <w:sz w:val="24"/>
                    <w:szCs w:val="24"/>
                  </w:rPr>
                </w:pPr>
                <w:r>
                  <w:rPr>
                    <w:rFonts w:ascii="Calibri"/>
                    <w:b/>
                    <w:i/>
                    <w:color w:val="FFFFFF"/>
                    <w:sz w:val="24"/>
                  </w:rPr>
                </w:r>
                <w:r>
                  <w:rPr/>
                  <w:fldChar w:fldCharType="begin"/>
                </w:r>
                <w:r>
                  <w:rPr>
                    <w:rFonts w:ascii="Calibri"/>
                    <w:b/>
                    <w:i/>
                    <w:color w:val="FFFFFF"/>
                    <w:sz w:val="24"/>
                  </w:rPr>
                  <w:instrText> PAGE </w:instrText>
                </w:r>
                <w:r>
                  <w:rPr/>
                  <w:fldChar w:fldCharType="separate"/>
                </w:r>
                <w:r>
                  <w:rPr/>
                  <w:t>51</w:t>
                </w:r>
                <w:r>
                  <w:rPr/>
                  <w:fldChar w:fldCharType="end"/>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1672" type="#_x0000_t75" stroked="false">
          <v:imagedata r:id="rId1" o:title=""/>
        </v:shape>
      </w:pict>
    </w:r>
    <w:r>
      <w:rPr/>
      <w:pict>
        <v:shape style="position:absolute;margin-left:493.619995pt;margin-top:762.296021pt;width:47.6pt;height:14pt;mso-position-horizontal-relative:page;mso-position-vertical-relative:page;z-index:-451648" type="#_x0000_t202" filled="false" stroked="false">
          <v:textbox inset="0,0,0,0">
            <w:txbxContent>
              <w:p>
                <w:pPr>
                  <w:spacing w:line="264" w:lineRule="exact" w:before="0"/>
                  <w:ind w:left="20" w:right="0" w:firstLine="0"/>
                  <w:jc w:val="left"/>
                  <w:rPr>
                    <w:rFonts w:ascii="Calibri" w:hAnsi="Calibri" w:cs="Calibri" w:eastAsia="Calibri" w:hint="default"/>
                    <w:sz w:val="24"/>
                    <w:szCs w:val="24"/>
                  </w:rPr>
                </w:pPr>
                <w:r>
                  <w:rPr>
                    <w:rFonts w:ascii="Calibri"/>
                    <w:b/>
                    <w:i/>
                    <w:color w:val="FFFFFF"/>
                    <w:sz w:val="24"/>
                  </w:rPr>
                  <w:t>60</w:t>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1624" type="#_x0000_t75" stroked="false">
          <v:imagedata r:id="rId1" o:title=""/>
        </v:shape>
      </w:pict>
    </w:r>
    <w:r>
      <w:rPr/>
      <w:pict>
        <v:shape style="position:absolute;margin-left:492.619995pt;margin-top:762.296021pt;width:48.6pt;height:14pt;mso-position-horizontal-relative:page;mso-position-vertical-relative:page;z-index:-451600" type="#_x0000_t202" filled="false" stroked="false">
          <v:textbox inset="0,0,0,0">
            <w:txbxContent>
              <w:p>
                <w:pPr>
                  <w:spacing w:line="264" w:lineRule="exact" w:before="0"/>
                  <w:ind w:left="40" w:right="0" w:firstLine="0"/>
                  <w:jc w:val="left"/>
                  <w:rPr>
                    <w:rFonts w:ascii="Calibri" w:hAnsi="Calibri" w:cs="Calibri" w:eastAsia="Calibri" w:hint="default"/>
                    <w:sz w:val="24"/>
                    <w:szCs w:val="24"/>
                  </w:rPr>
                </w:pPr>
                <w:r>
                  <w:rPr>
                    <w:rFonts w:ascii="Calibri"/>
                    <w:b/>
                    <w:i/>
                    <w:color w:val="FFFFFF"/>
                    <w:sz w:val="24"/>
                  </w:rPr>
                </w:r>
                <w:r>
                  <w:rPr/>
                  <w:fldChar w:fldCharType="begin"/>
                </w:r>
                <w:r>
                  <w:rPr>
                    <w:rFonts w:ascii="Calibri"/>
                    <w:b/>
                    <w:i/>
                    <w:color w:val="FFFFFF"/>
                    <w:sz w:val="24"/>
                  </w:rPr>
                  <w:instrText> PAGE </w:instrText>
                </w:r>
                <w:r>
                  <w:rPr/>
                  <w:fldChar w:fldCharType="separate"/>
                </w:r>
                <w:r>
                  <w:rPr/>
                  <w:t>61</w:t>
                </w:r>
                <w:r>
                  <w:rPr/>
                  <w:fldChar w:fldCharType="end"/>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1576" type="#_x0000_t75" stroked="false">
          <v:imagedata r:id="rId1" o:title=""/>
        </v:shape>
      </w:pict>
    </w:r>
    <w:r>
      <w:rPr/>
      <w:pict>
        <v:shape style="position:absolute;margin-left:493.619995pt;margin-top:762.296021pt;width:47.6pt;height:14pt;mso-position-horizontal-relative:page;mso-position-vertical-relative:page;z-index:-451552" type="#_x0000_t202" filled="false" stroked="false">
          <v:textbox inset="0,0,0,0">
            <w:txbxContent>
              <w:p>
                <w:pPr>
                  <w:spacing w:line="264" w:lineRule="exact" w:before="0"/>
                  <w:ind w:left="20" w:right="0" w:firstLine="0"/>
                  <w:jc w:val="left"/>
                  <w:rPr>
                    <w:rFonts w:ascii="Calibri" w:hAnsi="Calibri" w:cs="Calibri" w:eastAsia="Calibri" w:hint="default"/>
                    <w:sz w:val="24"/>
                    <w:szCs w:val="24"/>
                  </w:rPr>
                </w:pPr>
                <w:r>
                  <w:rPr>
                    <w:rFonts w:ascii="Calibri"/>
                    <w:b/>
                    <w:i/>
                    <w:color w:val="FFFFFF"/>
                    <w:sz w:val="24"/>
                  </w:rPr>
                  <w:t>70</w:t>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1528" type="#_x0000_t75" stroked="false">
          <v:imagedata r:id="rId1" o:title=""/>
        </v:shape>
      </w:pict>
    </w:r>
    <w:r>
      <w:rPr/>
      <w:pict>
        <v:shape style="position:absolute;margin-left:492.619995pt;margin-top:762.296021pt;width:48.6pt;height:14pt;mso-position-horizontal-relative:page;mso-position-vertical-relative:page;z-index:-451504" type="#_x0000_t202" filled="false" stroked="false">
          <v:textbox inset="0,0,0,0">
            <w:txbxContent>
              <w:p>
                <w:pPr>
                  <w:spacing w:line="264" w:lineRule="exact" w:before="0"/>
                  <w:ind w:left="40" w:right="0" w:firstLine="0"/>
                  <w:jc w:val="left"/>
                  <w:rPr>
                    <w:rFonts w:ascii="Calibri" w:hAnsi="Calibri" w:cs="Calibri" w:eastAsia="Calibri" w:hint="default"/>
                    <w:sz w:val="24"/>
                    <w:szCs w:val="24"/>
                  </w:rPr>
                </w:pPr>
                <w:r>
                  <w:rPr>
                    <w:rFonts w:ascii="Calibri"/>
                    <w:b/>
                    <w:i/>
                    <w:color w:val="FFFFFF"/>
                    <w:sz w:val="24"/>
                  </w:rPr>
                </w:r>
                <w:r>
                  <w:rPr/>
                  <w:fldChar w:fldCharType="begin"/>
                </w:r>
                <w:r>
                  <w:rPr>
                    <w:rFonts w:ascii="Calibri"/>
                    <w:b/>
                    <w:i/>
                    <w:color w:val="FFFFFF"/>
                    <w:sz w:val="24"/>
                  </w:rPr>
                  <w:instrText> PAGE </w:instrText>
                </w:r>
                <w:r>
                  <w:rPr/>
                  <w:fldChar w:fldCharType="separate"/>
                </w:r>
                <w:r>
                  <w:rPr/>
                  <w:t>71</w:t>
                </w:r>
                <w:r>
                  <w:rPr/>
                  <w:fldChar w:fldCharType="end"/>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1456" type="#_x0000_t75" stroked="false">
          <v:imagedata r:id="rId1" o:title=""/>
        </v:shape>
      </w:pict>
    </w:r>
    <w:r>
      <w:rPr/>
      <w:pict>
        <v:shape style="position:absolute;margin-left:493.619995pt;margin-top:762.296021pt;width:47.6pt;height:14pt;mso-position-horizontal-relative:page;mso-position-vertical-relative:page;z-index:-451432" type="#_x0000_t202" filled="false" stroked="false">
          <v:textbox inset="0,0,0,0">
            <w:txbxContent>
              <w:p>
                <w:pPr>
                  <w:spacing w:line="264" w:lineRule="exact" w:before="0"/>
                  <w:ind w:left="20" w:right="0" w:firstLine="0"/>
                  <w:jc w:val="left"/>
                  <w:rPr>
                    <w:rFonts w:ascii="Calibri" w:hAnsi="Calibri" w:cs="Calibri" w:eastAsia="Calibri" w:hint="default"/>
                    <w:sz w:val="24"/>
                    <w:szCs w:val="24"/>
                  </w:rPr>
                </w:pPr>
                <w:r>
                  <w:rPr>
                    <w:rFonts w:ascii="Calibri"/>
                    <w:b/>
                    <w:i/>
                    <w:color w:val="FFFFFF"/>
                    <w:sz w:val="24"/>
                  </w:rPr>
                  <w:t>80</w:t>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1408" type="#_x0000_t75" stroked="false">
          <v:imagedata r:id="rId1" o:title=""/>
        </v:shape>
      </w:pict>
    </w:r>
    <w:r>
      <w:rPr/>
      <w:pict>
        <v:shape style="position:absolute;margin-left:492.619995pt;margin-top:762.296021pt;width:48.6pt;height:14pt;mso-position-horizontal-relative:page;mso-position-vertical-relative:page;z-index:-451384" type="#_x0000_t202" filled="false" stroked="false">
          <v:textbox inset="0,0,0,0">
            <w:txbxContent>
              <w:p>
                <w:pPr>
                  <w:spacing w:line="264" w:lineRule="exact" w:before="0"/>
                  <w:ind w:left="40" w:right="0" w:firstLine="0"/>
                  <w:jc w:val="left"/>
                  <w:rPr>
                    <w:rFonts w:ascii="Calibri" w:hAnsi="Calibri" w:cs="Calibri" w:eastAsia="Calibri" w:hint="default"/>
                    <w:sz w:val="24"/>
                    <w:szCs w:val="24"/>
                  </w:rPr>
                </w:pPr>
                <w:r>
                  <w:rPr>
                    <w:rFonts w:ascii="Calibri"/>
                    <w:b/>
                    <w:i/>
                    <w:color w:val="FFFFFF"/>
                    <w:sz w:val="24"/>
                  </w:rPr>
                </w:r>
                <w:r>
                  <w:rPr/>
                  <w:fldChar w:fldCharType="begin"/>
                </w:r>
                <w:r>
                  <w:rPr>
                    <w:rFonts w:ascii="Calibri"/>
                    <w:b/>
                    <w:i/>
                    <w:color w:val="FFFFFF"/>
                    <w:sz w:val="24"/>
                  </w:rPr>
                  <w:instrText> PAGE </w:instrText>
                </w:r>
                <w:r>
                  <w:rPr/>
                  <w:fldChar w:fldCharType="separate"/>
                </w:r>
                <w:r>
                  <w:rPr/>
                  <w:t>81</w:t>
                </w:r>
                <w:r>
                  <w:rPr/>
                  <w:fldChar w:fldCharType="end"/>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1360" type="#_x0000_t75" stroked="false">
          <v:imagedata r:id="rId1" o:title=""/>
        </v:shape>
      </w:pict>
    </w:r>
    <w:r>
      <w:rPr/>
      <w:pict>
        <v:shape style="position:absolute;margin-left:493.619995pt;margin-top:762.296021pt;width:47.6pt;height:14pt;mso-position-horizontal-relative:page;mso-position-vertical-relative:page;z-index:-451336" type="#_x0000_t202" filled="false" stroked="false">
          <v:textbox inset="0,0,0,0">
            <w:txbxContent>
              <w:p>
                <w:pPr>
                  <w:spacing w:line="264" w:lineRule="exact" w:before="0"/>
                  <w:ind w:left="20" w:right="0" w:firstLine="0"/>
                  <w:jc w:val="left"/>
                  <w:rPr>
                    <w:rFonts w:ascii="Calibri" w:hAnsi="Calibri" w:cs="Calibri" w:eastAsia="Calibri" w:hint="default"/>
                    <w:sz w:val="24"/>
                    <w:szCs w:val="24"/>
                  </w:rPr>
                </w:pPr>
                <w:r>
                  <w:rPr>
                    <w:rFonts w:ascii="Calibri"/>
                    <w:b/>
                    <w:i/>
                    <w:color w:val="FFFFFF"/>
                    <w:sz w:val="24"/>
                  </w:rPr>
                  <w:t>90</w:t>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1312" type="#_x0000_t75" stroked="false">
          <v:imagedata r:id="rId1" o:title=""/>
        </v:shape>
      </w:pict>
    </w:r>
    <w:r>
      <w:rPr/>
      <w:pict>
        <v:shape style="position:absolute;margin-left:492.619995pt;margin-top:762.296021pt;width:48.6pt;height:14pt;mso-position-horizontal-relative:page;mso-position-vertical-relative:page;z-index:-451288" type="#_x0000_t202" filled="false" stroked="false">
          <v:textbox inset="0,0,0,0">
            <w:txbxContent>
              <w:p>
                <w:pPr>
                  <w:spacing w:line="264" w:lineRule="exact" w:before="0"/>
                  <w:ind w:left="40" w:right="0" w:firstLine="0"/>
                  <w:jc w:val="left"/>
                  <w:rPr>
                    <w:rFonts w:ascii="Calibri" w:hAnsi="Calibri" w:cs="Calibri" w:eastAsia="Calibri" w:hint="default"/>
                    <w:sz w:val="24"/>
                    <w:szCs w:val="24"/>
                  </w:rPr>
                </w:pPr>
                <w:r>
                  <w:rPr>
                    <w:rFonts w:ascii="Calibri"/>
                    <w:b/>
                    <w:i/>
                    <w:color w:val="FFFFFF"/>
                    <w:sz w:val="24"/>
                  </w:rPr>
                </w:r>
                <w:r>
                  <w:rPr/>
                  <w:fldChar w:fldCharType="begin"/>
                </w:r>
                <w:r>
                  <w:rPr>
                    <w:rFonts w:ascii="Calibri"/>
                    <w:b/>
                    <w:i/>
                    <w:color w:val="FFFFFF"/>
                    <w:sz w:val="24"/>
                  </w:rPr>
                  <w:instrText> PAGE </w:instrText>
                </w:r>
                <w:r>
                  <w:rPr/>
                  <w:fldChar w:fldCharType="separate"/>
                </w:r>
                <w:r>
                  <w:rPr/>
                  <w:t>91</w:t>
                </w:r>
                <w:r>
                  <w:rPr/>
                  <w:fldChar w:fldCharType="end"/>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2176" type="#_x0000_t75" stroked="false">
          <v:imagedata r:id="rId1" o:title=""/>
        </v:shape>
      </w:pict>
    </w:r>
    <w:r>
      <w:rPr/>
      <w:pict>
        <v:shape style="position:absolute;margin-left:493.619995pt;margin-top:762.296021pt;width:47.6pt;height:14pt;mso-position-horizontal-relative:page;mso-position-vertical-relative:page;z-index:-452152" type="#_x0000_t202" filled="false" stroked="false">
          <v:textbox inset="0,0,0,0">
            <w:txbxContent>
              <w:p>
                <w:pPr>
                  <w:spacing w:line="264" w:lineRule="exact" w:before="0"/>
                  <w:ind w:left="20" w:right="0" w:firstLine="0"/>
                  <w:jc w:val="left"/>
                  <w:rPr>
                    <w:rFonts w:ascii="Calibri" w:hAnsi="Calibri" w:cs="Calibri" w:eastAsia="Calibri" w:hint="default"/>
                    <w:sz w:val="24"/>
                    <w:szCs w:val="24"/>
                  </w:rPr>
                </w:pPr>
                <w:r>
                  <w:rPr>
                    <w:rFonts w:ascii="Calibri"/>
                    <w:b/>
                    <w:i/>
                    <w:color w:val="FFFFFF"/>
                    <w:sz w:val="24"/>
                  </w:rPr>
                  <w:t>10</w:t>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1240" type="#_x0000_t75" stroked="false">
          <v:imagedata r:id="rId1" o:title=""/>
        </v:shape>
      </w:pict>
    </w:r>
    <w:r>
      <w:rPr/>
      <w:pict>
        <v:shape style="position:absolute;margin-left:487.5pt;margin-top:762.296021pt;width:53.7pt;height:14pt;mso-position-horizontal-relative:page;mso-position-vertical-relative:page;z-index:-451216" type="#_x0000_t202" filled="false" stroked="false">
          <v:textbox inset="0,0,0,0">
            <w:txbxContent>
              <w:p>
                <w:pPr>
                  <w:spacing w:line="264" w:lineRule="exact" w:before="0"/>
                  <w:ind w:left="20" w:right="0" w:firstLine="0"/>
                  <w:jc w:val="left"/>
                  <w:rPr>
                    <w:rFonts w:ascii="Calibri" w:hAnsi="Calibri" w:cs="Calibri" w:eastAsia="Calibri" w:hint="default"/>
                    <w:sz w:val="24"/>
                    <w:szCs w:val="24"/>
                  </w:rPr>
                </w:pPr>
                <w:r>
                  <w:rPr>
                    <w:rFonts w:ascii="Calibri"/>
                    <w:b/>
                    <w:i/>
                    <w:color w:val="FFFFFF"/>
                    <w:sz w:val="24"/>
                  </w:rPr>
                  <w:t>100</w:t>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1192" type="#_x0000_t75" stroked="false">
          <v:imagedata r:id="rId1" o:title=""/>
        </v:shape>
      </w:pict>
    </w:r>
    <w:r>
      <w:rPr/>
      <w:pict>
        <v:shape style="position:absolute;margin-left:486.5pt;margin-top:762.296021pt;width:54.7pt;height:14pt;mso-position-horizontal-relative:page;mso-position-vertical-relative:page;z-index:-451168" type="#_x0000_t202" filled="false" stroked="false">
          <v:textbox inset="0,0,0,0">
            <w:txbxContent>
              <w:p>
                <w:pPr>
                  <w:spacing w:line="264" w:lineRule="exact" w:before="0"/>
                  <w:ind w:left="40" w:right="0" w:firstLine="0"/>
                  <w:jc w:val="left"/>
                  <w:rPr>
                    <w:rFonts w:ascii="Calibri" w:hAnsi="Calibri" w:cs="Calibri" w:eastAsia="Calibri" w:hint="default"/>
                    <w:sz w:val="24"/>
                    <w:szCs w:val="24"/>
                  </w:rPr>
                </w:pPr>
                <w:r>
                  <w:rPr>
                    <w:rFonts w:ascii="Calibri"/>
                    <w:b/>
                    <w:i/>
                    <w:color w:val="FFFFFF"/>
                    <w:sz w:val="24"/>
                  </w:rPr>
                </w:r>
                <w:r>
                  <w:rPr/>
                  <w:fldChar w:fldCharType="begin"/>
                </w:r>
                <w:r>
                  <w:rPr>
                    <w:rFonts w:ascii="Calibri"/>
                    <w:b/>
                    <w:i/>
                    <w:color w:val="FFFFFF"/>
                    <w:sz w:val="24"/>
                  </w:rPr>
                  <w:instrText> PAGE </w:instrText>
                </w:r>
                <w:r>
                  <w:rPr/>
                  <w:fldChar w:fldCharType="separate"/>
                </w:r>
                <w:r>
                  <w:rPr/>
                  <w:t>101</w:t>
                </w:r>
                <w:r>
                  <w:rPr/>
                  <w:fldChar w:fldCharType="end"/>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0pt;margin-top:755.159912pt;width:611.52pt;height:36.8401pt;mso-position-horizontal-relative:page;mso-position-vertical-relative:page;z-index:-451120" type="#_x0000_t75" stroked="false">
          <v:imagedata r:id="rId1" o:title=""/>
        </v:shape>
      </w:pict>
    </w:r>
    <w:r>
      <w:rPr/>
      <w:pict>
        <v:shape style="position:absolute;margin-left:495.660004pt;margin-top:762.296021pt;width:45.4pt;height:14pt;mso-position-horizontal-relative:page;mso-position-vertical-relative:page;z-index:-451096" type="#_x0000_t202" filled="false" stroked="false">
          <v:textbox inset="0,0,0,0">
            <w:txbxContent>
              <w:p>
                <w:pPr>
                  <w:spacing w:line="264" w:lineRule="exact" w:before="0"/>
                  <w:ind w:left="20" w:right="0" w:firstLine="0"/>
                  <w:jc w:val="left"/>
                  <w:rPr>
                    <w:rFonts w:ascii="Calibri" w:hAnsi="Calibri" w:cs="Calibri" w:eastAsia="Calibri" w:hint="default"/>
                    <w:sz w:val="24"/>
                    <w:szCs w:val="24"/>
                  </w:rPr>
                </w:pPr>
                <w:r>
                  <w:rPr>
                    <w:rFonts w:ascii="Calibri"/>
                    <w:b/>
                    <w:i/>
                    <w:color w:val="FFFFFF"/>
                    <w:sz w:val="24"/>
                  </w:rPr>
                  <w:t>Page |</w:t>
                </w:r>
                <w:r>
                  <w:rPr>
                    <w:rFonts w:ascii="Calibri"/>
                    <w:b/>
                    <w:i/>
                    <w:color w:val="FFFFFF"/>
                    <w:spacing w:val="-3"/>
                    <w:sz w:val="24"/>
                  </w:rPr>
                  <w:t> </w:t>
                </w:r>
                <w:r>
                  <w:rPr>
                    <w:rFonts w:ascii="Calibri"/>
                    <w:b/>
                    <w:i/>
                    <w:color w:val="FFFFFF"/>
                    <w:sz w:val="24"/>
                  </w:rPr>
                  <w:t>A</w:t>
                </w:r>
                <w:r>
                  <w:rPr>
                    <w:rFonts w:ascii="Calibri"/>
                    <w:sz w:val="24"/>
                  </w:rPr>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2pt;margin-top:755.279907pt;width:611.28pt;height:36.7201pt;mso-position-horizontal-relative:page;mso-position-vertical-relative:page;z-index:-451072" type="#_x0000_t75" stroked="false">
          <v:imagedata r:id="rId1" o:titl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0pt;margin-top:754.559875pt;width:612pt;height:37.4401pt;mso-position-horizontal-relative:page;mso-position-vertical-relative:page;z-index:-451048" type="#_x0000_t75" stroked="false">
          <v:imagedata r:id="rId1" o:titl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8.940002pt;margin-top:765.407166pt;width:35.1pt;height:11pt;mso-position-horizontal-relative:page;mso-position-vertical-relative:page;z-index:-451000" type="#_x0000_t202" filled="false" stroked="false">
          <v:textbox inset="0,0,0,0">
            <w:txbxContent>
              <w:p>
                <w:pPr>
                  <w:spacing w:line="204" w:lineRule="exact" w:before="0"/>
                  <w:ind w:left="20" w:right="0" w:firstLine="0"/>
                  <w:jc w:val="left"/>
                  <w:rPr>
                    <w:rFonts w:ascii="Arial" w:hAnsi="Arial" w:cs="Arial" w:eastAsia="Arial" w:hint="default"/>
                    <w:sz w:val="18"/>
                    <w:szCs w:val="18"/>
                  </w:rPr>
                </w:pPr>
                <w:r>
                  <w:rPr>
                    <w:rFonts w:ascii="Arial"/>
                    <w:sz w:val="18"/>
                  </w:rPr>
                  <w:t>Page</w:t>
                </w:r>
                <w:r>
                  <w:rPr>
                    <w:rFonts w:ascii="Arial"/>
                    <w:spacing w:val="-3"/>
                    <w:sz w:val="18"/>
                  </w:rPr>
                  <w:t> </w:t>
                </w:r>
                <w:r>
                  <w:rPr/>
                  <w:fldChar w:fldCharType="begin"/>
                </w:r>
                <w:r>
                  <w:rPr>
                    <w:rFonts w:ascii="Arial"/>
                    <w:sz w:val="18"/>
                  </w:rPr>
                  <w:instrText> PAGE </w:instrText>
                </w:r>
                <w:r>
                  <w:rPr/>
                  <w:fldChar w:fldCharType="separate"/>
                </w:r>
                <w:r>
                  <w:rPr/>
                  <w:t>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8.940002pt;margin-top:765.407166pt;width:35.1pt;height:11pt;mso-position-horizontal-relative:page;mso-position-vertical-relative:page;z-index:-450976" type="#_x0000_t202" filled="false" stroked="false">
          <v:textbox inset="0,0,0,0">
            <w:txbxContent>
              <w:p>
                <w:pPr>
                  <w:spacing w:line="204" w:lineRule="exact" w:before="0"/>
                  <w:ind w:left="20" w:right="0" w:firstLine="0"/>
                  <w:jc w:val="left"/>
                  <w:rPr>
                    <w:rFonts w:ascii="Arial" w:hAnsi="Arial" w:cs="Arial" w:eastAsia="Arial" w:hint="default"/>
                    <w:sz w:val="18"/>
                    <w:szCs w:val="18"/>
                  </w:rPr>
                </w:pPr>
                <w:r>
                  <w:rPr>
                    <w:rFonts w:ascii="Arial"/>
                    <w:sz w:val="18"/>
                  </w:rPr>
                  <w:t>Page</w:t>
                </w:r>
                <w:r>
                  <w:rPr>
                    <w:rFonts w:ascii="Arial"/>
                    <w:spacing w:val="-3"/>
                    <w:sz w:val="18"/>
                  </w:rPr>
                  <w:t> </w:t>
                </w:r>
                <w:r>
                  <w:rPr/>
                  <w:fldChar w:fldCharType="begin"/>
                </w:r>
                <w:r>
                  <w:rPr>
                    <w:rFonts w:ascii="Arial"/>
                    <w:sz w:val="18"/>
                  </w:rPr>
                  <w:instrText> PAGE </w:instrText>
                </w:r>
                <w:r>
                  <w:rPr/>
                  <w:fldChar w:fldCharType="separate"/>
                </w:r>
                <w:r>
                  <w:rPr/>
                  <w:t>2</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8.940002pt;margin-top:765.407166pt;width:31.5pt;height:11pt;mso-position-horizontal-relative:page;mso-position-vertical-relative:page;z-index:-450952" type="#_x0000_t202" filled="false" stroked="false">
          <v:textbox inset="0,0,0,0">
            <w:txbxContent>
              <w:p>
                <w:pPr>
                  <w:spacing w:line="204" w:lineRule="exact" w:before="0"/>
                  <w:ind w:left="20" w:right="0" w:firstLine="0"/>
                  <w:jc w:val="left"/>
                  <w:rPr>
                    <w:rFonts w:ascii="Arial" w:hAnsi="Arial" w:cs="Arial" w:eastAsia="Arial" w:hint="default"/>
                    <w:sz w:val="18"/>
                    <w:szCs w:val="18"/>
                  </w:rPr>
                </w:pPr>
                <w:r>
                  <w:rPr>
                    <w:rFonts w:ascii="Arial"/>
                    <w:sz w:val="18"/>
                  </w:rPr>
                  <w:t>Page</w:t>
                </w:r>
                <w:r>
                  <w:rPr>
                    <w:rFonts w:ascii="Arial"/>
                    <w:spacing w:val="-3"/>
                    <w:sz w:val="18"/>
                  </w:rPr>
                  <w:t> </w:t>
                </w:r>
                <w:r>
                  <w:rPr/>
                  <w:fldChar w:fldCharType="begin"/>
                </w:r>
                <w:r>
                  <w:rPr>
                    <w:rFonts w:ascii="Arial"/>
                    <w:sz w:val="18"/>
                  </w:rPr>
                  <w:instrText> PAGE </w:instrText>
                </w:r>
                <w:r>
                  <w:rPr/>
                  <w:fldChar w:fldCharType="separate"/>
                </w:r>
                <w:r>
                  <w:rPr/>
                  <w:t>6</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2.540009pt;margin-top:765.407166pt;width:31.5pt;height:11pt;mso-position-horizontal-relative:page;mso-position-vertical-relative:page;z-index:-450928" type="#_x0000_t202" filled="false" stroked="false">
          <v:textbox inset="0,0,0,0">
            <w:txbxContent>
              <w:p>
                <w:pPr>
                  <w:spacing w:line="204" w:lineRule="exact" w:before="0"/>
                  <w:ind w:left="20" w:right="0" w:firstLine="0"/>
                  <w:jc w:val="left"/>
                  <w:rPr>
                    <w:rFonts w:ascii="Arial" w:hAnsi="Arial" w:cs="Arial" w:eastAsia="Arial" w:hint="default"/>
                    <w:sz w:val="18"/>
                    <w:szCs w:val="18"/>
                  </w:rPr>
                </w:pPr>
                <w:r>
                  <w:rPr>
                    <w:rFonts w:ascii="Arial"/>
                    <w:sz w:val="18"/>
                  </w:rPr>
                  <w:t>Page</w:t>
                </w:r>
                <w:r>
                  <w:rPr>
                    <w:rFonts w:ascii="Arial"/>
                    <w:spacing w:val="-3"/>
                    <w:sz w:val="18"/>
                  </w:rPr>
                  <w:t> </w:t>
                </w:r>
                <w:r>
                  <w:rPr/>
                  <w:fldChar w:fldCharType="begin"/>
                </w:r>
                <w:r>
                  <w:rPr>
                    <w:rFonts w:ascii="Arial"/>
                    <w:sz w:val="18"/>
                  </w:rPr>
                  <w:instrText> PAGE </w:instrText>
                </w:r>
                <w:r>
                  <w:rPr/>
                  <w:fldChar w:fldCharType="separate"/>
                </w:r>
                <w:r>
                  <w:rPr/>
                  <w:t>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2128" type="#_x0000_t75" stroked="false">
          <v:imagedata r:id="rId1" o:title=""/>
        </v:shape>
      </w:pict>
    </w:r>
    <w:r>
      <w:rPr/>
      <w:pict>
        <v:shape style="position:absolute;margin-left:492.619995pt;margin-top:762.296021pt;width:48.6pt;height:14pt;mso-position-horizontal-relative:page;mso-position-vertical-relative:page;z-index:-452104" type="#_x0000_t202" filled="false" stroked="false">
          <v:textbox inset="0,0,0,0">
            <w:txbxContent>
              <w:p>
                <w:pPr>
                  <w:spacing w:line="264" w:lineRule="exact" w:before="0"/>
                  <w:ind w:left="40" w:right="0" w:firstLine="0"/>
                  <w:jc w:val="left"/>
                  <w:rPr>
                    <w:rFonts w:ascii="Calibri" w:hAnsi="Calibri" w:cs="Calibri" w:eastAsia="Calibri" w:hint="default"/>
                    <w:sz w:val="24"/>
                    <w:szCs w:val="24"/>
                  </w:rPr>
                </w:pPr>
                <w:r>
                  <w:rPr>
                    <w:rFonts w:ascii="Calibri"/>
                    <w:b/>
                    <w:i/>
                    <w:color w:val="FFFFFF"/>
                    <w:sz w:val="24"/>
                  </w:rPr>
                </w:r>
                <w:r>
                  <w:rPr/>
                  <w:fldChar w:fldCharType="begin"/>
                </w:r>
                <w:r>
                  <w:rPr>
                    <w:rFonts w:ascii="Calibri"/>
                    <w:b/>
                    <w:i/>
                    <w:color w:val="FFFFFF"/>
                    <w:sz w:val="24"/>
                  </w:rPr>
                  <w:instrText> PAGE </w:instrText>
                </w:r>
                <w:r>
                  <w:rPr/>
                  <w:fldChar w:fldCharType="separate"/>
                </w:r>
                <w:r>
                  <w:rPr/>
                  <w:t>11</w:t>
                </w:r>
                <w:r>
                  <w:rPr/>
                  <w:fldChar w:fldCharType="end"/>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0pt;margin-top:754.559875pt;width:612pt;height:37.4401pt;mso-position-horizontal-relative:page;mso-position-vertical-relative:page;z-index:-450880" type="#_x0000_t75" stroked="false">
          <v:imagedata r:id="rId1" o:titl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0pt;margin-top:749.639893pt;width:612pt;height:39.840pt;mso-position-horizontal-relative:page;mso-position-vertical-relative:page;z-index:-450832" type="#_x0000_t75" stroked="false">
          <v:imagedata r:id="rId1" o:titl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96pt;margin-top:755.039917pt;width:611.04pt;height:36.960100pt;mso-position-horizontal-relative:page;mso-position-vertical-relative:page;z-index:-450808" type="#_x0000_t75" stroked="false">
          <v:imagedata r:id="rId1" o:titl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2080" type="#_x0000_t75" stroked="false">
          <v:imagedata r:id="rId1" o:title=""/>
        </v:shape>
      </w:pict>
    </w:r>
    <w:r>
      <w:rPr/>
      <w:pict>
        <v:shape style="position:absolute;margin-left:493.619995pt;margin-top:762.296021pt;width:47.6pt;height:14pt;mso-position-horizontal-relative:page;mso-position-vertical-relative:page;z-index:-452056" type="#_x0000_t202" filled="false" stroked="false">
          <v:textbox inset="0,0,0,0">
            <w:txbxContent>
              <w:p>
                <w:pPr>
                  <w:spacing w:line="264" w:lineRule="exact" w:before="0"/>
                  <w:ind w:left="20" w:right="0" w:firstLine="0"/>
                  <w:jc w:val="left"/>
                  <w:rPr>
                    <w:rFonts w:ascii="Calibri" w:hAnsi="Calibri" w:cs="Calibri" w:eastAsia="Calibri" w:hint="default"/>
                    <w:sz w:val="24"/>
                    <w:szCs w:val="24"/>
                  </w:rPr>
                </w:pPr>
                <w:r>
                  <w:rPr>
                    <w:rFonts w:ascii="Calibri"/>
                    <w:b/>
                    <w:i/>
                    <w:color w:val="FFFFFF"/>
                    <w:sz w:val="24"/>
                  </w:rPr>
                  <w:t>20</w:t>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2032" type="#_x0000_t75" stroked="false">
          <v:imagedata r:id="rId1" o:title=""/>
        </v:shape>
      </w:pict>
    </w:r>
    <w:r>
      <w:rPr/>
      <w:pict>
        <v:shape style="position:absolute;margin-left:492.619995pt;margin-top:762.296021pt;width:48.6pt;height:14pt;mso-position-horizontal-relative:page;mso-position-vertical-relative:page;z-index:-452008" type="#_x0000_t202" filled="false" stroked="false">
          <v:textbox inset="0,0,0,0">
            <w:txbxContent>
              <w:p>
                <w:pPr>
                  <w:spacing w:line="264" w:lineRule="exact" w:before="0"/>
                  <w:ind w:left="40" w:right="0" w:firstLine="0"/>
                  <w:jc w:val="left"/>
                  <w:rPr>
                    <w:rFonts w:ascii="Calibri" w:hAnsi="Calibri" w:cs="Calibri" w:eastAsia="Calibri" w:hint="default"/>
                    <w:sz w:val="24"/>
                    <w:szCs w:val="24"/>
                  </w:rPr>
                </w:pPr>
                <w:r>
                  <w:rPr>
                    <w:rFonts w:ascii="Calibri"/>
                    <w:b/>
                    <w:i/>
                    <w:color w:val="FFFFFF"/>
                    <w:sz w:val="24"/>
                  </w:rPr>
                </w:r>
                <w:r>
                  <w:rPr/>
                  <w:fldChar w:fldCharType="begin"/>
                </w:r>
                <w:r>
                  <w:rPr>
                    <w:rFonts w:ascii="Calibri"/>
                    <w:b/>
                    <w:i/>
                    <w:color w:val="FFFFFF"/>
                    <w:sz w:val="24"/>
                  </w:rPr>
                  <w:instrText> PAGE </w:instrText>
                </w:r>
                <w:r>
                  <w:rPr/>
                  <w:fldChar w:fldCharType="separate"/>
                </w:r>
                <w:r>
                  <w:rPr/>
                  <w:t>21</w:t>
                </w:r>
                <w:r>
                  <w:rPr/>
                  <w:fldChar w:fldCharType="end"/>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1984" type="#_x0000_t75" stroked="false">
          <v:imagedata r:id="rId1" o:title=""/>
        </v:shape>
      </w:pict>
    </w:r>
    <w:r>
      <w:rPr/>
      <w:pict>
        <v:shape style="position:absolute;margin-left:493.619995pt;margin-top:762.296021pt;width:47.6pt;height:14pt;mso-position-horizontal-relative:page;mso-position-vertical-relative:page;z-index:-451960" type="#_x0000_t202" filled="false" stroked="false">
          <v:textbox inset="0,0,0,0">
            <w:txbxContent>
              <w:p>
                <w:pPr>
                  <w:spacing w:line="264" w:lineRule="exact" w:before="0"/>
                  <w:ind w:left="20" w:right="0" w:firstLine="0"/>
                  <w:jc w:val="left"/>
                  <w:rPr>
                    <w:rFonts w:ascii="Calibri" w:hAnsi="Calibri" w:cs="Calibri" w:eastAsia="Calibri" w:hint="default"/>
                    <w:sz w:val="24"/>
                    <w:szCs w:val="24"/>
                  </w:rPr>
                </w:pPr>
                <w:r>
                  <w:rPr>
                    <w:rFonts w:ascii="Calibri"/>
                    <w:b/>
                    <w:i/>
                    <w:color w:val="FFFFFF"/>
                    <w:sz w:val="24"/>
                  </w:rPr>
                  <w:t>30</w:t>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1936" type="#_x0000_t75" stroked="false">
          <v:imagedata r:id="rId1" o:title=""/>
        </v:shape>
      </w:pict>
    </w:r>
    <w:r>
      <w:rPr/>
      <w:pict>
        <v:shape style="position:absolute;margin-left:492.619995pt;margin-top:762.296021pt;width:48.6pt;height:14pt;mso-position-horizontal-relative:page;mso-position-vertical-relative:page;z-index:-451912" type="#_x0000_t202" filled="false" stroked="false">
          <v:textbox inset="0,0,0,0">
            <w:txbxContent>
              <w:p>
                <w:pPr>
                  <w:spacing w:line="264" w:lineRule="exact" w:before="0"/>
                  <w:ind w:left="40" w:right="0" w:firstLine="0"/>
                  <w:jc w:val="left"/>
                  <w:rPr>
                    <w:rFonts w:ascii="Calibri" w:hAnsi="Calibri" w:cs="Calibri" w:eastAsia="Calibri" w:hint="default"/>
                    <w:sz w:val="24"/>
                    <w:szCs w:val="24"/>
                  </w:rPr>
                </w:pPr>
                <w:r>
                  <w:rPr>
                    <w:rFonts w:ascii="Calibri"/>
                    <w:b/>
                    <w:i/>
                    <w:color w:val="FFFFFF"/>
                    <w:sz w:val="24"/>
                  </w:rPr>
                </w:r>
                <w:r>
                  <w:rPr/>
                  <w:fldChar w:fldCharType="begin"/>
                </w:r>
                <w:r>
                  <w:rPr>
                    <w:rFonts w:ascii="Calibri"/>
                    <w:b/>
                    <w:i/>
                    <w:color w:val="FFFFFF"/>
                    <w:sz w:val="24"/>
                  </w:rPr>
                  <w:instrText> PAGE </w:instrText>
                </w:r>
                <w:r>
                  <w:rPr/>
                  <w:fldChar w:fldCharType="separate"/>
                </w:r>
                <w:r>
                  <w:rPr/>
                  <w:t>31</w:t>
                </w:r>
                <w:r>
                  <w:rPr/>
                  <w:fldChar w:fldCharType="end"/>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1888" type="#_x0000_t75" stroked="false">
          <v:imagedata r:id="rId1" o:title=""/>
        </v:shape>
      </w:pict>
    </w:r>
    <w:r>
      <w:rPr/>
      <w:pict>
        <v:shape style="position:absolute;margin-left:493.619995pt;margin-top:762.296021pt;width:47.6pt;height:14pt;mso-position-horizontal-relative:page;mso-position-vertical-relative:page;z-index:-451864" type="#_x0000_t202" filled="false" stroked="false">
          <v:textbox inset="0,0,0,0">
            <w:txbxContent>
              <w:p>
                <w:pPr>
                  <w:spacing w:line="264" w:lineRule="exact" w:before="0"/>
                  <w:ind w:left="20" w:right="0" w:firstLine="0"/>
                  <w:jc w:val="left"/>
                  <w:rPr>
                    <w:rFonts w:ascii="Calibri" w:hAnsi="Calibri" w:cs="Calibri" w:eastAsia="Calibri" w:hint="default"/>
                    <w:sz w:val="24"/>
                    <w:szCs w:val="24"/>
                  </w:rPr>
                </w:pPr>
                <w:r>
                  <w:rPr>
                    <w:rFonts w:ascii="Calibri"/>
                    <w:b/>
                    <w:i/>
                    <w:color w:val="FFFFFF"/>
                    <w:sz w:val="24"/>
                  </w:rPr>
                  <w:t>40</w:t>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753.359924pt;width:611.16pt;height:38.640100pt;mso-position-horizontal-relative:page;mso-position-vertical-relative:page;z-index:-451840" type="#_x0000_t75" stroked="false">
          <v:imagedata r:id="rId1" o:title=""/>
        </v:shape>
      </w:pict>
    </w:r>
    <w:r>
      <w:rPr/>
      <w:pict>
        <v:shape style="position:absolute;margin-left:492.619995pt;margin-top:762.296021pt;width:48.6pt;height:14pt;mso-position-horizontal-relative:page;mso-position-vertical-relative:page;z-index:-451816" type="#_x0000_t202" filled="false" stroked="false">
          <v:textbox inset="0,0,0,0">
            <w:txbxContent>
              <w:p>
                <w:pPr>
                  <w:spacing w:line="264" w:lineRule="exact" w:before="0"/>
                  <w:ind w:left="40" w:right="0" w:firstLine="0"/>
                  <w:jc w:val="left"/>
                  <w:rPr>
                    <w:rFonts w:ascii="Calibri" w:hAnsi="Calibri" w:cs="Calibri" w:eastAsia="Calibri" w:hint="default"/>
                    <w:sz w:val="24"/>
                    <w:szCs w:val="24"/>
                  </w:rPr>
                </w:pPr>
                <w:r>
                  <w:rPr>
                    <w:rFonts w:ascii="Calibri"/>
                    <w:b/>
                    <w:i/>
                    <w:color w:val="FFFFFF"/>
                    <w:sz w:val="24"/>
                  </w:rPr>
                </w:r>
                <w:r>
                  <w:rPr/>
                  <w:fldChar w:fldCharType="begin"/>
                </w:r>
                <w:r>
                  <w:rPr>
                    <w:rFonts w:ascii="Calibri"/>
                    <w:b/>
                    <w:i/>
                    <w:color w:val="FFFFFF"/>
                    <w:sz w:val="24"/>
                  </w:rPr>
                  <w:instrText> PAGE </w:instrText>
                </w:r>
                <w:r>
                  <w:rPr/>
                  <w:fldChar w:fldCharType="separate"/>
                </w:r>
                <w:r>
                  <w:rPr/>
                  <w:t>41</w:t>
                </w:r>
                <w:r>
                  <w:rPr/>
                  <w:fldChar w:fldCharType="end"/>
                </w:r>
                <w:r>
                  <w:rPr>
                    <w:rFonts w:ascii="Calibri"/>
                    <w:b/>
                    <w:i/>
                    <w:color w:val="FFFFFF"/>
                    <w:spacing w:val="-5"/>
                    <w:sz w:val="24"/>
                  </w:rPr>
                  <w:t> </w:t>
                </w:r>
                <w:r>
                  <w:rPr>
                    <w:rFonts w:ascii="Calibri"/>
                    <w:b/>
                    <w:i/>
                    <w:color w:val="FFFFFF"/>
                    <w:sz w:val="24"/>
                  </w:rPr>
                  <w:t>|Page</w:t>
                </w:r>
                <w:r>
                  <w:rPr>
                    <w:rFonts w:ascii="Calibri"/>
                    <w:sz w:val="24"/>
                  </w:rPr>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0pt;width:611.16pt;height:42.72pt;mso-position-horizontal-relative:page;mso-position-vertical-relative:page;z-index:-452272" type="#_x0000_t75" stroked="false">
          <v:imagedata r:id="rId1" o:titl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0pt;width:611.16pt;height:42.72pt;mso-position-horizontal-relative:page;mso-position-vertical-relative:page;z-index:-450904" type="#_x0000_t75" stroked="false">
          <v:imagedata r:id="rId1" o:titl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0pt;width:611.16pt;height:42.72pt;mso-position-horizontal-relative:page;mso-position-vertical-relative:page;z-index:-450856" type="#_x0000_t75" stroked="false">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0pt;width:611.16pt;height:42.72pt;mso-position-horizontal-relative:page;mso-position-vertical-relative:page;z-index:-452200" type="#_x0000_t75" stroked="false">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0pt;width:611.16pt;height:42.72pt;mso-position-horizontal-relative:page;mso-position-vertical-relative:page;z-index:-451792" type="#_x0000_t75" stroked="false">
          <v:imagedata r:id="rId1" o:titl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0pt;width:611.16pt;height:42.72pt;mso-position-horizontal-relative:page;mso-position-vertical-relative:page;z-index:-451480" type="#_x0000_t75" stroked="false">
          <v:imagedata r:id="rId1" o:titl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0pt;width:611.16pt;height:42.72pt;mso-position-horizontal-relative:page;mso-position-vertical-relative:page;z-index:-451264" type="#_x0000_t75" stroked="false">
          <v:imagedata r:id="rId1" o:titl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4pt;margin-top:0pt;width:611.16pt;height:42.72pt;mso-position-horizontal-relative:page;mso-position-vertical-relative:page;z-index:-451144" type="#_x0000_t75" stroked="false">
          <v:imagedata r:id="rId1" o:titl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1.179993pt;margin-top:36pt;width:85.92pt;height:28.08pt;mso-position-horizontal-relative:page;mso-position-vertical-relative:page;z-index:-451024" type="#_x0000_t75" stroked="false">
          <v:imagedata r:id="rId1" o:titl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2160" w:hanging="360"/>
        <w:jc w:val="left"/>
      </w:pPr>
      <w:rPr>
        <w:rFonts w:hint="default" w:ascii="Calibri" w:hAnsi="Calibri" w:eastAsia="Calibri"/>
        <w:spacing w:val="-1"/>
        <w:w w:val="99"/>
        <w:sz w:val="20"/>
        <w:szCs w:val="20"/>
      </w:rPr>
    </w:lvl>
    <w:lvl w:ilvl="1">
      <w:start w:val="1"/>
      <w:numFmt w:val="bullet"/>
      <w:lvlText w:val="•"/>
      <w:lvlJc w:val="left"/>
      <w:pPr>
        <w:ind w:left="3168" w:hanging="360"/>
      </w:pPr>
      <w:rPr>
        <w:rFonts w:hint="default"/>
      </w:rPr>
    </w:lvl>
    <w:lvl w:ilvl="2">
      <w:start w:val="1"/>
      <w:numFmt w:val="bullet"/>
      <w:lvlText w:val="•"/>
      <w:lvlJc w:val="left"/>
      <w:pPr>
        <w:ind w:left="4176" w:hanging="360"/>
      </w:pPr>
      <w:rPr>
        <w:rFonts w:hint="default"/>
      </w:rPr>
    </w:lvl>
    <w:lvl w:ilvl="3">
      <w:start w:val="1"/>
      <w:numFmt w:val="bullet"/>
      <w:lvlText w:val="•"/>
      <w:lvlJc w:val="left"/>
      <w:pPr>
        <w:ind w:left="5184" w:hanging="360"/>
      </w:pPr>
      <w:rPr>
        <w:rFonts w:hint="default"/>
      </w:rPr>
    </w:lvl>
    <w:lvl w:ilvl="4">
      <w:start w:val="1"/>
      <w:numFmt w:val="bullet"/>
      <w:lvlText w:val="•"/>
      <w:lvlJc w:val="left"/>
      <w:pPr>
        <w:ind w:left="6192" w:hanging="360"/>
      </w:pPr>
      <w:rPr>
        <w:rFonts w:hint="default"/>
      </w:rPr>
    </w:lvl>
    <w:lvl w:ilvl="5">
      <w:start w:val="1"/>
      <w:numFmt w:val="bullet"/>
      <w:lvlText w:val="•"/>
      <w:lvlJc w:val="left"/>
      <w:pPr>
        <w:ind w:left="7200" w:hanging="360"/>
      </w:pPr>
      <w:rPr>
        <w:rFonts w:hint="default"/>
      </w:rPr>
    </w:lvl>
    <w:lvl w:ilvl="6">
      <w:start w:val="1"/>
      <w:numFmt w:val="bullet"/>
      <w:lvlText w:val="•"/>
      <w:lvlJc w:val="left"/>
      <w:pPr>
        <w:ind w:left="8208" w:hanging="360"/>
      </w:pPr>
      <w:rPr>
        <w:rFonts w:hint="default"/>
      </w:rPr>
    </w:lvl>
    <w:lvl w:ilvl="7">
      <w:start w:val="1"/>
      <w:numFmt w:val="bullet"/>
      <w:lvlText w:val="•"/>
      <w:lvlJc w:val="left"/>
      <w:pPr>
        <w:ind w:left="9216" w:hanging="360"/>
      </w:pPr>
      <w:rPr>
        <w:rFonts w:hint="default"/>
      </w:rPr>
    </w:lvl>
    <w:lvl w:ilvl="8">
      <w:start w:val="1"/>
      <w:numFmt w:val="bullet"/>
      <w:lvlText w:val="•"/>
      <w:lvlJc w:val="left"/>
      <w:pPr>
        <w:ind w:left="10224" w:hanging="360"/>
      </w:pPr>
      <w:rPr>
        <w:rFonts w:hint="default"/>
      </w:rPr>
    </w:lvl>
  </w:abstractNum>
  <w:abstractNum w:abstractNumId="23">
    <w:multiLevelType w:val="hybridMultilevel"/>
    <w:lvl w:ilvl="0">
      <w:start w:val="30"/>
      <w:numFmt w:val="decimal"/>
      <w:lvlText w:val="%1."/>
      <w:lvlJc w:val="left"/>
      <w:pPr>
        <w:ind w:left="640" w:hanging="381"/>
        <w:jc w:val="left"/>
      </w:pPr>
      <w:rPr>
        <w:rFonts w:hint="default" w:ascii="Calibri" w:hAnsi="Calibri" w:eastAsia="Calibri"/>
        <w:b/>
        <w:bCs/>
        <w:w w:val="99"/>
        <w:sz w:val="22"/>
        <w:szCs w:val="22"/>
      </w:rPr>
    </w:lvl>
    <w:lvl w:ilvl="1">
      <w:start w:val="1"/>
      <w:numFmt w:val="bullet"/>
      <w:lvlText w:val="•"/>
      <w:lvlJc w:val="left"/>
      <w:pPr>
        <w:ind w:left="1750" w:hanging="381"/>
      </w:pPr>
      <w:rPr>
        <w:rFonts w:hint="default"/>
      </w:rPr>
    </w:lvl>
    <w:lvl w:ilvl="2">
      <w:start w:val="1"/>
      <w:numFmt w:val="bullet"/>
      <w:lvlText w:val="•"/>
      <w:lvlJc w:val="left"/>
      <w:pPr>
        <w:ind w:left="2860" w:hanging="381"/>
      </w:pPr>
      <w:rPr>
        <w:rFonts w:hint="default"/>
      </w:rPr>
    </w:lvl>
    <w:lvl w:ilvl="3">
      <w:start w:val="1"/>
      <w:numFmt w:val="bullet"/>
      <w:lvlText w:val="•"/>
      <w:lvlJc w:val="left"/>
      <w:pPr>
        <w:ind w:left="3970" w:hanging="381"/>
      </w:pPr>
      <w:rPr>
        <w:rFonts w:hint="default"/>
      </w:rPr>
    </w:lvl>
    <w:lvl w:ilvl="4">
      <w:start w:val="1"/>
      <w:numFmt w:val="bullet"/>
      <w:lvlText w:val="•"/>
      <w:lvlJc w:val="left"/>
      <w:pPr>
        <w:ind w:left="5080" w:hanging="381"/>
      </w:pPr>
      <w:rPr>
        <w:rFonts w:hint="default"/>
      </w:rPr>
    </w:lvl>
    <w:lvl w:ilvl="5">
      <w:start w:val="1"/>
      <w:numFmt w:val="bullet"/>
      <w:lvlText w:val="•"/>
      <w:lvlJc w:val="left"/>
      <w:pPr>
        <w:ind w:left="6190" w:hanging="381"/>
      </w:pPr>
      <w:rPr>
        <w:rFonts w:hint="default"/>
      </w:rPr>
    </w:lvl>
    <w:lvl w:ilvl="6">
      <w:start w:val="1"/>
      <w:numFmt w:val="bullet"/>
      <w:lvlText w:val="•"/>
      <w:lvlJc w:val="left"/>
      <w:pPr>
        <w:ind w:left="7300" w:hanging="381"/>
      </w:pPr>
      <w:rPr>
        <w:rFonts w:hint="default"/>
      </w:rPr>
    </w:lvl>
    <w:lvl w:ilvl="7">
      <w:start w:val="1"/>
      <w:numFmt w:val="bullet"/>
      <w:lvlText w:val="•"/>
      <w:lvlJc w:val="left"/>
      <w:pPr>
        <w:ind w:left="8410" w:hanging="381"/>
      </w:pPr>
      <w:rPr>
        <w:rFonts w:hint="default"/>
      </w:rPr>
    </w:lvl>
    <w:lvl w:ilvl="8">
      <w:start w:val="1"/>
      <w:numFmt w:val="bullet"/>
      <w:lvlText w:val="•"/>
      <w:lvlJc w:val="left"/>
      <w:pPr>
        <w:ind w:left="9520" w:hanging="381"/>
      </w:pPr>
      <w:rPr>
        <w:rFonts w:hint="default"/>
      </w:rPr>
    </w:lvl>
  </w:abstractNum>
  <w:abstractNum w:abstractNumId="22">
    <w:multiLevelType w:val="hybridMultilevel"/>
    <w:lvl w:ilvl="0">
      <w:start w:val="1"/>
      <w:numFmt w:val="decimal"/>
      <w:lvlText w:val="%1."/>
      <w:lvlJc w:val="left"/>
      <w:pPr>
        <w:ind w:left="468" w:hanging="220"/>
        <w:jc w:val="right"/>
      </w:pPr>
      <w:rPr>
        <w:rFonts w:hint="default" w:ascii="Calibri" w:hAnsi="Calibri" w:eastAsia="Calibri"/>
        <w:b/>
        <w:bCs/>
        <w:w w:val="99"/>
        <w:sz w:val="22"/>
        <w:szCs w:val="22"/>
      </w:rPr>
    </w:lvl>
    <w:lvl w:ilvl="1">
      <w:start w:val="23"/>
      <w:numFmt w:val="decimal"/>
      <w:lvlText w:val="%2."/>
      <w:lvlJc w:val="left"/>
      <w:pPr>
        <w:ind w:left="788" w:hanging="332"/>
        <w:jc w:val="left"/>
      </w:pPr>
      <w:rPr>
        <w:rFonts w:hint="default" w:ascii="Calibri" w:hAnsi="Calibri" w:eastAsia="Calibri"/>
        <w:b/>
        <w:bCs/>
        <w:w w:val="99"/>
        <w:sz w:val="22"/>
        <w:szCs w:val="22"/>
      </w:rPr>
    </w:lvl>
    <w:lvl w:ilvl="2">
      <w:start w:val="1"/>
      <w:numFmt w:val="bullet"/>
      <w:lvlText w:val="•"/>
      <w:lvlJc w:val="left"/>
      <w:pPr>
        <w:ind w:left="1997" w:hanging="332"/>
      </w:pPr>
      <w:rPr>
        <w:rFonts w:hint="default"/>
      </w:rPr>
    </w:lvl>
    <w:lvl w:ilvl="3">
      <w:start w:val="1"/>
      <w:numFmt w:val="bullet"/>
      <w:lvlText w:val="•"/>
      <w:lvlJc w:val="left"/>
      <w:pPr>
        <w:ind w:left="3215" w:hanging="332"/>
      </w:pPr>
      <w:rPr>
        <w:rFonts w:hint="default"/>
      </w:rPr>
    </w:lvl>
    <w:lvl w:ilvl="4">
      <w:start w:val="1"/>
      <w:numFmt w:val="bullet"/>
      <w:lvlText w:val="•"/>
      <w:lvlJc w:val="left"/>
      <w:pPr>
        <w:ind w:left="4433" w:hanging="332"/>
      </w:pPr>
      <w:rPr>
        <w:rFonts w:hint="default"/>
      </w:rPr>
    </w:lvl>
    <w:lvl w:ilvl="5">
      <w:start w:val="1"/>
      <w:numFmt w:val="bullet"/>
      <w:lvlText w:val="•"/>
      <w:lvlJc w:val="left"/>
      <w:pPr>
        <w:ind w:left="5651" w:hanging="332"/>
      </w:pPr>
      <w:rPr>
        <w:rFonts w:hint="default"/>
      </w:rPr>
    </w:lvl>
    <w:lvl w:ilvl="6">
      <w:start w:val="1"/>
      <w:numFmt w:val="bullet"/>
      <w:lvlText w:val="•"/>
      <w:lvlJc w:val="left"/>
      <w:pPr>
        <w:ind w:left="6868" w:hanging="332"/>
      </w:pPr>
      <w:rPr>
        <w:rFonts w:hint="default"/>
      </w:rPr>
    </w:lvl>
    <w:lvl w:ilvl="7">
      <w:start w:val="1"/>
      <w:numFmt w:val="bullet"/>
      <w:lvlText w:val="•"/>
      <w:lvlJc w:val="left"/>
      <w:pPr>
        <w:ind w:left="8086" w:hanging="332"/>
      </w:pPr>
      <w:rPr>
        <w:rFonts w:hint="default"/>
      </w:rPr>
    </w:lvl>
    <w:lvl w:ilvl="8">
      <w:start w:val="1"/>
      <w:numFmt w:val="bullet"/>
      <w:lvlText w:val="•"/>
      <w:lvlJc w:val="left"/>
      <w:pPr>
        <w:ind w:left="9304" w:hanging="332"/>
      </w:pPr>
      <w:rPr>
        <w:rFonts w:hint="default"/>
      </w:rPr>
    </w:lvl>
  </w:abstractNum>
  <w:abstractNum w:abstractNumId="21">
    <w:multiLevelType w:val="hybridMultilevel"/>
    <w:lvl w:ilvl="0">
      <w:start w:val="1"/>
      <w:numFmt w:val="decimal"/>
      <w:lvlText w:val="%1."/>
      <w:lvlJc w:val="left"/>
      <w:pPr>
        <w:ind w:left="468" w:hanging="220"/>
        <w:jc w:val="right"/>
      </w:pPr>
      <w:rPr>
        <w:rFonts w:hint="default" w:ascii="Calibri" w:hAnsi="Calibri" w:eastAsia="Calibri"/>
        <w:b/>
        <w:bCs/>
        <w:w w:val="99"/>
        <w:sz w:val="22"/>
        <w:szCs w:val="22"/>
      </w:rPr>
    </w:lvl>
    <w:lvl w:ilvl="1">
      <w:start w:val="1"/>
      <w:numFmt w:val="bullet"/>
      <w:lvlText w:val="•"/>
      <w:lvlJc w:val="left"/>
      <w:pPr>
        <w:ind w:left="1588" w:hanging="220"/>
      </w:pPr>
      <w:rPr>
        <w:rFonts w:hint="default"/>
      </w:rPr>
    </w:lvl>
    <w:lvl w:ilvl="2">
      <w:start w:val="1"/>
      <w:numFmt w:val="bullet"/>
      <w:lvlText w:val="•"/>
      <w:lvlJc w:val="left"/>
      <w:pPr>
        <w:ind w:left="2716" w:hanging="220"/>
      </w:pPr>
      <w:rPr>
        <w:rFonts w:hint="default"/>
      </w:rPr>
    </w:lvl>
    <w:lvl w:ilvl="3">
      <w:start w:val="1"/>
      <w:numFmt w:val="bullet"/>
      <w:lvlText w:val="•"/>
      <w:lvlJc w:val="left"/>
      <w:pPr>
        <w:ind w:left="3844" w:hanging="220"/>
      </w:pPr>
      <w:rPr>
        <w:rFonts w:hint="default"/>
      </w:rPr>
    </w:lvl>
    <w:lvl w:ilvl="4">
      <w:start w:val="1"/>
      <w:numFmt w:val="bullet"/>
      <w:lvlText w:val="•"/>
      <w:lvlJc w:val="left"/>
      <w:pPr>
        <w:ind w:left="4972" w:hanging="220"/>
      </w:pPr>
      <w:rPr>
        <w:rFonts w:hint="default"/>
      </w:rPr>
    </w:lvl>
    <w:lvl w:ilvl="5">
      <w:start w:val="1"/>
      <w:numFmt w:val="bullet"/>
      <w:lvlText w:val="•"/>
      <w:lvlJc w:val="left"/>
      <w:pPr>
        <w:ind w:left="6100" w:hanging="220"/>
      </w:pPr>
      <w:rPr>
        <w:rFonts w:hint="default"/>
      </w:rPr>
    </w:lvl>
    <w:lvl w:ilvl="6">
      <w:start w:val="1"/>
      <w:numFmt w:val="bullet"/>
      <w:lvlText w:val="•"/>
      <w:lvlJc w:val="left"/>
      <w:pPr>
        <w:ind w:left="7228" w:hanging="220"/>
      </w:pPr>
      <w:rPr>
        <w:rFonts w:hint="default"/>
      </w:rPr>
    </w:lvl>
    <w:lvl w:ilvl="7">
      <w:start w:val="1"/>
      <w:numFmt w:val="bullet"/>
      <w:lvlText w:val="•"/>
      <w:lvlJc w:val="left"/>
      <w:pPr>
        <w:ind w:left="8356" w:hanging="220"/>
      </w:pPr>
      <w:rPr>
        <w:rFonts w:hint="default"/>
      </w:rPr>
    </w:lvl>
    <w:lvl w:ilvl="8">
      <w:start w:val="1"/>
      <w:numFmt w:val="bullet"/>
      <w:lvlText w:val="•"/>
      <w:lvlJc w:val="left"/>
      <w:pPr>
        <w:ind w:left="9484" w:hanging="220"/>
      </w:pPr>
      <w:rPr>
        <w:rFonts w:hint="default"/>
      </w:rPr>
    </w:lvl>
  </w:abstractNum>
  <w:abstractNum w:abstractNumId="20">
    <w:multiLevelType w:val="hybridMultilevel"/>
    <w:lvl w:ilvl="0">
      <w:start w:val="1"/>
      <w:numFmt w:val="decimal"/>
      <w:lvlText w:val="%1."/>
      <w:lvlJc w:val="left"/>
      <w:pPr>
        <w:ind w:left="2160" w:hanging="360"/>
        <w:jc w:val="left"/>
      </w:pPr>
      <w:rPr>
        <w:rFonts w:hint="default" w:ascii="Calibri" w:hAnsi="Calibri" w:eastAsia="Calibri"/>
        <w:spacing w:val="-1"/>
        <w:w w:val="99"/>
        <w:sz w:val="20"/>
        <w:szCs w:val="20"/>
      </w:rPr>
    </w:lvl>
    <w:lvl w:ilvl="1">
      <w:start w:val="1"/>
      <w:numFmt w:val="bullet"/>
      <w:lvlText w:val="•"/>
      <w:lvlJc w:val="left"/>
      <w:pPr>
        <w:ind w:left="3168" w:hanging="360"/>
      </w:pPr>
      <w:rPr>
        <w:rFonts w:hint="default"/>
      </w:rPr>
    </w:lvl>
    <w:lvl w:ilvl="2">
      <w:start w:val="1"/>
      <w:numFmt w:val="bullet"/>
      <w:lvlText w:val="•"/>
      <w:lvlJc w:val="left"/>
      <w:pPr>
        <w:ind w:left="4176" w:hanging="360"/>
      </w:pPr>
      <w:rPr>
        <w:rFonts w:hint="default"/>
      </w:rPr>
    </w:lvl>
    <w:lvl w:ilvl="3">
      <w:start w:val="1"/>
      <w:numFmt w:val="bullet"/>
      <w:lvlText w:val="•"/>
      <w:lvlJc w:val="left"/>
      <w:pPr>
        <w:ind w:left="5184" w:hanging="360"/>
      </w:pPr>
      <w:rPr>
        <w:rFonts w:hint="default"/>
      </w:rPr>
    </w:lvl>
    <w:lvl w:ilvl="4">
      <w:start w:val="1"/>
      <w:numFmt w:val="bullet"/>
      <w:lvlText w:val="•"/>
      <w:lvlJc w:val="left"/>
      <w:pPr>
        <w:ind w:left="6192" w:hanging="360"/>
      </w:pPr>
      <w:rPr>
        <w:rFonts w:hint="default"/>
      </w:rPr>
    </w:lvl>
    <w:lvl w:ilvl="5">
      <w:start w:val="1"/>
      <w:numFmt w:val="bullet"/>
      <w:lvlText w:val="•"/>
      <w:lvlJc w:val="left"/>
      <w:pPr>
        <w:ind w:left="7200" w:hanging="360"/>
      </w:pPr>
      <w:rPr>
        <w:rFonts w:hint="default"/>
      </w:rPr>
    </w:lvl>
    <w:lvl w:ilvl="6">
      <w:start w:val="1"/>
      <w:numFmt w:val="bullet"/>
      <w:lvlText w:val="•"/>
      <w:lvlJc w:val="left"/>
      <w:pPr>
        <w:ind w:left="8208" w:hanging="360"/>
      </w:pPr>
      <w:rPr>
        <w:rFonts w:hint="default"/>
      </w:rPr>
    </w:lvl>
    <w:lvl w:ilvl="7">
      <w:start w:val="1"/>
      <w:numFmt w:val="bullet"/>
      <w:lvlText w:val="•"/>
      <w:lvlJc w:val="left"/>
      <w:pPr>
        <w:ind w:left="9216" w:hanging="360"/>
      </w:pPr>
      <w:rPr>
        <w:rFonts w:hint="default"/>
      </w:rPr>
    </w:lvl>
    <w:lvl w:ilvl="8">
      <w:start w:val="1"/>
      <w:numFmt w:val="bullet"/>
      <w:lvlText w:val="•"/>
      <w:lvlJc w:val="left"/>
      <w:pPr>
        <w:ind w:left="10224" w:hanging="360"/>
      </w:pPr>
      <w:rPr>
        <w:rFonts w:hint="default"/>
      </w:rPr>
    </w:lvl>
  </w:abstractNum>
  <w:abstractNum w:abstractNumId="19">
    <w:multiLevelType w:val="hybridMultilevel"/>
    <w:lvl w:ilvl="0">
      <w:start w:val="1"/>
      <w:numFmt w:val="decimal"/>
      <w:lvlText w:val="%1."/>
      <w:lvlJc w:val="left"/>
      <w:pPr>
        <w:ind w:left="2160" w:hanging="360"/>
        <w:jc w:val="left"/>
      </w:pPr>
      <w:rPr>
        <w:rFonts w:hint="default" w:ascii="Calibri" w:hAnsi="Calibri" w:eastAsia="Calibri"/>
        <w:spacing w:val="-1"/>
        <w:w w:val="99"/>
        <w:sz w:val="20"/>
        <w:szCs w:val="20"/>
      </w:rPr>
    </w:lvl>
    <w:lvl w:ilvl="1">
      <w:start w:val="1"/>
      <w:numFmt w:val="bullet"/>
      <w:lvlText w:val="•"/>
      <w:lvlJc w:val="left"/>
      <w:pPr>
        <w:ind w:left="3168" w:hanging="360"/>
      </w:pPr>
      <w:rPr>
        <w:rFonts w:hint="default"/>
      </w:rPr>
    </w:lvl>
    <w:lvl w:ilvl="2">
      <w:start w:val="1"/>
      <w:numFmt w:val="bullet"/>
      <w:lvlText w:val="•"/>
      <w:lvlJc w:val="left"/>
      <w:pPr>
        <w:ind w:left="4176" w:hanging="360"/>
      </w:pPr>
      <w:rPr>
        <w:rFonts w:hint="default"/>
      </w:rPr>
    </w:lvl>
    <w:lvl w:ilvl="3">
      <w:start w:val="1"/>
      <w:numFmt w:val="bullet"/>
      <w:lvlText w:val="•"/>
      <w:lvlJc w:val="left"/>
      <w:pPr>
        <w:ind w:left="5184" w:hanging="360"/>
      </w:pPr>
      <w:rPr>
        <w:rFonts w:hint="default"/>
      </w:rPr>
    </w:lvl>
    <w:lvl w:ilvl="4">
      <w:start w:val="1"/>
      <w:numFmt w:val="bullet"/>
      <w:lvlText w:val="•"/>
      <w:lvlJc w:val="left"/>
      <w:pPr>
        <w:ind w:left="6192" w:hanging="360"/>
      </w:pPr>
      <w:rPr>
        <w:rFonts w:hint="default"/>
      </w:rPr>
    </w:lvl>
    <w:lvl w:ilvl="5">
      <w:start w:val="1"/>
      <w:numFmt w:val="bullet"/>
      <w:lvlText w:val="•"/>
      <w:lvlJc w:val="left"/>
      <w:pPr>
        <w:ind w:left="7200" w:hanging="360"/>
      </w:pPr>
      <w:rPr>
        <w:rFonts w:hint="default"/>
      </w:rPr>
    </w:lvl>
    <w:lvl w:ilvl="6">
      <w:start w:val="1"/>
      <w:numFmt w:val="bullet"/>
      <w:lvlText w:val="•"/>
      <w:lvlJc w:val="left"/>
      <w:pPr>
        <w:ind w:left="8208" w:hanging="360"/>
      </w:pPr>
      <w:rPr>
        <w:rFonts w:hint="default"/>
      </w:rPr>
    </w:lvl>
    <w:lvl w:ilvl="7">
      <w:start w:val="1"/>
      <w:numFmt w:val="bullet"/>
      <w:lvlText w:val="•"/>
      <w:lvlJc w:val="left"/>
      <w:pPr>
        <w:ind w:left="9216" w:hanging="360"/>
      </w:pPr>
      <w:rPr>
        <w:rFonts w:hint="default"/>
      </w:rPr>
    </w:lvl>
    <w:lvl w:ilvl="8">
      <w:start w:val="1"/>
      <w:numFmt w:val="bullet"/>
      <w:lvlText w:val="•"/>
      <w:lvlJc w:val="left"/>
      <w:pPr>
        <w:ind w:left="10224" w:hanging="360"/>
      </w:pPr>
      <w:rPr>
        <w:rFonts w:hint="default"/>
      </w:rPr>
    </w:lvl>
  </w:abstractNum>
  <w:abstractNum w:abstractNumId="18">
    <w:multiLevelType w:val="hybridMultilevel"/>
    <w:lvl w:ilvl="0">
      <w:start w:val="1"/>
      <w:numFmt w:val="decimal"/>
      <w:lvlText w:val="%1)"/>
      <w:lvlJc w:val="left"/>
      <w:pPr>
        <w:ind w:left="2160" w:hanging="360"/>
        <w:jc w:val="left"/>
      </w:pPr>
      <w:rPr>
        <w:rFonts w:hint="default" w:ascii="Calibri" w:hAnsi="Calibri" w:eastAsia="Calibri"/>
        <w:spacing w:val="-1"/>
        <w:w w:val="99"/>
        <w:sz w:val="20"/>
        <w:szCs w:val="20"/>
      </w:rPr>
    </w:lvl>
    <w:lvl w:ilvl="1">
      <w:start w:val="1"/>
      <w:numFmt w:val="bullet"/>
      <w:lvlText w:val="•"/>
      <w:lvlJc w:val="left"/>
      <w:pPr>
        <w:ind w:left="3168" w:hanging="360"/>
      </w:pPr>
      <w:rPr>
        <w:rFonts w:hint="default"/>
      </w:rPr>
    </w:lvl>
    <w:lvl w:ilvl="2">
      <w:start w:val="1"/>
      <w:numFmt w:val="bullet"/>
      <w:lvlText w:val="•"/>
      <w:lvlJc w:val="left"/>
      <w:pPr>
        <w:ind w:left="4176" w:hanging="360"/>
      </w:pPr>
      <w:rPr>
        <w:rFonts w:hint="default"/>
      </w:rPr>
    </w:lvl>
    <w:lvl w:ilvl="3">
      <w:start w:val="1"/>
      <w:numFmt w:val="bullet"/>
      <w:lvlText w:val="•"/>
      <w:lvlJc w:val="left"/>
      <w:pPr>
        <w:ind w:left="5184" w:hanging="360"/>
      </w:pPr>
      <w:rPr>
        <w:rFonts w:hint="default"/>
      </w:rPr>
    </w:lvl>
    <w:lvl w:ilvl="4">
      <w:start w:val="1"/>
      <w:numFmt w:val="bullet"/>
      <w:lvlText w:val="•"/>
      <w:lvlJc w:val="left"/>
      <w:pPr>
        <w:ind w:left="6192" w:hanging="360"/>
      </w:pPr>
      <w:rPr>
        <w:rFonts w:hint="default"/>
      </w:rPr>
    </w:lvl>
    <w:lvl w:ilvl="5">
      <w:start w:val="1"/>
      <w:numFmt w:val="bullet"/>
      <w:lvlText w:val="•"/>
      <w:lvlJc w:val="left"/>
      <w:pPr>
        <w:ind w:left="7200" w:hanging="360"/>
      </w:pPr>
      <w:rPr>
        <w:rFonts w:hint="default"/>
      </w:rPr>
    </w:lvl>
    <w:lvl w:ilvl="6">
      <w:start w:val="1"/>
      <w:numFmt w:val="bullet"/>
      <w:lvlText w:val="•"/>
      <w:lvlJc w:val="left"/>
      <w:pPr>
        <w:ind w:left="8208" w:hanging="360"/>
      </w:pPr>
      <w:rPr>
        <w:rFonts w:hint="default"/>
      </w:rPr>
    </w:lvl>
    <w:lvl w:ilvl="7">
      <w:start w:val="1"/>
      <w:numFmt w:val="bullet"/>
      <w:lvlText w:val="•"/>
      <w:lvlJc w:val="left"/>
      <w:pPr>
        <w:ind w:left="9216" w:hanging="360"/>
      </w:pPr>
      <w:rPr>
        <w:rFonts w:hint="default"/>
      </w:rPr>
    </w:lvl>
    <w:lvl w:ilvl="8">
      <w:start w:val="1"/>
      <w:numFmt w:val="bullet"/>
      <w:lvlText w:val="•"/>
      <w:lvlJc w:val="left"/>
      <w:pPr>
        <w:ind w:left="10224" w:hanging="360"/>
      </w:pPr>
      <w:rPr>
        <w:rFonts w:hint="default"/>
      </w:rPr>
    </w:lvl>
  </w:abstractNum>
  <w:abstractNum w:abstractNumId="17">
    <w:multiLevelType w:val="hybridMultilevel"/>
    <w:lvl w:ilvl="0">
      <w:start w:val="1"/>
      <w:numFmt w:val="decimal"/>
      <w:lvlText w:val="%1."/>
      <w:lvlJc w:val="left"/>
      <w:pPr>
        <w:ind w:left="2160" w:hanging="360"/>
        <w:jc w:val="left"/>
      </w:pPr>
      <w:rPr>
        <w:rFonts w:hint="default" w:ascii="Calibri" w:hAnsi="Calibri" w:eastAsia="Calibri"/>
        <w:spacing w:val="-1"/>
        <w:w w:val="99"/>
        <w:sz w:val="20"/>
        <w:szCs w:val="20"/>
      </w:rPr>
    </w:lvl>
    <w:lvl w:ilvl="1">
      <w:start w:val="1"/>
      <w:numFmt w:val="bullet"/>
      <w:lvlText w:val="•"/>
      <w:lvlJc w:val="left"/>
      <w:pPr>
        <w:ind w:left="3168" w:hanging="360"/>
      </w:pPr>
      <w:rPr>
        <w:rFonts w:hint="default"/>
      </w:rPr>
    </w:lvl>
    <w:lvl w:ilvl="2">
      <w:start w:val="1"/>
      <w:numFmt w:val="bullet"/>
      <w:lvlText w:val="•"/>
      <w:lvlJc w:val="left"/>
      <w:pPr>
        <w:ind w:left="4176" w:hanging="360"/>
      </w:pPr>
      <w:rPr>
        <w:rFonts w:hint="default"/>
      </w:rPr>
    </w:lvl>
    <w:lvl w:ilvl="3">
      <w:start w:val="1"/>
      <w:numFmt w:val="bullet"/>
      <w:lvlText w:val="•"/>
      <w:lvlJc w:val="left"/>
      <w:pPr>
        <w:ind w:left="5184" w:hanging="360"/>
      </w:pPr>
      <w:rPr>
        <w:rFonts w:hint="default"/>
      </w:rPr>
    </w:lvl>
    <w:lvl w:ilvl="4">
      <w:start w:val="1"/>
      <w:numFmt w:val="bullet"/>
      <w:lvlText w:val="•"/>
      <w:lvlJc w:val="left"/>
      <w:pPr>
        <w:ind w:left="6192" w:hanging="360"/>
      </w:pPr>
      <w:rPr>
        <w:rFonts w:hint="default"/>
      </w:rPr>
    </w:lvl>
    <w:lvl w:ilvl="5">
      <w:start w:val="1"/>
      <w:numFmt w:val="bullet"/>
      <w:lvlText w:val="•"/>
      <w:lvlJc w:val="left"/>
      <w:pPr>
        <w:ind w:left="7200" w:hanging="360"/>
      </w:pPr>
      <w:rPr>
        <w:rFonts w:hint="default"/>
      </w:rPr>
    </w:lvl>
    <w:lvl w:ilvl="6">
      <w:start w:val="1"/>
      <w:numFmt w:val="bullet"/>
      <w:lvlText w:val="•"/>
      <w:lvlJc w:val="left"/>
      <w:pPr>
        <w:ind w:left="8208" w:hanging="360"/>
      </w:pPr>
      <w:rPr>
        <w:rFonts w:hint="default"/>
      </w:rPr>
    </w:lvl>
    <w:lvl w:ilvl="7">
      <w:start w:val="1"/>
      <w:numFmt w:val="bullet"/>
      <w:lvlText w:val="•"/>
      <w:lvlJc w:val="left"/>
      <w:pPr>
        <w:ind w:left="9216" w:hanging="360"/>
      </w:pPr>
      <w:rPr>
        <w:rFonts w:hint="default"/>
      </w:rPr>
    </w:lvl>
    <w:lvl w:ilvl="8">
      <w:start w:val="1"/>
      <w:numFmt w:val="bullet"/>
      <w:lvlText w:val="•"/>
      <w:lvlJc w:val="left"/>
      <w:pPr>
        <w:ind w:left="10224" w:hanging="360"/>
      </w:pPr>
      <w:rPr>
        <w:rFonts w:hint="default"/>
      </w:rPr>
    </w:lvl>
  </w:abstractNum>
  <w:abstractNum w:abstractNumId="16">
    <w:multiLevelType w:val="hybridMultilevel"/>
    <w:lvl w:ilvl="0">
      <w:start w:val="1"/>
      <w:numFmt w:val="bullet"/>
      <w:lvlText w:val="•"/>
      <w:lvlJc w:val="left"/>
      <w:pPr>
        <w:ind w:left="2431" w:hanging="272"/>
      </w:pPr>
      <w:rPr>
        <w:rFonts w:hint="default" w:ascii="Calibri" w:hAnsi="Calibri" w:eastAsia="Calibri"/>
        <w:w w:val="99"/>
        <w:sz w:val="20"/>
        <w:szCs w:val="20"/>
      </w:rPr>
    </w:lvl>
    <w:lvl w:ilvl="1">
      <w:start w:val="1"/>
      <w:numFmt w:val="bullet"/>
      <w:lvlText w:val="•"/>
      <w:lvlJc w:val="left"/>
      <w:pPr>
        <w:ind w:left="3420" w:hanging="272"/>
      </w:pPr>
      <w:rPr>
        <w:rFonts w:hint="default"/>
      </w:rPr>
    </w:lvl>
    <w:lvl w:ilvl="2">
      <w:start w:val="1"/>
      <w:numFmt w:val="bullet"/>
      <w:lvlText w:val="•"/>
      <w:lvlJc w:val="left"/>
      <w:pPr>
        <w:ind w:left="4400" w:hanging="272"/>
      </w:pPr>
      <w:rPr>
        <w:rFonts w:hint="default"/>
      </w:rPr>
    </w:lvl>
    <w:lvl w:ilvl="3">
      <w:start w:val="1"/>
      <w:numFmt w:val="bullet"/>
      <w:lvlText w:val="•"/>
      <w:lvlJc w:val="left"/>
      <w:pPr>
        <w:ind w:left="5380" w:hanging="272"/>
      </w:pPr>
      <w:rPr>
        <w:rFonts w:hint="default"/>
      </w:rPr>
    </w:lvl>
    <w:lvl w:ilvl="4">
      <w:start w:val="1"/>
      <w:numFmt w:val="bullet"/>
      <w:lvlText w:val="•"/>
      <w:lvlJc w:val="left"/>
      <w:pPr>
        <w:ind w:left="6360" w:hanging="272"/>
      </w:pPr>
      <w:rPr>
        <w:rFonts w:hint="default"/>
      </w:rPr>
    </w:lvl>
    <w:lvl w:ilvl="5">
      <w:start w:val="1"/>
      <w:numFmt w:val="bullet"/>
      <w:lvlText w:val="•"/>
      <w:lvlJc w:val="left"/>
      <w:pPr>
        <w:ind w:left="7340" w:hanging="272"/>
      </w:pPr>
      <w:rPr>
        <w:rFonts w:hint="default"/>
      </w:rPr>
    </w:lvl>
    <w:lvl w:ilvl="6">
      <w:start w:val="1"/>
      <w:numFmt w:val="bullet"/>
      <w:lvlText w:val="•"/>
      <w:lvlJc w:val="left"/>
      <w:pPr>
        <w:ind w:left="8320" w:hanging="272"/>
      </w:pPr>
      <w:rPr>
        <w:rFonts w:hint="default"/>
      </w:rPr>
    </w:lvl>
    <w:lvl w:ilvl="7">
      <w:start w:val="1"/>
      <w:numFmt w:val="bullet"/>
      <w:lvlText w:val="•"/>
      <w:lvlJc w:val="left"/>
      <w:pPr>
        <w:ind w:left="9300" w:hanging="272"/>
      </w:pPr>
      <w:rPr>
        <w:rFonts w:hint="default"/>
      </w:rPr>
    </w:lvl>
    <w:lvl w:ilvl="8">
      <w:start w:val="1"/>
      <w:numFmt w:val="bullet"/>
      <w:lvlText w:val="•"/>
      <w:lvlJc w:val="left"/>
      <w:pPr>
        <w:ind w:left="10280" w:hanging="272"/>
      </w:pPr>
      <w:rPr>
        <w:rFonts w:hint="default"/>
      </w:rPr>
    </w:lvl>
  </w:abstractNum>
  <w:abstractNum w:abstractNumId="15">
    <w:multiLevelType w:val="hybridMultilevel"/>
    <w:lvl w:ilvl="0">
      <w:start w:val="1"/>
      <w:numFmt w:val="decimal"/>
      <w:lvlText w:val="%1."/>
      <w:lvlJc w:val="left"/>
      <w:pPr>
        <w:ind w:left="2160" w:hanging="360"/>
        <w:jc w:val="left"/>
      </w:pPr>
      <w:rPr>
        <w:rFonts w:hint="default" w:ascii="Calibri" w:hAnsi="Calibri" w:eastAsia="Calibri"/>
        <w:spacing w:val="-1"/>
        <w:w w:val="99"/>
        <w:sz w:val="20"/>
        <w:szCs w:val="20"/>
      </w:rPr>
    </w:lvl>
    <w:lvl w:ilvl="1">
      <w:start w:val="1"/>
      <w:numFmt w:val="bullet"/>
      <w:lvlText w:val=""/>
      <w:lvlJc w:val="left"/>
      <w:pPr>
        <w:ind w:left="2431" w:hanging="272"/>
      </w:pPr>
      <w:rPr>
        <w:rFonts w:hint="default" w:ascii="Symbol" w:hAnsi="Symbol" w:eastAsia="Symbol"/>
        <w:w w:val="99"/>
        <w:sz w:val="20"/>
        <w:szCs w:val="20"/>
      </w:rPr>
    </w:lvl>
    <w:lvl w:ilvl="2">
      <w:start w:val="1"/>
      <w:numFmt w:val="bullet"/>
      <w:lvlText w:val="•"/>
      <w:lvlJc w:val="left"/>
      <w:pPr>
        <w:ind w:left="3528" w:hanging="272"/>
      </w:pPr>
      <w:rPr>
        <w:rFonts w:hint="default"/>
      </w:rPr>
    </w:lvl>
    <w:lvl w:ilvl="3">
      <w:start w:val="1"/>
      <w:numFmt w:val="bullet"/>
      <w:lvlText w:val="•"/>
      <w:lvlJc w:val="left"/>
      <w:pPr>
        <w:ind w:left="4617" w:hanging="272"/>
      </w:pPr>
      <w:rPr>
        <w:rFonts w:hint="default"/>
      </w:rPr>
    </w:lvl>
    <w:lvl w:ilvl="4">
      <w:start w:val="1"/>
      <w:numFmt w:val="bullet"/>
      <w:lvlText w:val="•"/>
      <w:lvlJc w:val="left"/>
      <w:pPr>
        <w:ind w:left="5706" w:hanging="272"/>
      </w:pPr>
      <w:rPr>
        <w:rFonts w:hint="default"/>
      </w:rPr>
    </w:lvl>
    <w:lvl w:ilvl="5">
      <w:start w:val="1"/>
      <w:numFmt w:val="bullet"/>
      <w:lvlText w:val="•"/>
      <w:lvlJc w:val="left"/>
      <w:pPr>
        <w:ind w:left="6795" w:hanging="272"/>
      </w:pPr>
      <w:rPr>
        <w:rFonts w:hint="default"/>
      </w:rPr>
    </w:lvl>
    <w:lvl w:ilvl="6">
      <w:start w:val="1"/>
      <w:numFmt w:val="bullet"/>
      <w:lvlText w:val="•"/>
      <w:lvlJc w:val="left"/>
      <w:pPr>
        <w:ind w:left="7884" w:hanging="272"/>
      </w:pPr>
      <w:rPr>
        <w:rFonts w:hint="default"/>
      </w:rPr>
    </w:lvl>
    <w:lvl w:ilvl="7">
      <w:start w:val="1"/>
      <w:numFmt w:val="bullet"/>
      <w:lvlText w:val="•"/>
      <w:lvlJc w:val="left"/>
      <w:pPr>
        <w:ind w:left="8973" w:hanging="272"/>
      </w:pPr>
      <w:rPr>
        <w:rFonts w:hint="default"/>
      </w:rPr>
    </w:lvl>
    <w:lvl w:ilvl="8">
      <w:start w:val="1"/>
      <w:numFmt w:val="bullet"/>
      <w:lvlText w:val="•"/>
      <w:lvlJc w:val="left"/>
      <w:pPr>
        <w:ind w:left="10062" w:hanging="272"/>
      </w:pPr>
      <w:rPr>
        <w:rFonts w:hint="default"/>
      </w:rPr>
    </w:lvl>
  </w:abstractNum>
  <w:abstractNum w:abstractNumId="14">
    <w:multiLevelType w:val="hybridMultilevel"/>
    <w:lvl w:ilvl="0">
      <w:start w:val="1"/>
      <w:numFmt w:val="decimal"/>
      <w:lvlText w:val="%1."/>
      <w:lvlJc w:val="left"/>
      <w:pPr>
        <w:ind w:left="2160" w:hanging="360"/>
        <w:jc w:val="left"/>
      </w:pPr>
      <w:rPr>
        <w:rFonts w:hint="default" w:ascii="Calibri" w:hAnsi="Calibri" w:eastAsia="Calibri"/>
        <w:spacing w:val="-1"/>
        <w:w w:val="99"/>
        <w:sz w:val="20"/>
        <w:szCs w:val="20"/>
      </w:rPr>
    </w:lvl>
    <w:lvl w:ilvl="1">
      <w:start w:val="1"/>
      <w:numFmt w:val="bullet"/>
      <w:lvlText w:val="•"/>
      <w:lvlJc w:val="left"/>
      <w:pPr>
        <w:ind w:left="3168" w:hanging="360"/>
      </w:pPr>
      <w:rPr>
        <w:rFonts w:hint="default"/>
      </w:rPr>
    </w:lvl>
    <w:lvl w:ilvl="2">
      <w:start w:val="1"/>
      <w:numFmt w:val="bullet"/>
      <w:lvlText w:val="•"/>
      <w:lvlJc w:val="left"/>
      <w:pPr>
        <w:ind w:left="4176" w:hanging="360"/>
      </w:pPr>
      <w:rPr>
        <w:rFonts w:hint="default"/>
      </w:rPr>
    </w:lvl>
    <w:lvl w:ilvl="3">
      <w:start w:val="1"/>
      <w:numFmt w:val="bullet"/>
      <w:lvlText w:val="•"/>
      <w:lvlJc w:val="left"/>
      <w:pPr>
        <w:ind w:left="5184" w:hanging="360"/>
      </w:pPr>
      <w:rPr>
        <w:rFonts w:hint="default"/>
      </w:rPr>
    </w:lvl>
    <w:lvl w:ilvl="4">
      <w:start w:val="1"/>
      <w:numFmt w:val="bullet"/>
      <w:lvlText w:val="•"/>
      <w:lvlJc w:val="left"/>
      <w:pPr>
        <w:ind w:left="6192" w:hanging="360"/>
      </w:pPr>
      <w:rPr>
        <w:rFonts w:hint="default"/>
      </w:rPr>
    </w:lvl>
    <w:lvl w:ilvl="5">
      <w:start w:val="1"/>
      <w:numFmt w:val="bullet"/>
      <w:lvlText w:val="•"/>
      <w:lvlJc w:val="left"/>
      <w:pPr>
        <w:ind w:left="7200" w:hanging="360"/>
      </w:pPr>
      <w:rPr>
        <w:rFonts w:hint="default"/>
      </w:rPr>
    </w:lvl>
    <w:lvl w:ilvl="6">
      <w:start w:val="1"/>
      <w:numFmt w:val="bullet"/>
      <w:lvlText w:val="•"/>
      <w:lvlJc w:val="left"/>
      <w:pPr>
        <w:ind w:left="8208" w:hanging="360"/>
      </w:pPr>
      <w:rPr>
        <w:rFonts w:hint="default"/>
      </w:rPr>
    </w:lvl>
    <w:lvl w:ilvl="7">
      <w:start w:val="1"/>
      <w:numFmt w:val="bullet"/>
      <w:lvlText w:val="•"/>
      <w:lvlJc w:val="left"/>
      <w:pPr>
        <w:ind w:left="9216" w:hanging="360"/>
      </w:pPr>
      <w:rPr>
        <w:rFonts w:hint="default"/>
      </w:rPr>
    </w:lvl>
    <w:lvl w:ilvl="8">
      <w:start w:val="1"/>
      <w:numFmt w:val="bullet"/>
      <w:lvlText w:val="•"/>
      <w:lvlJc w:val="left"/>
      <w:pPr>
        <w:ind w:left="10224" w:hanging="360"/>
      </w:pPr>
      <w:rPr>
        <w:rFonts w:hint="default"/>
      </w:rPr>
    </w:lvl>
  </w:abstractNum>
  <w:abstractNum w:abstractNumId="13">
    <w:multiLevelType w:val="hybridMultilevel"/>
    <w:lvl w:ilvl="0">
      <w:start w:val="1"/>
      <w:numFmt w:val="decimal"/>
      <w:lvlText w:val="%1."/>
      <w:lvlJc w:val="left"/>
      <w:pPr>
        <w:ind w:left="2160" w:hanging="360"/>
        <w:jc w:val="left"/>
      </w:pPr>
      <w:rPr>
        <w:rFonts w:hint="default" w:ascii="Calibri" w:hAnsi="Calibri" w:eastAsia="Calibri"/>
        <w:spacing w:val="-1"/>
        <w:w w:val="99"/>
        <w:sz w:val="20"/>
        <w:szCs w:val="20"/>
      </w:rPr>
    </w:lvl>
    <w:lvl w:ilvl="1">
      <w:start w:val="1"/>
      <w:numFmt w:val="bullet"/>
      <w:lvlText w:val="•"/>
      <w:lvlJc w:val="left"/>
      <w:pPr>
        <w:ind w:left="3168" w:hanging="360"/>
      </w:pPr>
      <w:rPr>
        <w:rFonts w:hint="default"/>
      </w:rPr>
    </w:lvl>
    <w:lvl w:ilvl="2">
      <w:start w:val="1"/>
      <w:numFmt w:val="bullet"/>
      <w:lvlText w:val="•"/>
      <w:lvlJc w:val="left"/>
      <w:pPr>
        <w:ind w:left="4176" w:hanging="360"/>
      </w:pPr>
      <w:rPr>
        <w:rFonts w:hint="default"/>
      </w:rPr>
    </w:lvl>
    <w:lvl w:ilvl="3">
      <w:start w:val="1"/>
      <w:numFmt w:val="bullet"/>
      <w:lvlText w:val="•"/>
      <w:lvlJc w:val="left"/>
      <w:pPr>
        <w:ind w:left="5184" w:hanging="360"/>
      </w:pPr>
      <w:rPr>
        <w:rFonts w:hint="default"/>
      </w:rPr>
    </w:lvl>
    <w:lvl w:ilvl="4">
      <w:start w:val="1"/>
      <w:numFmt w:val="bullet"/>
      <w:lvlText w:val="•"/>
      <w:lvlJc w:val="left"/>
      <w:pPr>
        <w:ind w:left="6192" w:hanging="360"/>
      </w:pPr>
      <w:rPr>
        <w:rFonts w:hint="default"/>
      </w:rPr>
    </w:lvl>
    <w:lvl w:ilvl="5">
      <w:start w:val="1"/>
      <w:numFmt w:val="bullet"/>
      <w:lvlText w:val="•"/>
      <w:lvlJc w:val="left"/>
      <w:pPr>
        <w:ind w:left="7200" w:hanging="360"/>
      </w:pPr>
      <w:rPr>
        <w:rFonts w:hint="default"/>
      </w:rPr>
    </w:lvl>
    <w:lvl w:ilvl="6">
      <w:start w:val="1"/>
      <w:numFmt w:val="bullet"/>
      <w:lvlText w:val="•"/>
      <w:lvlJc w:val="left"/>
      <w:pPr>
        <w:ind w:left="8208" w:hanging="360"/>
      </w:pPr>
      <w:rPr>
        <w:rFonts w:hint="default"/>
      </w:rPr>
    </w:lvl>
    <w:lvl w:ilvl="7">
      <w:start w:val="1"/>
      <w:numFmt w:val="bullet"/>
      <w:lvlText w:val="•"/>
      <w:lvlJc w:val="left"/>
      <w:pPr>
        <w:ind w:left="9216" w:hanging="360"/>
      </w:pPr>
      <w:rPr>
        <w:rFonts w:hint="default"/>
      </w:rPr>
    </w:lvl>
    <w:lvl w:ilvl="8">
      <w:start w:val="1"/>
      <w:numFmt w:val="bullet"/>
      <w:lvlText w:val="•"/>
      <w:lvlJc w:val="left"/>
      <w:pPr>
        <w:ind w:left="10224" w:hanging="360"/>
      </w:pPr>
      <w:rPr>
        <w:rFonts w:hint="default"/>
      </w:rPr>
    </w:lvl>
  </w:abstractNum>
  <w:abstractNum w:abstractNumId="12">
    <w:multiLevelType w:val="hybridMultilevel"/>
    <w:lvl w:ilvl="0">
      <w:start w:val="1"/>
      <w:numFmt w:val="decimal"/>
      <w:lvlText w:val="%1."/>
      <w:lvlJc w:val="left"/>
      <w:pPr>
        <w:ind w:left="2160" w:hanging="360"/>
        <w:jc w:val="left"/>
      </w:pPr>
      <w:rPr>
        <w:rFonts w:hint="default" w:ascii="Calibri" w:hAnsi="Calibri" w:eastAsia="Calibri"/>
        <w:spacing w:val="-1"/>
        <w:w w:val="99"/>
        <w:sz w:val="20"/>
        <w:szCs w:val="20"/>
      </w:rPr>
    </w:lvl>
    <w:lvl w:ilvl="1">
      <w:start w:val="1"/>
      <w:numFmt w:val="bullet"/>
      <w:lvlText w:val="•"/>
      <w:lvlJc w:val="left"/>
      <w:pPr>
        <w:ind w:left="3168" w:hanging="360"/>
      </w:pPr>
      <w:rPr>
        <w:rFonts w:hint="default"/>
      </w:rPr>
    </w:lvl>
    <w:lvl w:ilvl="2">
      <w:start w:val="1"/>
      <w:numFmt w:val="bullet"/>
      <w:lvlText w:val="•"/>
      <w:lvlJc w:val="left"/>
      <w:pPr>
        <w:ind w:left="4176" w:hanging="360"/>
      </w:pPr>
      <w:rPr>
        <w:rFonts w:hint="default"/>
      </w:rPr>
    </w:lvl>
    <w:lvl w:ilvl="3">
      <w:start w:val="1"/>
      <w:numFmt w:val="bullet"/>
      <w:lvlText w:val="•"/>
      <w:lvlJc w:val="left"/>
      <w:pPr>
        <w:ind w:left="5184" w:hanging="360"/>
      </w:pPr>
      <w:rPr>
        <w:rFonts w:hint="default"/>
      </w:rPr>
    </w:lvl>
    <w:lvl w:ilvl="4">
      <w:start w:val="1"/>
      <w:numFmt w:val="bullet"/>
      <w:lvlText w:val="•"/>
      <w:lvlJc w:val="left"/>
      <w:pPr>
        <w:ind w:left="6192" w:hanging="360"/>
      </w:pPr>
      <w:rPr>
        <w:rFonts w:hint="default"/>
      </w:rPr>
    </w:lvl>
    <w:lvl w:ilvl="5">
      <w:start w:val="1"/>
      <w:numFmt w:val="bullet"/>
      <w:lvlText w:val="•"/>
      <w:lvlJc w:val="left"/>
      <w:pPr>
        <w:ind w:left="7200" w:hanging="360"/>
      </w:pPr>
      <w:rPr>
        <w:rFonts w:hint="default"/>
      </w:rPr>
    </w:lvl>
    <w:lvl w:ilvl="6">
      <w:start w:val="1"/>
      <w:numFmt w:val="bullet"/>
      <w:lvlText w:val="•"/>
      <w:lvlJc w:val="left"/>
      <w:pPr>
        <w:ind w:left="8208" w:hanging="360"/>
      </w:pPr>
      <w:rPr>
        <w:rFonts w:hint="default"/>
      </w:rPr>
    </w:lvl>
    <w:lvl w:ilvl="7">
      <w:start w:val="1"/>
      <w:numFmt w:val="bullet"/>
      <w:lvlText w:val="•"/>
      <w:lvlJc w:val="left"/>
      <w:pPr>
        <w:ind w:left="9216" w:hanging="360"/>
      </w:pPr>
      <w:rPr>
        <w:rFonts w:hint="default"/>
      </w:rPr>
    </w:lvl>
    <w:lvl w:ilvl="8">
      <w:start w:val="1"/>
      <w:numFmt w:val="bullet"/>
      <w:lvlText w:val="•"/>
      <w:lvlJc w:val="left"/>
      <w:pPr>
        <w:ind w:left="10224" w:hanging="360"/>
      </w:pPr>
      <w:rPr>
        <w:rFonts w:hint="default"/>
      </w:rPr>
    </w:lvl>
  </w:abstractNum>
  <w:abstractNum w:abstractNumId="11">
    <w:multiLevelType w:val="hybridMultilevel"/>
    <w:lvl w:ilvl="0">
      <w:start w:val="1"/>
      <w:numFmt w:val="decimal"/>
      <w:lvlText w:val="%1."/>
      <w:lvlJc w:val="left"/>
      <w:pPr>
        <w:ind w:left="2160" w:hanging="360"/>
        <w:jc w:val="left"/>
      </w:pPr>
      <w:rPr>
        <w:rFonts w:hint="default" w:ascii="Calibri" w:hAnsi="Calibri" w:eastAsia="Calibri"/>
        <w:spacing w:val="-1"/>
        <w:w w:val="99"/>
        <w:sz w:val="20"/>
        <w:szCs w:val="20"/>
      </w:rPr>
    </w:lvl>
    <w:lvl w:ilvl="1">
      <w:start w:val="1"/>
      <w:numFmt w:val="bullet"/>
      <w:lvlText w:val="•"/>
      <w:lvlJc w:val="left"/>
      <w:pPr>
        <w:ind w:left="3168" w:hanging="360"/>
      </w:pPr>
      <w:rPr>
        <w:rFonts w:hint="default"/>
      </w:rPr>
    </w:lvl>
    <w:lvl w:ilvl="2">
      <w:start w:val="1"/>
      <w:numFmt w:val="bullet"/>
      <w:lvlText w:val="•"/>
      <w:lvlJc w:val="left"/>
      <w:pPr>
        <w:ind w:left="4176" w:hanging="360"/>
      </w:pPr>
      <w:rPr>
        <w:rFonts w:hint="default"/>
      </w:rPr>
    </w:lvl>
    <w:lvl w:ilvl="3">
      <w:start w:val="1"/>
      <w:numFmt w:val="bullet"/>
      <w:lvlText w:val="•"/>
      <w:lvlJc w:val="left"/>
      <w:pPr>
        <w:ind w:left="5184" w:hanging="360"/>
      </w:pPr>
      <w:rPr>
        <w:rFonts w:hint="default"/>
      </w:rPr>
    </w:lvl>
    <w:lvl w:ilvl="4">
      <w:start w:val="1"/>
      <w:numFmt w:val="bullet"/>
      <w:lvlText w:val="•"/>
      <w:lvlJc w:val="left"/>
      <w:pPr>
        <w:ind w:left="6192" w:hanging="360"/>
      </w:pPr>
      <w:rPr>
        <w:rFonts w:hint="default"/>
      </w:rPr>
    </w:lvl>
    <w:lvl w:ilvl="5">
      <w:start w:val="1"/>
      <w:numFmt w:val="bullet"/>
      <w:lvlText w:val="•"/>
      <w:lvlJc w:val="left"/>
      <w:pPr>
        <w:ind w:left="7200" w:hanging="360"/>
      </w:pPr>
      <w:rPr>
        <w:rFonts w:hint="default"/>
      </w:rPr>
    </w:lvl>
    <w:lvl w:ilvl="6">
      <w:start w:val="1"/>
      <w:numFmt w:val="bullet"/>
      <w:lvlText w:val="•"/>
      <w:lvlJc w:val="left"/>
      <w:pPr>
        <w:ind w:left="8208" w:hanging="360"/>
      </w:pPr>
      <w:rPr>
        <w:rFonts w:hint="default"/>
      </w:rPr>
    </w:lvl>
    <w:lvl w:ilvl="7">
      <w:start w:val="1"/>
      <w:numFmt w:val="bullet"/>
      <w:lvlText w:val="•"/>
      <w:lvlJc w:val="left"/>
      <w:pPr>
        <w:ind w:left="9216" w:hanging="360"/>
      </w:pPr>
      <w:rPr>
        <w:rFonts w:hint="default"/>
      </w:rPr>
    </w:lvl>
    <w:lvl w:ilvl="8">
      <w:start w:val="1"/>
      <w:numFmt w:val="bullet"/>
      <w:lvlText w:val="•"/>
      <w:lvlJc w:val="left"/>
      <w:pPr>
        <w:ind w:left="10224" w:hanging="360"/>
      </w:pPr>
      <w:rPr>
        <w:rFonts w:hint="default"/>
      </w:rPr>
    </w:lvl>
  </w:abstractNum>
  <w:abstractNum w:abstractNumId="10">
    <w:multiLevelType w:val="hybridMultilevel"/>
    <w:lvl w:ilvl="0">
      <w:start w:val="1"/>
      <w:numFmt w:val="decimal"/>
      <w:lvlText w:val="%1."/>
      <w:lvlJc w:val="left"/>
      <w:pPr>
        <w:ind w:left="2160" w:hanging="360"/>
        <w:jc w:val="left"/>
      </w:pPr>
      <w:rPr>
        <w:rFonts w:hint="default" w:ascii="Calibri" w:hAnsi="Calibri" w:eastAsia="Calibri"/>
        <w:spacing w:val="-1"/>
        <w:w w:val="99"/>
        <w:sz w:val="20"/>
        <w:szCs w:val="20"/>
      </w:rPr>
    </w:lvl>
    <w:lvl w:ilvl="1">
      <w:start w:val="1"/>
      <w:numFmt w:val="bullet"/>
      <w:lvlText w:val="•"/>
      <w:lvlJc w:val="left"/>
      <w:pPr>
        <w:ind w:left="3168" w:hanging="360"/>
      </w:pPr>
      <w:rPr>
        <w:rFonts w:hint="default"/>
      </w:rPr>
    </w:lvl>
    <w:lvl w:ilvl="2">
      <w:start w:val="1"/>
      <w:numFmt w:val="bullet"/>
      <w:lvlText w:val="•"/>
      <w:lvlJc w:val="left"/>
      <w:pPr>
        <w:ind w:left="4176" w:hanging="360"/>
      </w:pPr>
      <w:rPr>
        <w:rFonts w:hint="default"/>
      </w:rPr>
    </w:lvl>
    <w:lvl w:ilvl="3">
      <w:start w:val="1"/>
      <w:numFmt w:val="bullet"/>
      <w:lvlText w:val="•"/>
      <w:lvlJc w:val="left"/>
      <w:pPr>
        <w:ind w:left="5184" w:hanging="360"/>
      </w:pPr>
      <w:rPr>
        <w:rFonts w:hint="default"/>
      </w:rPr>
    </w:lvl>
    <w:lvl w:ilvl="4">
      <w:start w:val="1"/>
      <w:numFmt w:val="bullet"/>
      <w:lvlText w:val="•"/>
      <w:lvlJc w:val="left"/>
      <w:pPr>
        <w:ind w:left="6192" w:hanging="360"/>
      </w:pPr>
      <w:rPr>
        <w:rFonts w:hint="default"/>
      </w:rPr>
    </w:lvl>
    <w:lvl w:ilvl="5">
      <w:start w:val="1"/>
      <w:numFmt w:val="bullet"/>
      <w:lvlText w:val="•"/>
      <w:lvlJc w:val="left"/>
      <w:pPr>
        <w:ind w:left="7200" w:hanging="360"/>
      </w:pPr>
      <w:rPr>
        <w:rFonts w:hint="default"/>
      </w:rPr>
    </w:lvl>
    <w:lvl w:ilvl="6">
      <w:start w:val="1"/>
      <w:numFmt w:val="bullet"/>
      <w:lvlText w:val="•"/>
      <w:lvlJc w:val="left"/>
      <w:pPr>
        <w:ind w:left="8208" w:hanging="360"/>
      </w:pPr>
      <w:rPr>
        <w:rFonts w:hint="default"/>
      </w:rPr>
    </w:lvl>
    <w:lvl w:ilvl="7">
      <w:start w:val="1"/>
      <w:numFmt w:val="bullet"/>
      <w:lvlText w:val="•"/>
      <w:lvlJc w:val="left"/>
      <w:pPr>
        <w:ind w:left="9216" w:hanging="360"/>
      </w:pPr>
      <w:rPr>
        <w:rFonts w:hint="default"/>
      </w:rPr>
    </w:lvl>
    <w:lvl w:ilvl="8">
      <w:start w:val="1"/>
      <w:numFmt w:val="bullet"/>
      <w:lvlText w:val="•"/>
      <w:lvlJc w:val="left"/>
      <w:pPr>
        <w:ind w:left="10224" w:hanging="360"/>
      </w:pPr>
      <w:rPr>
        <w:rFonts w:hint="default"/>
      </w:rPr>
    </w:lvl>
  </w:abstractNum>
  <w:abstractNum w:abstractNumId="9">
    <w:multiLevelType w:val="hybridMultilevel"/>
    <w:lvl w:ilvl="0">
      <w:start w:val="25"/>
      <w:numFmt w:val="decimal"/>
      <w:lvlText w:val="%1-"/>
      <w:lvlJc w:val="left"/>
      <w:pPr>
        <w:ind w:left="1678" w:hanging="204"/>
        <w:jc w:val="left"/>
      </w:pPr>
      <w:rPr>
        <w:rFonts w:hint="default" w:ascii="Calibri" w:hAnsi="Calibri" w:eastAsia="Calibri"/>
        <w:b/>
        <w:bCs/>
        <w:color w:val="528DD4"/>
        <w:spacing w:val="-2"/>
        <w:w w:val="99"/>
        <w:sz w:val="15"/>
        <w:szCs w:val="15"/>
      </w:rPr>
    </w:lvl>
    <w:lvl w:ilvl="1">
      <w:start w:val="1"/>
      <w:numFmt w:val="bullet"/>
      <w:lvlText w:val=""/>
      <w:lvlJc w:val="left"/>
      <w:pPr>
        <w:ind w:left="2206" w:hanging="360"/>
      </w:pPr>
      <w:rPr>
        <w:rFonts w:hint="default" w:ascii="Symbol" w:hAnsi="Symbol" w:eastAsia="Symbol"/>
        <w:w w:val="99"/>
        <w:sz w:val="20"/>
        <w:szCs w:val="20"/>
      </w:rPr>
    </w:lvl>
    <w:lvl w:ilvl="2">
      <w:start w:val="1"/>
      <w:numFmt w:val="bullet"/>
      <w:lvlText w:val="•"/>
      <w:lvlJc w:val="left"/>
      <w:pPr>
        <w:ind w:left="3315" w:hanging="360"/>
      </w:pPr>
      <w:rPr>
        <w:rFonts w:hint="default"/>
      </w:rPr>
    </w:lvl>
    <w:lvl w:ilvl="3">
      <w:start w:val="1"/>
      <w:numFmt w:val="bullet"/>
      <w:lvlText w:val="•"/>
      <w:lvlJc w:val="left"/>
      <w:pPr>
        <w:ind w:left="4431" w:hanging="360"/>
      </w:pPr>
      <w:rPr>
        <w:rFonts w:hint="default"/>
      </w:rPr>
    </w:lvl>
    <w:lvl w:ilvl="4">
      <w:start w:val="1"/>
      <w:numFmt w:val="bullet"/>
      <w:lvlText w:val="•"/>
      <w:lvlJc w:val="left"/>
      <w:pPr>
        <w:ind w:left="5546" w:hanging="360"/>
      </w:pPr>
      <w:rPr>
        <w:rFonts w:hint="default"/>
      </w:rPr>
    </w:lvl>
    <w:lvl w:ilvl="5">
      <w:start w:val="1"/>
      <w:numFmt w:val="bullet"/>
      <w:lvlText w:val="•"/>
      <w:lvlJc w:val="left"/>
      <w:pPr>
        <w:ind w:left="6662" w:hanging="360"/>
      </w:pPr>
      <w:rPr>
        <w:rFonts w:hint="default"/>
      </w:rPr>
    </w:lvl>
    <w:lvl w:ilvl="6">
      <w:start w:val="1"/>
      <w:numFmt w:val="bullet"/>
      <w:lvlText w:val="•"/>
      <w:lvlJc w:val="left"/>
      <w:pPr>
        <w:ind w:left="7777" w:hanging="360"/>
      </w:pPr>
      <w:rPr>
        <w:rFonts w:hint="default"/>
      </w:rPr>
    </w:lvl>
    <w:lvl w:ilvl="7">
      <w:start w:val="1"/>
      <w:numFmt w:val="bullet"/>
      <w:lvlText w:val="•"/>
      <w:lvlJc w:val="left"/>
      <w:pPr>
        <w:ind w:left="8893" w:hanging="360"/>
      </w:pPr>
      <w:rPr>
        <w:rFonts w:hint="default"/>
      </w:rPr>
    </w:lvl>
    <w:lvl w:ilvl="8">
      <w:start w:val="1"/>
      <w:numFmt w:val="bullet"/>
      <w:lvlText w:val="•"/>
      <w:lvlJc w:val="left"/>
      <w:pPr>
        <w:ind w:left="10008" w:hanging="360"/>
      </w:pPr>
      <w:rPr>
        <w:rFonts w:hint="default"/>
      </w:rPr>
    </w:lvl>
  </w:abstractNum>
  <w:abstractNum w:abstractNumId="8">
    <w:multiLevelType w:val="hybridMultilevel"/>
    <w:lvl w:ilvl="0">
      <w:start w:val="4"/>
      <w:numFmt w:val="decimal"/>
      <w:lvlText w:val="%1"/>
      <w:lvlJc w:val="left"/>
      <w:pPr>
        <w:ind w:left="1440" w:hanging="518"/>
        <w:jc w:val="left"/>
      </w:pPr>
      <w:rPr>
        <w:rFonts w:hint="default"/>
      </w:rPr>
    </w:lvl>
    <w:lvl w:ilvl="1">
      <w:start w:val="38"/>
      <w:numFmt w:val="decimal"/>
      <w:lvlText w:val="%1.%2."/>
      <w:lvlJc w:val="left"/>
      <w:pPr>
        <w:ind w:left="1440" w:hanging="518"/>
        <w:jc w:val="left"/>
      </w:pPr>
      <w:rPr>
        <w:rFonts w:hint="default" w:ascii="Calibri" w:hAnsi="Calibri" w:eastAsia="Calibri"/>
        <w:w w:val="99"/>
        <w:sz w:val="20"/>
        <w:szCs w:val="20"/>
      </w:rPr>
    </w:lvl>
    <w:lvl w:ilvl="2">
      <w:start w:val="1"/>
      <w:numFmt w:val="bullet"/>
      <w:lvlText w:val=""/>
      <w:lvlJc w:val="left"/>
      <w:pPr>
        <w:ind w:left="2206" w:hanging="360"/>
      </w:pPr>
      <w:rPr>
        <w:rFonts w:hint="default" w:ascii="Symbol" w:hAnsi="Symbol" w:eastAsia="Symbol"/>
        <w:w w:val="99"/>
        <w:sz w:val="20"/>
        <w:szCs w:val="20"/>
      </w:rPr>
    </w:lvl>
    <w:lvl w:ilvl="3">
      <w:start w:val="1"/>
      <w:numFmt w:val="bullet"/>
      <w:lvlText w:val="•"/>
      <w:lvlJc w:val="left"/>
      <w:pPr>
        <w:ind w:left="4431" w:hanging="360"/>
      </w:pPr>
      <w:rPr>
        <w:rFonts w:hint="default"/>
      </w:rPr>
    </w:lvl>
    <w:lvl w:ilvl="4">
      <w:start w:val="1"/>
      <w:numFmt w:val="bullet"/>
      <w:lvlText w:val="•"/>
      <w:lvlJc w:val="left"/>
      <w:pPr>
        <w:ind w:left="5546" w:hanging="360"/>
      </w:pPr>
      <w:rPr>
        <w:rFonts w:hint="default"/>
      </w:rPr>
    </w:lvl>
    <w:lvl w:ilvl="5">
      <w:start w:val="1"/>
      <w:numFmt w:val="bullet"/>
      <w:lvlText w:val="•"/>
      <w:lvlJc w:val="left"/>
      <w:pPr>
        <w:ind w:left="6662" w:hanging="360"/>
      </w:pPr>
      <w:rPr>
        <w:rFonts w:hint="default"/>
      </w:rPr>
    </w:lvl>
    <w:lvl w:ilvl="6">
      <w:start w:val="1"/>
      <w:numFmt w:val="bullet"/>
      <w:lvlText w:val="•"/>
      <w:lvlJc w:val="left"/>
      <w:pPr>
        <w:ind w:left="7777" w:hanging="360"/>
      </w:pPr>
      <w:rPr>
        <w:rFonts w:hint="default"/>
      </w:rPr>
    </w:lvl>
    <w:lvl w:ilvl="7">
      <w:start w:val="1"/>
      <w:numFmt w:val="bullet"/>
      <w:lvlText w:val="•"/>
      <w:lvlJc w:val="left"/>
      <w:pPr>
        <w:ind w:left="8893" w:hanging="360"/>
      </w:pPr>
      <w:rPr>
        <w:rFonts w:hint="default"/>
      </w:rPr>
    </w:lvl>
    <w:lvl w:ilvl="8">
      <w:start w:val="1"/>
      <w:numFmt w:val="bullet"/>
      <w:lvlText w:val="•"/>
      <w:lvlJc w:val="left"/>
      <w:pPr>
        <w:ind w:left="10008" w:hanging="360"/>
      </w:pPr>
      <w:rPr>
        <w:rFonts w:hint="default"/>
      </w:rPr>
    </w:lvl>
  </w:abstractNum>
  <w:abstractNum w:abstractNumId="7">
    <w:multiLevelType w:val="hybridMultilevel"/>
    <w:lvl w:ilvl="0">
      <w:start w:val="1"/>
      <w:numFmt w:val="decimal"/>
      <w:lvlText w:val="%1)"/>
      <w:lvlJc w:val="left"/>
      <w:pPr>
        <w:ind w:left="1646" w:hanging="207"/>
        <w:jc w:val="left"/>
      </w:pPr>
      <w:rPr>
        <w:rFonts w:hint="default" w:ascii="Calibri" w:hAnsi="Calibri" w:eastAsia="Calibri"/>
        <w:w w:val="99"/>
        <w:sz w:val="20"/>
        <w:szCs w:val="20"/>
      </w:rPr>
    </w:lvl>
    <w:lvl w:ilvl="1">
      <w:start w:val="1"/>
      <w:numFmt w:val="bullet"/>
      <w:lvlText w:val="•"/>
      <w:lvlJc w:val="left"/>
      <w:pPr>
        <w:ind w:left="2700" w:hanging="207"/>
      </w:pPr>
      <w:rPr>
        <w:rFonts w:hint="default"/>
      </w:rPr>
    </w:lvl>
    <w:lvl w:ilvl="2">
      <w:start w:val="1"/>
      <w:numFmt w:val="bullet"/>
      <w:lvlText w:val="•"/>
      <w:lvlJc w:val="left"/>
      <w:pPr>
        <w:ind w:left="3760" w:hanging="207"/>
      </w:pPr>
      <w:rPr>
        <w:rFonts w:hint="default"/>
      </w:rPr>
    </w:lvl>
    <w:lvl w:ilvl="3">
      <w:start w:val="1"/>
      <w:numFmt w:val="bullet"/>
      <w:lvlText w:val="•"/>
      <w:lvlJc w:val="left"/>
      <w:pPr>
        <w:ind w:left="4820" w:hanging="207"/>
      </w:pPr>
      <w:rPr>
        <w:rFonts w:hint="default"/>
      </w:rPr>
    </w:lvl>
    <w:lvl w:ilvl="4">
      <w:start w:val="1"/>
      <w:numFmt w:val="bullet"/>
      <w:lvlText w:val="•"/>
      <w:lvlJc w:val="left"/>
      <w:pPr>
        <w:ind w:left="5880" w:hanging="207"/>
      </w:pPr>
      <w:rPr>
        <w:rFonts w:hint="default"/>
      </w:rPr>
    </w:lvl>
    <w:lvl w:ilvl="5">
      <w:start w:val="1"/>
      <w:numFmt w:val="bullet"/>
      <w:lvlText w:val="•"/>
      <w:lvlJc w:val="left"/>
      <w:pPr>
        <w:ind w:left="6940" w:hanging="207"/>
      </w:pPr>
      <w:rPr>
        <w:rFonts w:hint="default"/>
      </w:rPr>
    </w:lvl>
    <w:lvl w:ilvl="6">
      <w:start w:val="1"/>
      <w:numFmt w:val="bullet"/>
      <w:lvlText w:val="•"/>
      <w:lvlJc w:val="left"/>
      <w:pPr>
        <w:ind w:left="8000" w:hanging="207"/>
      </w:pPr>
      <w:rPr>
        <w:rFonts w:hint="default"/>
      </w:rPr>
    </w:lvl>
    <w:lvl w:ilvl="7">
      <w:start w:val="1"/>
      <w:numFmt w:val="bullet"/>
      <w:lvlText w:val="•"/>
      <w:lvlJc w:val="left"/>
      <w:pPr>
        <w:ind w:left="9060" w:hanging="207"/>
      </w:pPr>
      <w:rPr>
        <w:rFonts w:hint="default"/>
      </w:rPr>
    </w:lvl>
    <w:lvl w:ilvl="8">
      <w:start w:val="1"/>
      <w:numFmt w:val="bullet"/>
      <w:lvlText w:val="•"/>
      <w:lvlJc w:val="left"/>
      <w:pPr>
        <w:ind w:left="10120" w:hanging="207"/>
      </w:pPr>
      <w:rPr>
        <w:rFonts w:hint="default"/>
      </w:rPr>
    </w:lvl>
  </w:abstractNum>
  <w:abstractNum w:abstractNumId="6">
    <w:multiLevelType w:val="hybridMultilevel"/>
    <w:lvl w:ilvl="0">
      <w:start w:val="1"/>
      <w:numFmt w:val="decimal"/>
      <w:lvlText w:val="%1."/>
      <w:lvlJc w:val="left"/>
      <w:pPr>
        <w:ind w:left="2160" w:hanging="360"/>
        <w:jc w:val="left"/>
      </w:pPr>
      <w:rPr>
        <w:rFonts w:hint="default" w:ascii="Calibri" w:hAnsi="Calibri" w:eastAsia="Calibri"/>
        <w:spacing w:val="-1"/>
        <w:w w:val="99"/>
        <w:sz w:val="20"/>
        <w:szCs w:val="20"/>
      </w:rPr>
    </w:lvl>
    <w:lvl w:ilvl="1">
      <w:start w:val="1"/>
      <w:numFmt w:val="bullet"/>
      <w:lvlText w:val="•"/>
      <w:lvlJc w:val="left"/>
      <w:pPr>
        <w:ind w:left="3168" w:hanging="360"/>
      </w:pPr>
      <w:rPr>
        <w:rFonts w:hint="default"/>
      </w:rPr>
    </w:lvl>
    <w:lvl w:ilvl="2">
      <w:start w:val="1"/>
      <w:numFmt w:val="bullet"/>
      <w:lvlText w:val="•"/>
      <w:lvlJc w:val="left"/>
      <w:pPr>
        <w:ind w:left="4176" w:hanging="360"/>
      </w:pPr>
      <w:rPr>
        <w:rFonts w:hint="default"/>
      </w:rPr>
    </w:lvl>
    <w:lvl w:ilvl="3">
      <w:start w:val="1"/>
      <w:numFmt w:val="bullet"/>
      <w:lvlText w:val="•"/>
      <w:lvlJc w:val="left"/>
      <w:pPr>
        <w:ind w:left="5184" w:hanging="360"/>
      </w:pPr>
      <w:rPr>
        <w:rFonts w:hint="default"/>
      </w:rPr>
    </w:lvl>
    <w:lvl w:ilvl="4">
      <w:start w:val="1"/>
      <w:numFmt w:val="bullet"/>
      <w:lvlText w:val="•"/>
      <w:lvlJc w:val="left"/>
      <w:pPr>
        <w:ind w:left="6192" w:hanging="360"/>
      </w:pPr>
      <w:rPr>
        <w:rFonts w:hint="default"/>
      </w:rPr>
    </w:lvl>
    <w:lvl w:ilvl="5">
      <w:start w:val="1"/>
      <w:numFmt w:val="bullet"/>
      <w:lvlText w:val="•"/>
      <w:lvlJc w:val="left"/>
      <w:pPr>
        <w:ind w:left="7200" w:hanging="360"/>
      </w:pPr>
      <w:rPr>
        <w:rFonts w:hint="default"/>
      </w:rPr>
    </w:lvl>
    <w:lvl w:ilvl="6">
      <w:start w:val="1"/>
      <w:numFmt w:val="bullet"/>
      <w:lvlText w:val="•"/>
      <w:lvlJc w:val="left"/>
      <w:pPr>
        <w:ind w:left="8208" w:hanging="360"/>
      </w:pPr>
      <w:rPr>
        <w:rFonts w:hint="default"/>
      </w:rPr>
    </w:lvl>
    <w:lvl w:ilvl="7">
      <w:start w:val="1"/>
      <w:numFmt w:val="bullet"/>
      <w:lvlText w:val="•"/>
      <w:lvlJc w:val="left"/>
      <w:pPr>
        <w:ind w:left="9216" w:hanging="360"/>
      </w:pPr>
      <w:rPr>
        <w:rFonts w:hint="default"/>
      </w:rPr>
    </w:lvl>
    <w:lvl w:ilvl="8">
      <w:start w:val="1"/>
      <w:numFmt w:val="bullet"/>
      <w:lvlText w:val="•"/>
      <w:lvlJc w:val="left"/>
      <w:pPr>
        <w:ind w:left="10224" w:hanging="360"/>
      </w:pPr>
      <w:rPr>
        <w:rFonts w:hint="default"/>
      </w:rPr>
    </w:lvl>
  </w:abstractNum>
  <w:abstractNum w:abstractNumId="5">
    <w:multiLevelType w:val="hybridMultilevel"/>
    <w:lvl w:ilvl="0">
      <w:start w:val="1"/>
      <w:numFmt w:val="bullet"/>
      <w:lvlText w:val=""/>
      <w:lvlJc w:val="left"/>
      <w:pPr>
        <w:ind w:left="2160" w:hanging="360"/>
      </w:pPr>
      <w:rPr>
        <w:rFonts w:hint="default" w:ascii="Symbol" w:hAnsi="Symbol" w:eastAsia="Symbol"/>
        <w:w w:val="99"/>
        <w:sz w:val="20"/>
        <w:szCs w:val="20"/>
      </w:rPr>
    </w:lvl>
    <w:lvl w:ilvl="1">
      <w:start w:val="1"/>
      <w:numFmt w:val="bullet"/>
      <w:lvlText w:val="o"/>
      <w:lvlJc w:val="left"/>
      <w:pPr>
        <w:ind w:left="2880" w:hanging="360"/>
      </w:pPr>
      <w:rPr>
        <w:rFonts w:hint="default" w:ascii="Courier New" w:hAnsi="Courier New" w:eastAsia="Courier New"/>
        <w:w w:val="99"/>
        <w:sz w:val="20"/>
        <w:szCs w:val="20"/>
      </w:rPr>
    </w:lvl>
    <w:lvl w:ilvl="2">
      <w:start w:val="1"/>
      <w:numFmt w:val="bullet"/>
      <w:lvlText w:val="•"/>
      <w:lvlJc w:val="left"/>
      <w:pPr>
        <w:ind w:left="3920" w:hanging="360"/>
      </w:pPr>
      <w:rPr>
        <w:rFonts w:hint="default"/>
      </w:rPr>
    </w:lvl>
    <w:lvl w:ilvl="3">
      <w:start w:val="1"/>
      <w:numFmt w:val="bullet"/>
      <w:lvlText w:val="•"/>
      <w:lvlJc w:val="left"/>
      <w:pPr>
        <w:ind w:left="4960" w:hanging="360"/>
      </w:pPr>
      <w:rPr>
        <w:rFonts w:hint="default"/>
      </w:rPr>
    </w:lvl>
    <w:lvl w:ilvl="4">
      <w:start w:val="1"/>
      <w:numFmt w:val="bullet"/>
      <w:lvlText w:val="•"/>
      <w:lvlJc w:val="left"/>
      <w:pPr>
        <w:ind w:left="6000" w:hanging="360"/>
      </w:pPr>
      <w:rPr>
        <w:rFonts w:hint="default"/>
      </w:rPr>
    </w:lvl>
    <w:lvl w:ilvl="5">
      <w:start w:val="1"/>
      <w:numFmt w:val="bullet"/>
      <w:lvlText w:val="•"/>
      <w:lvlJc w:val="left"/>
      <w:pPr>
        <w:ind w:left="7040" w:hanging="360"/>
      </w:pPr>
      <w:rPr>
        <w:rFonts w:hint="default"/>
      </w:rPr>
    </w:lvl>
    <w:lvl w:ilvl="6">
      <w:start w:val="1"/>
      <w:numFmt w:val="bullet"/>
      <w:lvlText w:val="•"/>
      <w:lvlJc w:val="left"/>
      <w:pPr>
        <w:ind w:left="8080" w:hanging="360"/>
      </w:pPr>
      <w:rPr>
        <w:rFonts w:hint="default"/>
      </w:rPr>
    </w:lvl>
    <w:lvl w:ilvl="7">
      <w:start w:val="1"/>
      <w:numFmt w:val="bullet"/>
      <w:lvlText w:val="•"/>
      <w:lvlJc w:val="left"/>
      <w:pPr>
        <w:ind w:left="9120" w:hanging="360"/>
      </w:pPr>
      <w:rPr>
        <w:rFonts w:hint="default"/>
      </w:rPr>
    </w:lvl>
    <w:lvl w:ilvl="8">
      <w:start w:val="1"/>
      <w:numFmt w:val="bullet"/>
      <w:lvlText w:val="•"/>
      <w:lvlJc w:val="left"/>
      <w:pPr>
        <w:ind w:left="10160" w:hanging="360"/>
      </w:pPr>
      <w:rPr>
        <w:rFonts w:hint="default"/>
      </w:rPr>
    </w:lvl>
  </w:abstractNum>
  <w:abstractNum w:abstractNumId="4">
    <w:multiLevelType w:val="hybridMultilevel"/>
    <w:lvl w:ilvl="0">
      <w:start w:val="1"/>
      <w:numFmt w:val="decimal"/>
      <w:lvlText w:val="%1."/>
      <w:lvlJc w:val="left"/>
      <w:pPr>
        <w:ind w:left="2206" w:hanging="360"/>
        <w:jc w:val="left"/>
      </w:pPr>
      <w:rPr>
        <w:rFonts w:hint="default" w:ascii="Calibri" w:hAnsi="Calibri" w:eastAsia="Calibri"/>
        <w:spacing w:val="-1"/>
        <w:w w:val="99"/>
        <w:sz w:val="20"/>
        <w:szCs w:val="20"/>
      </w:rPr>
    </w:lvl>
    <w:lvl w:ilvl="1">
      <w:start w:val="1"/>
      <w:numFmt w:val="bullet"/>
      <w:lvlText w:val="•"/>
      <w:lvlJc w:val="left"/>
      <w:pPr>
        <w:ind w:left="3204" w:hanging="360"/>
      </w:pPr>
      <w:rPr>
        <w:rFonts w:hint="default"/>
      </w:rPr>
    </w:lvl>
    <w:lvl w:ilvl="2">
      <w:start w:val="1"/>
      <w:numFmt w:val="bullet"/>
      <w:lvlText w:val="•"/>
      <w:lvlJc w:val="left"/>
      <w:pPr>
        <w:ind w:left="4208" w:hanging="360"/>
      </w:pPr>
      <w:rPr>
        <w:rFonts w:hint="default"/>
      </w:rPr>
    </w:lvl>
    <w:lvl w:ilvl="3">
      <w:start w:val="1"/>
      <w:numFmt w:val="bullet"/>
      <w:lvlText w:val="•"/>
      <w:lvlJc w:val="left"/>
      <w:pPr>
        <w:ind w:left="5212" w:hanging="360"/>
      </w:pPr>
      <w:rPr>
        <w:rFonts w:hint="default"/>
      </w:rPr>
    </w:lvl>
    <w:lvl w:ilvl="4">
      <w:start w:val="1"/>
      <w:numFmt w:val="bullet"/>
      <w:lvlText w:val="•"/>
      <w:lvlJc w:val="left"/>
      <w:pPr>
        <w:ind w:left="6216" w:hanging="360"/>
      </w:pPr>
      <w:rPr>
        <w:rFonts w:hint="default"/>
      </w:rPr>
    </w:lvl>
    <w:lvl w:ilvl="5">
      <w:start w:val="1"/>
      <w:numFmt w:val="bullet"/>
      <w:lvlText w:val="•"/>
      <w:lvlJc w:val="left"/>
      <w:pPr>
        <w:ind w:left="7220" w:hanging="360"/>
      </w:pPr>
      <w:rPr>
        <w:rFonts w:hint="default"/>
      </w:rPr>
    </w:lvl>
    <w:lvl w:ilvl="6">
      <w:start w:val="1"/>
      <w:numFmt w:val="bullet"/>
      <w:lvlText w:val="•"/>
      <w:lvlJc w:val="left"/>
      <w:pPr>
        <w:ind w:left="8224" w:hanging="360"/>
      </w:pPr>
      <w:rPr>
        <w:rFonts w:hint="default"/>
      </w:rPr>
    </w:lvl>
    <w:lvl w:ilvl="7">
      <w:start w:val="1"/>
      <w:numFmt w:val="bullet"/>
      <w:lvlText w:val="•"/>
      <w:lvlJc w:val="left"/>
      <w:pPr>
        <w:ind w:left="9228" w:hanging="360"/>
      </w:pPr>
      <w:rPr>
        <w:rFonts w:hint="default"/>
      </w:rPr>
    </w:lvl>
    <w:lvl w:ilvl="8">
      <w:start w:val="1"/>
      <w:numFmt w:val="bullet"/>
      <w:lvlText w:val="•"/>
      <w:lvlJc w:val="left"/>
      <w:pPr>
        <w:ind w:left="10232" w:hanging="360"/>
      </w:pPr>
      <w:rPr>
        <w:rFonts w:hint="default"/>
      </w:rPr>
    </w:lvl>
  </w:abstractNum>
  <w:abstractNum w:abstractNumId="2">
    <w:multiLevelType w:val="hybridMultilevel"/>
    <w:lvl w:ilvl="0">
      <w:start w:val="1"/>
      <w:numFmt w:val="lowerRoman"/>
      <w:lvlText w:val="%1"/>
      <w:lvlJc w:val="left"/>
      <w:pPr>
        <w:ind w:left="1440" w:hanging="346"/>
        <w:jc w:val="left"/>
      </w:pPr>
      <w:rPr>
        <w:rFonts w:hint="default"/>
      </w:rPr>
    </w:lvl>
    <w:lvl w:ilvl="1">
      <w:start w:val="5"/>
      <w:numFmt w:val="lowerLetter"/>
      <w:lvlText w:val="%1.%2."/>
      <w:lvlJc w:val="left"/>
      <w:pPr>
        <w:ind w:left="1440" w:hanging="346"/>
        <w:jc w:val="left"/>
      </w:pPr>
      <w:rPr>
        <w:rFonts w:hint="default" w:ascii="Calibri" w:hAnsi="Calibri" w:eastAsia="Calibri"/>
        <w:spacing w:val="-1"/>
        <w:w w:val="99"/>
        <w:sz w:val="20"/>
        <w:szCs w:val="20"/>
      </w:rPr>
    </w:lvl>
    <w:lvl w:ilvl="2">
      <w:start w:val="1"/>
      <w:numFmt w:val="bullet"/>
      <w:lvlText w:val=""/>
      <w:lvlJc w:val="left"/>
      <w:pPr>
        <w:ind w:left="2160" w:hanging="360"/>
      </w:pPr>
      <w:rPr>
        <w:rFonts w:hint="default" w:ascii="Symbol" w:hAnsi="Symbol" w:eastAsia="Symbol"/>
        <w:w w:val="99"/>
        <w:sz w:val="20"/>
        <w:szCs w:val="20"/>
      </w:rPr>
    </w:lvl>
    <w:lvl w:ilvl="3">
      <w:start w:val="1"/>
      <w:numFmt w:val="bullet"/>
      <w:lvlText w:val="•"/>
      <w:lvlJc w:val="left"/>
      <w:pPr>
        <w:ind w:left="4400" w:hanging="360"/>
      </w:pPr>
      <w:rPr>
        <w:rFonts w:hint="default"/>
      </w:rPr>
    </w:lvl>
    <w:lvl w:ilvl="4">
      <w:start w:val="1"/>
      <w:numFmt w:val="bullet"/>
      <w:lvlText w:val="•"/>
      <w:lvlJc w:val="left"/>
      <w:pPr>
        <w:ind w:left="5520" w:hanging="360"/>
      </w:pPr>
      <w:rPr>
        <w:rFonts w:hint="default"/>
      </w:rPr>
    </w:lvl>
    <w:lvl w:ilvl="5">
      <w:start w:val="1"/>
      <w:numFmt w:val="bullet"/>
      <w:lvlText w:val="•"/>
      <w:lvlJc w:val="left"/>
      <w:pPr>
        <w:ind w:left="6640" w:hanging="360"/>
      </w:pPr>
      <w:rPr>
        <w:rFonts w:hint="default"/>
      </w:rPr>
    </w:lvl>
    <w:lvl w:ilvl="6">
      <w:start w:val="1"/>
      <w:numFmt w:val="bullet"/>
      <w:lvlText w:val="•"/>
      <w:lvlJc w:val="left"/>
      <w:pPr>
        <w:ind w:left="7760" w:hanging="360"/>
      </w:pPr>
      <w:rPr>
        <w:rFonts w:hint="default"/>
      </w:rPr>
    </w:lvl>
    <w:lvl w:ilvl="7">
      <w:start w:val="1"/>
      <w:numFmt w:val="bullet"/>
      <w:lvlText w:val="•"/>
      <w:lvlJc w:val="left"/>
      <w:pPr>
        <w:ind w:left="8880" w:hanging="360"/>
      </w:pPr>
      <w:rPr>
        <w:rFonts w:hint="default"/>
      </w:rPr>
    </w:lvl>
    <w:lvl w:ilvl="8">
      <w:start w:val="1"/>
      <w:numFmt w:val="bullet"/>
      <w:lvlText w:val="•"/>
      <w:lvlJc w:val="left"/>
      <w:pPr>
        <w:ind w:left="10000" w:hanging="360"/>
      </w:pPr>
      <w:rPr>
        <w:rFonts w:hint="default"/>
      </w:rPr>
    </w:lvl>
  </w:abstractNum>
  <w:abstractNum w:abstractNumId="1">
    <w:multiLevelType w:val="hybridMultilevel"/>
    <w:lvl w:ilvl="0">
      <w:start w:val="3"/>
      <w:numFmt w:val="upperLetter"/>
      <w:lvlText w:val="%1."/>
      <w:lvlJc w:val="left"/>
      <w:pPr>
        <w:ind w:left="1603" w:hanging="164"/>
        <w:jc w:val="left"/>
      </w:pPr>
      <w:rPr>
        <w:rFonts w:hint="default" w:ascii="Calibri" w:hAnsi="Calibri" w:eastAsia="Calibri"/>
        <w:w w:val="100"/>
        <w:sz w:val="16"/>
        <w:szCs w:val="16"/>
      </w:rPr>
    </w:lvl>
    <w:lvl w:ilvl="1">
      <w:start w:val="1"/>
      <w:numFmt w:val="decimal"/>
      <w:lvlText w:val="%2."/>
      <w:lvlJc w:val="left"/>
      <w:pPr>
        <w:ind w:left="2880" w:hanging="360"/>
        <w:jc w:val="left"/>
      </w:pPr>
      <w:rPr>
        <w:rFonts w:hint="default" w:ascii="Calibri" w:hAnsi="Calibri" w:eastAsia="Calibri"/>
        <w:spacing w:val="-1"/>
        <w:w w:val="99"/>
        <w:sz w:val="20"/>
        <w:szCs w:val="20"/>
      </w:rPr>
    </w:lvl>
    <w:lvl w:ilvl="2">
      <w:start w:val="1"/>
      <w:numFmt w:val="bullet"/>
      <w:lvlText w:val="•"/>
      <w:lvlJc w:val="left"/>
      <w:pPr>
        <w:ind w:left="3920" w:hanging="360"/>
      </w:pPr>
      <w:rPr>
        <w:rFonts w:hint="default"/>
      </w:rPr>
    </w:lvl>
    <w:lvl w:ilvl="3">
      <w:start w:val="1"/>
      <w:numFmt w:val="bullet"/>
      <w:lvlText w:val="•"/>
      <w:lvlJc w:val="left"/>
      <w:pPr>
        <w:ind w:left="4960" w:hanging="360"/>
      </w:pPr>
      <w:rPr>
        <w:rFonts w:hint="default"/>
      </w:rPr>
    </w:lvl>
    <w:lvl w:ilvl="4">
      <w:start w:val="1"/>
      <w:numFmt w:val="bullet"/>
      <w:lvlText w:val="•"/>
      <w:lvlJc w:val="left"/>
      <w:pPr>
        <w:ind w:left="6000" w:hanging="360"/>
      </w:pPr>
      <w:rPr>
        <w:rFonts w:hint="default"/>
      </w:rPr>
    </w:lvl>
    <w:lvl w:ilvl="5">
      <w:start w:val="1"/>
      <w:numFmt w:val="bullet"/>
      <w:lvlText w:val="•"/>
      <w:lvlJc w:val="left"/>
      <w:pPr>
        <w:ind w:left="7040" w:hanging="360"/>
      </w:pPr>
      <w:rPr>
        <w:rFonts w:hint="default"/>
      </w:rPr>
    </w:lvl>
    <w:lvl w:ilvl="6">
      <w:start w:val="1"/>
      <w:numFmt w:val="bullet"/>
      <w:lvlText w:val="•"/>
      <w:lvlJc w:val="left"/>
      <w:pPr>
        <w:ind w:left="8080" w:hanging="360"/>
      </w:pPr>
      <w:rPr>
        <w:rFonts w:hint="default"/>
      </w:rPr>
    </w:lvl>
    <w:lvl w:ilvl="7">
      <w:start w:val="1"/>
      <w:numFmt w:val="bullet"/>
      <w:lvlText w:val="•"/>
      <w:lvlJc w:val="left"/>
      <w:pPr>
        <w:ind w:left="9120" w:hanging="360"/>
      </w:pPr>
      <w:rPr>
        <w:rFonts w:hint="default"/>
      </w:rPr>
    </w:lvl>
    <w:lvl w:ilvl="8">
      <w:start w:val="1"/>
      <w:numFmt w:val="bullet"/>
      <w:lvlText w:val="•"/>
      <w:lvlJc w:val="left"/>
      <w:pPr>
        <w:ind w:left="10160" w:hanging="360"/>
      </w:pPr>
      <w:rPr>
        <w:rFonts w:hint="default"/>
      </w:rPr>
    </w:lvl>
  </w:abstractNum>
  <w:abstractNum w:abstractNumId="0">
    <w:multiLevelType w:val="hybridMultilevel"/>
    <w:lvl w:ilvl="0">
      <w:start w:val="1"/>
      <w:numFmt w:val="bullet"/>
      <w:lvlText w:val="•"/>
      <w:lvlJc w:val="left"/>
      <w:pPr>
        <w:ind w:left="2160" w:hanging="720"/>
      </w:pPr>
      <w:rPr>
        <w:rFonts w:hint="default" w:ascii="Calibri" w:hAnsi="Calibri" w:eastAsia="Calibri"/>
        <w:w w:val="99"/>
        <w:sz w:val="20"/>
        <w:szCs w:val="20"/>
      </w:rPr>
    </w:lvl>
    <w:lvl w:ilvl="1">
      <w:start w:val="1"/>
      <w:numFmt w:val="bullet"/>
      <w:lvlText w:val="•"/>
      <w:lvlJc w:val="left"/>
      <w:pPr>
        <w:ind w:left="3168" w:hanging="720"/>
      </w:pPr>
      <w:rPr>
        <w:rFonts w:hint="default"/>
      </w:rPr>
    </w:lvl>
    <w:lvl w:ilvl="2">
      <w:start w:val="1"/>
      <w:numFmt w:val="bullet"/>
      <w:lvlText w:val="•"/>
      <w:lvlJc w:val="left"/>
      <w:pPr>
        <w:ind w:left="4176" w:hanging="720"/>
      </w:pPr>
      <w:rPr>
        <w:rFonts w:hint="default"/>
      </w:rPr>
    </w:lvl>
    <w:lvl w:ilvl="3">
      <w:start w:val="1"/>
      <w:numFmt w:val="bullet"/>
      <w:lvlText w:val="•"/>
      <w:lvlJc w:val="left"/>
      <w:pPr>
        <w:ind w:left="5184" w:hanging="720"/>
      </w:pPr>
      <w:rPr>
        <w:rFonts w:hint="default"/>
      </w:rPr>
    </w:lvl>
    <w:lvl w:ilvl="4">
      <w:start w:val="1"/>
      <w:numFmt w:val="bullet"/>
      <w:lvlText w:val="•"/>
      <w:lvlJc w:val="left"/>
      <w:pPr>
        <w:ind w:left="6192" w:hanging="720"/>
      </w:pPr>
      <w:rPr>
        <w:rFonts w:hint="default"/>
      </w:rPr>
    </w:lvl>
    <w:lvl w:ilvl="5">
      <w:start w:val="1"/>
      <w:numFmt w:val="bullet"/>
      <w:lvlText w:val="•"/>
      <w:lvlJc w:val="left"/>
      <w:pPr>
        <w:ind w:left="7200" w:hanging="720"/>
      </w:pPr>
      <w:rPr>
        <w:rFonts w:hint="default"/>
      </w:rPr>
    </w:lvl>
    <w:lvl w:ilvl="6">
      <w:start w:val="1"/>
      <w:numFmt w:val="bullet"/>
      <w:lvlText w:val="•"/>
      <w:lvlJc w:val="left"/>
      <w:pPr>
        <w:ind w:left="8208" w:hanging="720"/>
      </w:pPr>
      <w:rPr>
        <w:rFonts w:hint="default"/>
      </w:rPr>
    </w:lvl>
    <w:lvl w:ilvl="7">
      <w:start w:val="1"/>
      <w:numFmt w:val="bullet"/>
      <w:lvlText w:val="•"/>
      <w:lvlJc w:val="left"/>
      <w:pPr>
        <w:ind w:left="9216" w:hanging="720"/>
      </w:pPr>
      <w:rPr>
        <w:rFonts w:hint="default"/>
      </w:rPr>
    </w:lvl>
    <w:lvl w:ilvl="8">
      <w:start w:val="1"/>
      <w:numFmt w:val="bullet"/>
      <w:lvlText w:val="•"/>
      <w:lvlJc w:val="left"/>
      <w:pPr>
        <w:ind w:left="10224" w:hanging="720"/>
      </w:pPr>
      <w:rPr>
        <w:rFonts w:hint="default"/>
      </w:rPr>
    </w:lvl>
  </w:abstractNum>
  <w:num w:numId="4">
    <w:abstractNumId w:val="3"/>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ind w:left="1440"/>
    </w:pPr>
    <w:rPr>
      <w:rFonts w:ascii="Calibri" w:hAnsi="Calibri" w:eastAsia="Calibri"/>
      <w:sz w:val="20"/>
      <w:szCs w:val="20"/>
    </w:rPr>
  </w:style>
  <w:style w:styleId="TOC2" w:type="paragraph">
    <w:name w:val="TOC 2"/>
    <w:basedOn w:val="Normal"/>
    <w:uiPriority w:val="1"/>
    <w:qFormat/>
    <w:pPr>
      <w:ind w:left="1661"/>
    </w:pPr>
    <w:rPr>
      <w:rFonts w:ascii="Calibri" w:hAnsi="Calibri" w:eastAsia="Calibri"/>
      <w:sz w:val="20"/>
      <w:szCs w:val="20"/>
    </w:rPr>
  </w:style>
  <w:style w:styleId="TOC3" w:type="paragraph">
    <w:name w:val="TOC 3"/>
    <w:basedOn w:val="Normal"/>
    <w:uiPriority w:val="1"/>
    <w:qFormat/>
    <w:pPr>
      <w:ind w:left="1879"/>
    </w:pPr>
    <w:rPr>
      <w:rFonts w:ascii="Calibri" w:hAnsi="Calibri" w:eastAsia="Calibri"/>
      <w:sz w:val="20"/>
      <w:szCs w:val="20"/>
    </w:rPr>
  </w:style>
  <w:style w:styleId="BodyText" w:type="paragraph">
    <w:name w:val="Body Text"/>
    <w:basedOn w:val="Normal"/>
    <w:uiPriority w:val="1"/>
    <w:qFormat/>
    <w:pPr>
      <w:ind w:left="1440"/>
    </w:pPr>
    <w:rPr>
      <w:rFonts w:ascii="Calibri" w:hAnsi="Calibri" w:eastAsia="Calibri"/>
      <w:sz w:val="20"/>
      <w:szCs w:val="20"/>
    </w:rPr>
  </w:style>
  <w:style w:styleId="Heading1" w:type="paragraph">
    <w:name w:val="Heading 1"/>
    <w:basedOn w:val="Normal"/>
    <w:uiPriority w:val="1"/>
    <w:qFormat/>
    <w:pPr>
      <w:spacing w:before="19"/>
      <w:ind w:left="27"/>
      <w:outlineLvl w:val="1"/>
    </w:pPr>
    <w:rPr>
      <w:rFonts w:ascii="Calibri" w:hAnsi="Calibri" w:eastAsia="Calibri"/>
      <w:b/>
      <w:bCs/>
      <w:sz w:val="40"/>
      <w:szCs w:val="40"/>
    </w:rPr>
  </w:style>
  <w:style w:styleId="Heading2" w:type="paragraph">
    <w:name w:val="Heading 2"/>
    <w:basedOn w:val="Normal"/>
    <w:uiPriority w:val="1"/>
    <w:qFormat/>
    <w:pPr>
      <w:spacing w:before="34"/>
      <w:ind w:left="1440"/>
      <w:outlineLvl w:val="2"/>
    </w:pPr>
    <w:rPr>
      <w:rFonts w:ascii="Calibri" w:hAnsi="Calibri" w:eastAsia="Calibri"/>
      <w:b/>
      <w:bCs/>
      <w:sz w:val="32"/>
      <w:szCs w:val="32"/>
    </w:rPr>
  </w:style>
  <w:style w:styleId="Heading3" w:type="paragraph">
    <w:name w:val="Heading 3"/>
    <w:basedOn w:val="Normal"/>
    <w:uiPriority w:val="1"/>
    <w:qFormat/>
    <w:pPr>
      <w:ind w:left="1440"/>
      <w:outlineLvl w:val="3"/>
    </w:pPr>
    <w:rPr>
      <w:rFonts w:ascii="Calibri" w:hAnsi="Calibri" w:eastAsia="Calibri"/>
      <w:i/>
      <w:sz w:val="28"/>
      <w:szCs w:val="28"/>
    </w:rPr>
  </w:style>
  <w:style w:styleId="Heading4" w:type="paragraph">
    <w:name w:val="Heading 4"/>
    <w:basedOn w:val="Normal"/>
    <w:uiPriority w:val="1"/>
    <w:qFormat/>
    <w:pPr>
      <w:ind w:left="20"/>
      <w:outlineLvl w:val="4"/>
    </w:pPr>
    <w:rPr>
      <w:rFonts w:ascii="Calibri" w:hAnsi="Calibri" w:eastAsia="Calibri"/>
      <w:b/>
      <w:bCs/>
      <w:i/>
      <w:sz w:val="24"/>
      <w:szCs w:val="24"/>
    </w:rPr>
  </w:style>
  <w:style w:styleId="Heading5" w:type="paragraph">
    <w:name w:val="Heading 5"/>
    <w:basedOn w:val="Normal"/>
    <w:uiPriority w:val="1"/>
    <w:qFormat/>
    <w:pPr>
      <w:spacing w:before="55"/>
      <w:ind w:left="568"/>
      <w:outlineLvl w:val="5"/>
    </w:pPr>
    <w:rPr>
      <w:rFonts w:ascii="Calibri" w:hAnsi="Calibri" w:eastAsia="Calibri"/>
      <w:b/>
      <w:bCs/>
      <w:sz w:val="22"/>
      <w:szCs w:val="22"/>
    </w:rPr>
  </w:style>
  <w:style w:styleId="Heading6" w:type="paragraph">
    <w:name w:val="Heading 6"/>
    <w:basedOn w:val="Normal"/>
    <w:uiPriority w:val="1"/>
    <w:qFormat/>
    <w:pPr>
      <w:spacing w:before="10"/>
      <w:ind w:left="236"/>
      <w:outlineLvl w:val="6"/>
    </w:pPr>
    <w:rPr>
      <w:rFonts w:ascii="Calibri" w:hAnsi="Calibri" w:eastAsia="Calibri"/>
      <w:b/>
      <w:bCs/>
      <w:i/>
      <w:sz w:val="22"/>
      <w:szCs w:val="22"/>
    </w:rPr>
  </w:style>
  <w:style w:styleId="Heading7" w:type="paragraph">
    <w:name w:val="Heading 7"/>
    <w:basedOn w:val="Normal"/>
    <w:uiPriority w:val="1"/>
    <w:qFormat/>
    <w:pPr>
      <w:spacing w:before="19"/>
      <w:ind w:left="236"/>
      <w:outlineLvl w:val="7"/>
    </w:pPr>
    <w:rPr>
      <w:rFonts w:ascii="Calibri" w:hAnsi="Calibri" w:eastAsia="Calibri"/>
      <w:sz w:val="22"/>
      <w:szCs w:val="22"/>
    </w:rPr>
  </w:style>
  <w:style w:styleId="Heading8" w:type="paragraph">
    <w:name w:val="Heading 8"/>
    <w:basedOn w:val="Normal"/>
    <w:uiPriority w:val="1"/>
    <w:qFormat/>
    <w:pPr>
      <w:spacing w:before="19"/>
      <w:ind w:left="3904"/>
      <w:outlineLvl w:val="8"/>
    </w:pPr>
    <w:rPr>
      <w:rFonts w:ascii="Calibri" w:hAnsi="Calibri" w:eastAsia="Calibri"/>
      <w:i/>
      <w:sz w:val="22"/>
      <w:szCs w:val="22"/>
      <w:u w:val="single"/>
    </w:rPr>
  </w:style>
  <w:style w:styleId="Heading9" w:type="paragraph">
    <w:name w:val="Heading 9"/>
    <w:basedOn w:val="Normal"/>
    <w:uiPriority w:val="1"/>
    <w:qFormat/>
    <w:pPr>
      <w:ind w:left="26"/>
      <w:outlineLvl w:val="9"/>
    </w:pPr>
    <w:rPr>
      <w:rFonts w:ascii="Calibri" w:hAnsi="Calibri" w:eastAsia="Calibri"/>
      <w:b/>
      <w:bCs/>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image" Target="media/image6.png"/><Relationship Id="rId13" Type="http://schemas.openxmlformats.org/officeDocument/2006/relationships/hyperlink" Target="http://www.curacao.com/en/directory/corporate/tourism-master-plan-2015/" TargetMode="External"/><Relationship Id="rId14" Type="http://schemas.openxmlformats.org/officeDocument/2006/relationships/footer" Target="footer2.xml"/><Relationship Id="rId15" Type="http://schemas.openxmlformats.org/officeDocument/2006/relationships/image" Target="media/image7.png"/><Relationship Id="rId16" Type="http://schemas.openxmlformats.org/officeDocument/2006/relationships/footer" Target="footer3.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hyperlink" Target="http://www-/" TargetMode="External"/><Relationship Id="rId22" Type="http://schemas.openxmlformats.org/officeDocument/2006/relationships/image" Target="media/image12.png"/><Relationship Id="rId23" Type="http://schemas.openxmlformats.org/officeDocument/2006/relationships/image" Target="media/image13.jpeg"/><Relationship Id="rId24" Type="http://schemas.openxmlformats.org/officeDocument/2006/relationships/footer" Target="footer4.xml"/><Relationship Id="rId25" Type="http://schemas.openxmlformats.org/officeDocument/2006/relationships/footer" Target="footer5.xml"/><Relationship Id="rId26" Type="http://schemas.openxmlformats.org/officeDocument/2006/relationships/image" Target="media/image14.png"/><Relationship Id="rId27" Type="http://schemas.openxmlformats.org/officeDocument/2006/relationships/hyperlink" Target="http://www.airbnb.com/s/curacao?guests=2&amp;amp;checkin=08%2F13%2F2015&amp;amp;checkout=08%2F20%2F2015&amp;amp;ss_id=et7nkwmb&amp;amp;source=bb" TargetMode="External"/><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footer" Target="footer6.xml"/><Relationship Id="rId33" Type="http://schemas.openxmlformats.org/officeDocument/2006/relationships/footer" Target="footer7.xml"/><Relationship Id="rId34" Type="http://schemas.openxmlformats.org/officeDocument/2006/relationships/image" Target="media/image19.png"/><Relationship Id="rId35" Type="http://schemas.openxmlformats.org/officeDocument/2006/relationships/hyperlink" Target="http://www.ey.com/Publication/vwLUAssets/Worldwide_corporate_tax_guide_2013/%24FILE/Worldwide_corporate_tax_guide_2013.pdf" TargetMode="External"/><Relationship Id="rId36" Type="http://schemas.openxmlformats.org/officeDocument/2006/relationships/hyperlink" Target="http://www.cbs.cw/cbs/themes/Economy/DataEconomy-2014062794434.pdf" TargetMode="External"/><Relationship Id="rId37" Type="http://schemas.openxmlformats.org/officeDocument/2006/relationships/image" Target="media/image20.png"/><Relationship Id="rId38" Type="http://schemas.openxmlformats.org/officeDocument/2006/relationships/hyperlink" Target="http://www.cbs.cw/cbs/themes/Economy/DataEconomy-2014062794515.pdf" TargetMode="External"/><Relationship Id="rId39" Type="http://schemas.openxmlformats.org/officeDocument/2006/relationships/hyperlink" Target="http://www.caribbeannewsdigital.com/en/noticia/tourism-generated-352-" TargetMode="External"/><Relationship Id="rId40" Type="http://schemas.openxmlformats.org/officeDocument/2006/relationships/image" Target="media/image21.jpeg"/><Relationship Id="rId41" Type="http://schemas.openxmlformats.org/officeDocument/2006/relationships/footer" Target="footer8.xml"/><Relationship Id="rId42" Type="http://schemas.openxmlformats.org/officeDocument/2006/relationships/image" Target="media/image22.png"/><Relationship Id="rId43" Type="http://schemas.openxmlformats.org/officeDocument/2006/relationships/footer" Target="footer9.xml"/><Relationship Id="rId44" Type="http://schemas.openxmlformats.org/officeDocument/2006/relationships/image" Target="media/image23.pn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header" Target="header3.xml"/><Relationship Id="rId48" Type="http://schemas.openxmlformats.org/officeDocument/2006/relationships/image" Target="media/image26.png"/><Relationship Id="rId49" Type="http://schemas.openxmlformats.org/officeDocument/2006/relationships/footer" Target="footer10.xml"/><Relationship Id="rId50" Type="http://schemas.openxmlformats.org/officeDocument/2006/relationships/image" Target="media/image27.jpeg"/><Relationship Id="rId51" Type="http://schemas.openxmlformats.org/officeDocument/2006/relationships/footer" Target="footer11.xml"/><Relationship Id="rId52" Type="http://schemas.openxmlformats.org/officeDocument/2006/relationships/image" Target="media/image28.png"/><Relationship Id="rId53" Type="http://schemas.openxmlformats.org/officeDocument/2006/relationships/image" Target="media/image29.png"/><Relationship Id="rId54" Type="http://schemas.openxmlformats.org/officeDocument/2006/relationships/image" Target="media/image30.png"/><Relationship Id="rId55" Type="http://schemas.openxmlformats.org/officeDocument/2006/relationships/footer" Target="footer12.xml"/><Relationship Id="rId56" Type="http://schemas.openxmlformats.org/officeDocument/2006/relationships/footer" Target="footer13.xml"/><Relationship Id="rId57" Type="http://schemas.openxmlformats.org/officeDocument/2006/relationships/image" Target="media/image31.png"/><Relationship Id="rId58" Type="http://schemas.openxmlformats.org/officeDocument/2006/relationships/image" Target="media/image32.png"/><Relationship Id="rId59" Type="http://schemas.openxmlformats.org/officeDocument/2006/relationships/image" Target="media/image33.png"/><Relationship Id="rId60" Type="http://schemas.openxmlformats.org/officeDocument/2006/relationships/image" Target="media/image34.png"/><Relationship Id="rId61" Type="http://schemas.openxmlformats.org/officeDocument/2006/relationships/image" Target="media/image35.png"/><Relationship Id="rId62" Type="http://schemas.openxmlformats.org/officeDocument/2006/relationships/image" Target="media/image36.png"/><Relationship Id="rId63" Type="http://schemas.openxmlformats.org/officeDocument/2006/relationships/footer" Target="footer14.xml"/><Relationship Id="rId64" Type="http://schemas.openxmlformats.org/officeDocument/2006/relationships/footer" Target="footer15.xml"/><Relationship Id="rId65" Type="http://schemas.openxmlformats.org/officeDocument/2006/relationships/header" Target="header4.xml"/><Relationship Id="rId66" Type="http://schemas.openxmlformats.org/officeDocument/2006/relationships/image" Target="media/image37.png"/><Relationship Id="rId67" Type="http://schemas.openxmlformats.org/officeDocument/2006/relationships/image" Target="media/image38.png"/><Relationship Id="rId68" Type="http://schemas.openxmlformats.org/officeDocument/2006/relationships/footer" Target="footer16.xml"/><Relationship Id="rId69" Type="http://schemas.openxmlformats.org/officeDocument/2006/relationships/footer" Target="footer17.xml"/><Relationship Id="rId70" Type="http://schemas.openxmlformats.org/officeDocument/2006/relationships/hyperlink" Target="http://www.mastercard.com/assetfile/nc/1003/MCA/MCA/142/AssetViewServlet13.pdf" TargetMode="External"/><Relationship Id="rId71" Type="http://schemas.openxmlformats.org/officeDocument/2006/relationships/image" Target="media/image39.png"/><Relationship Id="rId72" Type="http://schemas.openxmlformats.org/officeDocument/2006/relationships/image" Target="media/image40.png"/><Relationship Id="rId73" Type="http://schemas.openxmlformats.org/officeDocument/2006/relationships/image" Target="media/image41.jpeg"/><Relationship Id="rId74" Type="http://schemas.openxmlformats.org/officeDocument/2006/relationships/footer" Target="footer18.xml"/><Relationship Id="rId75" Type="http://schemas.openxmlformats.org/officeDocument/2006/relationships/footer" Target="footer19.xml"/><Relationship Id="rId76" Type="http://schemas.openxmlformats.org/officeDocument/2006/relationships/image" Target="media/image42.png"/><Relationship Id="rId77" Type="http://schemas.openxmlformats.org/officeDocument/2006/relationships/image" Target="media/image43.jpeg"/><Relationship Id="rId78" Type="http://schemas.openxmlformats.org/officeDocument/2006/relationships/header" Target="header5.xml"/><Relationship Id="rId79" Type="http://schemas.openxmlformats.org/officeDocument/2006/relationships/image" Target="media/image44.png"/><Relationship Id="rId80" Type="http://schemas.openxmlformats.org/officeDocument/2006/relationships/footer" Target="footer20.xml"/><Relationship Id="rId81" Type="http://schemas.openxmlformats.org/officeDocument/2006/relationships/footer" Target="footer21.xml"/><Relationship Id="rId82" Type="http://schemas.openxmlformats.org/officeDocument/2006/relationships/hyperlink" Target="http://www.onecaribbean.org/wp.../Caribbean-Tourism-Review-2014.docx" TargetMode="External"/><Relationship Id="rId83" Type="http://schemas.openxmlformats.org/officeDocument/2006/relationships/hyperlink" Target="http://digital.library.ucf.edu/cdm/ref/collection/DPI/id/17" TargetMode="External"/><Relationship Id="rId84" Type="http://schemas.openxmlformats.org/officeDocument/2006/relationships/hyperlink" Target="http://www.irr.com/_FileLibrary/Office/M1509/IRR_Caribbean_Market_Update_2015_Annual_With_Country_Reports_LR.pdf" TargetMode="External"/><Relationship Id="rId85" Type="http://schemas.openxmlformats.org/officeDocument/2006/relationships/hyperlink" Target="http://www.imf.org/external/pubs/ft/scr/2014/cr14239.pdf" TargetMode="External"/><Relationship Id="rId86" Type="http://schemas.openxmlformats.org/officeDocument/2006/relationships/hyperlink" Target="https://www.kpmg.com/dutchcaribbean/en/Documents/2013%20Hotel%20Benchmarking%20Survey%20Final.pdf" TargetMode="External"/><Relationship Id="rId87" Type="http://schemas.openxmlformats.org/officeDocument/2006/relationships/hyperlink" Target="http://www.tac-financial.com/tacie/2013.05.14_Curacao-Report.pdf" TargetMode="External"/><Relationship Id="rId88" Type="http://schemas.openxmlformats.org/officeDocument/2006/relationships/hyperlink" Target="http://www10.iadb.org/intal/intalcdi/pe/2012/10338.pdf" TargetMode="External"/><Relationship Id="rId89" Type="http://schemas.openxmlformats.org/officeDocument/2006/relationships/hyperlink" Target="http://www.caribbeannewsdigital.com/en/noticia/tourism-generated-352-million-curacao-economy-january-2014" TargetMode="External"/><Relationship Id="rId90" Type="http://schemas.openxmlformats.org/officeDocument/2006/relationships/hyperlink" Target="http://www.seo.nl/fileadmin/site/discussion-papers/2007/dp54_an_econometric_analysis_of_tourism_inflow_in_Curacao.pdf" TargetMode="External"/><Relationship Id="rId91" Type="http://schemas.openxmlformats.org/officeDocument/2006/relationships/hyperlink" Target="file://localhost/C:/Users/vshapova/Downloads/activity-842-1.pdf" TargetMode="External"/><Relationship Id="rId92" Type="http://schemas.openxmlformats.org/officeDocument/2006/relationships/hyperlink" Target="http://www.unep.org/resourceefficiency/Portals/24147/scp/business/tourism/greeneconomy_tourism.pdf" TargetMode="External"/><Relationship Id="rId93" Type="http://schemas.openxmlformats.org/officeDocument/2006/relationships/header" Target="header6.xml"/><Relationship Id="rId94" Type="http://schemas.openxmlformats.org/officeDocument/2006/relationships/footer" Target="footer22.xml"/><Relationship Id="rId95" Type="http://schemas.openxmlformats.org/officeDocument/2006/relationships/footer" Target="footer23.xml"/><Relationship Id="rId96" Type="http://schemas.openxmlformats.org/officeDocument/2006/relationships/image" Target="media/image46.png"/><Relationship Id="rId97" Type="http://schemas.openxmlformats.org/officeDocument/2006/relationships/footer" Target="footer24.xml"/><Relationship Id="rId98" Type="http://schemas.openxmlformats.org/officeDocument/2006/relationships/header" Target="header7.xml"/><Relationship Id="rId99" Type="http://schemas.openxmlformats.org/officeDocument/2006/relationships/footer" Target="footer25.xml"/><Relationship Id="rId100" Type="http://schemas.openxmlformats.org/officeDocument/2006/relationships/header" Target="header8.xml"/><Relationship Id="rId101" Type="http://schemas.openxmlformats.org/officeDocument/2006/relationships/footer" Target="footer26.xml"/><Relationship Id="rId102" Type="http://schemas.openxmlformats.org/officeDocument/2006/relationships/footer" Target="footer27.xml"/><Relationship Id="rId103" Type="http://schemas.openxmlformats.org/officeDocument/2006/relationships/header" Target="header9.xml"/><Relationship Id="rId104" Type="http://schemas.openxmlformats.org/officeDocument/2006/relationships/footer" Target="footer28.xml"/><Relationship Id="rId105" Type="http://schemas.openxmlformats.org/officeDocument/2006/relationships/image" Target="media/image48.jpeg"/><Relationship Id="rId106" Type="http://schemas.openxmlformats.org/officeDocument/2006/relationships/header" Target="header10.xml"/><Relationship Id="rId107" Type="http://schemas.openxmlformats.org/officeDocument/2006/relationships/footer" Target="footer29.xml"/><Relationship Id="rId108" Type="http://schemas.openxmlformats.org/officeDocument/2006/relationships/header" Target="header11.xml"/><Relationship Id="rId109" Type="http://schemas.openxmlformats.org/officeDocument/2006/relationships/footer" Target="footer30.xml"/><Relationship Id="rId110" Type="http://schemas.openxmlformats.org/officeDocument/2006/relationships/header" Target="header12.xml"/><Relationship Id="rId111" Type="http://schemas.openxmlformats.org/officeDocument/2006/relationships/footer" Target="footer31.xml"/><Relationship Id="rId112" Type="http://schemas.openxmlformats.org/officeDocument/2006/relationships/footer" Target="footer32.xml"/><Relationship Id="rId11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3.xml.rels><?xml version="1.0" encoding="UTF-8" standalone="yes"?>
<Relationships xmlns="http://schemas.openxmlformats.org/package/2006/relationships"><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1" Type="http://schemas.openxmlformats.org/officeDocument/2006/relationships/image" Target="media/image5.png"/></Relationships>

</file>

<file path=word/_rels/footer15.xml.rels><?xml version="1.0" encoding="UTF-8" standalone="yes"?>
<Relationships xmlns="http://schemas.openxmlformats.org/package/2006/relationships"><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19.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20.xml.rels><?xml version="1.0" encoding="UTF-8" standalone="yes"?>
<Relationships xmlns="http://schemas.openxmlformats.org/package/2006/relationships"><Relationship Id="rId1" Type="http://schemas.openxmlformats.org/officeDocument/2006/relationships/image" Target="media/image5.png"/></Relationships>

</file>

<file path=word/_rels/footer21.xml.rels><?xml version="1.0" encoding="UTF-8" standalone="yes"?>
<Relationships xmlns="http://schemas.openxmlformats.org/package/2006/relationships"><Relationship Id="rId1" Type="http://schemas.openxmlformats.org/officeDocument/2006/relationships/image" Target="media/image5.png"/></Relationships>

</file>

<file path=word/_rels/footer22.xml.rels><?xml version="1.0" encoding="UTF-8" standalone="yes"?>
<Relationships xmlns="http://schemas.openxmlformats.org/package/2006/relationships"><Relationship Id="rId1" Type="http://schemas.openxmlformats.org/officeDocument/2006/relationships/image" Target="media/image45.png"/></Relationships>

</file>

<file path=word/_rels/footer24.xml.rels><?xml version="1.0" encoding="UTF-8" standalone="yes"?>
<Relationships xmlns="http://schemas.openxmlformats.org/package/2006/relationships"><Relationship Id="rId1" Type="http://schemas.openxmlformats.org/officeDocument/2006/relationships/image" Target="media/image46.png"/></Relationships>

</file>

<file path=word/_rels/footer25.xml.rels><?xml version="1.0" encoding="UTF-8" standalone="yes"?>
<Relationships xmlns="http://schemas.openxmlformats.org/package/2006/relationships"><Relationship Id="rId1" Type="http://schemas.openxmlformats.org/officeDocument/2006/relationships/image" Target="media/image47.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30.xml.rels><?xml version="1.0" encoding="UTF-8" standalone="yes"?>
<Relationships xmlns="http://schemas.openxmlformats.org/package/2006/relationships"><Relationship Id="rId1" Type="http://schemas.openxmlformats.org/officeDocument/2006/relationships/image" Target="media/image47.png"/></Relationships>

</file>

<file path=word/_rels/footer31.xml.rels><?xml version="1.0" encoding="UTF-8" standalone="yes"?>
<Relationships xmlns="http://schemas.openxmlformats.org/package/2006/relationships"><Relationship Id="rId1" Type="http://schemas.openxmlformats.org/officeDocument/2006/relationships/image" Target="media/image49.png"/></Relationships>

</file>

<file path=word/_rels/footer32.xml.rels><?xml version="1.0" encoding="UTF-8" standalone="yes"?>
<Relationships xmlns="http://schemas.openxmlformats.org/package/2006/relationships"><Relationship Id="rId1" Type="http://schemas.openxmlformats.org/officeDocument/2006/relationships/image" Target="media/image50.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Semrad</dc:creator>
  <dcterms:created xsi:type="dcterms:W3CDTF">2015-10-18T16:54:36Z</dcterms:created>
  <dcterms:modified xsi:type="dcterms:W3CDTF">2015-10-18T16:54:36Z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2015-09-27T00:00:00Z</vt:filetime>
  </property>
  <property fmtid="{D5CDD505-2E9C-101B-9397-08002B2CF9AE}" pid="3" name="Creator">
    <vt:lpwstr>Microsoft® Word 2013</vt:lpwstr>
  </property>
  <property fmtid="{D5CDD505-2E9C-101B-9397-08002B2CF9AE}" pid="4" name="LastSaved">
    <vt:filetime>2015-10-18T00:00:00Z</vt:filetime>
  </property>
</Properties>
</file>